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E4D74">
      <w:pPr>
        <w:shd w:val="clear" w:color="auto" w:fill="FFFFFF"/>
        <w:spacing w:line="360" w:lineRule="auto"/>
        <w:jc w:val="center"/>
        <w:textAlignment w:val="bottom"/>
        <w:rPr>
          <w:rFonts w:hint="eastAsia" w:ascii="宋体" w:hAnsi="宋体" w:eastAsia="宋体" w:cs="宋体"/>
          <w:b/>
          <w:color w:val="auto"/>
          <w:kern w:val="0"/>
          <w:sz w:val="52"/>
          <w:szCs w:val="52"/>
          <w:highlight w:val="none"/>
        </w:rPr>
      </w:pPr>
    </w:p>
    <w:p w14:paraId="657E93FE">
      <w:pPr>
        <w:jc w:val="center"/>
        <w:rPr>
          <w:rFonts w:hint="eastAsia" w:ascii="宋体" w:hAnsi="宋体" w:eastAsia="宋体" w:cs="宋体"/>
          <w:color w:val="auto"/>
          <w:sz w:val="36"/>
          <w:szCs w:val="36"/>
          <w:highlight w:val="none"/>
        </w:rPr>
      </w:pPr>
      <w:r>
        <w:rPr>
          <w:rFonts w:hint="eastAsia" w:ascii="宋体"/>
          <w:b/>
          <w:color w:val="auto"/>
          <w:kern w:val="0"/>
          <w:sz w:val="24"/>
          <w:highlight w:val="none"/>
        </w:rPr>
        <w:drawing>
          <wp:inline distT="0" distB="0" distL="114300" distR="114300">
            <wp:extent cx="1697990" cy="1893570"/>
            <wp:effectExtent l="0" t="0" r="16510" b="11430"/>
            <wp:docPr id="3" name="图片 3" descr="30a1194e65c8b7d460c337341b9c7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a1194e65c8b7d460c337341b9c7f7"/>
                    <pic:cNvPicPr>
                      <a:picLocks noChangeAspect="1"/>
                    </pic:cNvPicPr>
                  </pic:nvPicPr>
                  <pic:blipFill>
                    <a:blip r:embed="rId8"/>
                    <a:stretch>
                      <a:fillRect/>
                    </a:stretch>
                  </pic:blipFill>
                  <pic:spPr>
                    <a:xfrm>
                      <a:off x="0" y="0"/>
                      <a:ext cx="1697990" cy="1893570"/>
                    </a:xfrm>
                    <a:prstGeom prst="rect">
                      <a:avLst/>
                    </a:prstGeom>
                    <a:noFill/>
                    <a:ln>
                      <a:noFill/>
                    </a:ln>
                  </pic:spPr>
                </pic:pic>
              </a:graphicData>
            </a:graphic>
          </wp:inline>
        </w:drawing>
      </w:r>
    </w:p>
    <w:p w14:paraId="3D274B67">
      <w:pPr>
        <w:shd w:val="clear" w:color="auto" w:fill="FFFFFF"/>
        <w:spacing w:line="360" w:lineRule="auto"/>
        <w:jc w:val="center"/>
        <w:textAlignment w:val="bottom"/>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政府采购电子招标文件</w:t>
      </w:r>
    </w:p>
    <w:p w14:paraId="18B5C6BB">
      <w:pPr>
        <w:shd w:val="clear" w:color="auto" w:fill="FFFFFF"/>
        <w:spacing w:line="360" w:lineRule="auto"/>
        <w:jc w:val="center"/>
        <w:textAlignment w:val="bottom"/>
        <w:rPr>
          <w:rFonts w:hint="eastAsia" w:ascii="宋体" w:hAnsi="宋体" w:eastAsia="宋体" w:cs="宋体"/>
          <w:color w:val="auto"/>
          <w:sz w:val="28"/>
          <w:szCs w:val="28"/>
          <w:highlight w:val="none"/>
        </w:rPr>
      </w:pPr>
    </w:p>
    <w:p w14:paraId="3ECF2F62">
      <w:pPr>
        <w:shd w:val="clear" w:color="auto" w:fill="FFFFFF"/>
        <w:spacing w:line="360" w:lineRule="auto"/>
        <w:jc w:val="center"/>
        <w:textAlignment w:val="bottom"/>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331000261400110000002-HZHB2026-JJ19</w:t>
      </w:r>
    </w:p>
    <w:p w14:paraId="016886D6">
      <w:pPr>
        <w:shd w:val="clear" w:color="auto" w:fill="FFFFFF"/>
        <w:tabs>
          <w:tab w:val="left" w:pos="1860"/>
        </w:tabs>
        <w:spacing w:line="360" w:lineRule="auto"/>
        <w:textAlignment w:val="bottom"/>
        <w:rPr>
          <w:rFonts w:hint="eastAsia" w:ascii="宋体" w:hAnsi="宋体" w:eastAsia="宋体" w:cs="宋体"/>
          <w:color w:val="auto"/>
          <w:kern w:val="0"/>
          <w:sz w:val="28"/>
          <w:highlight w:val="none"/>
        </w:rPr>
      </w:pPr>
    </w:p>
    <w:p w14:paraId="06D138C6">
      <w:pPr>
        <w:shd w:val="clear" w:color="auto" w:fill="FFFFFF"/>
        <w:spacing w:line="360" w:lineRule="auto"/>
        <w:textAlignment w:val="bottom"/>
        <w:rPr>
          <w:rFonts w:hint="eastAsia" w:ascii="宋体" w:hAnsi="宋体" w:eastAsia="宋体" w:cs="宋体"/>
          <w:color w:val="auto"/>
          <w:kern w:val="0"/>
          <w:sz w:val="28"/>
          <w:highlight w:val="none"/>
        </w:rPr>
      </w:pPr>
    </w:p>
    <w:p w14:paraId="25008330">
      <w:pPr>
        <w:autoSpaceDE w:val="0"/>
        <w:autoSpaceDN w:val="0"/>
        <w:adjustRightInd w:val="0"/>
        <w:spacing w:line="360" w:lineRule="auto"/>
        <w:ind w:firstLine="1120" w:firstLineChars="400"/>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采购项目：</w:t>
      </w:r>
      <w:r>
        <w:rPr>
          <w:rFonts w:hint="eastAsia" w:ascii="宋体" w:hAnsi="宋体" w:cs="宋体"/>
          <w:color w:val="auto"/>
          <w:kern w:val="0"/>
          <w:sz w:val="28"/>
          <w:highlight w:val="none"/>
          <w:lang w:eastAsia="zh-CN"/>
        </w:rPr>
        <w:t>台州市中心医院外科大楼窗帘、床帘、卷帘及配套轨道采购项目</w:t>
      </w:r>
    </w:p>
    <w:p w14:paraId="61C00AF6">
      <w:pPr>
        <w:autoSpaceDE w:val="0"/>
        <w:autoSpaceDN w:val="0"/>
        <w:adjustRightInd w:val="0"/>
        <w:spacing w:line="360" w:lineRule="auto"/>
        <w:ind w:firstLine="1120" w:firstLineChars="400"/>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采购单位：台州市中心医院（台州学院附属医院）</w:t>
      </w:r>
    </w:p>
    <w:p w14:paraId="02F72FF5">
      <w:pPr>
        <w:autoSpaceDE w:val="0"/>
        <w:autoSpaceDN w:val="0"/>
        <w:adjustRightInd w:val="0"/>
        <w:spacing w:line="360" w:lineRule="auto"/>
        <w:jc w:val="center"/>
        <w:rPr>
          <w:rFonts w:hint="eastAsia" w:ascii="宋体" w:hAnsi="宋体" w:eastAsia="宋体" w:cs="宋体"/>
          <w:color w:val="auto"/>
          <w:kern w:val="0"/>
          <w:sz w:val="28"/>
          <w:highlight w:val="none"/>
        </w:rPr>
      </w:pPr>
    </w:p>
    <w:p w14:paraId="5C717D40">
      <w:pPr>
        <w:autoSpaceDE w:val="0"/>
        <w:autoSpaceDN w:val="0"/>
        <w:adjustRightInd w:val="0"/>
        <w:spacing w:line="360" w:lineRule="auto"/>
        <w:jc w:val="center"/>
        <w:rPr>
          <w:rFonts w:hint="eastAsia" w:ascii="宋体" w:hAnsi="宋体" w:eastAsia="宋体" w:cs="宋体"/>
          <w:color w:val="auto"/>
          <w:kern w:val="0"/>
          <w:sz w:val="28"/>
          <w:highlight w:val="none"/>
        </w:rPr>
      </w:pPr>
    </w:p>
    <w:p w14:paraId="3516991B">
      <w:pPr>
        <w:autoSpaceDE w:val="0"/>
        <w:autoSpaceDN w:val="0"/>
        <w:adjustRightInd w:val="0"/>
        <w:spacing w:line="360" w:lineRule="auto"/>
        <w:jc w:val="center"/>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采购代理机构：</w:t>
      </w:r>
      <w:r>
        <w:rPr>
          <w:rFonts w:hint="eastAsia" w:ascii="宋体" w:hAnsi="宋体" w:cs="宋体"/>
          <w:color w:val="auto"/>
          <w:kern w:val="0"/>
          <w:sz w:val="28"/>
          <w:highlight w:val="none"/>
          <w:lang w:eastAsia="zh-CN"/>
        </w:rPr>
        <w:t>杭州好邦建筑工程咨询有限公司</w:t>
      </w:r>
    </w:p>
    <w:p w14:paraId="39C78ECC">
      <w:pPr>
        <w:autoSpaceDE w:val="0"/>
        <w:autoSpaceDN w:val="0"/>
        <w:adjustRightInd w:val="0"/>
        <w:spacing w:line="360" w:lineRule="auto"/>
        <w:jc w:val="center"/>
        <w:rPr>
          <w:rFonts w:hint="eastAsia" w:ascii="宋体" w:hAnsi="宋体" w:eastAsia="宋体" w:cs="宋体"/>
          <w:color w:val="auto"/>
          <w:kern w:val="0"/>
          <w:sz w:val="28"/>
          <w:highlight w:val="none"/>
        </w:rPr>
      </w:pPr>
    </w:p>
    <w:p w14:paraId="3BCB87E7">
      <w:pPr>
        <w:autoSpaceDE w:val="0"/>
        <w:autoSpaceDN w:val="0"/>
        <w:adjustRightInd w:val="0"/>
        <w:spacing w:line="360" w:lineRule="auto"/>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二○二</w:t>
      </w:r>
      <w:r>
        <w:rPr>
          <w:rFonts w:hint="eastAsia" w:ascii="宋体" w:hAnsi="宋体" w:cs="宋体"/>
          <w:color w:val="auto"/>
          <w:kern w:val="0"/>
          <w:sz w:val="28"/>
          <w:highlight w:val="none"/>
          <w:lang w:val="en-US" w:eastAsia="zh-CN"/>
        </w:rPr>
        <w:t>六</w:t>
      </w:r>
      <w:r>
        <w:rPr>
          <w:rFonts w:hint="eastAsia" w:ascii="宋体" w:hAnsi="宋体" w:eastAsia="宋体" w:cs="宋体"/>
          <w:color w:val="auto"/>
          <w:kern w:val="0"/>
          <w:sz w:val="28"/>
          <w:highlight w:val="none"/>
        </w:rPr>
        <w:t>年</w:t>
      </w:r>
      <w:r>
        <w:rPr>
          <w:rFonts w:hint="eastAsia" w:ascii="宋体" w:hAnsi="宋体" w:cs="宋体"/>
          <w:color w:val="auto"/>
          <w:kern w:val="0"/>
          <w:sz w:val="28"/>
          <w:highlight w:val="none"/>
          <w:lang w:val="en-US" w:eastAsia="zh-CN"/>
        </w:rPr>
        <w:t>四</w:t>
      </w:r>
      <w:r>
        <w:rPr>
          <w:rFonts w:hint="eastAsia" w:ascii="宋体" w:hAnsi="宋体" w:eastAsia="宋体" w:cs="宋体"/>
          <w:color w:val="auto"/>
          <w:kern w:val="0"/>
          <w:sz w:val="28"/>
          <w:highlight w:val="none"/>
        </w:rPr>
        <w:t>月</w:t>
      </w:r>
    </w:p>
    <w:p w14:paraId="54D34181">
      <w:pPr>
        <w:spacing w:line="360" w:lineRule="auto"/>
        <w:ind w:firstLine="480" w:firstLineChars="200"/>
        <w:rPr>
          <w:rFonts w:ascii="宋体" w:hAnsi="宋体" w:cs="宋体"/>
          <w:color w:val="auto"/>
          <w:sz w:val="24"/>
          <w:szCs w:val="32"/>
          <w:highlight w:val="none"/>
        </w:rPr>
      </w:pPr>
    </w:p>
    <w:p w14:paraId="63554AFF">
      <w:pPr>
        <w:pStyle w:val="26"/>
        <w:rPr>
          <w:rFonts w:ascii="宋体" w:hAnsi="宋体" w:cs="宋体"/>
          <w:color w:val="auto"/>
          <w:highlight w:val="none"/>
        </w:rPr>
      </w:pPr>
    </w:p>
    <w:p w14:paraId="00FE87D4">
      <w:pPr>
        <w:pStyle w:val="32"/>
        <w:rPr>
          <w:color w:val="auto"/>
          <w:highlight w:val="none"/>
        </w:rPr>
      </w:pPr>
    </w:p>
    <w:p w14:paraId="48B85FF0">
      <w:pPr>
        <w:rPr>
          <w:rFonts w:hint="eastAsia" w:ascii="宋体" w:hAnsi="宋体" w:cs="宋体"/>
          <w:b/>
          <w:bCs/>
          <w:color w:val="auto"/>
          <w:sz w:val="36"/>
          <w:szCs w:val="36"/>
          <w:highlight w:val="none"/>
        </w:rPr>
      </w:pPr>
    </w:p>
    <w:p w14:paraId="3B8415D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 xml:space="preserve">目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录</w:t>
      </w:r>
    </w:p>
    <w:p w14:paraId="0DE6C696">
      <w:pPr>
        <w:spacing w:line="360" w:lineRule="auto"/>
        <w:rPr>
          <w:rFonts w:ascii="宋体" w:hAnsi="宋体" w:cs="宋体"/>
          <w:color w:val="auto"/>
          <w:sz w:val="28"/>
          <w:szCs w:val="28"/>
          <w:highlight w:val="none"/>
        </w:rPr>
      </w:pPr>
    </w:p>
    <w:sdt>
      <w:sdtPr>
        <w:rPr>
          <w:rFonts w:ascii="宋体" w:hAnsi="宋体"/>
          <w:color w:val="auto"/>
          <w:highlight w:val="none"/>
        </w:rPr>
        <w:id w:val="147452273"/>
        <w:docPartObj>
          <w:docPartGallery w:val="Table of Contents"/>
          <w:docPartUnique/>
        </w:docPartObj>
      </w:sdtPr>
      <w:sdtEndPr>
        <w:rPr>
          <w:rFonts w:hint="eastAsia" w:ascii="宋体" w:hAnsi="宋体" w:cs="宋体"/>
          <w:color w:val="auto"/>
          <w:szCs w:val="32"/>
          <w:highlight w:val="none"/>
        </w:rPr>
      </w:sdtEndPr>
      <w:sdtContent>
        <w:p w14:paraId="033E9EE5">
          <w:pPr>
            <w:jc w:val="center"/>
            <w:rPr>
              <w:color w:val="auto"/>
              <w:highlight w:val="none"/>
            </w:rPr>
          </w:pPr>
        </w:p>
        <w:p w14:paraId="269B85AE">
          <w:pPr>
            <w:pStyle w:val="33"/>
            <w:tabs>
              <w:tab w:val="right" w:leader="dot" w:pos="8300"/>
            </w:tabs>
            <w:spacing w:line="480" w:lineRule="auto"/>
            <w:rPr>
              <w:color w:val="auto"/>
              <w:sz w:val="28"/>
              <w:szCs w:val="28"/>
              <w:highlight w:val="none"/>
            </w:rPr>
          </w:pPr>
          <w:r>
            <w:rPr>
              <w:rFonts w:hint="eastAsia" w:ascii="宋体" w:hAnsi="宋体" w:cs="宋体"/>
              <w:color w:val="auto"/>
              <w:sz w:val="40"/>
              <w:szCs w:val="48"/>
              <w:highlight w:val="none"/>
            </w:rPr>
            <w:fldChar w:fldCharType="begin"/>
          </w:r>
          <w:r>
            <w:rPr>
              <w:rFonts w:hint="eastAsia" w:ascii="宋体" w:hAnsi="宋体" w:cs="宋体"/>
              <w:color w:val="auto"/>
              <w:sz w:val="40"/>
              <w:szCs w:val="48"/>
              <w:highlight w:val="none"/>
            </w:rPr>
            <w:instrText xml:space="preserve">TOC \o "1-3" \h \u </w:instrText>
          </w:r>
          <w:r>
            <w:rPr>
              <w:rFonts w:hint="eastAsia" w:ascii="宋体" w:hAnsi="宋体" w:cs="宋体"/>
              <w:color w:val="auto"/>
              <w:sz w:val="40"/>
              <w:szCs w:val="48"/>
              <w:highlight w:val="none"/>
            </w:rPr>
            <w:fldChar w:fldCharType="separate"/>
          </w:r>
          <w:r>
            <w:rPr>
              <w:color w:val="auto"/>
              <w:highlight w:val="none"/>
            </w:rPr>
            <w:fldChar w:fldCharType="begin"/>
          </w:r>
          <w:r>
            <w:rPr>
              <w:color w:val="auto"/>
              <w:highlight w:val="none"/>
            </w:rPr>
            <w:instrText xml:space="preserve"> HYPERLINK \l "_Toc2009" </w:instrText>
          </w:r>
          <w:r>
            <w:rPr>
              <w:color w:val="auto"/>
              <w:highlight w:val="none"/>
            </w:rPr>
            <w:fldChar w:fldCharType="separate"/>
          </w:r>
          <w:r>
            <w:rPr>
              <w:rFonts w:hint="eastAsia" w:ascii="宋体" w:hAnsi="宋体" w:cs="宋体"/>
              <w:bCs/>
              <w:color w:val="auto"/>
              <w:sz w:val="28"/>
              <w:szCs w:val="72"/>
              <w:highlight w:val="none"/>
            </w:rPr>
            <w:t>第一章 公开招标采购公告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4DF8A0BF">
          <w:pPr>
            <w:pStyle w:val="33"/>
            <w:tabs>
              <w:tab w:val="right" w:leader="dot" w:pos="830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"_Toc23118" </w:instrText>
          </w:r>
          <w:r>
            <w:rPr>
              <w:color w:val="auto"/>
              <w:highlight w:val="none"/>
            </w:rPr>
            <w:fldChar w:fldCharType="separate"/>
          </w:r>
          <w:r>
            <w:rPr>
              <w:rFonts w:hint="eastAsia" w:ascii="宋体" w:hAnsi="宋体" w:cs="宋体"/>
              <w:bCs/>
              <w:color w:val="auto"/>
              <w:sz w:val="28"/>
              <w:szCs w:val="7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_Toc23118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60296042">
          <w:pPr>
            <w:pStyle w:val="33"/>
            <w:tabs>
              <w:tab w:val="right" w:leader="dot" w:pos="830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"_Toc20587" </w:instrText>
          </w:r>
          <w:r>
            <w:rPr>
              <w:color w:val="auto"/>
              <w:highlight w:val="none"/>
            </w:rPr>
            <w:fldChar w:fldCharType="separate"/>
          </w:r>
          <w:r>
            <w:rPr>
              <w:rFonts w:hint="eastAsia" w:ascii="宋体" w:hAnsi="宋体" w:cs="宋体"/>
              <w:bCs/>
              <w:color w:val="auto"/>
              <w:sz w:val="28"/>
              <w:szCs w:val="72"/>
              <w:highlight w:val="none"/>
            </w:rPr>
            <w:t>第三章 评标办法及评分标准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_Toc20587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color w:val="auto"/>
              <w:sz w:val="28"/>
              <w:szCs w:val="28"/>
              <w:highlight w:val="none"/>
            </w:rPr>
            <w:fldChar w:fldCharType="end"/>
          </w:r>
        </w:p>
        <w:p w14:paraId="478F4AD8">
          <w:pPr>
            <w:pStyle w:val="33"/>
            <w:tabs>
              <w:tab w:val="right" w:leader="dot" w:pos="830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"_Toc8522" </w:instrText>
          </w:r>
          <w:r>
            <w:rPr>
              <w:color w:val="auto"/>
              <w:highlight w:val="none"/>
            </w:rPr>
            <w:fldChar w:fldCharType="separate"/>
          </w:r>
          <w:r>
            <w:rPr>
              <w:rFonts w:hint="eastAsia" w:ascii="宋体" w:hAnsi="宋体" w:cs="宋体"/>
              <w:bCs/>
              <w:color w:val="auto"/>
              <w:sz w:val="28"/>
              <w:szCs w:val="72"/>
              <w:highlight w:val="none"/>
            </w:rPr>
            <w:t>第四章 公开招标需求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_Toc8522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14:paraId="042184FE">
          <w:pPr>
            <w:pStyle w:val="33"/>
            <w:tabs>
              <w:tab w:val="right" w:leader="dot" w:pos="830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"_Toc8958" </w:instrText>
          </w:r>
          <w:r>
            <w:rPr>
              <w:color w:val="auto"/>
              <w:highlight w:val="none"/>
            </w:rPr>
            <w:fldChar w:fldCharType="separate"/>
          </w:r>
          <w:r>
            <w:rPr>
              <w:rFonts w:hint="eastAsia"/>
              <w:color w:val="auto"/>
              <w:sz w:val="28"/>
              <w:szCs w:val="28"/>
              <w:highlight w:val="none"/>
            </w:rPr>
            <w:t>第五章 政府采购合同主要条款指引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_Toc8958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01D884C0">
          <w:pPr>
            <w:pStyle w:val="33"/>
            <w:tabs>
              <w:tab w:val="right" w:leader="dot" w:pos="830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"_Toc24468" </w:instrText>
          </w:r>
          <w:r>
            <w:rPr>
              <w:color w:val="auto"/>
              <w:highlight w:val="none"/>
            </w:rPr>
            <w:fldChar w:fldCharType="separate"/>
          </w:r>
          <w:r>
            <w:rPr>
              <w:rFonts w:hint="eastAsia" w:ascii="宋体" w:hAnsi="宋体" w:cs="宋体"/>
              <w:bCs/>
              <w:color w:val="auto"/>
              <w:sz w:val="28"/>
              <w:szCs w:val="72"/>
              <w:highlight w:val="none"/>
            </w:rPr>
            <w:t>第六章 投标文件格式附件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_Toc24468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03126054">
          <w:pPr>
            <w:spacing w:line="480" w:lineRule="auto"/>
            <w:rPr>
              <w:rFonts w:ascii="宋体" w:hAnsi="宋体" w:cs="宋体"/>
              <w:color w:val="auto"/>
              <w:sz w:val="24"/>
              <w:szCs w:val="32"/>
              <w:highlight w:val="none"/>
            </w:rPr>
          </w:pPr>
          <w:r>
            <w:rPr>
              <w:rFonts w:hint="eastAsia" w:ascii="宋体" w:hAnsi="宋体" w:cs="宋体"/>
              <w:color w:val="auto"/>
              <w:sz w:val="32"/>
              <w:szCs w:val="48"/>
              <w:highlight w:val="none"/>
            </w:rPr>
            <w:fldChar w:fldCharType="end"/>
          </w:r>
        </w:p>
      </w:sdtContent>
    </w:sdt>
    <w:p w14:paraId="710D48DA">
      <w:pPr>
        <w:spacing w:line="360" w:lineRule="auto"/>
        <w:rPr>
          <w:rFonts w:ascii="宋体" w:hAnsi="宋体" w:cs="宋体"/>
          <w:color w:val="auto"/>
          <w:sz w:val="24"/>
          <w:szCs w:val="32"/>
          <w:highlight w:val="none"/>
        </w:rPr>
      </w:pPr>
    </w:p>
    <w:p w14:paraId="28ABB175">
      <w:pPr>
        <w:spacing w:line="360" w:lineRule="auto"/>
        <w:rPr>
          <w:rFonts w:ascii="宋体" w:hAnsi="宋体" w:cs="宋体"/>
          <w:color w:val="auto"/>
          <w:sz w:val="24"/>
          <w:szCs w:val="32"/>
          <w:highlight w:val="none"/>
        </w:rPr>
      </w:pPr>
    </w:p>
    <w:p w14:paraId="5F24B4BC">
      <w:pPr>
        <w:spacing w:line="360" w:lineRule="auto"/>
        <w:rPr>
          <w:rFonts w:ascii="宋体" w:hAnsi="宋体" w:cs="宋体"/>
          <w:color w:val="auto"/>
          <w:sz w:val="24"/>
          <w:szCs w:val="32"/>
          <w:highlight w:val="none"/>
        </w:rPr>
      </w:pPr>
    </w:p>
    <w:p w14:paraId="05CF87B3">
      <w:pPr>
        <w:spacing w:line="360" w:lineRule="auto"/>
        <w:rPr>
          <w:rFonts w:ascii="宋体" w:hAnsi="宋体" w:cs="宋体"/>
          <w:color w:val="auto"/>
          <w:sz w:val="24"/>
          <w:szCs w:val="32"/>
          <w:highlight w:val="none"/>
        </w:rPr>
      </w:pPr>
    </w:p>
    <w:p w14:paraId="5EDE0866">
      <w:pPr>
        <w:spacing w:line="360" w:lineRule="auto"/>
        <w:rPr>
          <w:rFonts w:ascii="宋体" w:hAnsi="宋体" w:cs="宋体"/>
          <w:color w:val="auto"/>
          <w:sz w:val="24"/>
          <w:szCs w:val="32"/>
          <w:highlight w:val="none"/>
        </w:rPr>
      </w:pPr>
    </w:p>
    <w:p w14:paraId="79576B2D">
      <w:pPr>
        <w:spacing w:line="360" w:lineRule="auto"/>
        <w:rPr>
          <w:rFonts w:ascii="宋体" w:hAnsi="宋体" w:cs="宋体"/>
          <w:color w:val="auto"/>
          <w:sz w:val="24"/>
          <w:szCs w:val="32"/>
          <w:highlight w:val="none"/>
        </w:rPr>
      </w:pPr>
    </w:p>
    <w:p w14:paraId="7B1C1D42">
      <w:pPr>
        <w:spacing w:line="360" w:lineRule="auto"/>
        <w:rPr>
          <w:rFonts w:ascii="宋体" w:hAnsi="宋体" w:cs="宋体"/>
          <w:color w:val="auto"/>
          <w:sz w:val="24"/>
          <w:szCs w:val="32"/>
          <w:highlight w:val="none"/>
        </w:rPr>
      </w:pPr>
    </w:p>
    <w:p w14:paraId="5F6B2A4B">
      <w:pPr>
        <w:spacing w:line="360" w:lineRule="auto"/>
        <w:rPr>
          <w:rFonts w:ascii="宋体" w:hAnsi="宋体" w:cs="宋体"/>
          <w:color w:val="auto"/>
          <w:sz w:val="24"/>
          <w:szCs w:val="32"/>
          <w:highlight w:val="none"/>
        </w:rPr>
      </w:pPr>
    </w:p>
    <w:p w14:paraId="115EE8DA">
      <w:pPr>
        <w:spacing w:line="360" w:lineRule="auto"/>
        <w:rPr>
          <w:rFonts w:ascii="宋体" w:hAnsi="宋体" w:cs="宋体"/>
          <w:color w:val="auto"/>
          <w:sz w:val="24"/>
          <w:szCs w:val="32"/>
          <w:highlight w:val="none"/>
        </w:rPr>
      </w:pPr>
    </w:p>
    <w:p w14:paraId="07A9B56B">
      <w:pPr>
        <w:spacing w:line="360" w:lineRule="auto"/>
        <w:rPr>
          <w:rFonts w:ascii="宋体" w:hAnsi="宋体" w:cs="宋体"/>
          <w:color w:val="auto"/>
          <w:sz w:val="24"/>
          <w:szCs w:val="32"/>
          <w:highlight w:val="none"/>
        </w:rPr>
      </w:pPr>
    </w:p>
    <w:p w14:paraId="7A16A956">
      <w:pPr>
        <w:spacing w:line="360" w:lineRule="auto"/>
        <w:rPr>
          <w:rFonts w:ascii="宋体" w:hAnsi="宋体" w:cs="宋体"/>
          <w:color w:val="auto"/>
          <w:sz w:val="24"/>
          <w:szCs w:val="32"/>
          <w:highlight w:val="none"/>
        </w:rPr>
      </w:pPr>
    </w:p>
    <w:p w14:paraId="7091CFF5">
      <w:pPr>
        <w:spacing w:line="360" w:lineRule="auto"/>
        <w:jc w:val="center"/>
        <w:outlineLvl w:val="0"/>
        <w:rPr>
          <w:rFonts w:hint="eastAsia" w:ascii="宋体" w:hAnsi="宋体" w:cs="宋体"/>
          <w:b/>
          <w:bCs/>
          <w:color w:val="auto"/>
          <w:sz w:val="36"/>
          <w:szCs w:val="44"/>
          <w:highlight w:val="none"/>
        </w:rPr>
        <w:sectPr>
          <w:headerReference r:id="rId4" w:type="default"/>
          <w:pgSz w:w="11906" w:h="16838"/>
          <w:pgMar w:top="1440" w:right="1803" w:bottom="1440" w:left="1803" w:header="851" w:footer="992" w:gutter="0"/>
          <w:pgNumType w:fmt="decimal"/>
          <w:cols w:space="0" w:num="1"/>
          <w:rtlGutter w:val="0"/>
          <w:docGrid w:type="lines" w:linePitch="317" w:charSpace="0"/>
        </w:sectPr>
      </w:pPr>
      <w:bookmarkStart w:id="0" w:name="_Toc24169"/>
      <w:bookmarkStart w:id="1" w:name="_Toc2009"/>
    </w:p>
    <w:p w14:paraId="242BC55B">
      <w:pPr>
        <w:spacing w:line="360" w:lineRule="auto"/>
        <w:jc w:val="center"/>
        <w:outlineLvl w:val="0"/>
        <w:rPr>
          <w:rFonts w:ascii="宋体" w:hAnsi="宋体" w:cs="宋体"/>
          <w:b/>
          <w:bCs/>
          <w:color w:val="auto"/>
          <w:sz w:val="36"/>
          <w:szCs w:val="44"/>
          <w:highlight w:val="none"/>
        </w:rPr>
      </w:pPr>
      <w:r>
        <w:rPr>
          <w:rFonts w:hint="eastAsia" w:ascii="宋体" w:hAnsi="宋体" w:cs="宋体"/>
          <w:b/>
          <w:bCs/>
          <w:color w:val="auto"/>
          <w:sz w:val="36"/>
          <w:szCs w:val="44"/>
          <w:highlight w:val="none"/>
        </w:rPr>
        <w:t>第一章 公开招标采购公告</w:t>
      </w:r>
      <w:bookmarkEnd w:id="0"/>
      <w:bookmarkEnd w:id="1"/>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14:paraId="327D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1D19B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33B70742">
            <w:pPr>
              <w:spacing w:line="360" w:lineRule="auto"/>
              <w:ind w:firstLine="480" w:firstLineChars="200"/>
              <w:rPr>
                <w:rFonts w:hint="eastAsia" w:ascii="宋体" w:hAnsi="宋体" w:cs="宋体"/>
                <w:b/>
                <w:bCs/>
                <w:color w:val="auto"/>
                <w:sz w:val="24"/>
                <w:szCs w:val="24"/>
                <w:highlight w:val="none"/>
                <w:vertAlign w:val="baseline"/>
              </w:rPr>
            </w:pPr>
            <w:r>
              <w:rPr>
                <w:rFonts w:hint="eastAsia" w:ascii="宋体" w:hAnsi="宋体" w:cs="宋体"/>
                <w:color w:val="auto"/>
                <w:sz w:val="24"/>
                <w:szCs w:val="24"/>
                <w:highlight w:val="none"/>
                <w:lang w:eastAsia="zh-CN"/>
              </w:rPr>
              <w:t>台州市中心医院外科大楼窗帘、床帘、卷帘及配套轨道采购项目招标项目的潜在投标人应在政采云平台线上获取获取（下载）招标文件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09:</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（北京时间）前递交（上传）投标文件。</w:t>
            </w:r>
          </w:p>
        </w:tc>
      </w:tr>
    </w:tbl>
    <w:p w14:paraId="5CA4F912">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14:paraId="3F1FC18B">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331000261400110000002-HZHB2026-JJ19</w:t>
      </w:r>
    </w:p>
    <w:p w14:paraId="5E5062E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台州市中心医院外科大楼窗帘、床帘、卷帘及配套轨道采购项目</w:t>
      </w:r>
    </w:p>
    <w:p w14:paraId="795C6305">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839700元</w:t>
      </w:r>
      <w:r>
        <w:rPr>
          <w:rFonts w:hint="eastAsia" w:ascii="宋体" w:hAnsi="宋体" w:cs="宋体"/>
          <w:color w:val="auto"/>
          <w:sz w:val="24"/>
          <w:szCs w:val="24"/>
          <w:highlight w:val="none"/>
          <w:lang w:eastAsia="zh-CN"/>
        </w:rPr>
        <w:t xml:space="preserve"> </w:t>
      </w:r>
    </w:p>
    <w:p w14:paraId="35FEECC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最高限价（元）：</w:t>
      </w:r>
      <w:r>
        <w:rPr>
          <w:rFonts w:hint="eastAsia" w:ascii="宋体" w:hAnsi="宋体" w:cs="宋体"/>
          <w:color w:val="auto"/>
          <w:sz w:val="24"/>
          <w:szCs w:val="24"/>
          <w:highlight w:val="none"/>
          <w:lang w:val="en-US" w:eastAsia="zh-CN"/>
        </w:rPr>
        <w:t>800000元</w:t>
      </w:r>
      <w:r>
        <w:rPr>
          <w:rFonts w:hint="eastAsia" w:ascii="宋体" w:hAnsi="宋体" w:cs="宋体"/>
          <w:color w:val="auto"/>
          <w:sz w:val="24"/>
          <w:szCs w:val="24"/>
          <w:highlight w:val="none"/>
          <w:lang w:eastAsia="zh-CN"/>
        </w:rPr>
        <w:t xml:space="preserve"> </w:t>
      </w:r>
    </w:p>
    <w:p w14:paraId="5FB5D34B">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14:paraId="19E0D7E3">
      <w:pPr>
        <w:pStyle w:val="9"/>
        <w:rPr>
          <w:rFonts w:hint="eastAsia"/>
          <w:color w:val="auto"/>
          <w:highlight w:val="none"/>
        </w:rPr>
      </w:pPr>
    </w:p>
    <w:p w14:paraId="6EDAEC4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标项名称：</w:t>
      </w:r>
      <w:r>
        <w:rPr>
          <w:rFonts w:hint="eastAsia" w:ascii="宋体" w:hAnsi="宋体" w:cs="宋体"/>
          <w:color w:val="auto"/>
          <w:sz w:val="24"/>
          <w:szCs w:val="24"/>
          <w:highlight w:val="none"/>
          <w:lang w:eastAsia="zh-CN"/>
        </w:rPr>
        <w:t>台州市中心医院外科大楼窗帘、床帘、卷帘及配套轨道采购项目</w:t>
      </w:r>
    </w:p>
    <w:p w14:paraId="4571A3A9">
      <w:pPr>
        <w:shd w:val="clear" w:color="auto" w:fill="auto"/>
        <w:tabs>
          <w:tab w:val="left" w:pos="6487"/>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ab/>
      </w:r>
    </w:p>
    <w:p w14:paraId="443403DE">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839700元</w:t>
      </w:r>
      <w:r>
        <w:rPr>
          <w:rFonts w:hint="eastAsia" w:ascii="宋体" w:hAnsi="宋体" w:cs="宋体"/>
          <w:color w:val="auto"/>
          <w:sz w:val="24"/>
          <w:szCs w:val="24"/>
          <w:highlight w:val="none"/>
          <w:lang w:eastAsia="zh-CN"/>
        </w:rPr>
        <w:t xml:space="preserve"> </w:t>
      </w:r>
    </w:p>
    <w:p w14:paraId="085AA46A">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ascii="宋体" w:hAnsi="宋体" w:cs="宋体"/>
          <w:color w:val="auto"/>
          <w:sz w:val="24"/>
          <w:szCs w:val="24"/>
          <w:highlight w:val="none"/>
          <w:lang w:eastAsia="zh-CN"/>
        </w:rPr>
        <w:t>窗帘、床帘、卷帘及配套轨道采购，</w:t>
      </w:r>
      <w:r>
        <w:rPr>
          <w:rFonts w:hint="eastAsia" w:ascii="宋体" w:hAnsi="宋体" w:cs="宋体"/>
          <w:color w:val="auto"/>
          <w:sz w:val="24"/>
          <w:szCs w:val="24"/>
          <w:highlight w:val="none"/>
        </w:rPr>
        <w:t>具体内容见采购文件第四章招标需求。</w:t>
      </w:r>
    </w:p>
    <w:p w14:paraId="3F73DF38">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2A945CA1">
      <w:pPr>
        <w:shd w:val="clear" w:color="auto" w:fill="auto"/>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合同履约期限：标项1，</w:t>
      </w:r>
      <w:r>
        <w:rPr>
          <w:rFonts w:hint="eastAsia" w:ascii="宋体" w:hAnsi="宋体" w:cs="宋体"/>
          <w:color w:val="auto"/>
          <w:sz w:val="24"/>
          <w:szCs w:val="24"/>
          <w:highlight w:val="none"/>
          <w:lang w:eastAsia="zh-CN"/>
        </w:rPr>
        <w:t>在合同签订后两个月内按院方要求货到指定地点并完成安装调试。</w:t>
      </w:r>
    </w:p>
    <w:p w14:paraId="33BD43DF">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本项目（否）接受联合体投标。</w:t>
      </w:r>
    </w:p>
    <w:p w14:paraId="07B4E445">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14:paraId="57C62F42">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1529ED5D">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w:t>
      </w:r>
    </w:p>
    <w:p w14:paraId="517D4A6A">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3.本项目的特定资格要求：标项1，无。</w:t>
      </w:r>
    </w:p>
    <w:p w14:paraId="519B4FF6">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三、获取招标文件</w:t>
      </w:r>
    </w:p>
    <w:p w14:paraId="5C42EFAC">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时间：/至</w:t>
      </w:r>
      <w:r>
        <w:rPr>
          <w:rFonts w:hint="eastAsia" w:ascii="宋体" w:hAnsi="宋体" w:cs="宋体"/>
          <w:color w:val="auto"/>
          <w:sz w:val="24"/>
          <w:szCs w:val="24"/>
          <w:highlight w:val="none"/>
          <w:lang w:eastAsia="zh-CN"/>
        </w:rPr>
        <w:t>2026年05月28日</w:t>
      </w:r>
      <w:r>
        <w:rPr>
          <w:rFonts w:hint="eastAsia" w:ascii="宋体" w:hAnsi="宋体" w:cs="宋体"/>
          <w:color w:val="auto"/>
          <w:sz w:val="24"/>
          <w:szCs w:val="24"/>
          <w:highlight w:val="none"/>
        </w:rPr>
        <w:t>，每天上午00:00至12:00，下午12:00至23:59（北京时间，线上获取法定节假日均可，线下获取文件法定节假日除外）</w:t>
      </w:r>
    </w:p>
    <w:p w14:paraId="176959F4">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地点（网址）：政采云平台（http://zfcg.czt.zj.gov.cn）</w:t>
      </w:r>
    </w:p>
    <w:p w14:paraId="312C1725">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方式：供应商登录政采云平台https://www.zcygov.cn/在线申请获取采购文件（进入“项目采购”应用，在获取采购文件菜单中选择项目，申请获取采购文件）</w:t>
      </w:r>
    </w:p>
    <w:p w14:paraId="6FB95FA5">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售价（元）：0</w:t>
      </w:r>
    </w:p>
    <w:p w14:paraId="457E9E04">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p>
    <w:p w14:paraId="41E6E464">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lang w:eastAsia="zh-CN"/>
        </w:rPr>
        <w:t>2026年05月28日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09:</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（北京时间）</w:t>
      </w:r>
    </w:p>
    <w:p w14:paraId="4CD8F971">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投标地点（网址）：请登录政采云投标客户端投标</w:t>
      </w:r>
    </w:p>
    <w:p w14:paraId="0652B845">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lang w:eastAsia="zh-CN"/>
        </w:rPr>
        <w:t>2026年05月28日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09:</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w:t>
      </w:r>
    </w:p>
    <w:p w14:paraId="1D54315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开标地点（网址）：椒江区市府大道777号民泰大楼3楼一号开标室一号开标室A场地</w:t>
      </w:r>
    </w:p>
    <w:p w14:paraId="57751B8C">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14:paraId="2EC6AA85">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14:paraId="16C0FCBC">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六、其他补充事宜</w:t>
      </w:r>
    </w:p>
    <w:p w14:paraId="3C476741">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DBD1664">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A654463">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90DBCE4">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4.其他事项：</w:t>
      </w:r>
    </w:p>
    <w:p w14:paraId="2835A00C">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实行电子投标，投标人应按照本项目招标文件和政采云平台的要求编制、加密并递交投标文件。投标人在使用系统进行投标的过程中遇到涉及平台使用的任何问题，可致电政采云平台技术支持热线咨询，联系方式：95763。</w:t>
      </w:r>
    </w:p>
    <w:p w14:paraId="1AC8CE35">
      <w:pPr>
        <w:shd w:val="clear" w:color="auto"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4.2投标人通过政采云平台电子投标工具制作投标文件，电子投标工具请供应商自行前往浙江政府采购网下载并安装</w:t>
      </w:r>
      <w:r>
        <w:rPr>
          <w:rFonts w:ascii="宋体" w:hAnsi="宋体" w:cs="宋体"/>
          <w:color w:val="auto"/>
          <w:sz w:val="24"/>
          <w:szCs w:val="24"/>
          <w:highlight w:val="none"/>
        </w:rPr>
        <w:t>（下载网址：</w:t>
      </w:r>
      <w:r>
        <w:rPr>
          <w:rFonts w:hint="eastAsia" w:ascii="宋体" w:hAnsi="宋体" w:cs="宋体"/>
          <w:color w:val="auto"/>
          <w:sz w:val="24"/>
          <w:szCs w:val="24"/>
          <w:highlight w:val="none"/>
        </w:rPr>
        <w:t>https://zfcg.czt.zj.gov.cn/site/detail?parentId=600030&amp;articleId=ZoGATzO%2FwUdM7eXAIXLAyg%3D%3D</w:t>
      </w:r>
      <w:r>
        <w:rPr>
          <w:rFonts w:ascii="宋体" w:hAnsi="宋体" w:cs="宋体"/>
          <w:color w:val="auto"/>
          <w:sz w:val="24"/>
          <w:szCs w:val="24"/>
          <w:highlight w:val="none"/>
        </w:rPr>
        <w:t>）</w:t>
      </w:r>
      <w:r>
        <w:rPr>
          <w:rFonts w:hint="eastAsia" w:ascii="宋体" w:hAnsi="宋体" w:cs="宋体"/>
          <w:color w:val="auto"/>
          <w:sz w:val="24"/>
          <w:szCs w:val="24"/>
          <w:highlight w:val="none"/>
        </w:rPr>
        <w:t>。</w:t>
      </w:r>
    </w:p>
    <w:p w14:paraId="3AB1D0B5">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4.3投标人应在开标前完成CA数字证书办理</w:t>
      </w:r>
      <w:r>
        <w:rPr>
          <w:rFonts w:ascii="宋体" w:hAnsi="宋体" w:cs="宋体"/>
          <w:color w:val="auto"/>
          <w:sz w:val="24"/>
          <w:szCs w:val="24"/>
          <w:highlight w:val="none"/>
        </w:rPr>
        <w:t>（办理流程详见</w:t>
      </w:r>
      <w:r>
        <w:rPr>
          <w:rFonts w:hint="eastAsia" w:ascii="宋体" w:hAnsi="宋体" w:cs="宋体"/>
          <w:color w:val="auto"/>
          <w:sz w:val="24"/>
          <w:szCs w:val="24"/>
          <w:highlight w:val="none"/>
        </w:rPr>
        <w:t>https://zfcg.czt.zj.gov.cn/site/detail?parentId=600030&amp;articleId=8usMobfHBXp2GJnjOIZ0EA%3D%3D</w:t>
      </w:r>
      <w:r>
        <w:rPr>
          <w:rFonts w:ascii="宋体" w:hAnsi="宋体" w:cs="宋体"/>
          <w:color w:val="auto"/>
          <w:sz w:val="24"/>
          <w:szCs w:val="24"/>
          <w:highlight w:val="none"/>
        </w:rPr>
        <w:t>，完成CA数字证书办理预计一周左右，请各投标人自行把握时间）</w:t>
      </w:r>
      <w:r>
        <w:rPr>
          <w:rFonts w:hint="eastAsia" w:ascii="宋体" w:hAnsi="宋体" w:cs="宋体"/>
          <w:color w:val="auto"/>
          <w:sz w:val="24"/>
          <w:szCs w:val="24"/>
          <w:highlight w:val="none"/>
        </w:rPr>
        <w:t>。</w:t>
      </w:r>
    </w:p>
    <w:p w14:paraId="14626304">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14:paraId="52DA4194">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4.5供应商如对采购文件有异议应按规定的时间提出，逾期提出的，采购组织机构可不予受理、答复。</w:t>
      </w:r>
    </w:p>
    <w:p w14:paraId="774E3219">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七、对本次采购提出询问、质疑、投诉，请按以下方式联系</w:t>
      </w:r>
    </w:p>
    <w:p w14:paraId="6ADAFFDE">
      <w:pPr>
        <w:shd w:val="clear" w:color="auto" w:fill="auto"/>
        <w:spacing w:line="360" w:lineRule="auto"/>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046F6E12">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台州市中心医院（台州学院附属医院）</w:t>
      </w:r>
    </w:p>
    <w:p w14:paraId="7FED1AB3">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台州市椒江区东海大道999号</w:t>
      </w:r>
    </w:p>
    <w:p w14:paraId="51FB0FC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1107943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rPr>
        <w:t>联系人（询问）：</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女士</w:t>
      </w:r>
    </w:p>
    <w:p w14:paraId="10440155">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项目联系方式（询问）：0576-88526626</w:t>
      </w:r>
    </w:p>
    <w:p w14:paraId="21A3D041">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质疑联系人：俞女士</w:t>
      </w:r>
    </w:p>
    <w:p w14:paraId="6C416F0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szCs w:val="24"/>
          <w:highlight w:val="none"/>
        </w:rPr>
        <w:t>质疑联系方式：0576-88550331</w:t>
      </w:r>
    </w:p>
    <w:p w14:paraId="3693A807">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5960E846">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杭州好邦建筑工程咨询有限公司</w:t>
      </w:r>
    </w:p>
    <w:p w14:paraId="52E1668D">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黄岩区天元路455号锦都家园36号楼一单元1004室</w:t>
      </w:r>
    </w:p>
    <w:p w14:paraId="13F822CF">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eastAsia="zh-CN"/>
        </w:rPr>
        <w:t>曹旺斌</w:t>
      </w:r>
    </w:p>
    <w:p w14:paraId="6AE1F31F">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w:t>
      </w:r>
      <w:r>
        <w:rPr>
          <w:rFonts w:hint="eastAsia" w:ascii="宋体" w:hAnsi="宋体" w:cs="宋体"/>
          <w:color w:val="auto"/>
          <w:sz w:val="24"/>
          <w:szCs w:val="24"/>
          <w:highlight w:val="none"/>
        </w:rPr>
        <w:t>系方式（询问）：</w:t>
      </w:r>
      <w:r>
        <w:rPr>
          <w:rFonts w:hint="eastAsia" w:ascii="宋体" w:hAnsi="宋体" w:cs="宋体"/>
          <w:color w:val="auto"/>
          <w:sz w:val="24"/>
          <w:szCs w:val="24"/>
          <w:highlight w:val="none"/>
          <w:lang w:eastAsia="zh-CN"/>
        </w:rPr>
        <w:t>13857600728</w:t>
      </w:r>
    </w:p>
    <w:p w14:paraId="2455522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质疑联系人：</w:t>
      </w:r>
      <w:r>
        <w:rPr>
          <w:rFonts w:hint="eastAsia" w:ascii="宋体" w:hAnsi="宋体" w:cs="宋体"/>
          <w:color w:val="auto"/>
          <w:sz w:val="24"/>
          <w:szCs w:val="24"/>
          <w:highlight w:val="none"/>
          <w:lang w:val="en-US" w:eastAsia="zh-CN"/>
        </w:rPr>
        <w:t>王丽洁</w:t>
      </w:r>
    </w:p>
    <w:p w14:paraId="61DB2085">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质疑联系方式：</w:t>
      </w:r>
      <w:r>
        <w:rPr>
          <w:rFonts w:hint="eastAsia" w:ascii="宋体" w:hAnsi="宋体" w:cs="宋体"/>
          <w:color w:val="auto"/>
          <w:sz w:val="24"/>
          <w:szCs w:val="24"/>
          <w:highlight w:val="none"/>
          <w:lang w:eastAsia="zh-CN"/>
        </w:rPr>
        <w:t>13566883369</w:t>
      </w:r>
    </w:p>
    <w:p w14:paraId="7A0C8E26">
      <w:pPr>
        <w:shd w:val="clear" w:color="auto"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3.同级政府采购监督管理部门</w:t>
      </w:r>
    </w:p>
    <w:p w14:paraId="759D4540">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名 </w:t>
      </w:r>
      <w:r>
        <w:rPr>
          <w:rFonts w:hint="eastAsia" w:ascii="宋体" w:hAnsi="宋体" w:cs="宋体"/>
          <w:color w:val="auto"/>
          <w:sz w:val="24"/>
          <w:highlight w:val="none"/>
        </w:rPr>
        <w:t xml:space="preserve"> </w:t>
      </w:r>
      <w:r>
        <w:rPr>
          <w:rFonts w:hint="eastAsia" w:ascii="宋体" w:hAnsi="宋体" w:cs="宋体"/>
          <w:color w:val="auto"/>
          <w:sz w:val="24"/>
          <w:szCs w:val="24"/>
          <w:highlight w:val="none"/>
        </w:rPr>
        <w:t>称：台州市财政局</w:t>
      </w:r>
    </w:p>
    <w:p w14:paraId="5326350F">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 </w:t>
      </w:r>
      <w:r>
        <w:rPr>
          <w:rFonts w:hint="eastAsia" w:ascii="宋体" w:hAnsi="宋体" w:cs="宋体"/>
          <w:color w:val="auto"/>
          <w:sz w:val="24"/>
          <w:highlight w:val="none"/>
        </w:rPr>
        <w:t xml:space="preserve"> </w:t>
      </w:r>
      <w:r>
        <w:rPr>
          <w:rFonts w:hint="eastAsia" w:ascii="宋体" w:hAnsi="宋体" w:cs="宋体"/>
          <w:color w:val="auto"/>
          <w:sz w:val="24"/>
          <w:szCs w:val="24"/>
          <w:highlight w:val="none"/>
        </w:rPr>
        <w:t>址：台州市台州湾新区纬一路66号天元大厦</w:t>
      </w:r>
    </w:p>
    <w:p w14:paraId="77CFBF5F">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 xml:space="preserve"> 真：/</w:t>
      </w:r>
    </w:p>
    <w:p w14:paraId="22DEF0DE">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联系人：陈工、李工</w:t>
      </w:r>
    </w:p>
    <w:p w14:paraId="5E6CAAE2">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监督投诉电话：0576-88206705、0576-88206731</w:t>
      </w:r>
    </w:p>
    <w:p w14:paraId="0DAD4EBD">
      <w:pPr>
        <w:shd w:val="clear" w:color="auto" w:fill="auto"/>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八、其余事项：</w:t>
      </w:r>
    </w:p>
    <w:p w14:paraId="3BD85286">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中标人如有融资需求，可使用以下银行的政采贷服务。</w:t>
      </w:r>
    </w:p>
    <w:tbl>
      <w:tblPr>
        <w:tblStyle w:val="2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1631"/>
        <w:gridCol w:w="1403"/>
        <w:gridCol w:w="3065"/>
      </w:tblGrid>
      <w:tr w14:paraId="6DF7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noWrap/>
            <w:vAlign w:val="center"/>
          </w:tcPr>
          <w:p w14:paraId="14A58976">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银行</w:t>
            </w:r>
          </w:p>
        </w:tc>
        <w:tc>
          <w:tcPr>
            <w:tcW w:w="1631" w:type="dxa"/>
            <w:noWrap/>
            <w:vAlign w:val="center"/>
          </w:tcPr>
          <w:p w14:paraId="3AA09CBF">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贷款年利率</w:t>
            </w:r>
          </w:p>
        </w:tc>
        <w:tc>
          <w:tcPr>
            <w:tcW w:w="1403" w:type="dxa"/>
            <w:noWrap/>
            <w:vAlign w:val="center"/>
          </w:tcPr>
          <w:p w14:paraId="36FC2BC6">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3065" w:type="dxa"/>
            <w:noWrap/>
            <w:vAlign w:val="center"/>
          </w:tcPr>
          <w:p w14:paraId="3EF2955E">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r>
      <w:tr w14:paraId="680A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6CCDA4FB">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中国工商银行</w:t>
            </w:r>
          </w:p>
        </w:tc>
        <w:tc>
          <w:tcPr>
            <w:tcW w:w="1631" w:type="dxa"/>
            <w:shd w:val="clear" w:color="auto" w:fill="auto"/>
            <w:noWrap/>
            <w:vAlign w:val="center"/>
          </w:tcPr>
          <w:p w14:paraId="3E0AAB21">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2.6%起</w:t>
            </w:r>
          </w:p>
        </w:tc>
        <w:tc>
          <w:tcPr>
            <w:tcW w:w="1403" w:type="dxa"/>
            <w:shd w:val="clear" w:color="auto" w:fill="auto"/>
            <w:noWrap/>
            <w:vAlign w:val="center"/>
          </w:tcPr>
          <w:p w14:paraId="35EBE8EA">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王霖</w:t>
            </w:r>
          </w:p>
        </w:tc>
        <w:tc>
          <w:tcPr>
            <w:tcW w:w="3065" w:type="dxa"/>
            <w:shd w:val="clear" w:color="auto" w:fill="auto"/>
            <w:noWrap/>
            <w:vAlign w:val="center"/>
          </w:tcPr>
          <w:p w14:paraId="34B1F6BF">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13857654562</w:t>
            </w:r>
          </w:p>
        </w:tc>
      </w:tr>
      <w:tr w14:paraId="5F55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600F3B85">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中国农业银行</w:t>
            </w:r>
          </w:p>
        </w:tc>
        <w:tc>
          <w:tcPr>
            <w:tcW w:w="1631" w:type="dxa"/>
            <w:shd w:val="clear" w:color="auto" w:fill="auto"/>
            <w:noWrap/>
            <w:vAlign w:val="center"/>
          </w:tcPr>
          <w:p w14:paraId="313A4381">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2.5%起</w:t>
            </w:r>
          </w:p>
        </w:tc>
        <w:tc>
          <w:tcPr>
            <w:tcW w:w="1403" w:type="dxa"/>
            <w:shd w:val="clear" w:color="auto" w:fill="auto"/>
            <w:noWrap/>
            <w:vAlign w:val="center"/>
          </w:tcPr>
          <w:p w14:paraId="06F46D22">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吴灏</w:t>
            </w:r>
          </w:p>
        </w:tc>
        <w:tc>
          <w:tcPr>
            <w:tcW w:w="3065" w:type="dxa"/>
            <w:shd w:val="clear" w:color="auto" w:fill="auto"/>
            <w:noWrap/>
            <w:vAlign w:val="center"/>
          </w:tcPr>
          <w:p w14:paraId="123647F2">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15268898874</w:t>
            </w:r>
          </w:p>
        </w:tc>
      </w:tr>
      <w:tr w14:paraId="4E61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1E74EFCD">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中国建设银行</w:t>
            </w:r>
          </w:p>
        </w:tc>
        <w:tc>
          <w:tcPr>
            <w:tcW w:w="1631" w:type="dxa"/>
            <w:shd w:val="clear" w:color="auto" w:fill="auto"/>
            <w:noWrap/>
            <w:vAlign w:val="center"/>
          </w:tcPr>
          <w:p w14:paraId="24DF57A7">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3.0%起</w:t>
            </w:r>
          </w:p>
        </w:tc>
        <w:tc>
          <w:tcPr>
            <w:tcW w:w="1403" w:type="dxa"/>
            <w:shd w:val="clear" w:color="auto" w:fill="auto"/>
            <w:noWrap/>
            <w:vAlign w:val="center"/>
          </w:tcPr>
          <w:p w14:paraId="08FD1A53">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丁君因</w:t>
            </w:r>
          </w:p>
        </w:tc>
        <w:tc>
          <w:tcPr>
            <w:tcW w:w="3065" w:type="dxa"/>
            <w:shd w:val="clear" w:color="auto" w:fill="auto"/>
            <w:noWrap/>
            <w:vAlign w:val="center"/>
          </w:tcPr>
          <w:p w14:paraId="62C9EB19">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13606679819</w:t>
            </w:r>
          </w:p>
        </w:tc>
      </w:tr>
      <w:tr w14:paraId="24AC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3B94A4AB">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中国银行</w:t>
            </w:r>
          </w:p>
        </w:tc>
        <w:tc>
          <w:tcPr>
            <w:tcW w:w="1631" w:type="dxa"/>
            <w:shd w:val="clear" w:color="auto" w:fill="auto"/>
            <w:noWrap/>
            <w:vAlign w:val="center"/>
          </w:tcPr>
          <w:p w14:paraId="25BE5BDF">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3.0%起</w:t>
            </w:r>
          </w:p>
        </w:tc>
        <w:tc>
          <w:tcPr>
            <w:tcW w:w="1403" w:type="dxa"/>
            <w:shd w:val="clear" w:color="auto" w:fill="auto"/>
            <w:noWrap/>
            <w:vAlign w:val="center"/>
          </w:tcPr>
          <w:p w14:paraId="2F43B3B2">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任茜</w:t>
            </w:r>
          </w:p>
        </w:tc>
        <w:tc>
          <w:tcPr>
            <w:tcW w:w="3065" w:type="dxa"/>
            <w:shd w:val="clear" w:color="auto" w:fill="auto"/>
            <w:noWrap/>
            <w:vAlign w:val="center"/>
          </w:tcPr>
          <w:p w14:paraId="70063D23">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13857695378</w:t>
            </w:r>
          </w:p>
        </w:tc>
      </w:tr>
      <w:tr w14:paraId="413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7CE1508A">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交通银行台州分行</w:t>
            </w:r>
          </w:p>
        </w:tc>
        <w:tc>
          <w:tcPr>
            <w:tcW w:w="1631" w:type="dxa"/>
            <w:shd w:val="clear" w:color="auto" w:fill="auto"/>
            <w:noWrap/>
            <w:vAlign w:val="center"/>
          </w:tcPr>
          <w:p w14:paraId="241AE2CB">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3.0%起</w:t>
            </w:r>
          </w:p>
        </w:tc>
        <w:tc>
          <w:tcPr>
            <w:tcW w:w="1403" w:type="dxa"/>
            <w:shd w:val="clear" w:color="auto" w:fill="auto"/>
            <w:noWrap/>
            <w:vAlign w:val="center"/>
          </w:tcPr>
          <w:p w14:paraId="148DDD5C">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彭舟丹</w:t>
            </w:r>
          </w:p>
        </w:tc>
        <w:tc>
          <w:tcPr>
            <w:tcW w:w="3065" w:type="dxa"/>
            <w:shd w:val="clear" w:color="auto" w:fill="auto"/>
            <w:noWrap/>
            <w:vAlign w:val="center"/>
          </w:tcPr>
          <w:p w14:paraId="48A27927">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18858683371</w:t>
            </w:r>
          </w:p>
        </w:tc>
      </w:tr>
      <w:tr w14:paraId="6EA7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FFFFFF"/>
            <w:noWrap/>
            <w:vAlign w:val="center"/>
          </w:tcPr>
          <w:p w14:paraId="6248186F">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中信银行台州分行</w:t>
            </w:r>
          </w:p>
        </w:tc>
        <w:tc>
          <w:tcPr>
            <w:tcW w:w="1631" w:type="dxa"/>
            <w:shd w:val="clear" w:color="auto" w:fill="FFFFFF"/>
            <w:noWrap/>
            <w:vAlign w:val="center"/>
          </w:tcPr>
          <w:p w14:paraId="353F9951">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3.2%起</w:t>
            </w:r>
          </w:p>
        </w:tc>
        <w:tc>
          <w:tcPr>
            <w:tcW w:w="1403" w:type="dxa"/>
            <w:shd w:val="clear" w:color="auto" w:fill="FFFFFF"/>
            <w:noWrap/>
            <w:vAlign w:val="center"/>
          </w:tcPr>
          <w:p w14:paraId="416595ED">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金辉</w:t>
            </w:r>
          </w:p>
        </w:tc>
        <w:tc>
          <w:tcPr>
            <w:tcW w:w="3065" w:type="dxa"/>
            <w:shd w:val="clear" w:color="auto" w:fill="FFFFFF"/>
            <w:noWrap/>
            <w:vAlign w:val="center"/>
          </w:tcPr>
          <w:p w14:paraId="678AA1DA">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13750690231</w:t>
            </w:r>
          </w:p>
        </w:tc>
      </w:tr>
      <w:tr w14:paraId="33D0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39" w:type="dxa"/>
            <w:shd w:val="clear" w:color="auto" w:fill="auto"/>
            <w:noWrap/>
            <w:vAlign w:val="center"/>
          </w:tcPr>
          <w:p w14:paraId="1A636F1A">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泰隆银行开发区支行</w:t>
            </w:r>
          </w:p>
        </w:tc>
        <w:tc>
          <w:tcPr>
            <w:tcW w:w="1631" w:type="dxa"/>
            <w:shd w:val="clear" w:color="auto" w:fill="auto"/>
            <w:noWrap/>
            <w:vAlign w:val="center"/>
          </w:tcPr>
          <w:p w14:paraId="5AB4B835">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3.259%起</w:t>
            </w:r>
          </w:p>
        </w:tc>
        <w:tc>
          <w:tcPr>
            <w:tcW w:w="1403" w:type="dxa"/>
            <w:shd w:val="clear" w:color="auto" w:fill="auto"/>
            <w:noWrap/>
            <w:vAlign w:val="center"/>
          </w:tcPr>
          <w:p w14:paraId="687909A3">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管晓晓</w:t>
            </w:r>
          </w:p>
        </w:tc>
        <w:tc>
          <w:tcPr>
            <w:tcW w:w="3065" w:type="dxa"/>
            <w:shd w:val="clear" w:color="auto" w:fill="auto"/>
            <w:noWrap/>
            <w:vAlign w:val="center"/>
          </w:tcPr>
          <w:p w14:paraId="309D2173">
            <w:pPr>
              <w:shd w:val="clear" w:color="auto" w:fill="auto"/>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13958665211</w:t>
            </w:r>
          </w:p>
        </w:tc>
      </w:tr>
    </w:tbl>
    <w:p w14:paraId="09220890">
      <w:pPr>
        <w:shd w:val="clear" w:color="auto" w:fill="auto"/>
        <w:spacing w:line="360" w:lineRule="auto"/>
        <w:ind w:firstLine="840" w:firstLineChars="350"/>
        <w:jc w:val="center"/>
        <w:rPr>
          <w:rFonts w:hint="eastAsia" w:ascii="宋体" w:hAnsi="宋体" w:cs="宋体"/>
          <w:color w:val="auto"/>
          <w:sz w:val="24"/>
          <w:szCs w:val="24"/>
          <w:highlight w:val="none"/>
        </w:rPr>
      </w:pPr>
    </w:p>
    <w:p w14:paraId="43E0D41C">
      <w:pPr>
        <w:shd w:val="clear" w:color="auto" w:fill="auto"/>
        <w:spacing w:line="360" w:lineRule="auto"/>
        <w:ind w:firstLine="840" w:firstLineChars="350"/>
        <w:jc w:val="center"/>
        <w:rPr>
          <w:rFonts w:ascii="宋体" w:hAnsi="宋体" w:cs="宋体"/>
          <w:color w:val="auto"/>
          <w:sz w:val="24"/>
          <w:szCs w:val="24"/>
          <w:highlight w:val="none"/>
        </w:rPr>
      </w:pPr>
      <w:r>
        <w:rPr>
          <w:rFonts w:hint="eastAsia" w:ascii="宋体" w:hAnsi="宋体" w:cs="宋体"/>
          <w:color w:val="auto"/>
          <w:sz w:val="24"/>
          <w:szCs w:val="24"/>
          <w:highlight w:val="none"/>
        </w:rPr>
        <w:t>合同履约保函联系方式</w:t>
      </w:r>
    </w:p>
    <w:tbl>
      <w:tblPr>
        <w:tblStyle w:val="27"/>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17"/>
        <w:gridCol w:w="2313"/>
        <w:gridCol w:w="1014"/>
        <w:gridCol w:w="1574"/>
      </w:tblGrid>
      <w:tr w14:paraId="05E9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3817" w:type="dxa"/>
            <w:noWrap/>
            <w:vAlign w:val="center"/>
          </w:tcPr>
          <w:p w14:paraId="6D09D904">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保险公司名称</w:t>
            </w:r>
          </w:p>
        </w:tc>
        <w:tc>
          <w:tcPr>
            <w:tcW w:w="2313" w:type="dxa"/>
            <w:noWrap/>
            <w:vAlign w:val="center"/>
          </w:tcPr>
          <w:p w14:paraId="55540685">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保费率</w:t>
            </w:r>
          </w:p>
        </w:tc>
        <w:tc>
          <w:tcPr>
            <w:tcW w:w="1014" w:type="dxa"/>
            <w:noWrap/>
            <w:vAlign w:val="center"/>
          </w:tcPr>
          <w:p w14:paraId="51E07A0C">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74" w:type="dxa"/>
            <w:noWrap/>
            <w:vAlign w:val="center"/>
          </w:tcPr>
          <w:p w14:paraId="0C0160FB">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r>
      <w:tr w14:paraId="0E2C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00AAAB06">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中国人寿财产保险股份有限公司台州中心支公司</w:t>
            </w:r>
          </w:p>
        </w:tc>
        <w:tc>
          <w:tcPr>
            <w:tcW w:w="2313" w:type="dxa"/>
            <w:noWrap/>
            <w:vAlign w:val="center"/>
          </w:tcPr>
          <w:p w14:paraId="75A31222">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年费率1%，最低保费500元</w:t>
            </w:r>
          </w:p>
        </w:tc>
        <w:tc>
          <w:tcPr>
            <w:tcW w:w="1014" w:type="dxa"/>
            <w:noWrap/>
            <w:vAlign w:val="center"/>
          </w:tcPr>
          <w:p w14:paraId="428DE1D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徐凌</w:t>
            </w:r>
          </w:p>
        </w:tc>
        <w:tc>
          <w:tcPr>
            <w:tcW w:w="1574" w:type="dxa"/>
            <w:noWrap/>
            <w:vAlign w:val="center"/>
          </w:tcPr>
          <w:p w14:paraId="6CC2FDBA">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13905168070</w:t>
            </w:r>
          </w:p>
        </w:tc>
      </w:tr>
      <w:tr w14:paraId="4FCA0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15E0D7E8">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永诚财产保险股份有限公司台州分公司</w:t>
            </w:r>
          </w:p>
        </w:tc>
        <w:tc>
          <w:tcPr>
            <w:tcW w:w="2313" w:type="dxa"/>
            <w:noWrap/>
            <w:vAlign w:val="center"/>
          </w:tcPr>
          <w:p w14:paraId="6601D8EF">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年费率1%，最低保费1000元</w:t>
            </w:r>
          </w:p>
        </w:tc>
        <w:tc>
          <w:tcPr>
            <w:tcW w:w="1014" w:type="dxa"/>
            <w:noWrap/>
            <w:vAlign w:val="center"/>
          </w:tcPr>
          <w:p w14:paraId="6951322A">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尹刚强</w:t>
            </w:r>
          </w:p>
        </w:tc>
        <w:tc>
          <w:tcPr>
            <w:tcW w:w="1574" w:type="dxa"/>
            <w:noWrap/>
            <w:vAlign w:val="center"/>
          </w:tcPr>
          <w:p w14:paraId="2ACE6358">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13750668184</w:t>
            </w:r>
          </w:p>
        </w:tc>
      </w:tr>
      <w:tr w14:paraId="5CB2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1C13E3D4">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华泰财产保险有限公司台州中心支公司</w:t>
            </w:r>
          </w:p>
        </w:tc>
        <w:tc>
          <w:tcPr>
            <w:tcW w:w="2313" w:type="dxa"/>
            <w:noWrap/>
            <w:vAlign w:val="center"/>
          </w:tcPr>
          <w:p w14:paraId="01FDAEB3">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年费率0.5%，最低保费1000元</w:t>
            </w:r>
          </w:p>
        </w:tc>
        <w:tc>
          <w:tcPr>
            <w:tcW w:w="1014" w:type="dxa"/>
            <w:noWrap/>
            <w:vAlign w:val="center"/>
          </w:tcPr>
          <w:p w14:paraId="08549EF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王灵芳</w:t>
            </w:r>
          </w:p>
        </w:tc>
        <w:tc>
          <w:tcPr>
            <w:tcW w:w="1574" w:type="dxa"/>
            <w:noWrap/>
            <w:vAlign w:val="center"/>
          </w:tcPr>
          <w:p w14:paraId="5737BAF2">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88869818 13586123199</w:t>
            </w:r>
          </w:p>
        </w:tc>
      </w:tr>
      <w:tr w14:paraId="4420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3BE37D68">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中国大地财产保险股份有限公司台州中心支公司</w:t>
            </w:r>
          </w:p>
        </w:tc>
        <w:tc>
          <w:tcPr>
            <w:tcW w:w="2313" w:type="dxa"/>
            <w:noWrap/>
            <w:vAlign w:val="center"/>
          </w:tcPr>
          <w:p w14:paraId="111D847C">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年费率1.5%，最低保费1000元</w:t>
            </w:r>
          </w:p>
        </w:tc>
        <w:tc>
          <w:tcPr>
            <w:tcW w:w="1014" w:type="dxa"/>
            <w:noWrap/>
            <w:vAlign w:val="center"/>
          </w:tcPr>
          <w:p w14:paraId="38D6A912">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徐小明</w:t>
            </w:r>
          </w:p>
        </w:tc>
        <w:tc>
          <w:tcPr>
            <w:tcW w:w="1574" w:type="dxa"/>
            <w:noWrap/>
            <w:vAlign w:val="center"/>
          </w:tcPr>
          <w:p w14:paraId="5417060D">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88552788      13968603112</w:t>
            </w:r>
          </w:p>
        </w:tc>
      </w:tr>
      <w:tr w14:paraId="0C0C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53E302D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阳光保险台州中心支公司</w:t>
            </w:r>
          </w:p>
        </w:tc>
        <w:tc>
          <w:tcPr>
            <w:tcW w:w="2313" w:type="dxa"/>
            <w:noWrap/>
            <w:vAlign w:val="center"/>
          </w:tcPr>
          <w:p w14:paraId="32BD211B">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年费率1%，最低保费500元</w:t>
            </w:r>
          </w:p>
        </w:tc>
        <w:tc>
          <w:tcPr>
            <w:tcW w:w="1014" w:type="dxa"/>
            <w:noWrap/>
            <w:vAlign w:val="center"/>
          </w:tcPr>
          <w:p w14:paraId="77577E54">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林高明</w:t>
            </w:r>
          </w:p>
        </w:tc>
        <w:tc>
          <w:tcPr>
            <w:tcW w:w="1574" w:type="dxa"/>
            <w:noWrap/>
            <w:vAlign w:val="center"/>
          </w:tcPr>
          <w:p w14:paraId="6EF47333">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15888682693</w:t>
            </w:r>
          </w:p>
        </w:tc>
      </w:tr>
      <w:tr w14:paraId="3740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7076D45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中华联合财产保险股份有限公司台州中心支公司</w:t>
            </w:r>
          </w:p>
        </w:tc>
        <w:tc>
          <w:tcPr>
            <w:tcW w:w="2313" w:type="dxa"/>
            <w:noWrap/>
            <w:vAlign w:val="center"/>
          </w:tcPr>
          <w:p w14:paraId="6B4E70CD">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年费率2%，最低保费500元</w:t>
            </w:r>
          </w:p>
        </w:tc>
        <w:tc>
          <w:tcPr>
            <w:tcW w:w="1014" w:type="dxa"/>
            <w:noWrap/>
            <w:vAlign w:val="center"/>
          </w:tcPr>
          <w:p w14:paraId="314CF5FE">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王仙高</w:t>
            </w:r>
          </w:p>
        </w:tc>
        <w:tc>
          <w:tcPr>
            <w:tcW w:w="1574" w:type="dxa"/>
            <w:noWrap/>
            <w:vAlign w:val="center"/>
          </w:tcPr>
          <w:p w14:paraId="3D7E6FCB">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13858600221</w:t>
            </w:r>
          </w:p>
        </w:tc>
      </w:tr>
      <w:tr w14:paraId="0146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3817" w:type="dxa"/>
            <w:noWrap/>
            <w:vAlign w:val="center"/>
          </w:tcPr>
          <w:p w14:paraId="34AE2DBF">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中国人民财产保险股份有限公司台州中心支公司</w:t>
            </w:r>
          </w:p>
        </w:tc>
        <w:tc>
          <w:tcPr>
            <w:tcW w:w="2313" w:type="dxa"/>
            <w:noWrap/>
            <w:vAlign w:val="center"/>
          </w:tcPr>
          <w:p w14:paraId="0DFCAFA8">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年费率0.3%，最低保费1000元</w:t>
            </w:r>
          </w:p>
        </w:tc>
        <w:tc>
          <w:tcPr>
            <w:tcW w:w="1014" w:type="dxa"/>
            <w:noWrap/>
            <w:vAlign w:val="center"/>
          </w:tcPr>
          <w:p w14:paraId="5B123071">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王仙春</w:t>
            </w:r>
          </w:p>
        </w:tc>
        <w:tc>
          <w:tcPr>
            <w:tcW w:w="1574" w:type="dxa"/>
            <w:noWrap/>
            <w:vAlign w:val="center"/>
          </w:tcPr>
          <w:p w14:paraId="3D051625">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13515769179</w:t>
            </w:r>
          </w:p>
        </w:tc>
      </w:tr>
      <w:tr w14:paraId="3FC7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3817" w:type="dxa"/>
            <w:noWrap/>
            <w:vAlign w:val="center"/>
          </w:tcPr>
          <w:p w14:paraId="6DA1BE8E">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永安财产保险股份有限公司台州中心支公司</w:t>
            </w:r>
          </w:p>
        </w:tc>
        <w:tc>
          <w:tcPr>
            <w:tcW w:w="2313" w:type="dxa"/>
            <w:noWrap/>
            <w:vAlign w:val="center"/>
          </w:tcPr>
          <w:p w14:paraId="1F512145">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年费率0.3%，最低保费1000</w:t>
            </w:r>
          </w:p>
        </w:tc>
        <w:tc>
          <w:tcPr>
            <w:tcW w:w="1014" w:type="dxa"/>
            <w:noWrap/>
            <w:vAlign w:val="center"/>
          </w:tcPr>
          <w:p w14:paraId="3FDA0D6D">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王春宇</w:t>
            </w:r>
          </w:p>
        </w:tc>
        <w:tc>
          <w:tcPr>
            <w:tcW w:w="1574" w:type="dxa"/>
            <w:noWrap/>
            <w:vAlign w:val="center"/>
          </w:tcPr>
          <w:p w14:paraId="354343E1">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13676675331</w:t>
            </w:r>
          </w:p>
        </w:tc>
      </w:tr>
    </w:tbl>
    <w:p w14:paraId="066DC19C">
      <w:pPr>
        <w:shd w:val="clear" w:color="auto" w:fill="auto"/>
        <w:spacing w:line="360" w:lineRule="auto"/>
        <w:jc w:val="center"/>
        <w:rPr>
          <w:rFonts w:hint="eastAsia" w:ascii="宋体" w:hAnsi="宋体" w:cs="宋体"/>
          <w:color w:val="auto"/>
          <w:sz w:val="24"/>
          <w:szCs w:val="24"/>
          <w:highlight w:val="none"/>
        </w:rPr>
      </w:pPr>
    </w:p>
    <w:p w14:paraId="0BA768C6">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预付款保函联系方式</w:t>
      </w:r>
    </w:p>
    <w:tbl>
      <w:tblPr>
        <w:tblStyle w:val="27"/>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00"/>
        <w:gridCol w:w="2325"/>
        <w:gridCol w:w="1017"/>
        <w:gridCol w:w="1575"/>
      </w:tblGrid>
      <w:tr w14:paraId="4074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3800" w:type="dxa"/>
            <w:noWrap/>
            <w:vAlign w:val="center"/>
          </w:tcPr>
          <w:p w14:paraId="1F848880">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保险公司名称</w:t>
            </w:r>
          </w:p>
        </w:tc>
        <w:tc>
          <w:tcPr>
            <w:tcW w:w="2325" w:type="dxa"/>
            <w:noWrap/>
            <w:vAlign w:val="center"/>
          </w:tcPr>
          <w:p w14:paraId="0F24DC31">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保费率</w:t>
            </w:r>
          </w:p>
        </w:tc>
        <w:tc>
          <w:tcPr>
            <w:tcW w:w="1017" w:type="dxa"/>
            <w:noWrap/>
            <w:vAlign w:val="center"/>
          </w:tcPr>
          <w:p w14:paraId="422B5A6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75" w:type="dxa"/>
            <w:noWrap/>
            <w:vAlign w:val="center"/>
          </w:tcPr>
          <w:p w14:paraId="1DC79A3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r>
      <w:tr w14:paraId="1FC1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3800" w:type="dxa"/>
            <w:noWrap/>
            <w:vAlign w:val="center"/>
          </w:tcPr>
          <w:p w14:paraId="0D413533">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中国人寿财产保险股份有限公司台州中心支公司</w:t>
            </w:r>
          </w:p>
        </w:tc>
        <w:tc>
          <w:tcPr>
            <w:tcW w:w="2325" w:type="dxa"/>
            <w:noWrap/>
            <w:vAlign w:val="center"/>
          </w:tcPr>
          <w:p w14:paraId="249C77A6">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年费率3%，最低保费500元</w:t>
            </w:r>
          </w:p>
        </w:tc>
        <w:tc>
          <w:tcPr>
            <w:tcW w:w="1017" w:type="dxa"/>
            <w:noWrap/>
            <w:vAlign w:val="center"/>
          </w:tcPr>
          <w:p w14:paraId="533ABF07">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徐凌</w:t>
            </w:r>
          </w:p>
        </w:tc>
        <w:tc>
          <w:tcPr>
            <w:tcW w:w="1575" w:type="dxa"/>
            <w:noWrap/>
            <w:vAlign w:val="center"/>
          </w:tcPr>
          <w:p w14:paraId="5CF9BDFC">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13905168070</w:t>
            </w:r>
          </w:p>
        </w:tc>
      </w:tr>
      <w:tr w14:paraId="4655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3800" w:type="dxa"/>
            <w:noWrap/>
            <w:vAlign w:val="center"/>
          </w:tcPr>
          <w:p w14:paraId="6EBB19DB">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阳光保险台州中心支公司</w:t>
            </w:r>
          </w:p>
        </w:tc>
        <w:tc>
          <w:tcPr>
            <w:tcW w:w="2325" w:type="dxa"/>
            <w:noWrap/>
            <w:vAlign w:val="center"/>
          </w:tcPr>
          <w:p w14:paraId="641BC6E9">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年费率1%，最低保费500元</w:t>
            </w:r>
          </w:p>
        </w:tc>
        <w:tc>
          <w:tcPr>
            <w:tcW w:w="1017" w:type="dxa"/>
            <w:noWrap/>
            <w:vAlign w:val="center"/>
          </w:tcPr>
          <w:p w14:paraId="27E18C13">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林高明</w:t>
            </w:r>
          </w:p>
        </w:tc>
        <w:tc>
          <w:tcPr>
            <w:tcW w:w="1575" w:type="dxa"/>
            <w:noWrap/>
            <w:vAlign w:val="center"/>
          </w:tcPr>
          <w:p w14:paraId="4EFE5E03">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15888682693</w:t>
            </w:r>
          </w:p>
        </w:tc>
      </w:tr>
      <w:tr w14:paraId="08D2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3800" w:type="dxa"/>
            <w:noWrap/>
            <w:vAlign w:val="center"/>
          </w:tcPr>
          <w:p w14:paraId="41980BC0">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天安财产保险股份有限公司台州中心支公司</w:t>
            </w:r>
          </w:p>
        </w:tc>
        <w:tc>
          <w:tcPr>
            <w:tcW w:w="2325" w:type="dxa"/>
            <w:noWrap/>
            <w:vAlign w:val="center"/>
          </w:tcPr>
          <w:p w14:paraId="360C9FAE">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年费率1%-2%，最低保费500元</w:t>
            </w:r>
          </w:p>
        </w:tc>
        <w:tc>
          <w:tcPr>
            <w:tcW w:w="1017" w:type="dxa"/>
            <w:noWrap/>
            <w:vAlign w:val="center"/>
          </w:tcPr>
          <w:p w14:paraId="41B6249B">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罗赛</w:t>
            </w:r>
          </w:p>
        </w:tc>
        <w:tc>
          <w:tcPr>
            <w:tcW w:w="1575" w:type="dxa"/>
            <w:noWrap/>
            <w:vAlign w:val="center"/>
          </w:tcPr>
          <w:p w14:paraId="24883789">
            <w:pPr>
              <w:shd w:val="clear" w:color="auto" w:fill="auto"/>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13736605643</w:t>
            </w:r>
          </w:p>
        </w:tc>
      </w:tr>
    </w:tbl>
    <w:p w14:paraId="4C7F5F57">
      <w:pPr>
        <w:spacing w:line="360" w:lineRule="auto"/>
        <w:jc w:val="right"/>
        <w:rPr>
          <w:rFonts w:ascii="宋体" w:hAnsi="宋体" w:cs="宋体"/>
          <w:color w:val="auto"/>
          <w:sz w:val="24"/>
          <w:szCs w:val="32"/>
          <w:highlight w:val="none"/>
        </w:rPr>
      </w:pPr>
    </w:p>
    <w:p w14:paraId="567E35C5">
      <w:pPr>
        <w:spacing w:line="360" w:lineRule="auto"/>
        <w:jc w:val="right"/>
        <w:rPr>
          <w:rFonts w:hint="eastAsia" w:ascii="宋体" w:hAnsi="宋体" w:cs="宋体"/>
          <w:color w:val="auto"/>
          <w:sz w:val="24"/>
          <w:szCs w:val="32"/>
          <w:highlight w:val="none"/>
          <w:lang w:eastAsia="zh-CN"/>
        </w:rPr>
      </w:pPr>
    </w:p>
    <w:p w14:paraId="2B5EA499">
      <w:pPr>
        <w:spacing w:line="360" w:lineRule="auto"/>
        <w:jc w:val="righ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杭州好邦建筑工程咨询有限公司</w:t>
      </w:r>
    </w:p>
    <w:p w14:paraId="531D65F2">
      <w:pPr>
        <w:spacing w:line="360" w:lineRule="auto"/>
        <w:ind w:firstLine="240" w:firstLineChars="100"/>
        <w:jc w:val="center"/>
        <w:rPr>
          <w:rFonts w:ascii="宋体" w:hAnsi="宋体" w:cs="宋体"/>
          <w:b/>
          <w:bCs/>
          <w:color w:val="auto"/>
          <w:sz w:val="36"/>
          <w:szCs w:val="44"/>
          <w:highlight w:val="none"/>
        </w:rPr>
      </w:pPr>
      <w:r>
        <w:rPr>
          <w:rFonts w:hint="eastAsia" w:ascii="宋体" w:hAnsi="宋体" w:cs="宋体"/>
          <w:color w:val="auto"/>
          <w:sz w:val="24"/>
          <w:szCs w:val="32"/>
          <w:highlight w:val="none"/>
          <w:lang w:val="en-US" w:eastAsia="zh-CN"/>
        </w:rPr>
        <w:t xml:space="preserve">                                                    2026</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04</w:t>
      </w:r>
      <w:r>
        <w:rPr>
          <w:rFonts w:hint="eastAsia" w:ascii="宋体" w:hAnsi="宋体" w:cs="宋体"/>
          <w:color w:val="auto"/>
          <w:sz w:val="24"/>
          <w:szCs w:val="32"/>
          <w:highlight w:val="none"/>
        </w:rPr>
        <w:t>月</w:t>
      </w:r>
      <w:bookmarkStart w:id="2" w:name="_Toc23118"/>
      <w:bookmarkStart w:id="3" w:name="_Toc17094"/>
    </w:p>
    <w:p w14:paraId="72D8F3AC">
      <w:pPr>
        <w:rPr>
          <w:rFonts w:ascii="宋体" w:hAnsi="宋体" w:cs="宋体"/>
          <w:b/>
          <w:bCs/>
          <w:color w:val="auto"/>
          <w:sz w:val="36"/>
          <w:szCs w:val="44"/>
          <w:highlight w:val="none"/>
        </w:rPr>
      </w:pPr>
      <w:r>
        <w:rPr>
          <w:rFonts w:hint="eastAsia" w:ascii="宋体" w:hAnsi="宋体" w:cs="宋体"/>
          <w:b/>
          <w:bCs/>
          <w:color w:val="auto"/>
          <w:sz w:val="36"/>
          <w:szCs w:val="44"/>
          <w:highlight w:val="none"/>
        </w:rPr>
        <w:br w:type="page"/>
      </w:r>
    </w:p>
    <w:p w14:paraId="170CF3DE">
      <w:pPr>
        <w:jc w:val="center"/>
        <w:rPr>
          <w:rFonts w:ascii="宋体" w:hAnsi="宋体" w:cs="宋体"/>
          <w:b/>
          <w:bCs/>
          <w:color w:val="auto"/>
          <w:sz w:val="36"/>
          <w:szCs w:val="44"/>
          <w:highlight w:val="none"/>
        </w:rPr>
      </w:pPr>
      <w:r>
        <w:rPr>
          <w:rFonts w:hint="eastAsia" w:ascii="宋体" w:hAnsi="宋体" w:cs="宋体"/>
          <w:b/>
          <w:bCs/>
          <w:color w:val="auto"/>
          <w:sz w:val="36"/>
          <w:szCs w:val="44"/>
          <w:highlight w:val="none"/>
        </w:rPr>
        <w:t>第二章 投标人须知</w:t>
      </w:r>
      <w:bookmarkEnd w:id="2"/>
      <w:bookmarkEnd w:id="3"/>
    </w:p>
    <w:p w14:paraId="47134E50">
      <w:pPr>
        <w:spacing w:line="360" w:lineRule="auto"/>
        <w:jc w:val="center"/>
        <w:outlineLvl w:val="1"/>
        <w:rPr>
          <w:rFonts w:ascii="宋体" w:hAnsi="宋体" w:cs="宋体"/>
          <w:b/>
          <w:bCs/>
          <w:color w:val="auto"/>
          <w:sz w:val="24"/>
          <w:szCs w:val="32"/>
          <w:highlight w:val="none"/>
        </w:rPr>
      </w:pPr>
      <w:bookmarkStart w:id="4" w:name="_Toc17272"/>
      <w:r>
        <w:rPr>
          <w:rFonts w:hint="eastAsia" w:ascii="宋体" w:hAnsi="宋体" w:cs="宋体"/>
          <w:b/>
          <w:bCs/>
          <w:color w:val="auto"/>
          <w:sz w:val="24"/>
          <w:szCs w:val="32"/>
          <w:highlight w:val="none"/>
        </w:rPr>
        <w:t>前附表</w:t>
      </w:r>
      <w:bookmarkEnd w:id="4"/>
    </w:p>
    <w:tbl>
      <w:tblPr>
        <w:tblStyle w:val="27"/>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11"/>
        <w:gridCol w:w="6541"/>
      </w:tblGrid>
      <w:tr w14:paraId="36B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6" w:type="dxa"/>
            <w:vAlign w:val="center"/>
          </w:tcPr>
          <w:p w14:paraId="40838825">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911" w:type="dxa"/>
            <w:vAlign w:val="center"/>
          </w:tcPr>
          <w:p w14:paraId="030BE80A">
            <w:pPr>
              <w:jc w:val="center"/>
              <w:rPr>
                <w:rFonts w:ascii="宋体" w:hAnsi="宋体" w:cs="宋体"/>
                <w:b/>
                <w:bCs/>
                <w:color w:val="auto"/>
                <w:sz w:val="24"/>
                <w:highlight w:val="none"/>
              </w:rPr>
            </w:pPr>
            <w:r>
              <w:rPr>
                <w:rFonts w:hint="eastAsia" w:ascii="宋体" w:hAnsi="宋体" w:cs="宋体"/>
                <w:b/>
                <w:bCs/>
                <w:color w:val="auto"/>
                <w:sz w:val="24"/>
                <w:highlight w:val="none"/>
              </w:rPr>
              <w:t>项    目</w:t>
            </w:r>
          </w:p>
        </w:tc>
        <w:tc>
          <w:tcPr>
            <w:tcW w:w="6541" w:type="dxa"/>
            <w:vAlign w:val="center"/>
          </w:tcPr>
          <w:p w14:paraId="3BFCF1A8">
            <w:pPr>
              <w:jc w:val="center"/>
              <w:rPr>
                <w:rFonts w:ascii="宋体" w:hAnsi="宋体" w:cs="宋体"/>
                <w:b/>
                <w:bCs/>
                <w:color w:val="auto"/>
                <w:sz w:val="24"/>
                <w:highlight w:val="none"/>
              </w:rPr>
            </w:pPr>
            <w:r>
              <w:rPr>
                <w:rFonts w:hint="eastAsia" w:ascii="宋体" w:hAnsi="宋体" w:cs="宋体"/>
                <w:b/>
                <w:bCs/>
                <w:color w:val="auto"/>
                <w:sz w:val="24"/>
                <w:highlight w:val="none"/>
              </w:rPr>
              <w:t>内                 容</w:t>
            </w:r>
          </w:p>
        </w:tc>
      </w:tr>
      <w:tr w14:paraId="682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3B61CFC9">
            <w:pPr>
              <w:jc w:val="center"/>
              <w:rPr>
                <w:rFonts w:ascii="宋体" w:hAnsi="宋体" w:cs="宋体"/>
                <w:color w:val="auto"/>
                <w:sz w:val="24"/>
                <w:highlight w:val="none"/>
              </w:rPr>
            </w:pPr>
            <w:r>
              <w:rPr>
                <w:rFonts w:hint="eastAsia" w:ascii="宋体" w:hAnsi="宋体" w:cs="宋体"/>
                <w:color w:val="auto"/>
                <w:sz w:val="24"/>
                <w:highlight w:val="none"/>
              </w:rPr>
              <w:t>1</w:t>
            </w:r>
          </w:p>
        </w:tc>
        <w:tc>
          <w:tcPr>
            <w:tcW w:w="1911" w:type="dxa"/>
            <w:vAlign w:val="center"/>
          </w:tcPr>
          <w:p w14:paraId="6E4E9F0C">
            <w:pPr>
              <w:jc w:val="center"/>
              <w:rPr>
                <w:rFonts w:ascii="宋体" w:hAnsi="宋体" w:cs="宋体"/>
                <w:color w:val="auto"/>
                <w:sz w:val="24"/>
                <w:highlight w:val="none"/>
              </w:rPr>
            </w:pPr>
            <w:r>
              <w:rPr>
                <w:rFonts w:hint="eastAsia" w:ascii="宋体" w:hAnsi="宋体" w:cs="宋体"/>
                <w:color w:val="auto"/>
                <w:sz w:val="24"/>
                <w:highlight w:val="none"/>
              </w:rPr>
              <w:t>供应商特定资格要求</w:t>
            </w:r>
          </w:p>
        </w:tc>
        <w:tc>
          <w:tcPr>
            <w:tcW w:w="6541" w:type="dxa"/>
            <w:vAlign w:val="center"/>
          </w:tcPr>
          <w:p w14:paraId="0B16949F">
            <w:pPr>
              <w:rPr>
                <w:rFonts w:ascii="宋体" w:hAnsi="宋体" w:cs="宋体"/>
                <w:color w:val="auto"/>
                <w:sz w:val="24"/>
                <w:highlight w:val="none"/>
              </w:rPr>
            </w:pPr>
            <w:r>
              <w:rPr>
                <w:rFonts w:hint="eastAsia" w:ascii="宋体" w:hAnsi="宋体" w:cs="宋体"/>
                <w:color w:val="auto"/>
                <w:sz w:val="24"/>
                <w:highlight w:val="none"/>
              </w:rPr>
              <w:t>符合招标公告资格要求的供应商。</w:t>
            </w:r>
          </w:p>
        </w:tc>
      </w:tr>
      <w:tr w14:paraId="3F8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0A0B1483">
            <w:pPr>
              <w:jc w:val="center"/>
              <w:rPr>
                <w:rFonts w:ascii="宋体" w:hAnsi="宋体" w:cs="宋体"/>
                <w:color w:val="auto"/>
                <w:sz w:val="24"/>
                <w:highlight w:val="none"/>
              </w:rPr>
            </w:pPr>
            <w:r>
              <w:rPr>
                <w:rFonts w:hint="eastAsia" w:ascii="宋体" w:hAnsi="宋体" w:cs="宋体"/>
                <w:color w:val="auto"/>
                <w:sz w:val="24"/>
                <w:highlight w:val="none"/>
              </w:rPr>
              <w:t>2</w:t>
            </w:r>
          </w:p>
        </w:tc>
        <w:tc>
          <w:tcPr>
            <w:tcW w:w="1911" w:type="dxa"/>
            <w:vAlign w:val="center"/>
          </w:tcPr>
          <w:p w14:paraId="5BEF84EB">
            <w:pPr>
              <w:jc w:val="center"/>
              <w:rPr>
                <w:rFonts w:ascii="宋体" w:hAnsi="宋体" w:cs="宋体"/>
                <w:color w:val="auto"/>
                <w:sz w:val="24"/>
                <w:highlight w:val="none"/>
              </w:rPr>
            </w:pPr>
            <w:r>
              <w:rPr>
                <w:rFonts w:hint="eastAsia" w:ascii="宋体" w:hAnsi="宋体" w:cs="宋体"/>
                <w:color w:val="auto"/>
                <w:kern w:val="0"/>
                <w:sz w:val="24"/>
                <w:highlight w:val="none"/>
              </w:rPr>
              <w:t>答疑会或</w:t>
            </w:r>
            <w:r>
              <w:rPr>
                <w:rFonts w:hint="eastAsia" w:ascii="宋体" w:hAnsi="宋体" w:cs="宋体"/>
                <w:color w:val="auto"/>
                <w:sz w:val="24"/>
                <w:highlight w:val="none"/>
              </w:rPr>
              <w:t>现场踏勘</w:t>
            </w:r>
          </w:p>
        </w:tc>
        <w:tc>
          <w:tcPr>
            <w:tcW w:w="6541" w:type="dxa"/>
            <w:vAlign w:val="center"/>
          </w:tcPr>
          <w:p w14:paraId="158CA863">
            <w:pPr>
              <w:rPr>
                <w:rFonts w:ascii="宋体" w:hAnsi="宋体" w:cs="宋体"/>
                <w:color w:val="auto"/>
                <w:sz w:val="24"/>
                <w:highlight w:val="none"/>
              </w:rPr>
            </w:pPr>
            <w:r>
              <w:rPr>
                <w:rFonts w:hint="eastAsia" w:ascii="宋体" w:hAnsi="宋体" w:cs="宋体"/>
                <w:color w:val="auto"/>
                <w:sz w:val="24"/>
                <w:highlight w:val="none"/>
              </w:rPr>
              <w:t>无。</w:t>
            </w:r>
          </w:p>
        </w:tc>
      </w:tr>
      <w:tr w14:paraId="2FD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756" w:type="dxa"/>
            <w:vAlign w:val="center"/>
          </w:tcPr>
          <w:p w14:paraId="4783F064">
            <w:pPr>
              <w:jc w:val="center"/>
              <w:rPr>
                <w:rFonts w:ascii="宋体" w:hAnsi="宋体" w:cs="宋体"/>
                <w:color w:val="auto"/>
                <w:sz w:val="24"/>
                <w:highlight w:val="none"/>
              </w:rPr>
            </w:pPr>
            <w:r>
              <w:rPr>
                <w:rFonts w:hint="eastAsia" w:ascii="宋体" w:hAnsi="宋体" w:cs="宋体"/>
                <w:color w:val="auto"/>
                <w:sz w:val="24"/>
                <w:highlight w:val="none"/>
              </w:rPr>
              <w:t>3</w:t>
            </w:r>
          </w:p>
        </w:tc>
        <w:tc>
          <w:tcPr>
            <w:tcW w:w="1911" w:type="dxa"/>
            <w:vAlign w:val="center"/>
          </w:tcPr>
          <w:p w14:paraId="05AF6CB3">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电子投标</w:t>
            </w:r>
            <w:r>
              <w:rPr>
                <w:rFonts w:hint="eastAsia" w:ascii="宋体" w:hAnsi="宋体"/>
                <w:color w:val="auto"/>
                <w:sz w:val="24"/>
                <w:highlight w:val="none"/>
              </w:rPr>
              <w:t>响应文件的传输递交</w:t>
            </w:r>
          </w:p>
        </w:tc>
        <w:tc>
          <w:tcPr>
            <w:tcW w:w="6541" w:type="dxa"/>
            <w:vAlign w:val="center"/>
          </w:tcPr>
          <w:p w14:paraId="522C8CEC">
            <w:pPr>
              <w:spacing w:line="400" w:lineRule="exact"/>
              <w:rPr>
                <w:rFonts w:ascii="宋体" w:hAnsi="宋体"/>
                <w:b/>
                <w:bCs/>
                <w:color w:val="auto"/>
                <w:sz w:val="24"/>
                <w:highlight w:val="none"/>
              </w:rPr>
            </w:pPr>
            <w:r>
              <w:rPr>
                <w:rFonts w:hint="eastAsia" w:ascii="宋体" w:hAnsi="宋体"/>
                <w:color w:val="auto"/>
                <w:sz w:val="24"/>
                <w:highlight w:val="none"/>
              </w:rPr>
              <w:t>截止时间：</w:t>
            </w:r>
            <w:r>
              <w:rPr>
                <w:rFonts w:hint="eastAsia" w:ascii="宋体" w:hAnsi="宋体" w:cs="宋体"/>
                <w:color w:val="auto"/>
                <w:sz w:val="24"/>
                <w:szCs w:val="32"/>
                <w:highlight w:val="none"/>
                <w:lang w:eastAsia="zh-CN"/>
              </w:rPr>
              <w:t>2026年05月28日 上午9:00</w:t>
            </w:r>
          </w:p>
          <w:p w14:paraId="688C5BB7">
            <w:pPr>
              <w:ind w:firstLine="480" w:firstLineChars="200"/>
              <w:rPr>
                <w:rFonts w:hint="eastAsia" w:ascii="宋体" w:cs="宋体"/>
                <w:color w:val="auto"/>
                <w:sz w:val="24"/>
                <w:highlight w:val="none"/>
              </w:rPr>
            </w:pPr>
            <w:r>
              <w:rPr>
                <w:rFonts w:hint="eastAsia" w:ascii="宋体" w:cs="宋体"/>
                <w:color w:val="auto"/>
                <w:sz w:val="24"/>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传输、递交的投标文件，将被政采云平台拒收。</w:t>
            </w:r>
          </w:p>
          <w:p w14:paraId="0EB3DB0A">
            <w:pPr>
              <w:ind w:firstLine="482" w:firstLineChars="200"/>
              <w:rPr>
                <w:color w:val="auto"/>
                <w:highlight w:val="none"/>
              </w:rPr>
            </w:pPr>
            <w:r>
              <w:rPr>
                <w:rFonts w:hint="eastAsia" w:ascii="宋体" w:hAnsi="宋体" w:eastAsia="宋体" w:cs="宋体"/>
                <w:b/>
                <w:bCs/>
                <w:color w:val="auto"/>
                <w:sz w:val="24"/>
                <w:highlight w:val="none"/>
              </w:rPr>
              <w:t>注：供应商在使用系统进行投标的过程中遇到涉及平台使用的任何问题，可致电政采云平台技术支持热线咨询，联系方式：400-881-7190。</w:t>
            </w:r>
          </w:p>
        </w:tc>
      </w:tr>
      <w:tr w14:paraId="4C4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47116EB9">
            <w:pPr>
              <w:jc w:val="center"/>
              <w:rPr>
                <w:rFonts w:ascii="宋体" w:hAnsi="宋体" w:cs="宋体"/>
                <w:color w:val="auto"/>
                <w:sz w:val="24"/>
                <w:highlight w:val="none"/>
              </w:rPr>
            </w:pPr>
            <w:r>
              <w:rPr>
                <w:rFonts w:hint="eastAsia" w:ascii="宋体" w:hAnsi="宋体" w:cs="宋体"/>
                <w:color w:val="auto"/>
                <w:sz w:val="24"/>
                <w:highlight w:val="none"/>
              </w:rPr>
              <w:t>4</w:t>
            </w:r>
          </w:p>
        </w:tc>
        <w:tc>
          <w:tcPr>
            <w:tcW w:w="1911" w:type="dxa"/>
            <w:vAlign w:val="center"/>
          </w:tcPr>
          <w:p w14:paraId="0000E77E">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541" w:type="dxa"/>
            <w:vAlign w:val="center"/>
          </w:tcPr>
          <w:p w14:paraId="3297D023">
            <w:pPr>
              <w:rPr>
                <w:rFonts w:ascii="宋体" w:hAnsi="宋体" w:cs="宋体"/>
                <w:color w:val="auto"/>
                <w:sz w:val="24"/>
                <w:highlight w:val="none"/>
              </w:rPr>
            </w:pPr>
            <w:r>
              <w:rPr>
                <w:rFonts w:hint="eastAsia" w:ascii="宋体" w:hAnsi="宋体" w:cs="宋体"/>
                <w:color w:val="auto"/>
                <w:sz w:val="24"/>
                <w:highlight w:val="none"/>
              </w:rPr>
              <w:t>投标有效期为开标后90天，</w:t>
            </w:r>
            <w:r>
              <w:rPr>
                <w:rFonts w:hint="eastAsia" w:ascii="宋体" w:hAnsi="宋体" w:cs="宋体"/>
                <w:color w:val="auto"/>
                <w:kern w:val="0"/>
                <w:sz w:val="24"/>
                <w:highlight w:val="none"/>
              </w:rPr>
              <w:t>投标有效期从提交投标文件的截止之日起算。</w:t>
            </w:r>
          </w:p>
        </w:tc>
      </w:tr>
      <w:tr w14:paraId="76AC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56" w:type="dxa"/>
            <w:vAlign w:val="center"/>
          </w:tcPr>
          <w:p w14:paraId="294AB8A5">
            <w:pPr>
              <w:jc w:val="center"/>
              <w:rPr>
                <w:rFonts w:ascii="宋体" w:hAnsi="宋体" w:cs="宋体"/>
                <w:color w:val="auto"/>
                <w:sz w:val="24"/>
                <w:highlight w:val="none"/>
              </w:rPr>
            </w:pPr>
            <w:r>
              <w:rPr>
                <w:rFonts w:hint="eastAsia" w:ascii="宋体" w:hAnsi="宋体" w:cs="宋体"/>
                <w:color w:val="auto"/>
                <w:sz w:val="24"/>
                <w:highlight w:val="none"/>
              </w:rPr>
              <w:t>5</w:t>
            </w:r>
          </w:p>
        </w:tc>
        <w:tc>
          <w:tcPr>
            <w:tcW w:w="1911" w:type="dxa"/>
            <w:vAlign w:val="center"/>
          </w:tcPr>
          <w:p w14:paraId="5BE1F8AD">
            <w:pPr>
              <w:jc w:val="center"/>
              <w:rPr>
                <w:rFonts w:ascii="宋体" w:hAnsi="宋体" w:cs="宋体"/>
                <w:color w:val="auto"/>
                <w:sz w:val="24"/>
                <w:highlight w:val="none"/>
              </w:rPr>
            </w:pPr>
            <w:r>
              <w:rPr>
                <w:rFonts w:hint="eastAsia" w:ascii="宋体" w:hAnsi="宋体" w:cs="宋体"/>
                <w:color w:val="auto"/>
                <w:sz w:val="24"/>
                <w:highlight w:val="none"/>
              </w:rPr>
              <w:t>电子投标响应文件解密时间</w:t>
            </w:r>
          </w:p>
        </w:tc>
        <w:tc>
          <w:tcPr>
            <w:tcW w:w="6541" w:type="dxa"/>
            <w:vAlign w:val="center"/>
          </w:tcPr>
          <w:p w14:paraId="5F08DE1D">
            <w:pPr>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szCs w:val="32"/>
                <w:highlight w:val="none"/>
                <w:lang w:eastAsia="zh-CN"/>
              </w:rPr>
              <w:t>2026年05月28日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32"/>
                <w:highlight w:val="none"/>
                <w:lang w:eastAsia="zh-CN"/>
              </w:rPr>
              <w:t>上午9:00</w:t>
            </w:r>
          </w:p>
        </w:tc>
      </w:tr>
      <w:tr w14:paraId="4791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56" w:type="dxa"/>
            <w:vAlign w:val="center"/>
          </w:tcPr>
          <w:p w14:paraId="4AB11E8B">
            <w:pPr>
              <w:jc w:val="center"/>
              <w:rPr>
                <w:rFonts w:ascii="宋体" w:hAnsi="宋体" w:cs="宋体"/>
                <w:color w:val="auto"/>
                <w:sz w:val="24"/>
                <w:highlight w:val="none"/>
              </w:rPr>
            </w:pPr>
            <w:r>
              <w:rPr>
                <w:rFonts w:hint="eastAsia" w:ascii="宋体" w:hAnsi="宋体" w:cs="宋体"/>
                <w:color w:val="auto"/>
                <w:sz w:val="24"/>
                <w:highlight w:val="none"/>
              </w:rPr>
              <w:t>6</w:t>
            </w:r>
          </w:p>
        </w:tc>
        <w:tc>
          <w:tcPr>
            <w:tcW w:w="1911" w:type="dxa"/>
            <w:vAlign w:val="center"/>
          </w:tcPr>
          <w:p w14:paraId="00D22C1C">
            <w:pPr>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541" w:type="dxa"/>
            <w:vAlign w:val="center"/>
          </w:tcPr>
          <w:p w14:paraId="2527C91C">
            <w:pPr>
              <w:jc w:val="left"/>
              <w:rPr>
                <w:rFonts w:ascii="宋体" w:hAnsi="宋体" w:cs="宋体"/>
                <w:color w:val="auto"/>
                <w:sz w:val="24"/>
                <w:highlight w:val="none"/>
              </w:rPr>
            </w:pPr>
            <w:r>
              <w:rPr>
                <w:rFonts w:hint="eastAsia" w:ascii="宋体" w:hAnsi="宋体" w:cs="宋体"/>
                <w:color w:val="auto"/>
                <w:sz w:val="24"/>
                <w:highlight w:val="none"/>
              </w:rPr>
              <w:t>无</w:t>
            </w:r>
          </w:p>
        </w:tc>
      </w:tr>
      <w:tr w14:paraId="6D27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6" w:type="dxa"/>
            <w:vAlign w:val="center"/>
          </w:tcPr>
          <w:p w14:paraId="3E7ACE6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911" w:type="dxa"/>
            <w:shd w:val="clear" w:color="auto" w:fill="auto"/>
            <w:vAlign w:val="center"/>
          </w:tcPr>
          <w:p w14:paraId="247F7301">
            <w:pPr>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541" w:type="dxa"/>
            <w:shd w:val="clear" w:color="auto" w:fill="auto"/>
            <w:vAlign w:val="center"/>
          </w:tcPr>
          <w:p w14:paraId="3AD77B28">
            <w:pPr>
              <w:pStyle w:val="14"/>
              <w:ind w:left="0" w:leftChars="0"/>
              <w:rPr>
                <w:rFonts w:ascii="宋体" w:hAnsi="宋体" w:eastAsia="宋体" w:cs="宋体"/>
                <w:color w:val="auto"/>
                <w:sz w:val="24"/>
                <w:highlight w:val="none"/>
              </w:rPr>
            </w:pPr>
            <w:r>
              <w:rPr>
                <w:rFonts w:hint="eastAsia" w:ascii="宋体" w:hAnsi="宋体" w:eastAsia="宋体" w:cs="宋体"/>
                <w:color w:val="auto"/>
                <w:sz w:val="24"/>
                <w:highlight w:val="none"/>
              </w:rPr>
              <w:t>无</w:t>
            </w:r>
          </w:p>
        </w:tc>
      </w:tr>
      <w:tr w14:paraId="0902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5DD2ADC0">
            <w:pPr>
              <w:jc w:val="center"/>
              <w:rPr>
                <w:rFonts w:ascii="宋体" w:hAnsi="宋体" w:cs="宋体"/>
                <w:color w:val="auto"/>
                <w:sz w:val="24"/>
                <w:highlight w:val="none"/>
              </w:rPr>
            </w:pPr>
            <w:r>
              <w:rPr>
                <w:rFonts w:hint="eastAsia" w:ascii="宋体" w:hAnsi="宋体" w:cs="宋体"/>
                <w:color w:val="auto"/>
                <w:sz w:val="24"/>
                <w:highlight w:val="none"/>
              </w:rPr>
              <w:t>8</w:t>
            </w:r>
          </w:p>
        </w:tc>
        <w:tc>
          <w:tcPr>
            <w:tcW w:w="1911" w:type="dxa"/>
            <w:shd w:val="clear" w:color="auto" w:fill="auto"/>
            <w:vAlign w:val="center"/>
          </w:tcPr>
          <w:p w14:paraId="62C2268B">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lang w:val="zh-CN"/>
              </w:rPr>
              <w:t>实质性条款</w:t>
            </w:r>
          </w:p>
        </w:tc>
        <w:tc>
          <w:tcPr>
            <w:tcW w:w="6541" w:type="dxa"/>
            <w:shd w:val="clear" w:color="auto" w:fill="auto"/>
            <w:vAlign w:val="center"/>
          </w:tcPr>
          <w:p w14:paraId="3D6FCC0C">
            <w:pPr>
              <w:rPr>
                <w:rFonts w:ascii="宋体" w:hAnsi="宋体" w:cs="宋体"/>
                <w:color w:val="auto"/>
                <w:sz w:val="24"/>
                <w:highlight w:val="none"/>
              </w:rPr>
            </w:pPr>
            <w:r>
              <w:rPr>
                <w:rFonts w:hint="eastAsia" w:ascii="宋体" w:hAnsi="宋体" w:cs="宋体"/>
                <w:color w:val="auto"/>
                <w:sz w:val="24"/>
                <w:highlight w:val="none"/>
                <w:lang w:val="zh-CN"/>
              </w:rPr>
              <w:t>带“</w:t>
            </w:r>
            <w:r>
              <w:rPr>
                <w:rFonts w:hint="eastAsia" w:ascii="宋体" w:hAnsi="宋体" w:cs="宋体"/>
                <w:color w:val="auto"/>
                <w:sz w:val="24"/>
                <w:highlight w:val="none"/>
              </w:rPr>
              <w:t>▲”的条款是实质性条款，投标文件须作出实质性响应，否则作无效投标处理。</w:t>
            </w:r>
          </w:p>
        </w:tc>
      </w:tr>
      <w:tr w14:paraId="216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6" w:type="dxa"/>
            <w:vAlign w:val="center"/>
          </w:tcPr>
          <w:p w14:paraId="344D109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911" w:type="dxa"/>
            <w:shd w:val="clear" w:color="auto" w:fill="auto"/>
            <w:vAlign w:val="center"/>
          </w:tcPr>
          <w:p w14:paraId="5E328D0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样品</w:t>
            </w:r>
          </w:p>
        </w:tc>
        <w:tc>
          <w:tcPr>
            <w:tcW w:w="6541" w:type="dxa"/>
            <w:shd w:val="clear" w:color="auto" w:fill="auto"/>
            <w:vAlign w:val="center"/>
          </w:tcPr>
          <w:p w14:paraId="3EA00D47">
            <w:pPr>
              <w:rPr>
                <w:rFonts w:hint="eastAsia" w:ascii="宋体" w:hAnsi="宋体" w:eastAsia="宋体" w:cs="宋体"/>
                <w:color w:val="auto"/>
                <w:sz w:val="24"/>
                <w:highlight w:val="none"/>
              </w:rPr>
            </w:pPr>
            <w:r>
              <w:rPr>
                <w:rFonts w:hint="eastAsia" w:ascii="宋体" w:hAnsi="宋体" w:eastAsia="宋体" w:cs="宋体"/>
                <w:color w:val="auto"/>
                <w:sz w:val="24"/>
                <w:highlight w:val="none"/>
              </w:rPr>
              <w:t>（1）有，投标样品标明投标公司名称。</w:t>
            </w:r>
          </w:p>
          <w:p w14:paraId="71D0184E">
            <w:pPr>
              <w:rPr>
                <w:rFonts w:hint="eastAsia" w:ascii="宋体" w:hAnsi="宋体" w:eastAsia="宋体" w:cs="宋体"/>
                <w:color w:val="auto"/>
                <w:sz w:val="24"/>
                <w:highlight w:val="none"/>
              </w:rPr>
            </w:pPr>
            <w:r>
              <w:rPr>
                <w:rFonts w:hint="eastAsia" w:ascii="宋体" w:hAnsi="宋体" w:eastAsia="宋体" w:cs="宋体"/>
                <w:color w:val="auto"/>
                <w:sz w:val="24"/>
                <w:highlight w:val="none"/>
              </w:rPr>
              <w:t>（2）样品的递交地点：浙江省台州市椒江区市府大道777号民泰大楼西门一楼大厅。</w:t>
            </w:r>
          </w:p>
          <w:p w14:paraId="37104E6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递交时间：请各位供应商在开标截止时间之前完成样品的摆放和安装。 </w:t>
            </w:r>
          </w:p>
          <w:p w14:paraId="24CF9E52">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联系人：王丽洁</w:t>
            </w:r>
          </w:p>
          <w:p w14:paraId="499CF29D">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联系方式：13566883369</w:t>
            </w:r>
          </w:p>
          <w:p w14:paraId="449B69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（3）未中标人样品的退还处理方式：由供应商在规定期限内自行处理。</w:t>
            </w:r>
          </w:p>
          <w:p w14:paraId="03B98932">
            <w:pPr>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（4）中标人的样品应当由招标人进行保管 、封存，作为履约验收的参考。</w:t>
            </w:r>
          </w:p>
          <w:p w14:paraId="62727CC0">
            <w:pPr>
              <w:rPr>
                <w:rFonts w:ascii="宋体" w:hAnsi="宋体" w:cs="宋体"/>
                <w:color w:val="auto"/>
                <w:sz w:val="24"/>
                <w:highlight w:val="none"/>
              </w:rPr>
            </w:pPr>
            <w:r>
              <w:rPr>
                <w:rFonts w:hint="eastAsia" w:ascii="宋体" w:hAnsi="宋体" w:eastAsia="宋体" w:cs="宋体"/>
                <w:color w:val="auto"/>
                <w:sz w:val="24"/>
                <w:highlight w:val="none"/>
              </w:rPr>
              <w:t>（5）样品清单：详见采购需求。</w:t>
            </w:r>
          </w:p>
        </w:tc>
      </w:tr>
      <w:tr w14:paraId="4DD1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6" w:type="dxa"/>
            <w:vAlign w:val="center"/>
          </w:tcPr>
          <w:p w14:paraId="23DA247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11" w:type="dxa"/>
            <w:shd w:val="clear" w:color="auto" w:fill="auto"/>
            <w:vAlign w:val="center"/>
          </w:tcPr>
          <w:p w14:paraId="2EB7ED8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演示</w:t>
            </w:r>
          </w:p>
        </w:tc>
        <w:tc>
          <w:tcPr>
            <w:tcW w:w="6541" w:type="dxa"/>
            <w:shd w:val="clear" w:color="auto" w:fill="auto"/>
            <w:vAlign w:val="center"/>
          </w:tcPr>
          <w:p w14:paraId="398B276D">
            <w:pPr>
              <w:rPr>
                <w:rFonts w:ascii="宋体" w:hAnsi="宋体" w:cs="宋体"/>
                <w:color w:val="auto"/>
                <w:sz w:val="24"/>
                <w:highlight w:val="none"/>
              </w:rPr>
            </w:pPr>
            <w:r>
              <w:rPr>
                <w:rFonts w:hint="eastAsia" w:ascii="宋体" w:hAnsi="宋体" w:cs="宋体"/>
                <w:color w:val="auto"/>
                <w:sz w:val="24"/>
                <w:highlight w:val="none"/>
              </w:rPr>
              <w:t>无。</w:t>
            </w:r>
          </w:p>
        </w:tc>
      </w:tr>
      <w:tr w14:paraId="4D8C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0AE2CFD">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14:paraId="0F1711A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节能环保</w:t>
            </w:r>
          </w:p>
        </w:tc>
        <w:tc>
          <w:tcPr>
            <w:tcW w:w="6541" w:type="dxa"/>
            <w:tcBorders>
              <w:top w:val="single" w:color="auto" w:sz="4" w:space="0"/>
              <w:left w:val="single" w:color="auto" w:sz="4" w:space="0"/>
              <w:bottom w:val="single" w:color="auto" w:sz="4" w:space="0"/>
              <w:right w:val="single" w:color="auto" w:sz="4" w:space="0"/>
            </w:tcBorders>
            <w:shd w:val="clear" w:color="auto" w:fill="auto"/>
            <w:vAlign w:val="center"/>
          </w:tcPr>
          <w:p w14:paraId="018E76C1">
            <w:pPr>
              <w:rPr>
                <w:rFonts w:ascii="宋体" w:hAnsi="宋体" w:cs="宋体"/>
                <w:color w:val="auto"/>
                <w:sz w:val="24"/>
                <w:highlight w:val="none"/>
              </w:rPr>
            </w:pPr>
            <w:r>
              <w:rPr>
                <w:rFonts w:hint="eastAsia" w:ascii="宋体" w:hAnsi="宋体" w:cs="宋体"/>
                <w:color w:val="auto"/>
                <w:sz w:val="24"/>
                <w:highlight w:val="none"/>
              </w:rPr>
              <w:t>符合国家相关法律规定。</w:t>
            </w:r>
          </w:p>
        </w:tc>
      </w:tr>
      <w:tr w14:paraId="0DF2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0BB0D03">
            <w:pPr>
              <w:jc w:val="center"/>
              <w:rPr>
                <w:rFonts w:ascii="宋体" w:hAnsi="宋体" w:cs="宋体"/>
                <w:color w:val="auto"/>
                <w:sz w:val="24"/>
                <w:highlight w:val="none"/>
              </w:rPr>
            </w:pPr>
            <w:r>
              <w:rPr>
                <w:rFonts w:hint="eastAsia" w:ascii="宋体" w:hAnsi="宋体" w:cs="宋体"/>
                <w:color w:val="auto"/>
                <w:sz w:val="24"/>
                <w:highlight w:val="none"/>
              </w:rPr>
              <w:t>12</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14:paraId="1C4632D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是否专门面向中小微企业采购</w:t>
            </w:r>
          </w:p>
        </w:tc>
        <w:tc>
          <w:tcPr>
            <w:tcW w:w="6541" w:type="dxa"/>
            <w:tcBorders>
              <w:top w:val="single" w:color="auto" w:sz="4" w:space="0"/>
              <w:left w:val="single" w:color="auto" w:sz="4" w:space="0"/>
              <w:bottom w:val="single" w:color="auto" w:sz="4" w:space="0"/>
              <w:right w:val="single" w:color="auto" w:sz="4" w:space="0"/>
            </w:tcBorders>
            <w:shd w:val="clear" w:color="auto" w:fill="auto"/>
            <w:vAlign w:val="center"/>
          </w:tcPr>
          <w:p w14:paraId="020765D7">
            <w:pPr>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是</w:t>
            </w:r>
            <w:r>
              <w:rPr>
                <w:rFonts w:ascii="宋体" w:hAnsi="宋体" w:cs="宋体"/>
                <w:color w:val="auto"/>
                <w:sz w:val="24"/>
                <w:highlight w:val="none"/>
              </w:rPr>
              <w:t xml:space="preserve"> </w:t>
            </w:r>
          </w:p>
          <w:p w14:paraId="4002EF80">
            <w:pPr>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tc>
      </w:tr>
      <w:tr w14:paraId="364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B15EE4A">
            <w:pPr>
              <w:jc w:val="center"/>
              <w:rPr>
                <w:rFonts w:ascii="宋体" w:hAnsi="宋体" w:cs="宋体"/>
                <w:color w:val="auto"/>
                <w:sz w:val="24"/>
                <w:highlight w:val="none"/>
              </w:rPr>
            </w:pPr>
            <w:r>
              <w:rPr>
                <w:rFonts w:hint="eastAsia" w:ascii="宋体" w:hAnsi="宋体" w:cs="宋体"/>
                <w:color w:val="auto"/>
                <w:sz w:val="24"/>
                <w:highlight w:val="none"/>
              </w:rPr>
              <w:t>13</w:t>
            </w:r>
          </w:p>
        </w:tc>
        <w:tc>
          <w:tcPr>
            <w:tcW w:w="1911" w:type="dxa"/>
            <w:tcBorders>
              <w:top w:val="single" w:color="auto" w:sz="4" w:space="0"/>
              <w:left w:val="single" w:color="auto" w:sz="4" w:space="0"/>
              <w:bottom w:val="single" w:color="auto" w:sz="4" w:space="0"/>
              <w:right w:val="single" w:color="auto" w:sz="4" w:space="0"/>
            </w:tcBorders>
            <w:vAlign w:val="center"/>
          </w:tcPr>
          <w:p w14:paraId="44A38AC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中小企业划型标准所属行业</w:t>
            </w:r>
          </w:p>
        </w:tc>
        <w:tc>
          <w:tcPr>
            <w:tcW w:w="6541" w:type="dxa"/>
            <w:tcBorders>
              <w:top w:val="single" w:color="auto" w:sz="4" w:space="0"/>
              <w:left w:val="single" w:color="auto" w:sz="4" w:space="0"/>
              <w:bottom w:val="single" w:color="auto" w:sz="4" w:space="0"/>
              <w:right w:val="single" w:color="auto" w:sz="4" w:space="0"/>
            </w:tcBorders>
            <w:vAlign w:val="center"/>
          </w:tcPr>
          <w:p w14:paraId="540E43F1">
            <w:pPr>
              <w:spacing w:line="400" w:lineRule="exact"/>
              <w:rPr>
                <w:rFonts w:ascii="宋体" w:hAnsi="宋体" w:cs="宋体"/>
                <w:color w:val="auto"/>
                <w:sz w:val="24"/>
                <w:highlight w:val="none"/>
              </w:rPr>
            </w:pPr>
            <w:r>
              <w:rPr>
                <w:rFonts w:hint="eastAsia" w:ascii="宋体" w:hAnsi="宋体" w:cs="宋体"/>
                <w:color w:val="auto"/>
                <w:sz w:val="24"/>
                <w:highlight w:val="none"/>
              </w:rPr>
              <w:t>所属行业：工业-制造业。</w:t>
            </w:r>
          </w:p>
        </w:tc>
      </w:tr>
      <w:tr w14:paraId="0EB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F87D81B">
            <w:pPr>
              <w:jc w:val="center"/>
              <w:rPr>
                <w:rFonts w:ascii="宋体" w:hAnsi="宋体" w:cs="宋体"/>
                <w:color w:val="auto"/>
                <w:sz w:val="24"/>
                <w:highlight w:val="none"/>
              </w:rPr>
            </w:pPr>
            <w:bookmarkStart w:id="5" w:name="_Toc7832"/>
            <w:r>
              <w:rPr>
                <w:rFonts w:hint="eastAsia" w:ascii="宋体" w:hAnsi="宋体" w:cs="宋体"/>
                <w:color w:val="auto"/>
                <w:sz w:val="24"/>
                <w:highlight w:val="none"/>
              </w:rPr>
              <w:t>14</w:t>
            </w:r>
          </w:p>
        </w:tc>
        <w:tc>
          <w:tcPr>
            <w:tcW w:w="1911" w:type="dxa"/>
            <w:tcBorders>
              <w:top w:val="single" w:color="auto" w:sz="4" w:space="0"/>
              <w:left w:val="single" w:color="auto" w:sz="4" w:space="0"/>
              <w:bottom w:val="single" w:color="auto" w:sz="4" w:space="0"/>
              <w:right w:val="single" w:color="auto" w:sz="4" w:space="0"/>
            </w:tcBorders>
            <w:vAlign w:val="center"/>
          </w:tcPr>
          <w:p w14:paraId="20E9CC8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解释权</w:t>
            </w:r>
          </w:p>
        </w:tc>
        <w:tc>
          <w:tcPr>
            <w:tcW w:w="6541" w:type="dxa"/>
            <w:tcBorders>
              <w:top w:val="single" w:color="auto" w:sz="4" w:space="0"/>
              <w:left w:val="single" w:color="auto" w:sz="4" w:space="0"/>
              <w:bottom w:val="single" w:color="auto" w:sz="4" w:space="0"/>
              <w:right w:val="single" w:color="auto" w:sz="4" w:space="0"/>
            </w:tcBorders>
            <w:vAlign w:val="center"/>
          </w:tcPr>
          <w:p w14:paraId="3F548318">
            <w:pPr>
              <w:spacing w:line="400" w:lineRule="exact"/>
              <w:rPr>
                <w:rFonts w:ascii="宋体" w:hAnsi="宋体" w:cs="宋体"/>
                <w:color w:val="auto"/>
                <w:sz w:val="24"/>
                <w:highlight w:val="none"/>
              </w:rPr>
            </w:pPr>
            <w:r>
              <w:rPr>
                <w:rFonts w:hint="eastAsia" w:ascii="宋体" w:hAnsi="宋体" w:cs="宋体"/>
                <w:color w:val="auto"/>
                <w:sz w:val="24"/>
                <w:highlight w:val="none"/>
              </w:rPr>
              <w:t>本招标文件解释权属于采购人。</w:t>
            </w:r>
          </w:p>
        </w:tc>
      </w:tr>
      <w:tr w14:paraId="5C58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A36BCAD">
            <w:pPr>
              <w:jc w:val="center"/>
              <w:rPr>
                <w:rFonts w:ascii="宋体" w:hAnsi="宋体" w:cs="宋体"/>
                <w:color w:val="auto"/>
                <w:sz w:val="24"/>
                <w:highlight w:val="none"/>
              </w:rPr>
            </w:pPr>
            <w:r>
              <w:rPr>
                <w:rFonts w:hint="eastAsia" w:ascii="宋体" w:hAnsi="宋体" w:cs="宋体"/>
                <w:color w:val="auto"/>
                <w:sz w:val="24"/>
                <w:highlight w:val="none"/>
              </w:rPr>
              <w:t>15</w:t>
            </w:r>
          </w:p>
        </w:tc>
        <w:tc>
          <w:tcPr>
            <w:tcW w:w="1911" w:type="dxa"/>
            <w:tcBorders>
              <w:top w:val="single" w:color="auto" w:sz="4" w:space="0"/>
              <w:left w:val="single" w:color="auto" w:sz="4" w:space="0"/>
              <w:bottom w:val="single" w:color="auto" w:sz="4" w:space="0"/>
              <w:right w:val="single" w:color="auto" w:sz="4" w:space="0"/>
            </w:tcBorders>
            <w:vAlign w:val="center"/>
          </w:tcPr>
          <w:p w14:paraId="05839C8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w:t>
            </w:r>
          </w:p>
        </w:tc>
        <w:tc>
          <w:tcPr>
            <w:tcW w:w="6541" w:type="dxa"/>
            <w:tcBorders>
              <w:top w:val="single" w:color="auto" w:sz="4" w:space="0"/>
              <w:left w:val="single" w:color="auto" w:sz="4" w:space="0"/>
              <w:bottom w:val="single" w:color="auto" w:sz="4" w:space="0"/>
              <w:right w:val="single" w:color="auto" w:sz="4" w:space="0"/>
            </w:tcBorders>
            <w:vAlign w:val="center"/>
          </w:tcPr>
          <w:p w14:paraId="172E3D53">
            <w:pPr>
              <w:spacing w:line="360" w:lineRule="auto"/>
              <w:rPr>
                <w:rFonts w:ascii="宋体" w:hAnsi="宋体" w:cs="宋体"/>
                <w:color w:val="auto"/>
                <w:sz w:val="24"/>
                <w:highlight w:val="none"/>
              </w:rPr>
            </w:pPr>
            <w:r>
              <w:rPr>
                <w:rFonts w:hint="eastAsia" w:ascii="宋体" w:hAnsi="宋体" w:cs="宋体"/>
                <w:color w:val="auto"/>
                <w:sz w:val="24"/>
                <w:highlight w:val="none"/>
              </w:rPr>
              <w:t>1、各供应商自行在浙江政府采购网下载或查阅采购文件和相关更正公告等，不另行通知，如有遗漏采购人、采购代理机构概不负责。</w:t>
            </w:r>
          </w:p>
          <w:p w14:paraId="2FFC120C">
            <w:pPr>
              <w:spacing w:line="360" w:lineRule="auto"/>
              <w:rPr>
                <w:rFonts w:ascii="宋体" w:hAnsi="宋体" w:cs="宋体"/>
                <w:color w:val="auto"/>
                <w:sz w:val="24"/>
                <w:highlight w:val="none"/>
              </w:rPr>
            </w:pPr>
            <w:r>
              <w:rPr>
                <w:rFonts w:hint="eastAsia" w:ascii="宋体" w:hAnsi="宋体" w:cs="宋体"/>
                <w:color w:val="auto"/>
                <w:sz w:val="24"/>
                <w:highlight w:val="none"/>
              </w:rPr>
              <w:t>2、两家或两家以上供应商提供的投标文件出自同一终端设备的，或在相同Internet主机分配地址（相同IP地址）报名或网上投标的，后果由供应商自行承担。</w:t>
            </w:r>
          </w:p>
          <w:p w14:paraId="66DAFDFA">
            <w:pPr>
              <w:spacing w:line="360" w:lineRule="auto"/>
              <w:rPr>
                <w:rFonts w:ascii="宋体" w:hAnsi="宋体" w:cs="宋体"/>
                <w:color w:val="auto"/>
                <w:sz w:val="24"/>
                <w:highlight w:val="none"/>
              </w:rPr>
            </w:pPr>
            <w:r>
              <w:rPr>
                <w:rFonts w:hint="eastAsia" w:ascii="宋体" w:hAnsi="宋体" w:cs="宋体"/>
                <w:color w:val="auto"/>
                <w:sz w:val="24"/>
                <w:highlight w:val="none"/>
              </w:rPr>
              <w:t>3、开标时间后30分钟内供应商须携带CA自备电脑登录“政采云”平台，用“项目采购-开标评标”功能解密投标文件，投标人未按时解密或解密失败的，其上传的电子投标文件自动失效。</w:t>
            </w:r>
          </w:p>
        </w:tc>
      </w:tr>
    </w:tbl>
    <w:p w14:paraId="7EC01524">
      <w:pPr>
        <w:spacing w:line="360" w:lineRule="auto"/>
        <w:outlineLvl w:val="1"/>
        <w:rPr>
          <w:rFonts w:ascii="宋体" w:hAnsi="宋体" w:cs="宋体"/>
          <w:b/>
          <w:bCs/>
          <w:color w:val="auto"/>
          <w:sz w:val="24"/>
          <w:szCs w:val="32"/>
          <w:highlight w:val="none"/>
        </w:rPr>
      </w:pPr>
      <w:r>
        <w:rPr>
          <w:rFonts w:hint="eastAsia" w:ascii="宋体" w:hAnsi="宋体" w:cs="宋体"/>
          <w:b/>
          <w:bCs/>
          <w:color w:val="auto"/>
          <w:sz w:val="24"/>
          <w:szCs w:val="32"/>
          <w:highlight w:val="none"/>
        </w:rPr>
        <w:t>一 、总  则</w:t>
      </w:r>
      <w:bookmarkEnd w:id="5"/>
    </w:p>
    <w:p w14:paraId="1D5A1FF3">
      <w:pPr>
        <w:spacing w:line="360" w:lineRule="auto"/>
        <w:ind w:firstLine="482" w:firstLineChars="200"/>
        <w:outlineLvl w:val="2"/>
        <w:rPr>
          <w:rFonts w:ascii="宋体" w:hAnsi="宋体" w:cs="宋体"/>
          <w:b/>
          <w:bCs/>
          <w:color w:val="auto"/>
          <w:sz w:val="24"/>
          <w:szCs w:val="32"/>
          <w:highlight w:val="none"/>
        </w:rPr>
      </w:pPr>
      <w:bookmarkStart w:id="6" w:name="_Toc12047"/>
      <w:r>
        <w:rPr>
          <w:rFonts w:hint="eastAsia" w:ascii="宋体" w:hAnsi="宋体" w:cs="宋体"/>
          <w:b/>
          <w:bCs/>
          <w:color w:val="auto"/>
          <w:sz w:val="24"/>
          <w:szCs w:val="32"/>
          <w:highlight w:val="none"/>
        </w:rPr>
        <w:t>（一） 适用范围</w:t>
      </w:r>
      <w:bookmarkEnd w:id="6"/>
    </w:p>
    <w:p w14:paraId="67A92A5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本招标文件适用于本次项目的招标、投标、评标、定标、验收、合同履约、付款等行为（法律、法规另有规定的，从其规定）。</w:t>
      </w:r>
    </w:p>
    <w:p w14:paraId="01944FF7">
      <w:pPr>
        <w:spacing w:line="360" w:lineRule="auto"/>
        <w:ind w:firstLine="482" w:firstLineChars="200"/>
        <w:outlineLvl w:val="2"/>
        <w:rPr>
          <w:rFonts w:ascii="宋体" w:hAnsi="宋体" w:cs="宋体"/>
          <w:b/>
          <w:bCs/>
          <w:color w:val="auto"/>
          <w:sz w:val="24"/>
          <w:szCs w:val="32"/>
          <w:highlight w:val="none"/>
        </w:rPr>
      </w:pPr>
      <w:bookmarkStart w:id="7" w:name="_Toc10006"/>
      <w:r>
        <w:rPr>
          <w:rFonts w:hint="eastAsia" w:ascii="宋体" w:hAnsi="宋体" w:cs="宋体"/>
          <w:b/>
          <w:bCs/>
          <w:color w:val="auto"/>
          <w:sz w:val="24"/>
          <w:szCs w:val="32"/>
          <w:highlight w:val="none"/>
        </w:rPr>
        <w:t>（二）定义</w:t>
      </w:r>
      <w:bookmarkEnd w:id="7"/>
    </w:p>
    <w:p w14:paraId="6DBBD06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zh-CN"/>
        </w:rPr>
        <w:t>“采购组织机构”指采购人委托组织招标的采购代理机构。</w:t>
      </w:r>
    </w:p>
    <w:p w14:paraId="67E4E25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2、采购人：是指委托采购代理机构采购本次项目的国家机关、事业单位和团体组织。</w:t>
      </w:r>
    </w:p>
    <w:p w14:paraId="1A5B291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3、投标人：是指向采购</w:t>
      </w:r>
      <w:r>
        <w:rPr>
          <w:rFonts w:hint="eastAsia" w:ascii="宋体" w:hAnsi="宋体" w:cs="宋体"/>
          <w:color w:val="auto"/>
          <w:sz w:val="24"/>
          <w:szCs w:val="32"/>
          <w:highlight w:val="none"/>
          <w:lang w:val="zh-CN"/>
        </w:rPr>
        <w:t>组织</w:t>
      </w:r>
      <w:r>
        <w:rPr>
          <w:rFonts w:hint="eastAsia" w:ascii="宋体" w:hAnsi="宋体" w:cs="宋体"/>
          <w:color w:val="auto"/>
          <w:sz w:val="24"/>
          <w:szCs w:val="32"/>
          <w:highlight w:val="none"/>
        </w:rPr>
        <w:t>机构提交投标文件的单位或个人。</w:t>
      </w:r>
    </w:p>
    <w:p w14:paraId="4B9384C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4、货物：是指各种形态和种类的物品，包括原材料、燃料、设备、产品等。</w:t>
      </w:r>
    </w:p>
    <w:p w14:paraId="0231AE7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5、服务：是指除货物和工程以外的政府采购对象，包括各类专业服务、信息网络开发服务、金融保险服务、运输服务，以及维修与维护服务等。</w:t>
      </w:r>
    </w:p>
    <w:p w14:paraId="5C2E9A9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6、“书面形式”包括信函、传真等。</w:t>
      </w:r>
    </w:p>
    <w:p w14:paraId="17C54E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7、“▲”系指实质性要求条款。</w:t>
      </w:r>
    </w:p>
    <w:p w14:paraId="4BED9084">
      <w:pPr>
        <w:spacing w:line="360" w:lineRule="auto"/>
        <w:ind w:firstLine="482" w:firstLineChars="200"/>
        <w:outlineLvl w:val="2"/>
        <w:rPr>
          <w:rFonts w:ascii="宋体" w:hAnsi="宋体" w:cs="宋体"/>
          <w:b/>
          <w:bCs/>
          <w:color w:val="auto"/>
          <w:sz w:val="24"/>
          <w:szCs w:val="32"/>
          <w:highlight w:val="none"/>
        </w:rPr>
      </w:pPr>
      <w:bookmarkStart w:id="8" w:name="_Toc21998"/>
      <w:r>
        <w:rPr>
          <w:rFonts w:hint="eastAsia" w:ascii="宋体" w:hAnsi="宋体" w:cs="宋体"/>
          <w:b/>
          <w:bCs/>
          <w:color w:val="auto"/>
          <w:sz w:val="24"/>
          <w:szCs w:val="32"/>
          <w:highlight w:val="none"/>
        </w:rPr>
        <w:t>（三）投标费用</w:t>
      </w:r>
      <w:bookmarkEnd w:id="8"/>
    </w:p>
    <w:p w14:paraId="5A05BFC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不论投标结果如何，投标人均应自行承担所有与投标有关的全部费用（招标文件有相关规定除外）。</w:t>
      </w:r>
    </w:p>
    <w:p w14:paraId="3E869EAB">
      <w:pPr>
        <w:spacing w:line="360" w:lineRule="auto"/>
        <w:ind w:firstLine="482" w:firstLineChars="200"/>
        <w:outlineLvl w:val="2"/>
        <w:rPr>
          <w:rFonts w:ascii="宋体" w:hAnsi="宋体" w:cs="宋体"/>
          <w:b/>
          <w:bCs/>
          <w:color w:val="auto"/>
          <w:sz w:val="24"/>
          <w:szCs w:val="32"/>
          <w:highlight w:val="none"/>
        </w:rPr>
      </w:pPr>
      <w:bookmarkStart w:id="9" w:name="_Toc2827"/>
      <w:r>
        <w:rPr>
          <w:rFonts w:hint="eastAsia" w:ascii="宋体" w:hAnsi="宋体" w:cs="宋体"/>
          <w:b/>
          <w:bCs/>
          <w:color w:val="auto"/>
          <w:sz w:val="24"/>
          <w:szCs w:val="32"/>
          <w:highlight w:val="none"/>
        </w:rPr>
        <w:t>（四）特别说明</w:t>
      </w:r>
      <w:bookmarkEnd w:id="9"/>
    </w:p>
    <w:p w14:paraId="5F4FE725">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1、投标人投标所使用的资格、信誉、荣誉、业绩与企业认证必须为本法人所拥有。投标人投标所使用的采购项目实施人员必须为本法人员工（指本法人或控股公司正式员工）。</w:t>
      </w:r>
    </w:p>
    <w:p w14:paraId="0B8C7BCD">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2、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人所投产品、投标文件技术参数与招标需求存在重大偏离、错误</w:t>
      </w:r>
      <w:r>
        <w:rPr>
          <w:rFonts w:hint="eastAsia" w:ascii="宋体" w:hAnsi="宋体" w:cs="宋体"/>
          <w:color w:val="auto"/>
          <w:sz w:val="24"/>
          <w:szCs w:val="32"/>
          <w:highlight w:val="none"/>
          <w:lang w:eastAsia="zh-CN"/>
        </w:rPr>
        <w:t>，甚至</w:t>
      </w:r>
      <w:r>
        <w:rPr>
          <w:rFonts w:hint="eastAsia" w:ascii="宋体" w:hAnsi="宋体" w:cs="宋体"/>
          <w:color w:val="auto"/>
          <w:sz w:val="24"/>
          <w:szCs w:val="32"/>
          <w:highlight w:val="none"/>
        </w:rPr>
        <w:t>造假的情况，应提供具体有效的证明材料。</w:t>
      </w:r>
      <w:r>
        <w:rPr>
          <w:rFonts w:hint="eastAsia" w:ascii="宋体" w:hAnsi="宋体" w:cs="宋体"/>
          <w:color w:val="auto"/>
          <w:sz w:val="24"/>
          <w:szCs w:val="32"/>
          <w:highlight w:val="none"/>
        </w:rPr>
        <w:tab/>
      </w:r>
    </w:p>
    <w:p w14:paraId="73CFE80C">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3、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81FA10">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4、投标人不得相互串通投标报价，不得妨碍其他投标人的公平竞争，不得损害采购人或其他投标人的合法权益，投标人不得以向采购人、评标委员会成员行贿或者采取其他不正当手段谋取中标。</w:t>
      </w:r>
    </w:p>
    <w:p w14:paraId="06417A7E">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5、为采购项目提供整体设计、规范编制或者项目管理、监理、检测等服务的供应商，不得再参加该采购项目的其他采购活动。</w:t>
      </w:r>
    </w:p>
    <w:p w14:paraId="2E0DBF26">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6、投标文件格式中的表格式样可以根据项目差别做适当调整，但应当保持表格样式基本形态不变。</w:t>
      </w:r>
    </w:p>
    <w:p w14:paraId="24238EE4">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7、单位负责人为同一人或者存在直接控股、管理关系的不同供应商，不得参加同一合同项下的政府采购活动。</w:t>
      </w:r>
    </w:p>
    <w:p w14:paraId="562B77FF">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8、本项目不允许分包</w:t>
      </w:r>
      <w:r>
        <w:rPr>
          <w:rFonts w:hint="eastAsia" w:ascii="宋体" w:hAnsi="宋体" w:cs="宋体"/>
          <w:color w:val="auto"/>
          <w:sz w:val="24"/>
          <w:highlight w:val="none"/>
        </w:rPr>
        <w:t>。</w:t>
      </w:r>
    </w:p>
    <w:p w14:paraId="2159A551">
      <w:pPr>
        <w:spacing w:line="360" w:lineRule="auto"/>
        <w:outlineLvl w:val="1"/>
        <w:rPr>
          <w:rFonts w:ascii="宋体" w:hAnsi="宋体" w:cs="宋体"/>
          <w:b/>
          <w:bCs/>
          <w:color w:val="auto"/>
          <w:sz w:val="24"/>
          <w:szCs w:val="32"/>
          <w:highlight w:val="none"/>
        </w:rPr>
      </w:pPr>
      <w:bookmarkStart w:id="10" w:name="_Toc21369"/>
      <w:r>
        <w:rPr>
          <w:rFonts w:hint="eastAsia" w:ascii="宋体" w:hAnsi="宋体" w:cs="宋体"/>
          <w:b/>
          <w:bCs/>
          <w:color w:val="auto"/>
          <w:sz w:val="24"/>
          <w:szCs w:val="32"/>
          <w:highlight w:val="none"/>
        </w:rPr>
        <w:t>二、招标文件</w:t>
      </w:r>
      <w:bookmarkEnd w:id="10"/>
    </w:p>
    <w:p w14:paraId="63AD772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（一）招标文件由招标文件总目录所列内容组成。</w:t>
      </w:r>
    </w:p>
    <w:p w14:paraId="3191B57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（二）招标文件的澄清或修改</w:t>
      </w:r>
    </w:p>
    <w:p w14:paraId="70C1814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01B7401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2、投标人在规定的时间内未对招标文件提出疑问、质疑或要求澄清的，将视其为无异议。对招标文件中描述有歧义或前后不一致的地方，评标委员会有权进行评判，但对同一条款的评判应适用于每个投标人。</w:t>
      </w:r>
    </w:p>
    <w:p w14:paraId="5F71F4C0">
      <w:pPr>
        <w:spacing w:line="360" w:lineRule="auto"/>
        <w:outlineLvl w:val="1"/>
        <w:rPr>
          <w:rFonts w:ascii="宋体" w:hAnsi="宋体" w:cs="宋体"/>
          <w:b/>
          <w:bCs/>
          <w:color w:val="auto"/>
          <w:sz w:val="24"/>
          <w:szCs w:val="32"/>
          <w:highlight w:val="none"/>
        </w:rPr>
      </w:pPr>
      <w:bookmarkStart w:id="11" w:name="_Toc31951"/>
      <w:r>
        <w:rPr>
          <w:rFonts w:hint="eastAsia" w:ascii="宋体" w:hAnsi="宋体" w:cs="宋体"/>
          <w:b/>
          <w:bCs/>
          <w:color w:val="auto"/>
          <w:sz w:val="24"/>
          <w:szCs w:val="32"/>
          <w:highlight w:val="none"/>
        </w:rPr>
        <w:t>三、投标文件</w:t>
      </w:r>
      <w:bookmarkEnd w:id="11"/>
    </w:p>
    <w:p w14:paraId="1D5034CC">
      <w:pPr>
        <w:spacing w:line="360" w:lineRule="auto"/>
        <w:ind w:firstLine="482" w:firstLineChars="200"/>
        <w:outlineLvl w:val="2"/>
        <w:rPr>
          <w:rFonts w:ascii="宋体" w:hAnsi="宋体" w:cs="宋体"/>
          <w:b/>
          <w:bCs/>
          <w:color w:val="auto"/>
          <w:sz w:val="24"/>
          <w:szCs w:val="32"/>
          <w:highlight w:val="none"/>
        </w:rPr>
      </w:pPr>
      <w:bookmarkStart w:id="12" w:name="_Toc2849"/>
      <w:r>
        <w:rPr>
          <w:rFonts w:hint="eastAsia" w:ascii="宋体" w:hAnsi="宋体" w:cs="宋体"/>
          <w:b/>
          <w:bCs/>
          <w:color w:val="auto"/>
          <w:sz w:val="24"/>
          <w:szCs w:val="32"/>
          <w:highlight w:val="none"/>
          <w:lang w:val="zh-CN"/>
        </w:rPr>
        <w:t>（一）</w:t>
      </w:r>
      <w:r>
        <w:rPr>
          <w:rFonts w:hint="eastAsia" w:ascii="宋体" w:hAnsi="宋体" w:cs="宋体"/>
          <w:b/>
          <w:bCs/>
          <w:color w:val="auto"/>
          <w:sz w:val="24"/>
          <w:szCs w:val="32"/>
          <w:highlight w:val="none"/>
        </w:rPr>
        <w:t>投标文件的组成</w:t>
      </w:r>
      <w:bookmarkEnd w:id="12"/>
    </w:p>
    <w:p w14:paraId="6683114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投标人接到招标文件后，按照采购组织机构的要求提供：资格证明文件、商务与技术文件和报价文件。</w:t>
      </w:r>
    </w:p>
    <w:p w14:paraId="763CDDB9">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▲1、资格证明文件的组成：</w:t>
      </w:r>
    </w:p>
    <w:p w14:paraId="15CBD955">
      <w:pPr>
        <w:spacing w:line="360" w:lineRule="auto"/>
        <w:ind w:firstLine="480" w:firstLineChars="200"/>
        <w:rPr>
          <w:rFonts w:ascii="宋体" w:hAnsi="宋体" w:cs="宋体"/>
          <w:b w:val="0"/>
          <w:bCs w:val="0"/>
          <w:color w:val="auto"/>
          <w:sz w:val="24"/>
          <w:szCs w:val="32"/>
          <w:highlight w:val="none"/>
        </w:rPr>
      </w:pPr>
      <w:r>
        <w:rPr>
          <w:rFonts w:hint="eastAsia" w:ascii="宋体" w:hAnsi="宋体" w:cs="宋体"/>
          <w:b w:val="0"/>
          <w:bCs w:val="0"/>
          <w:color w:val="auto"/>
          <w:sz w:val="24"/>
          <w:szCs w:val="32"/>
          <w:highlight w:val="none"/>
        </w:rPr>
        <w:t>（1）投标声明书【特别说明：声明书第1条，供应商在截止投标时间近三年以来，如有不良行为记录和重大违法记录被禁止在一定期限内参加政府采购活动，但限制期届满的，可按实陈述，并提供相应证明文件</w:t>
      </w:r>
      <w:r>
        <w:rPr>
          <w:rFonts w:hint="eastAsia" w:ascii="宋体" w:hAnsi="宋体" w:cs="宋体"/>
          <w:b w:val="0"/>
          <w:bCs w:val="0"/>
          <w:color w:val="auto"/>
          <w:sz w:val="24"/>
          <w:szCs w:val="32"/>
          <w:highlight w:val="none"/>
          <w:lang w:eastAsia="zh-CN"/>
        </w:rPr>
        <w:t>】</w:t>
      </w:r>
    </w:p>
    <w:p w14:paraId="785E21D6">
      <w:pPr>
        <w:spacing w:line="360" w:lineRule="auto"/>
        <w:ind w:firstLine="480" w:firstLineChars="200"/>
        <w:rPr>
          <w:rFonts w:ascii="宋体" w:hAnsi="宋体" w:cs="宋体"/>
          <w:b w:val="0"/>
          <w:bCs w:val="0"/>
          <w:color w:val="auto"/>
          <w:sz w:val="24"/>
          <w:szCs w:val="32"/>
          <w:highlight w:val="none"/>
        </w:rPr>
      </w:pPr>
      <w:r>
        <w:rPr>
          <w:rFonts w:hint="eastAsia" w:ascii="宋体" w:hAnsi="宋体" w:cs="宋体"/>
          <w:b w:val="0"/>
          <w:bCs w:val="0"/>
          <w:color w:val="auto"/>
          <w:sz w:val="24"/>
          <w:szCs w:val="32"/>
          <w:highlight w:val="none"/>
        </w:rPr>
        <w:t>（2）授权委托书（</w:t>
      </w:r>
      <w:r>
        <w:rPr>
          <w:rFonts w:hint="eastAsia" w:ascii="宋体" w:hAnsi="宋体" w:cs="宋体"/>
          <w:b w:val="0"/>
          <w:bCs w:val="0"/>
          <w:color w:val="auto"/>
          <w:sz w:val="24"/>
          <w:szCs w:val="32"/>
          <w:highlight w:val="none"/>
          <w:lang w:eastAsia="zh-CN"/>
        </w:rPr>
        <w:t>法定代表人</w:t>
      </w:r>
      <w:r>
        <w:rPr>
          <w:rFonts w:hint="eastAsia" w:ascii="宋体" w:hAnsi="宋体" w:cs="宋体"/>
          <w:b w:val="0"/>
          <w:bCs w:val="0"/>
          <w:color w:val="auto"/>
          <w:sz w:val="24"/>
          <w:szCs w:val="32"/>
          <w:highlight w:val="none"/>
        </w:rPr>
        <w:t>亲自办理投标事宜的，则无需提交本证明书)；</w:t>
      </w:r>
    </w:p>
    <w:p w14:paraId="527CEC11">
      <w:pPr>
        <w:spacing w:line="360" w:lineRule="auto"/>
        <w:ind w:firstLine="480" w:firstLineChars="200"/>
        <w:rPr>
          <w:rFonts w:ascii="宋体" w:hAnsi="宋体" w:cs="宋体"/>
          <w:b w:val="0"/>
          <w:bCs w:val="0"/>
          <w:color w:val="auto"/>
          <w:sz w:val="24"/>
          <w:szCs w:val="32"/>
          <w:highlight w:val="none"/>
        </w:rPr>
      </w:pPr>
      <w:r>
        <w:rPr>
          <w:rFonts w:hint="eastAsia" w:ascii="宋体" w:hAnsi="宋体" w:cs="宋体"/>
          <w:b w:val="0"/>
          <w:bCs w:val="0"/>
          <w:color w:val="auto"/>
          <w:sz w:val="24"/>
          <w:szCs w:val="32"/>
          <w:highlight w:val="none"/>
        </w:rPr>
        <w:t>（3）法人或者其他组织的营业执照等证明文件；</w:t>
      </w:r>
    </w:p>
    <w:p w14:paraId="601AC00B">
      <w:pPr>
        <w:spacing w:line="360" w:lineRule="auto"/>
        <w:ind w:firstLine="480" w:firstLineChars="200"/>
        <w:rPr>
          <w:rFonts w:ascii="宋体" w:hAnsi="宋体" w:cs="宋体"/>
          <w:b w:val="0"/>
          <w:bCs w:val="0"/>
          <w:color w:val="auto"/>
          <w:sz w:val="24"/>
          <w:szCs w:val="32"/>
          <w:highlight w:val="none"/>
        </w:rPr>
      </w:pPr>
      <w:r>
        <w:rPr>
          <w:rFonts w:hint="eastAsia" w:ascii="宋体" w:hAnsi="宋体" w:cs="宋体"/>
          <w:b w:val="0"/>
          <w:bCs w:val="0"/>
          <w:color w:val="auto"/>
          <w:sz w:val="24"/>
          <w:szCs w:val="32"/>
          <w:highlight w:val="none"/>
        </w:rPr>
        <w:t>（4）具有良好的商业信誉和健全的财务会计制度的承诺；</w:t>
      </w:r>
    </w:p>
    <w:p w14:paraId="3A79357D">
      <w:pPr>
        <w:spacing w:line="360" w:lineRule="auto"/>
        <w:ind w:firstLine="480" w:firstLineChars="200"/>
        <w:rPr>
          <w:rFonts w:ascii="宋体" w:hAnsi="宋体" w:cs="宋体"/>
          <w:b w:val="0"/>
          <w:bCs w:val="0"/>
          <w:color w:val="auto"/>
          <w:sz w:val="24"/>
          <w:szCs w:val="32"/>
          <w:highlight w:val="none"/>
        </w:rPr>
      </w:pPr>
      <w:r>
        <w:rPr>
          <w:rFonts w:hint="eastAsia" w:ascii="宋体" w:hAnsi="宋体" w:cs="宋体"/>
          <w:b w:val="0"/>
          <w:bCs w:val="0"/>
          <w:color w:val="auto"/>
          <w:sz w:val="24"/>
          <w:szCs w:val="32"/>
          <w:highlight w:val="none"/>
        </w:rPr>
        <w:t>（5）依法缴纳税收和社会保障资金的承诺；</w:t>
      </w:r>
    </w:p>
    <w:p w14:paraId="18339425">
      <w:pPr>
        <w:spacing w:line="360" w:lineRule="auto"/>
        <w:ind w:firstLine="480" w:firstLineChars="200"/>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rPr>
        <w:t>（6）具有履行合同所必需的设备和专业技术能力承诺函</w:t>
      </w:r>
      <w:r>
        <w:rPr>
          <w:rFonts w:hint="eastAsia" w:ascii="宋体" w:hAnsi="宋体" w:cs="宋体"/>
          <w:color w:val="auto"/>
          <w:sz w:val="24"/>
          <w:szCs w:val="32"/>
          <w:highlight w:val="none"/>
          <w:lang w:eastAsia="zh-CN"/>
        </w:rPr>
        <w:t>；</w:t>
      </w:r>
    </w:p>
    <w:p w14:paraId="77431750">
      <w:pPr>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）提供采购公告中符合供应商特定条件的有效资质证书影印件（投标供应商特定条件中有要求的必须提供）</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如有</w:t>
      </w:r>
      <w:r>
        <w:rPr>
          <w:rFonts w:hint="eastAsia" w:ascii="宋体" w:hAnsi="宋体" w:cs="宋体"/>
          <w:color w:val="auto"/>
          <w:sz w:val="24"/>
          <w:szCs w:val="32"/>
          <w:highlight w:val="none"/>
          <w:lang w:eastAsia="zh-CN"/>
        </w:rPr>
        <w:t>）；</w:t>
      </w:r>
    </w:p>
    <w:p w14:paraId="3CC0161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）需要说明的其他资料</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如有</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t>
      </w:r>
    </w:p>
    <w:p w14:paraId="638FB053">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2、商务与技术文件的组成：</w:t>
      </w:r>
    </w:p>
    <w:p w14:paraId="35D68BE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（1）投标人情况介绍（人员与技术力量、企业规模、经营业绩等）。</w:t>
      </w:r>
    </w:p>
    <w:p w14:paraId="19E825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（2）投标方案描述</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根据评标办法自行拟订；</w:t>
      </w:r>
    </w:p>
    <w:p w14:paraId="59F82E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（3）投标产品描述及相关资料：</w:t>
      </w:r>
    </w:p>
    <w:p w14:paraId="0FFBC29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A.设备配置清单</w:t>
      </w:r>
      <w:r>
        <w:rPr>
          <w:rFonts w:hint="eastAsia" w:ascii="宋体" w:hAnsi="宋体" w:cs="宋体"/>
          <w:b/>
          <w:bCs/>
          <w:color w:val="auto"/>
          <w:sz w:val="24"/>
          <w:szCs w:val="32"/>
          <w:highlight w:val="none"/>
        </w:rPr>
        <w:t>（均不含报价）</w:t>
      </w:r>
      <w:r>
        <w:rPr>
          <w:rFonts w:hint="eastAsia" w:ascii="宋体" w:hAnsi="宋体" w:cs="宋体"/>
          <w:color w:val="auto"/>
          <w:kern w:val="0"/>
          <w:sz w:val="24"/>
          <w:highlight w:val="none"/>
        </w:rPr>
        <w:t>。</w:t>
      </w:r>
    </w:p>
    <w:p w14:paraId="31C7929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B.产品品牌及型号、技术参数指标、性能特点、图片资料以及所遵循的技术规范、产品质保期、出厂标准、产品质量相关检测报告等内容。</w:t>
      </w:r>
    </w:p>
    <w:p w14:paraId="4127A07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C.</w:t>
      </w:r>
      <w:r>
        <w:rPr>
          <w:rFonts w:hint="eastAsia" w:ascii="宋体" w:hAnsi="宋体" w:cs="宋体"/>
          <w:color w:val="auto"/>
          <w:kern w:val="0"/>
          <w:sz w:val="24"/>
          <w:highlight w:val="none"/>
          <w:lang w:eastAsia="zh-CN"/>
        </w:rPr>
        <w:t>技术需求响应表、资信及商务需求响应表</w:t>
      </w:r>
      <w:r>
        <w:rPr>
          <w:rFonts w:hint="eastAsia" w:ascii="宋体" w:hAnsi="宋体" w:cs="宋体"/>
          <w:color w:val="auto"/>
          <w:kern w:val="0"/>
          <w:sz w:val="24"/>
          <w:highlight w:val="none"/>
        </w:rPr>
        <w:t>。</w:t>
      </w:r>
    </w:p>
    <w:p w14:paraId="6C3D115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投标人认为需要提供的其他资料（包括可能影响投标人商务与技术文件评分的各类证明材料）。</w:t>
      </w:r>
    </w:p>
    <w:p w14:paraId="3FE77DBB">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3、报价文件的组成</w:t>
      </w:r>
    </w:p>
    <w:p w14:paraId="79D43CF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（1）报价文件由开标一览表、报价明细表</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中小企业声明函</w:t>
      </w:r>
      <w:r>
        <w:rPr>
          <w:rFonts w:hint="eastAsia" w:ascii="宋体" w:hAnsi="宋体" w:eastAsia="宋体" w:cs="宋体"/>
          <w:color w:val="auto"/>
          <w:sz w:val="24"/>
          <w:szCs w:val="32"/>
          <w:highlight w:val="none"/>
        </w:rPr>
        <w:t>（不符合中小企业要求的无需提供）</w:t>
      </w:r>
      <w:r>
        <w:rPr>
          <w:rFonts w:hint="eastAsia" w:ascii="宋体" w:hAnsi="宋体" w:cs="宋体"/>
          <w:color w:val="auto"/>
          <w:sz w:val="24"/>
          <w:szCs w:val="32"/>
          <w:highlight w:val="none"/>
        </w:rPr>
        <w:t>以及投标人认为其他需要说明的内容组成。</w:t>
      </w:r>
    </w:p>
    <w:p w14:paraId="12D607E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（2）此报价为投标人一次性报出唯一的最终价格，包含其它一切所要</w:t>
      </w:r>
      <w:r>
        <w:rPr>
          <w:rFonts w:hint="eastAsia" w:ascii="宋体" w:hAnsi="宋体" w:cs="宋体"/>
          <w:color w:val="auto"/>
          <w:sz w:val="24"/>
          <w:szCs w:val="32"/>
          <w:highlight w:val="none"/>
          <w:lang w:eastAsia="zh-CN"/>
        </w:rPr>
        <w:t>涉及</w:t>
      </w:r>
      <w:r>
        <w:rPr>
          <w:rFonts w:hint="eastAsia" w:ascii="宋体" w:hAnsi="宋体" w:cs="宋体"/>
          <w:color w:val="auto"/>
          <w:sz w:val="24"/>
          <w:szCs w:val="32"/>
          <w:highlight w:val="none"/>
        </w:rPr>
        <w:t>的费用，有选择的报价将被拒绝。</w:t>
      </w:r>
    </w:p>
    <w:p w14:paraId="5F819855">
      <w:pPr>
        <w:spacing w:line="360" w:lineRule="auto"/>
        <w:ind w:firstLine="480" w:firstLineChars="200"/>
        <w:rPr>
          <w:rFonts w:ascii="宋体" w:hAnsi="宋体" w:cs="宋体"/>
          <w:color w:val="auto"/>
          <w:sz w:val="24"/>
          <w:szCs w:val="32"/>
          <w:highlight w:val="none"/>
          <w:lang w:val="zh-CN"/>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3</w:t>
      </w:r>
      <w:r>
        <w:rPr>
          <w:rFonts w:hint="eastAsia" w:ascii="宋体" w:hAnsi="宋体" w:cs="宋体"/>
          <w:color w:val="auto"/>
          <w:sz w:val="24"/>
          <w:szCs w:val="32"/>
          <w:highlight w:val="none"/>
          <w:lang w:val="zh-CN"/>
        </w:rPr>
        <w:t>）</w:t>
      </w:r>
      <w:r>
        <w:rPr>
          <w:rFonts w:hint="eastAsia" w:ascii="宋体" w:hAnsi="宋体" w:eastAsia="宋体" w:cs="宋体"/>
          <w:color w:val="auto"/>
          <w:sz w:val="24"/>
          <w:szCs w:val="32"/>
          <w:highlight w:val="none"/>
          <w:lang w:val="zh-CN"/>
        </w:rPr>
        <w:t>投标报价是包括货款、标准附件、备品备件、专用工具、包装、运输、装卸、保险、税金、货到就位以及安装、调试、培训、保修、合同包含的所有风险责任等各项费用及不可预见费等所需的全部费用，全部费用已包含在开标一览表的投标总报价中</w:t>
      </w:r>
      <w:r>
        <w:rPr>
          <w:rFonts w:hint="eastAsia" w:ascii="宋体" w:hAnsi="宋体" w:cs="宋体"/>
          <w:color w:val="auto"/>
          <w:kern w:val="0"/>
          <w:sz w:val="24"/>
          <w:highlight w:val="none"/>
          <w:lang w:val="zh-CN"/>
        </w:rPr>
        <w:t>。</w:t>
      </w:r>
    </w:p>
    <w:p w14:paraId="762A8F62">
      <w:pPr>
        <w:spacing w:line="360" w:lineRule="auto"/>
        <w:ind w:firstLine="480" w:firstLineChars="200"/>
        <w:rPr>
          <w:rFonts w:ascii="宋体" w:hAnsi="宋体" w:cs="宋体"/>
          <w:color w:val="auto"/>
          <w:sz w:val="24"/>
          <w:szCs w:val="32"/>
          <w:highlight w:val="none"/>
          <w:lang w:val="zh-CN"/>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4</w:t>
      </w: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相关报价单需打印或用不退色的墨水填写， 投标报价单不得涂改和增删，如有错漏必须修改，修改处须由同一签署人签字或盖章。由于字迹模糊或表达不清引起的后果由投标人负责。</w:t>
      </w:r>
    </w:p>
    <w:p w14:paraId="3D16CA9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（5）投标报价应按招标文件中相关附表格式填写。</w:t>
      </w:r>
    </w:p>
    <w:p w14:paraId="7E4DC5A7">
      <w:pPr>
        <w:spacing w:line="360" w:lineRule="auto"/>
        <w:ind w:firstLine="482" w:firstLineChars="200"/>
        <w:outlineLvl w:val="2"/>
        <w:rPr>
          <w:rFonts w:ascii="宋体" w:hAnsi="宋体" w:cs="宋体"/>
          <w:b/>
          <w:bCs/>
          <w:color w:val="auto"/>
          <w:sz w:val="24"/>
          <w:szCs w:val="32"/>
          <w:highlight w:val="none"/>
        </w:rPr>
      </w:pPr>
      <w:bookmarkStart w:id="13" w:name="_Toc19104"/>
      <w:r>
        <w:rPr>
          <w:rFonts w:hint="eastAsia" w:ascii="宋体" w:hAnsi="宋体" w:cs="宋体"/>
          <w:b/>
          <w:bCs/>
          <w:color w:val="auto"/>
          <w:sz w:val="24"/>
          <w:szCs w:val="32"/>
          <w:highlight w:val="none"/>
        </w:rPr>
        <w:t>（二）</w:t>
      </w:r>
      <w:bookmarkEnd w:id="13"/>
      <w:r>
        <w:rPr>
          <w:rFonts w:hint="eastAsia" w:asciiTheme="minorEastAsia" w:hAnsiTheme="minorEastAsia" w:eastAsiaTheme="minorEastAsia" w:cstheme="minorEastAsia"/>
          <w:b/>
          <w:color w:val="auto"/>
          <w:kern w:val="0"/>
          <w:sz w:val="24"/>
          <w:highlight w:val="none"/>
        </w:rPr>
        <w:t>投标文件的制作与签署</w:t>
      </w:r>
    </w:p>
    <w:p w14:paraId="08E63B47">
      <w:pPr>
        <w:spacing w:line="360" w:lineRule="auto"/>
        <w:ind w:firstLine="482" w:firstLineChars="200"/>
        <w:rPr>
          <w:rFonts w:ascii="宋体" w:hAnsi="宋体" w:cs="宋体"/>
          <w:b/>
          <w:bCs/>
          <w:color w:val="auto"/>
          <w:sz w:val="24"/>
          <w:szCs w:val="32"/>
          <w:highlight w:val="none"/>
        </w:rPr>
      </w:pPr>
      <w:bookmarkStart w:id="14" w:name="_Toc19605"/>
      <w:r>
        <w:rPr>
          <w:rFonts w:hint="eastAsia" w:ascii="宋体" w:hAnsi="宋体" w:cs="宋体"/>
          <w:b/>
          <w:bCs/>
          <w:color w:val="auto"/>
          <w:sz w:val="24"/>
          <w:szCs w:val="32"/>
          <w:highlight w:val="none"/>
          <w:lang w:val="en-US" w:eastAsia="zh-CN"/>
        </w:rPr>
        <w:t>1</w:t>
      </w:r>
      <w:r>
        <w:rPr>
          <w:rFonts w:hint="eastAsia" w:ascii="宋体" w:hAnsi="宋体" w:cs="宋体"/>
          <w:b/>
          <w:bCs/>
          <w:color w:val="auto"/>
          <w:sz w:val="24"/>
          <w:szCs w:val="32"/>
          <w:highlight w:val="none"/>
        </w:rPr>
        <w:t>、</w:t>
      </w:r>
      <w:r>
        <w:rPr>
          <w:rFonts w:hint="eastAsia" w:ascii="宋体" w:hAnsi="宋体"/>
          <w:b/>
          <w:color w:val="auto"/>
          <w:sz w:val="24"/>
          <w:highlight w:val="none"/>
          <w:lang w:val="en-US" w:eastAsia="zh-CN"/>
        </w:rPr>
        <w:t>电子</w:t>
      </w:r>
      <w:r>
        <w:rPr>
          <w:rFonts w:hint="eastAsia" w:ascii="宋体" w:hAnsi="宋体" w:cs="宋体"/>
          <w:b/>
          <w:bCs/>
          <w:color w:val="auto"/>
          <w:sz w:val="24"/>
          <w:szCs w:val="32"/>
          <w:highlight w:val="none"/>
        </w:rPr>
        <w:t>投标文件的制作要求</w:t>
      </w:r>
    </w:p>
    <w:p w14:paraId="34D52EE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（1）投标人应按照投标文件组成内容及项目招标需求制作投标文件，不按招标文件要求制作投标文件的将视情处理，由此产生的责任由投标人自行承担。</w:t>
      </w:r>
    </w:p>
    <w:p w14:paraId="7FFBB4B0">
      <w:pPr>
        <w:spacing w:line="360" w:lineRule="auto"/>
        <w:ind w:firstLine="480" w:firstLineChars="200"/>
        <w:rPr>
          <w:rFonts w:ascii="宋体" w:hAnsi="宋体" w:cs="宋体"/>
          <w:color w:val="auto"/>
          <w:sz w:val="24"/>
          <w:szCs w:val="32"/>
          <w:highlight w:val="none"/>
          <w:lang w:val="zh-CN"/>
        </w:rPr>
      </w:pPr>
      <w:r>
        <w:rPr>
          <w:rFonts w:hint="eastAsia" w:ascii="宋体" w:hAnsi="宋体" w:cs="宋体"/>
          <w:color w:val="auto"/>
          <w:sz w:val="24"/>
          <w:szCs w:val="32"/>
          <w:highlight w:val="none"/>
        </w:rPr>
        <w:t>（2）投标人应对所提供的全部资料的真实性承担法律责任，</w:t>
      </w:r>
      <w:r>
        <w:rPr>
          <w:rFonts w:hint="eastAsia" w:ascii="宋体" w:hAnsi="宋体" w:cs="宋体"/>
          <w:color w:val="auto"/>
          <w:sz w:val="24"/>
          <w:szCs w:val="32"/>
          <w:highlight w:val="none"/>
          <w:lang w:val="zh-CN"/>
        </w:rPr>
        <w:t>投标文件内容中有要求盖章或签字的地方，必须加盖投标人的公章以及法定代表人或授权委托代理人盖章或签字。</w:t>
      </w:r>
    </w:p>
    <w:p w14:paraId="5EFEED0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3</w:t>
      </w:r>
      <w:r>
        <w:rPr>
          <w:rFonts w:hint="eastAsia" w:ascii="宋体" w:hAnsi="宋体" w:cs="宋体"/>
          <w:color w:val="auto"/>
          <w:sz w:val="24"/>
          <w:szCs w:val="32"/>
          <w:highlight w:val="none"/>
          <w:lang w:val="zh-CN"/>
        </w:rPr>
        <w:t>）</w:t>
      </w:r>
      <w:r>
        <w:rPr>
          <w:rFonts w:hint="eastAsia" w:ascii="宋体" w:hAnsi="宋体" w:cs="宋体"/>
          <w:color w:val="auto"/>
          <w:sz w:val="24"/>
          <w:szCs w:val="32"/>
          <w:highlight w:val="none"/>
        </w:rPr>
        <w:t>投标文件以及投标人与采购组织机构就有关投标事宜的所有来往函电，均应以中文汉语书写。除签字、盖章、专用名称等特殊情形外，以中文汉语以外的文字表述的投标文件视同未提供。</w:t>
      </w:r>
    </w:p>
    <w:p w14:paraId="134DB2F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（4）投标计量单位，招标文件已有明确规定的，使用招标文件规定的计量单位；招标文件没有规定的，应采用中华人民共和国法定计量单位（货币单位：人民币元）。</w:t>
      </w:r>
    </w:p>
    <w:p w14:paraId="61C58CA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（5）若投标人不按招标文件的要求提供资格审查材料，其风险由投标人自行承担。</w:t>
      </w:r>
    </w:p>
    <w:p w14:paraId="68677B56">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lang w:val="en-US" w:eastAsia="zh-CN"/>
        </w:rPr>
        <w:t>2</w:t>
      </w:r>
      <w:r>
        <w:rPr>
          <w:rFonts w:hint="eastAsia" w:ascii="宋体" w:hAnsi="宋体"/>
          <w:b/>
          <w:bCs/>
          <w:color w:val="auto"/>
          <w:kern w:val="0"/>
          <w:sz w:val="24"/>
          <w:highlight w:val="none"/>
        </w:rPr>
        <w:t>、电子投标相关说明</w:t>
      </w:r>
    </w:p>
    <w:p w14:paraId="55F07433">
      <w:pPr>
        <w:spacing w:line="360" w:lineRule="auto"/>
        <w:ind w:firstLine="480" w:firstLineChars="200"/>
        <w:rPr>
          <w:rFonts w:ascii="宋体" w:hAnsi="宋体" w:cs="宋体"/>
          <w:color w:val="auto"/>
          <w:sz w:val="24"/>
          <w:szCs w:val="32"/>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电子投标文件中须加盖公章、法人章部分均采用CA签章，并根据“政采云供应商</w:t>
      </w:r>
      <w:r>
        <w:rPr>
          <w:rFonts w:hint="eastAsia" w:ascii="宋体" w:hAnsi="宋体" w:cs="宋体"/>
          <w:color w:val="auto"/>
          <w:sz w:val="24"/>
          <w:szCs w:val="32"/>
          <w:highlight w:val="none"/>
        </w:rPr>
        <w:t>项目采购-电子招投标操作指南”及本招标文件规定的格式和顺序编制电子投标文件并</w:t>
      </w:r>
      <w:r>
        <w:rPr>
          <w:rFonts w:hint="eastAsia" w:ascii="宋体" w:hAnsi="宋体" w:cs="宋体"/>
          <w:b/>
          <w:bCs/>
          <w:color w:val="auto"/>
          <w:sz w:val="24"/>
          <w:szCs w:val="32"/>
          <w:highlight w:val="none"/>
        </w:rPr>
        <w:t>进行关联定位</w:t>
      </w:r>
      <w:r>
        <w:rPr>
          <w:rFonts w:hint="eastAsia" w:ascii="宋体" w:hAnsi="宋体" w:cs="宋体"/>
          <w:color w:val="auto"/>
          <w:sz w:val="24"/>
          <w:szCs w:val="32"/>
          <w:highlight w:val="none"/>
        </w:rPr>
        <w:t>，以便评标委员会在评标时，点击评分项可直接定位到该评分项内容。如对招标文件的某项要求，投标人的电子投标文件未能关联定位提供相应的内容与其对应，则评标委员会在评审时如做出对投标人不利的评审由投标人自行承担。</w:t>
      </w:r>
    </w:p>
    <w:p w14:paraId="23E44D9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电子投标文件如内容不完整、编排混乱导致投标文件被误读、漏读，或者在按采购文件规定的部位查找不到相关内容的，由投标人自行承担。</w:t>
      </w:r>
    </w:p>
    <w:p w14:paraId="551C4013">
      <w:pPr>
        <w:spacing w:line="360" w:lineRule="auto"/>
        <w:ind w:firstLine="480" w:firstLineChars="200"/>
        <w:rPr>
          <w:rFonts w:ascii="宋体" w:hAnsi="宋体" w:cs="宋体"/>
          <w:color w:val="auto"/>
          <w:sz w:val="24"/>
          <w:szCs w:val="32"/>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s="宋体"/>
          <w:color w:val="auto"/>
          <w:sz w:val="24"/>
          <w:szCs w:val="32"/>
          <w:highlight w:val="none"/>
        </w:rPr>
        <w:t>温馨提醒：CA签章上目前没有法人或授权代表签字信息，需要投标人联系</w:t>
      </w:r>
      <w:r>
        <w:rPr>
          <w:rFonts w:hint="eastAsia" w:ascii="宋体" w:hAnsi="宋体" w:cs="宋体"/>
          <w:b/>
          <w:bCs/>
          <w:color w:val="auto"/>
          <w:sz w:val="24"/>
          <w:szCs w:val="32"/>
          <w:highlight w:val="none"/>
        </w:rPr>
        <w:t>浙江杭州汇信科技有限公司（400-8884636）</w:t>
      </w:r>
      <w:r>
        <w:rPr>
          <w:rFonts w:hint="eastAsia" w:ascii="宋体" w:hAnsi="宋体" w:cs="宋体"/>
          <w:color w:val="auto"/>
          <w:sz w:val="24"/>
          <w:szCs w:val="32"/>
          <w:highlight w:val="none"/>
        </w:rPr>
        <w:t>等相应公司进行办理，或在投标文件中</w:t>
      </w:r>
      <w:r>
        <w:rPr>
          <w:rFonts w:hint="eastAsia" w:ascii="宋体" w:hAnsi="宋体" w:cs="宋体"/>
          <w:color w:val="auto"/>
          <w:sz w:val="24"/>
          <w:szCs w:val="32"/>
          <w:highlight w:val="none"/>
          <w:lang w:eastAsia="zh-CN"/>
        </w:rPr>
        <w:t>涉及</w:t>
      </w:r>
      <w:r>
        <w:rPr>
          <w:rFonts w:hint="eastAsia" w:ascii="宋体" w:hAnsi="宋体" w:cs="宋体"/>
          <w:color w:val="auto"/>
          <w:sz w:val="24"/>
          <w:szCs w:val="32"/>
          <w:highlight w:val="none"/>
        </w:rPr>
        <w:t>签字的位置线下签好字然后扫描或者拍照做成PDF的格式亦可。</w:t>
      </w:r>
    </w:p>
    <w:p w14:paraId="63BB22EC">
      <w:pPr>
        <w:tabs>
          <w:tab w:val="left" w:pos="1898"/>
        </w:tabs>
        <w:autoSpaceDE w:val="0"/>
        <w:autoSpaceDN w:val="0"/>
        <w:adjustRightInd w:val="0"/>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lang w:val="en-US" w:eastAsia="zh-CN"/>
        </w:rPr>
        <w:t>3</w:t>
      </w:r>
      <w:r>
        <w:rPr>
          <w:rFonts w:hint="eastAsia" w:ascii="宋体" w:hAnsi="宋体"/>
          <w:b/>
          <w:color w:val="auto"/>
          <w:kern w:val="0"/>
          <w:sz w:val="24"/>
          <w:highlight w:val="none"/>
        </w:rPr>
        <w:t>、电子</w:t>
      </w:r>
      <w:r>
        <w:rPr>
          <w:rFonts w:hint="eastAsia" w:ascii="宋体" w:hAnsi="宋体"/>
          <w:b/>
          <w:bCs/>
          <w:color w:val="auto"/>
          <w:sz w:val="24"/>
          <w:highlight w:val="none"/>
        </w:rPr>
        <w:t>投标文件</w:t>
      </w:r>
      <w:r>
        <w:rPr>
          <w:rFonts w:hint="eastAsia" w:ascii="宋体" w:hAnsi="宋体"/>
          <w:b/>
          <w:color w:val="auto"/>
          <w:kern w:val="0"/>
          <w:sz w:val="24"/>
          <w:highlight w:val="none"/>
        </w:rPr>
        <w:t>的补充、修改和撤回。</w:t>
      </w:r>
    </w:p>
    <w:p w14:paraId="70B28605">
      <w:pPr>
        <w:spacing w:line="360" w:lineRule="auto"/>
        <w:ind w:firstLine="480" w:firstLineChars="200"/>
        <w:rPr>
          <w:color w:val="auto"/>
          <w:highlight w:val="none"/>
        </w:rPr>
      </w:pPr>
      <w:r>
        <w:rPr>
          <w:rFonts w:hint="eastAsia" w:ascii="宋体" w:hAnsi="宋体"/>
          <w:color w:val="auto"/>
          <w:kern w:val="0"/>
          <w:sz w:val="24"/>
          <w:highlight w:val="none"/>
        </w:rPr>
        <w:t>投标截止时间前可以补充、修改或者撤回电子投标文件。补充或者修改电子投标文件的，应当先行撤回原文件，补充、修改后重新上传。投标截止时间前未完成重新上传的，视为放弃投标。投标截止时间后，供应商不得撤回、修改电子投标文件。</w:t>
      </w:r>
    </w:p>
    <w:p w14:paraId="494A6B4F">
      <w:pPr>
        <w:shd w:val="clear"/>
        <w:autoSpaceDE w:val="0"/>
        <w:autoSpaceDN w:val="0"/>
        <w:adjustRightInd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三</w:t>
      </w:r>
      <w:r>
        <w:rPr>
          <w:rFonts w:hint="eastAsia" w:asciiTheme="minorEastAsia" w:hAnsiTheme="minorEastAsia" w:eastAsiaTheme="minorEastAsia" w:cstheme="minorEastAsia"/>
          <w:b/>
          <w:bCs/>
          <w:color w:val="auto"/>
          <w:sz w:val="24"/>
          <w:highlight w:val="none"/>
        </w:rPr>
        <w:t>）投标文件的递交要求</w:t>
      </w:r>
    </w:p>
    <w:p w14:paraId="03B26A3B">
      <w:pPr>
        <w:shd w:val="clear"/>
        <w:tabs>
          <w:tab w:val="left" w:pos="1418"/>
        </w:tabs>
        <w:autoSpaceDE w:val="0"/>
        <w:autoSpaceDN w:val="0"/>
        <w:adjustRightIn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按照前附表要求提交，</w:t>
      </w:r>
      <w:r>
        <w:rPr>
          <w:rFonts w:hint="eastAsia" w:asciiTheme="minorEastAsia" w:hAnsiTheme="minorEastAsia" w:eastAsiaTheme="minorEastAsia" w:cstheme="minorEastAsia"/>
          <w:color w:val="auto"/>
          <w:kern w:val="0"/>
          <w:sz w:val="24"/>
          <w:highlight w:val="none"/>
        </w:rPr>
        <w:t>如采购组织机构延长截止时间和开标时间，采购组织机构和投标供应商的权利和义务将受到新的截止时间和开标时间的约束。</w:t>
      </w:r>
    </w:p>
    <w:p w14:paraId="67F9DF29">
      <w:pPr>
        <w:shd w:val="clear"/>
        <w:spacing w:line="360" w:lineRule="auto"/>
        <w:ind w:firstLine="480" w:firstLineChars="200"/>
        <w:outlineLvl w:val="0"/>
        <w:rPr>
          <w:color w:val="auto"/>
          <w:highlight w:val="none"/>
        </w:rPr>
      </w:pPr>
      <w:r>
        <w:rPr>
          <w:rFonts w:hint="eastAsia" w:asciiTheme="minorEastAsia" w:hAnsiTheme="minorEastAsia" w:eastAsiaTheme="minorEastAsia" w:cstheme="minorEastAsia"/>
          <w:color w:val="auto"/>
          <w:kern w:val="0"/>
          <w:sz w:val="24"/>
          <w:highlight w:val="none"/>
          <w:lang w:bidi="ar"/>
        </w:rPr>
        <w:t>投标人不得递交任何的投标备选（替代）方案，否则其投标文件将作无效标处理。</w:t>
      </w:r>
      <w:r>
        <w:rPr>
          <w:rFonts w:hint="eastAsia" w:asciiTheme="minorEastAsia" w:hAnsiTheme="minorEastAsia" w:eastAsiaTheme="minorEastAsia" w:cstheme="minorEastAsia"/>
          <w:b/>
          <w:bCs/>
          <w:color w:val="auto"/>
          <w:kern w:val="0"/>
          <w:sz w:val="24"/>
          <w:highlight w:val="none"/>
          <w:lang w:bidi="ar"/>
        </w:rPr>
        <w:t>与“电子加密投标文件”同时生成的“备份投标文件”不是投标备选（替代）方案。</w:t>
      </w:r>
    </w:p>
    <w:p w14:paraId="7836F564">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四</w:t>
      </w:r>
      <w:r>
        <w:rPr>
          <w:rFonts w:hint="eastAsia" w:ascii="宋体" w:hAnsi="宋体" w:cs="宋体"/>
          <w:b/>
          <w:bCs/>
          <w:color w:val="auto"/>
          <w:sz w:val="24"/>
          <w:szCs w:val="32"/>
          <w:highlight w:val="none"/>
        </w:rPr>
        <w:t>）投标文件的有效期</w:t>
      </w:r>
    </w:p>
    <w:p w14:paraId="3D1999E8">
      <w:pP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GB"/>
        </w:rPr>
        <w:t>自投标截止日起90天投标文件应保持有效。有效期不足的投标文件将被拒绝。</w:t>
      </w:r>
    </w:p>
    <w:p w14:paraId="06094B8D">
      <w:pPr>
        <w:spacing w:line="360" w:lineRule="auto"/>
        <w:ind w:firstLine="480" w:firstLineChars="200"/>
        <w:rPr>
          <w:rFonts w:ascii="宋体" w:hAnsi="宋体" w:cs="宋体"/>
          <w:color w:val="auto"/>
          <w:sz w:val="24"/>
          <w:szCs w:val="32"/>
          <w:highlight w:val="none"/>
          <w:lang w:val="en-GB"/>
        </w:rPr>
      </w:pPr>
      <w:r>
        <w:rPr>
          <w:rFonts w:hint="eastAsia" w:ascii="宋体" w:hAnsi="宋体" w:cs="宋体"/>
          <w:color w:val="auto"/>
          <w:sz w:val="24"/>
          <w:szCs w:val="32"/>
          <w:highlight w:val="none"/>
        </w:rPr>
        <w:t>2.</w:t>
      </w:r>
      <w:r>
        <w:rPr>
          <w:rFonts w:hint="eastAsia" w:ascii="宋体" w:hAnsi="宋体" w:cs="宋体"/>
          <w:color w:val="auto"/>
          <w:sz w:val="24"/>
          <w:szCs w:val="32"/>
          <w:highlight w:val="none"/>
          <w:lang w:val="en-GB"/>
        </w:rPr>
        <w:t>在特殊情况下，采购人可与投标人协商延长投标文件的有效期，这种要求和答复均以书面形式进行。</w:t>
      </w:r>
    </w:p>
    <w:p w14:paraId="31DF03F0">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3.中标人的投标文件自开标之日起至合同履行完毕均应保持有效。</w:t>
      </w:r>
    </w:p>
    <w:p w14:paraId="74B8BFCA">
      <w:pPr>
        <w:spacing w:line="360" w:lineRule="auto"/>
        <w:ind w:firstLine="482" w:firstLineChars="200"/>
        <w:outlineLvl w:val="1"/>
        <w:rPr>
          <w:rFonts w:ascii="宋体" w:hAnsi="宋体" w:cs="宋体"/>
          <w:color w:val="auto"/>
          <w:sz w:val="24"/>
          <w:highlight w:val="none"/>
        </w:rPr>
      </w:pPr>
      <w:r>
        <w:rPr>
          <w:rFonts w:hint="eastAsia" w:ascii="宋体" w:hAnsi="宋体" w:cs="宋体"/>
          <w:b/>
          <w:bCs/>
          <w:color w:val="auto"/>
          <w:sz w:val="24"/>
          <w:szCs w:val="32"/>
          <w:highlight w:val="none"/>
        </w:rPr>
        <w:t>四、开标</w:t>
      </w:r>
      <w:bookmarkEnd w:id="14"/>
    </w:p>
    <w:p w14:paraId="1D97F2CC">
      <w:pPr>
        <w:spacing w:line="360" w:lineRule="auto"/>
        <w:ind w:firstLine="480" w:firstLineChars="200"/>
        <w:rPr>
          <w:rFonts w:ascii="宋体" w:hAnsi="宋体" w:cs="宋体"/>
          <w:color w:val="auto"/>
          <w:sz w:val="24"/>
          <w:szCs w:val="32"/>
          <w:highlight w:val="none"/>
        </w:rPr>
      </w:pPr>
      <w:bookmarkStart w:id="15" w:name="_Toc29579"/>
      <w:r>
        <w:rPr>
          <w:rFonts w:hint="eastAsia" w:ascii="宋体" w:hAnsi="宋体" w:cs="宋体"/>
          <w:color w:val="auto"/>
          <w:sz w:val="24"/>
          <w:szCs w:val="32"/>
          <w:highlight w:val="none"/>
        </w:rPr>
        <w:t>（一）开标事项</w:t>
      </w:r>
    </w:p>
    <w:p w14:paraId="16A96B3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采购组织机构按照招标文件规定的时间通过电子交易平台组织开启投标响应文件，</w:t>
      </w:r>
      <w:r>
        <w:rPr>
          <w:rFonts w:hint="eastAsia" w:ascii="宋体" w:hAnsi="宋体"/>
          <w:b/>
          <w:bCs/>
          <w:color w:val="auto"/>
          <w:kern w:val="0"/>
          <w:sz w:val="24"/>
          <w:highlight w:val="none"/>
          <w:u w:val="single"/>
        </w:rPr>
        <w:t>所有投标供应商均应当准时在线参加</w:t>
      </w:r>
      <w:r>
        <w:rPr>
          <w:rFonts w:hint="eastAsia" w:ascii="宋体" w:hAnsi="宋体"/>
          <w:color w:val="auto"/>
          <w:kern w:val="0"/>
          <w:sz w:val="24"/>
          <w:highlight w:val="none"/>
        </w:rPr>
        <w:t>。</w:t>
      </w:r>
    </w:p>
    <w:p w14:paraId="4C32A883">
      <w:pPr>
        <w:autoSpaceDE w:val="0"/>
        <w:autoSpaceDN w:val="0"/>
        <w:adjustRightInd w:val="0"/>
        <w:spacing w:line="360" w:lineRule="auto"/>
        <w:ind w:firstLine="480" w:firstLineChars="200"/>
        <w:rPr>
          <w:rFonts w:ascii="宋体" w:hAnsi="宋体" w:cs="宋体"/>
          <w:color w:val="auto"/>
          <w:sz w:val="24"/>
          <w:szCs w:val="32"/>
          <w:highlight w:val="none"/>
        </w:rPr>
      </w:pPr>
      <w:r>
        <w:rPr>
          <w:rFonts w:hint="eastAsia" w:ascii="宋体" w:hAnsi="宋体"/>
          <w:color w:val="auto"/>
          <w:kern w:val="0"/>
          <w:sz w:val="24"/>
          <w:highlight w:val="none"/>
        </w:rPr>
        <w:t>开标时，电子交易平台自动提取所有投</w:t>
      </w:r>
      <w:r>
        <w:rPr>
          <w:rFonts w:hint="eastAsia" w:ascii="宋体" w:hAnsi="宋体"/>
          <w:color w:val="auto"/>
          <w:kern w:val="0"/>
          <w:sz w:val="24"/>
          <w:highlight w:val="none"/>
          <w:lang w:val="en-US" w:eastAsia="zh-CN"/>
        </w:rPr>
        <w:t>标人的</w:t>
      </w:r>
      <w:r>
        <w:rPr>
          <w:rFonts w:hint="eastAsia" w:ascii="宋体" w:hAnsi="宋体"/>
          <w:color w:val="auto"/>
          <w:kern w:val="0"/>
          <w:sz w:val="24"/>
          <w:highlight w:val="none"/>
        </w:rPr>
        <w:t>响应文件，提示采购组织机构和供应商按招标文件规定的方式和时间在线解密。给予供应商在线解密的时间为开标截止响应后30分钟。</w:t>
      </w:r>
    </w:p>
    <w:p w14:paraId="5BCF28BA">
      <w:pPr>
        <w:autoSpaceDE w:val="0"/>
        <w:autoSpaceDN w:val="0"/>
        <w:adjustRightIn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采购组织机构在“招标公告”规定的时间和地点公开开标，</w:t>
      </w:r>
      <w:r>
        <w:rPr>
          <w:rFonts w:hint="eastAsia" w:cs="Arial"/>
          <w:color w:val="auto"/>
          <w:sz w:val="24"/>
          <w:highlight w:val="none"/>
        </w:rPr>
        <w:t>本项目采用政采云平台线上开标，</w:t>
      </w:r>
      <w:r>
        <w:rPr>
          <w:rFonts w:hint="eastAsia" w:ascii="宋体" w:hAnsi="宋体"/>
          <w:color w:val="auto"/>
          <w:kern w:val="0"/>
          <w:sz w:val="24"/>
          <w:highlight w:val="none"/>
        </w:rPr>
        <w:t>未准时参加的</w:t>
      </w:r>
      <w:r>
        <w:rPr>
          <w:rFonts w:hint="eastAsia" w:ascii="宋体" w:hAnsi="宋体"/>
          <w:bCs/>
          <w:color w:val="auto"/>
          <w:kern w:val="0"/>
          <w:sz w:val="24"/>
          <w:highlight w:val="none"/>
        </w:rPr>
        <w:t>投标供应商视同放弃</w:t>
      </w:r>
      <w:r>
        <w:rPr>
          <w:rFonts w:hint="eastAsia" w:ascii="宋体" w:hAnsi="宋体"/>
          <w:bCs/>
          <w:color w:val="auto"/>
          <w:kern w:val="0"/>
          <w:sz w:val="24"/>
          <w:highlight w:val="none"/>
          <w:lang w:val="en-US" w:eastAsia="zh-CN"/>
        </w:rPr>
        <w:t>开标</w:t>
      </w:r>
      <w:r>
        <w:rPr>
          <w:rFonts w:hint="eastAsia" w:ascii="宋体" w:hAnsi="宋体"/>
          <w:bCs/>
          <w:color w:val="auto"/>
          <w:kern w:val="0"/>
          <w:sz w:val="24"/>
          <w:highlight w:val="none"/>
        </w:rPr>
        <w:t>监督权利、认可开标结果，事后不得对采购相关人员、项目开标过程和评审结果提出异议。（</w:t>
      </w:r>
      <w:r>
        <w:rPr>
          <w:rFonts w:hint="eastAsia" w:ascii="宋体" w:hAnsi="宋体" w:cs="宋体"/>
          <w:color w:val="auto"/>
          <w:sz w:val="24"/>
          <w:szCs w:val="32"/>
          <w:highlight w:val="none"/>
        </w:rPr>
        <w:t>本次招标采用先评审商务资格和技术服务方案，后公开并评审报价的办法实施</w:t>
      </w:r>
      <w:r>
        <w:rPr>
          <w:rFonts w:hint="eastAsia" w:ascii="宋体" w:hAnsi="宋体"/>
          <w:bCs/>
          <w:color w:val="auto"/>
          <w:kern w:val="0"/>
          <w:sz w:val="24"/>
          <w:highlight w:val="none"/>
        </w:rPr>
        <w:t>）</w:t>
      </w:r>
      <w:r>
        <w:rPr>
          <w:rFonts w:hint="eastAsia" w:ascii="宋体" w:hAnsi="宋体" w:cs="宋体"/>
          <w:color w:val="auto"/>
          <w:sz w:val="24"/>
          <w:szCs w:val="32"/>
          <w:highlight w:val="none"/>
        </w:rPr>
        <w:t>。</w:t>
      </w:r>
    </w:p>
    <w:p w14:paraId="639B78C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采购过程中出现以下情形，导致电子交易平台无法正常运行，或者无法保证电子交易的公平、公正和安全时，采购组织机构可中止电子交易活动：</w:t>
      </w:r>
    </w:p>
    <w:p w14:paraId="3BA86C8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 xml:space="preserve">（1）电子交易平台发生故障而无法登录访问的； </w:t>
      </w:r>
    </w:p>
    <w:p w14:paraId="56CF250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（2）电子交易平台应用或数据库出现错误，不能进行正常操作的；</w:t>
      </w:r>
    </w:p>
    <w:p w14:paraId="7101EA2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（3）电子交易平台发现严重安全漏洞，有潜在泄密危险的；</w:t>
      </w:r>
    </w:p>
    <w:p w14:paraId="310B460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 xml:space="preserve">（4）病毒导致不能进行正常操作的； </w:t>
      </w:r>
    </w:p>
    <w:p w14:paraId="6D260F4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（5）其他无法保证电子交易的公平、公正和安全的情况。</w:t>
      </w:r>
    </w:p>
    <w:p w14:paraId="7970D8F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出现前款规定情形，不影响采购公平、公正性的，采购组织机构可以待上述情形消除后继续组织电子交易活动；影响或可能影响采购公平、公正性的，应当重新采购。</w:t>
      </w:r>
    </w:p>
    <w:p w14:paraId="4AF2914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（二） 开标程序：</w:t>
      </w:r>
    </w:p>
    <w:p w14:paraId="107DC8A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1、开标时间到后，主持人准时组织开标；</w:t>
      </w:r>
    </w:p>
    <w:p w14:paraId="10E0721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 xml:space="preserve">2、宣布开标纪律； </w:t>
      </w:r>
    </w:p>
    <w:p w14:paraId="123CD2E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3、宣布采购组织机构工作人员。</w:t>
      </w:r>
    </w:p>
    <w:p w14:paraId="6CCDE559">
      <w:pPr>
        <w:spacing w:line="360" w:lineRule="auto"/>
        <w:ind w:firstLine="480" w:firstLineChars="200"/>
        <w:rPr>
          <w:bCs/>
          <w:color w:val="auto"/>
          <w:sz w:val="24"/>
          <w:highlight w:val="none"/>
        </w:rPr>
      </w:pPr>
      <w:r>
        <w:rPr>
          <w:rFonts w:hint="eastAsia" w:ascii="宋体" w:hAnsi="宋体" w:cs="宋体"/>
          <w:color w:val="auto"/>
          <w:sz w:val="24"/>
          <w:szCs w:val="32"/>
          <w:highlight w:val="none"/>
        </w:rPr>
        <w:t>4、向各投标人发出电子加密投标文件【开始解密】通知，由投标人按招标文件规定的时间内自行</w:t>
      </w:r>
      <w:r>
        <w:rPr>
          <w:rFonts w:ascii="宋体" w:hAnsi="宋体"/>
          <w:color w:val="auto"/>
          <w:sz w:val="24"/>
          <w:highlight w:val="none"/>
        </w:rPr>
        <w:t>在政采云平台上完成</w:t>
      </w:r>
      <w:r>
        <w:rPr>
          <w:rFonts w:hint="eastAsia" w:ascii="宋体" w:hAnsi="宋体" w:cs="宋体"/>
          <w:color w:val="auto"/>
          <w:sz w:val="24"/>
          <w:szCs w:val="32"/>
          <w:highlight w:val="none"/>
        </w:rPr>
        <w:t>在线解密投标文件</w:t>
      </w:r>
      <w:r>
        <w:rPr>
          <w:rFonts w:ascii="宋体" w:hAnsi="宋体"/>
          <w:color w:val="auto"/>
          <w:sz w:val="24"/>
          <w:highlight w:val="none"/>
        </w:rPr>
        <w:t>，</w:t>
      </w:r>
      <w:r>
        <w:rPr>
          <w:b/>
          <w:color w:val="auto"/>
          <w:sz w:val="24"/>
          <w:highlight w:val="none"/>
        </w:rPr>
        <w:t>若有供应商发生解密异常时，可以申请通过</w:t>
      </w:r>
      <w:r>
        <w:rPr>
          <w:rFonts w:hint="eastAsia"/>
          <w:b/>
          <w:color w:val="auto"/>
          <w:sz w:val="24"/>
          <w:highlight w:val="none"/>
        </w:rPr>
        <w:t>【异常处理】端口上传、解密。</w:t>
      </w:r>
      <w:r>
        <w:rPr>
          <w:rFonts w:hint="eastAsia"/>
          <w:bCs/>
          <w:color w:val="auto"/>
          <w:sz w:val="24"/>
          <w:highlight w:val="none"/>
        </w:rPr>
        <w:t>供应商的解密投标响应文件解密失败或逾期解密的，响应文件将作无效标处理。</w:t>
      </w:r>
    </w:p>
    <w:p w14:paraId="2BC9BCD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5.采购组织机构工作人员当众宣布投标供应商名称、投标价格和招标文件规定的需要宣布的其他内容；（以开标一览表要求为准）</w:t>
      </w:r>
    </w:p>
    <w:p w14:paraId="17055E4B">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6.公布开标结果。</w:t>
      </w:r>
    </w:p>
    <w:p w14:paraId="7944EC0A">
      <w:pPr>
        <w:pStyle w:val="7"/>
        <w:shd w:val="clea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）开标异议</w:t>
      </w:r>
    </w:p>
    <w:p w14:paraId="5AEFF864">
      <w:pPr>
        <w:pStyle w:val="7"/>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投标供应商代表对开标过程和开标记录有</w:t>
      </w:r>
      <w:r>
        <w:rPr>
          <w:rFonts w:hint="eastAsia" w:asciiTheme="minorEastAsia" w:hAnsiTheme="minorEastAsia" w:eastAsiaTheme="minorEastAsia" w:cstheme="minorEastAsia"/>
          <w:color w:val="auto"/>
          <w:sz w:val="24"/>
          <w:szCs w:val="24"/>
          <w:highlight w:val="none"/>
          <w:lang w:eastAsia="zh-CN"/>
        </w:rPr>
        <w:t>异议</w:t>
      </w:r>
      <w:r>
        <w:rPr>
          <w:rFonts w:hint="eastAsia" w:asciiTheme="minorEastAsia" w:hAnsiTheme="minorEastAsia" w:eastAsiaTheme="minorEastAsia" w:cstheme="minorEastAsia"/>
          <w:color w:val="auto"/>
          <w:sz w:val="24"/>
          <w:szCs w:val="24"/>
          <w:highlight w:val="none"/>
        </w:rPr>
        <w:t>，以及认为采购人、采购组织机构相关工作人员有需要回避的情形的，应在法律法规规定的期限内提出。</w:t>
      </w:r>
    </w:p>
    <w:p w14:paraId="1BEA8450">
      <w:pPr>
        <w:spacing w:line="360" w:lineRule="auto"/>
        <w:ind w:firstLine="482" w:firstLineChars="200"/>
        <w:rPr>
          <w:rFonts w:hint="eastAsia" w:ascii="宋体" w:hAnsi="宋体" w:cs="宋体"/>
          <w:color w:val="auto"/>
          <w:sz w:val="24"/>
          <w:szCs w:val="32"/>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投标供应商不足三家，不得开标。</w:t>
      </w:r>
    </w:p>
    <w:p w14:paraId="424035A7">
      <w:pPr>
        <w:spacing w:line="360" w:lineRule="auto"/>
        <w:ind w:firstLine="482" w:firstLineChars="200"/>
        <w:outlineLvl w:val="1"/>
        <w:rPr>
          <w:rFonts w:ascii="宋体" w:hAnsi="宋体" w:cs="宋体"/>
          <w:b/>
          <w:bCs/>
          <w:color w:val="auto"/>
          <w:sz w:val="24"/>
          <w:szCs w:val="32"/>
          <w:highlight w:val="none"/>
        </w:rPr>
      </w:pPr>
      <w:r>
        <w:rPr>
          <w:rFonts w:hint="eastAsia" w:ascii="宋体" w:hAnsi="宋体" w:cs="宋体"/>
          <w:b/>
          <w:bCs/>
          <w:color w:val="auto"/>
          <w:sz w:val="24"/>
          <w:szCs w:val="32"/>
          <w:highlight w:val="none"/>
        </w:rPr>
        <w:t>五、评标</w:t>
      </w:r>
      <w:bookmarkEnd w:id="15"/>
    </w:p>
    <w:p w14:paraId="68B0C8C5">
      <w:pPr>
        <w:spacing w:line="360" w:lineRule="auto"/>
        <w:ind w:firstLine="480" w:firstLineChars="200"/>
        <w:rPr>
          <w:rFonts w:ascii="宋体" w:hAnsi="宋体" w:cs="宋体"/>
          <w:color w:val="auto"/>
          <w:highlight w:val="none"/>
        </w:rPr>
      </w:pPr>
      <w:r>
        <w:rPr>
          <w:rFonts w:hint="eastAsia" w:ascii="宋体" w:hAnsi="宋体" w:cs="宋体"/>
          <w:color w:val="auto"/>
          <w:sz w:val="24"/>
          <w:szCs w:val="32"/>
          <w:highlight w:val="none"/>
        </w:rPr>
        <w:t>本项目采用不公开方式评标，评标的依据为招标文件和投标文件。本项目采用电子评审方法，若因政采云平台原因无法读取或电子开评标无法正常进行，采购代理机构可采用延期组织评标活动，如影响或可能影响采购公平、公正性的，则重新采购。</w:t>
      </w:r>
    </w:p>
    <w:p w14:paraId="3A6383D2">
      <w:pPr>
        <w:spacing w:line="360" w:lineRule="auto"/>
        <w:ind w:firstLine="482" w:firstLineChars="200"/>
        <w:outlineLvl w:val="2"/>
        <w:rPr>
          <w:rFonts w:ascii="宋体" w:hAnsi="宋体" w:cs="宋体"/>
          <w:b/>
          <w:bCs/>
          <w:color w:val="auto"/>
          <w:sz w:val="24"/>
          <w:szCs w:val="32"/>
          <w:highlight w:val="none"/>
        </w:rPr>
      </w:pPr>
      <w:bookmarkStart w:id="16" w:name="_Toc16776"/>
      <w:r>
        <w:rPr>
          <w:rFonts w:hint="eastAsia" w:ascii="宋体" w:hAnsi="宋体" w:cs="宋体"/>
          <w:b/>
          <w:bCs/>
          <w:color w:val="auto"/>
          <w:sz w:val="24"/>
          <w:szCs w:val="32"/>
          <w:highlight w:val="none"/>
        </w:rPr>
        <w:t>（一）组建评标委员会</w:t>
      </w:r>
      <w:bookmarkEnd w:id="16"/>
    </w:p>
    <w:p w14:paraId="7548E5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评标委员会由采购人代表和评审专家组成，成员人数为5人以上单数，其中评审专家不得少于成员总数的三分之二。</w:t>
      </w:r>
    </w:p>
    <w:p w14:paraId="137D3AA2">
      <w:pPr>
        <w:spacing w:line="360" w:lineRule="auto"/>
        <w:ind w:firstLine="482" w:firstLineChars="200"/>
        <w:outlineLvl w:val="2"/>
        <w:rPr>
          <w:rFonts w:ascii="宋体" w:hAnsi="宋体" w:cs="宋体"/>
          <w:b/>
          <w:bCs/>
          <w:color w:val="auto"/>
          <w:sz w:val="24"/>
          <w:szCs w:val="32"/>
          <w:highlight w:val="none"/>
        </w:rPr>
      </w:pPr>
      <w:bookmarkStart w:id="17" w:name="_Toc14351"/>
      <w:r>
        <w:rPr>
          <w:rFonts w:hint="eastAsia" w:ascii="宋体" w:hAnsi="宋体" w:cs="宋体"/>
          <w:b/>
          <w:bCs/>
          <w:color w:val="auto"/>
          <w:sz w:val="24"/>
          <w:szCs w:val="32"/>
          <w:highlight w:val="none"/>
        </w:rPr>
        <w:t>（二）评标程序</w:t>
      </w:r>
      <w:bookmarkEnd w:id="17"/>
    </w:p>
    <w:p w14:paraId="600B439A">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1、资格审查</w:t>
      </w:r>
    </w:p>
    <w:p w14:paraId="3479D5D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公开招标采购项目开标结束后，采购人或者采购组织机构应当依法对投标人的资格进行审查，对审查发现无效的进行必要的询标，结束后公布无效投标的投标人名单、投标无效的原因。</w:t>
      </w:r>
    </w:p>
    <w:p w14:paraId="6EC4E4D0">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2、符合性审查</w:t>
      </w:r>
    </w:p>
    <w:p w14:paraId="147429F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评标委员会应当对符合资格的投标人的投标文件进行符合性审查，以确定其是否满足招标文件的实质性要求，对审查发现无效的进行必要的询标，结束后公布无效投标的投标人名单、投标无效的原因。</w:t>
      </w:r>
    </w:p>
    <w:p w14:paraId="1CF63792">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3、综合比较与评价</w:t>
      </w:r>
    </w:p>
    <w:p w14:paraId="52B92D1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（1）对于投标文件中含义不明确、同类问题表述不一致或者有明显文字和计算错误的内容，评标委员会应当以书面形式要求投标人作出必要的澄清、说明或者补正。</w:t>
      </w:r>
    </w:p>
    <w:p w14:paraId="02CF6E2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（2）评标委员会应当按照招标文件中规定的评标方法和标准，对符合性审查合格的投标文件进行商务和技术评估，综合比较与评价。</w:t>
      </w:r>
    </w:p>
    <w:p w14:paraId="327428E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（3）评标时，评标委员会各成员应当独立对每个投标人的投标文件进行评价，并汇总每个投标人的得分。</w:t>
      </w:r>
    </w:p>
    <w:p w14:paraId="7EAF8F57">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4、得分确认及评审报告编写</w:t>
      </w:r>
    </w:p>
    <w:p w14:paraId="6E731C1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（1）评标委员会对报价文件进行复核，</w:t>
      </w:r>
      <w:r>
        <w:rPr>
          <w:rFonts w:hint="eastAsia" w:ascii="宋体" w:hAnsi="宋体" w:cs="宋体"/>
          <w:color w:val="auto"/>
          <w:sz w:val="24"/>
          <w:szCs w:val="32"/>
          <w:highlight w:val="none"/>
          <w:lang w:eastAsia="zh-CN"/>
        </w:rPr>
        <w:t>对</w:t>
      </w:r>
      <w:r>
        <w:rPr>
          <w:rFonts w:hint="eastAsia" w:ascii="宋体" w:hAnsi="宋体" w:cs="宋体"/>
          <w:color w:val="auto"/>
          <w:sz w:val="24"/>
          <w:szCs w:val="32"/>
          <w:highlight w:val="none"/>
        </w:rPr>
        <w:t>系统计算出的价格分及总得分进行确认；</w:t>
      </w:r>
    </w:p>
    <w:p w14:paraId="6EC9542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（2）评标委员会应当按照招标文件中规定的评标方法和标准，对符合性审查合格的投标文件进行商务和技术评估，综合比较与评价。</w:t>
      </w:r>
    </w:p>
    <w:p w14:paraId="2CE844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（3）评标委员会按评标原则及得分情况编写评审报告。</w:t>
      </w:r>
    </w:p>
    <w:p w14:paraId="648EDEEB">
      <w:pPr>
        <w:spacing w:line="360" w:lineRule="auto"/>
        <w:ind w:firstLine="482" w:firstLineChars="200"/>
        <w:outlineLvl w:val="2"/>
        <w:rPr>
          <w:rFonts w:ascii="宋体" w:hAnsi="宋体" w:cs="宋体"/>
          <w:b/>
          <w:bCs/>
          <w:color w:val="auto"/>
          <w:sz w:val="24"/>
          <w:szCs w:val="32"/>
          <w:highlight w:val="none"/>
        </w:rPr>
      </w:pPr>
      <w:bookmarkStart w:id="18" w:name="_Toc21685"/>
      <w:r>
        <w:rPr>
          <w:rFonts w:hint="eastAsia" w:ascii="宋体" w:hAnsi="宋体" w:cs="宋体"/>
          <w:b/>
          <w:bCs/>
          <w:color w:val="auto"/>
          <w:sz w:val="24"/>
          <w:szCs w:val="32"/>
          <w:highlight w:val="none"/>
        </w:rPr>
        <w:t>（三）澄清问题的形式</w:t>
      </w:r>
      <w:bookmarkEnd w:id="18"/>
    </w:p>
    <w:p w14:paraId="6DA9E9F1">
      <w:pPr>
        <w:snapToGrid w:val="0"/>
        <w:spacing w:line="440" w:lineRule="exact"/>
        <w:ind w:firstLine="480" w:firstLineChars="200"/>
        <w:rPr>
          <w:rFonts w:ascii="宋体" w:hAnsi="宋体" w:cs="宋体"/>
          <w:color w:val="auto"/>
          <w:sz w:val="24"/>
          <w:highlight w:val="none"/>
        </w:rPr>
      </w:pPr>
      <w:r>
        <w:rPr>
          <w:rFonts w:hint="eastAsia" w:cs="Arial"/>
          <w:color w:val="auto"/>
          <w:sz w:val="24"/>
          <w:highlight w:val="none"/>
        </w:rPr>
        <w:t>评审过程中若需要供应商对投标文件作出澄清、说明或者补正的，评审小组可要求供应商在合理期限内通过</w:t>
      </w:r>
      <w:r>
        <w:rPr>
          <w:rFonts w:cs="Arial"/>
          <w:color w:val="auto"/>
          <w:sz w:val="24"/>
          <w:highlight w:val="none"/>
        </w:rPr>
        <w:t>线上询标澄清方式作出</w:t>
      </w:r>
      <w:r>
        <w:rPr>
          <w:rFonts w:hint="eastAsia" w:ascii="宋体" w:hAnsi="宋体"/>
          <w:color w:val="auto"/>
          <w:sz w:val="24"/>
          <w:highlight w:val="none"/>
        </w:rPr>
        <w:t>，并不得超出投标响应文件的范围或者改变投标响应文件的实质性内容</w:t>
      </w:r>
      <w:r>
        <w:rPr>
          <w:rFonts w:cs="Arial"/>
          <w:color w:val="auto"/>
          <w:sz w:val="24"/>
          <w:highlight w:val="none"/>
        </w:rPr>
        <w:t>。</w:t>
      </w:r>
      <w:r>
        <w:rPr>
          <w:rFonts w:hint="eastAsia" w:cs="Arial"/>
          <w:color w:val="auto"/>
          <w:sz w:val="24"/>
          <w:highlight w:val="none"/>
        </w:rPr>
        <w:t>评审</w:t>
      </w:r>
      <w:r>
        <w:rPr>
          <w:rFonts w:cs="Arial"/>
          <w:color w:val="auto"/>
          <w:sz w:val="24"/>
          <w:highlight w:val="none"/>
        </w:rPr>
        <w:t>小组给予供应商提交澄清、说明或补正的时间不得少于半小时，供应商已经明确表示澄清、说明或补正完毕的除外。请</w:t>
      </w:r>
      <w:r>
        <w:rPr>
          <w:rFonts w:hint="eastAsia" w:cs="Arial"/>
          <w:color w:val="auto"/>
          <w:sz w:val="24"/>
          <w:highlight w:val="none"/>
        </w:rPr>
        <w:t>投标</w:t>
      </w:r>
      <w:r>
        <w:rPr>
          <w:rFonts w:cs="Arial"/>
          <w:color w:val="auto"/>
          <w:sz w:val="24"/>
          <w:highlight w:val="none"/>
        </w:rPr>
        <w:t>供应商在</w:t>
      </w:r>
      <w:r>
        <w:rPr>
          <w:rFonts w:hint="eastAsia" w:cs="Arial"/>
          <w:color w:val="auto"/>
          <w:sz w:val="24"/>
          <w:highlight w:val="none"/>
        </w:rPr>
        <w:t>开标</w:t>
      </w:r>
      <w:r>
        <w:rPr>
          <w:rFonts w:cs="Arial"/>
          <w:color w:val="auto"/>
          <w:sz w:val="24"/>
          <w:highlight w:val="none"/>
        </w:rPr>
        <w:t>期间保持电话畅通，如未及时接听电话或超出澄清、说明或补正时间的，视为放弃澄清、说明或补正的权利</w:t>
      </w:r>
      <w:r>
        <w:rPr>
          <w:rFonts w:hint="eastAsia" w:ascii="宋体" w:hAnsi="宋体" w:cs="宋体"/>
          <w:color w:val="auto"/>
          <w:sz w:val="24"/>
          <w:szCs w:val="32"/>
          <w:highlight w:val="none"/>
        </w:rPr>
        <w:t>。</w:t>
      </w:r>
    </w:p>
    <w:p w14:paraId="53B6F449">
      <w:pPr>
        <w:spacing w:line="360" w:lineRule="auto"/>
        <w:ind w:firstLine="482" w:firstLineChars="200"/>
        <w:outlineLvl w:val="2"/>
        <w:rPr>
          <w:rFonts w:ascii="宋体" w:hAnsi="宋体" w:cs="宋体"/>
          <w:b/>
          <w:bCs/>
          <w:color w:val="auto"/>
          <w:sz w:val="24"/>
          <w:szCs w:val="32"/>
          <w:highlight w:val="none"/>
        </w:rPr>
      </w:pPr>
      <w:bookmarkStart w:id="19" w:name="_Toc22787"/>
      <w:r>
        <w:rPr>
          <w:rFonts w:hint="eastAsia" w:ascii="宋体" w:hAnsi="宋体" w:cs="宋体"/>
          <w:b/>
          <w:bCs/>
          <w:color w:val="auto"/>
          <w:sz w:val="24"/>
          <w:szCs w:val="32"/>
          <w:highlight w:val="none"/>
        </w:rPr>
        <w:t>（四）错误修正</w:t>
      </w:r>
      <w:bookmarkEnd w:id="19"/>
    </w:p>
    <w:p w14:paraId="63E308E0">
      <w:pPr>
        <w:spacing w:line="360" w:lineRule="auto"/>
        <w:ind w:firstLine="480" w:firstLineChars="200"/>
        <w:rPr>
          <w:rFonts w:ascii="宋体" w:hAnsi="宋体" w:cs="宋体"/>
          <w:color w:val="auto"/>
          <w:sz w:val="24"/>
          <w:szCs w:val="32"/>
          <w:highlight w:val="none"/>
        </w:rPr>
      </w:pPr>
      <w:bookmarkStart w:id="20" w:name="_Toc27779"/>
      <w:r>
        <w:rPr>
          <w:rFonts w:hint="eastAsia" w:ascii="宋体" w:hAnsi="宋体" w:cs="宋体"/>
          <w:color w:val="auto"/>
          <w:sz w:val="24"/>
          <w:szCs w:val="32"/>
          <w:highlight w:val="none"/>
        </w:rPr>
        <w:t>投标文件报价出现前后不一致的，除招标文件另有规定外，按照下列规定修正：</w:t>
      </w:r>
    </w:p>
    <w:p w14:paraId="7E5B5C9A">
      <w:pPr>
        <w:numPr>
          <w:ilvl w:val="0"/>
          <w:numId w:val="3"/>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“政府采购云平台”上开启的投标报价与电子投标文件中开标一览表（报价表）内容不一致的，以电子投标文件中开标一览表（报价表）为准</w:t>
      </w:r>
      <w:r>
        <w:rPr>
          <w:rFonts w:hint="eastAsia" w:ascii="宋体" w:hAnsi="宋体" w:cs="宋体"/>
          <w:color w:val="auto"/>
          <w:sz w:val="24"/>
          <w:szCs w:val="32"/>
          <w:highlight w:val="none"/>
          <w:lang w:eastAsia="zh-CN"/>
        </w:rPr>
        <w:t>；</w:t>
      </w:r>
    </w:p>
    <w:p w14:paraId="79C20E35">
      <w:pPr>
        <w:numPr>
          <w:ilvl w:val="0"/>
          <w:numId w:val="3"/>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投标文件中开标一览表（报价表）内容与投标文件中相应内容不一致的，以开标一览表（报价表）为准；</w:t>
      </w:r>
    </w:p>
    <w:p w14:paraId="56094DE2">
      <w:pPr>
        <w:numPr>
          <w:ilvl w:val="0"/>
          <w:numId w:val="3"/>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大写金额和小写金额不一致的，以大写金额为准；</w:t>
      </w:r>
    </w:p>
    <w:p w14:paraId="5159B97B">
      <w:pPr>
        <w:numPr>
          <w:ilvl w:val="0"/>
          <w:numId w:val="3"/>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单价金额小数点或者百分比有明显错位的，以开标一览表的总价为准，并修改单价；</w:t>
      </w:r>
    </w:p>
    <w:p w14:paraId="2CC1826D">
      <w:pPr>
        <w:numPr>
          <w:ilvl w:val="0"/>
          <w:numId w:val="3"/>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总价金额与按单价汇总金额不一致的，以单价金额计算结果为准。</w:t>
      </w:r>
    </w:p>
    <w:p w14:paraId="4939FB6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同时出现两种以上不一致的，按照前款规定的顺序修正。修正应当采用书面形式，并加盖公章，或者由</w:t>
      </w: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或其授权委托代理人签字。修正后的报价经投标人确认后产生约束力，投标人不确认的，其投标无效。</w:t>
      </w:r>
    </w:p>
    <w:p w14:paraId="02DDBB03">
      <w:pPr>
        <w:spacing w:line="360" w:lineRule="auto"/>
        <w:ind w:firstLine="482" w:firstLineChars="200"/>
        <w:outlineLvl w:val="2"/>
        <w:rPr>
          <w:rFonts w:ascii="宋体" w:hAnsi="宋体" w:cs="宋体"/>
          <w:b/>
          <w:bCs/>
          <w:color w:val="auto"/>
          <w:sz w:val="24"/>
          <w:szCs w:val="32"/>
          <w:highlight w:val="none"/>
        </w:rPr>
      </w:pPr>
      <w:r>
        <w:rPr>
          <w:rFonts w:hint="eastAsia" w:ascii="宋体" w:hAnsi="宋体" w:cs="宋体"/>
          <w:b/>
          <w:bCs/>
          <w:color w:val="auto"/>
          <w:sz w:val="24"/>
          <w:szCs w:val="32"/>
          <w:highlight w:val="none"/>
        </w:rPr>
        <w:t>（五）投标人存在下列情况之一的，投标无效</w:t>
      </w:r>
      <w:bookmarkEnd w:id="20"/>
    </w:p>
    <w:p w14:paraId="266C2982">
      <w:pPr>
        <w:spacing w:line="360" w:lineRule="auto"/>
        <w:ind w:firstLine="480" w:firstLineChars="200"/>
        <w:rPr>
          <w:rFonts w:ascii="宋体" w:hAnsi="宋体" w:cs="宋体"/>
          <w:color w:val="auto"/>
          <w:highlight w:val="none"/>
        </w:rPr>
      </w:pPr>
      <w:r>
        <w:rPr>
          <w:rFonts w:hint="eastAsia" w:ascii="宋体" w:hAnsi="宋体" w:cs="宋体"/>
          <w:color w:val="auto"/>
          <w:sz w:val="24"/>
          <w:szCs w:val="32"/>
          <w:highlight w:val="none"/>
        </w:rPr>
        <w:t>1、电子投标文件在指定页面无</w:t>
      </w: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盖章或签字、未在指定页面盖公章、在指定页面无被授权人签字、未提供投标函或者投标函格式不符合招标文件要求或填写项目不齐全的；</w:t>
      </w:r>
    </w:p>
    <w:p w14:paraId="34A9700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2、资格及商务与技术文件跟报价文件出现混装或在</w:t>
      </w:r>
      <w:r>
        <w:rPr>
          <w:rFonts w:hint="eastAsia" w:ascii="宋体" w:hAnsi="宋体" w:cs="宋体"/>
          <w:color w:val="auto"/>
          <w:sz w:val="24"/>
          <w:highlight w:val="none"/>
        </w:rPr>
        <w:t>资格及商务与技术文件</w:t>
      </w:r>
      <w:r>
        <w:rPr>
          <w:rFonts w:hint="eastAsia" w:ascii="宋体" w:hAnsi="宋体" w:cs="宋体"/>
          <w:color w:val="auto"/>
          <w:sz w:val="24"/>
          <w:szCs w:val="32"/>
          <w:highlight w:val="none"/>
        </w:rPr>
        <w:t>中出现投标报价的；</w:t>
      </w:r>
    </w:p>
    <w:p w14:paraId="76C1C19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3、不具备招标文件中规定的资格要求的。</w:t>
      </w:r>
      <w:r>
        <w:rPr>
          <w:rFonts w:hint="eastAsia" w:ascii="宋体" w:hAnsi="宋体" w:cs="宋体"/>
          <w:color w:val="auto"/>
          <w:sz w:val="24"/>
          <w:szCs w:val="32"/>
          <w:highlight w:val="none"/>
        </w:rPr>
        <w:tab/>
      </w:r>
    </w:p>
    <w:p w14:paraId="3377AED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4、投标文件含有采购人不能接受的附加条件的。</w:t>
      </w:r>
    </w:p>
    <w:p w14:paraId="04FAA0F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5、授权委托代理人未能出具身份证明或与</w:t>
      </w: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授权委托人身份不符的；</w:t>
      </w:r>
    </w:p>
    <w:p w14:paraId="36F3AE7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6、评标委员会认为投标人的报价明显低于其他通过符合性审</w:t>
      </w:r>
      <w:r>
        <w:rPr>
          <w:rFonts w:hint="eastAsia" w:ascii="宋体" w:hAnsi="宋体" w:cs="宋体"/>
          <w:color w:val="auto"/>
          <w:sz w:val="24"/>
          <w:szCs w:val="32"/>
          <w:highlight w:val="none"/>
          <w:lang w:eastAsia="zh-CN"/>
        </w:rPr>
        <w:t>查的</w:t>
      </w:r>
      <w:r>
        <w:rPr>
          <w:rFonts w:hint="eastAsia" w:ascii="宋体" w:hAnsi="宋体" w:cs="宋体"/>
          <w:color w:val="auto"/>
          <w:sz w:val="24"/>
          <w:szCs w:val="32"/>
          <w:highlight w:val="none"/>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4D31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7、报价超过招标文件中规定的预算金额。</w:t>
      </w:r>
    </w:p>
    <w:p w14:paraId="6FF2C36F">
      <w:pPr>
        <w:spacing w:line="360" w:lineRule="auto"/>
        <w:ind w:firstLine="480" w:firstLineChars="200"/>
        <w:rPr>
          <w:rFonts w:ascii="宋体" w:hAnsi="宋体" w:cs="宋体"/>
          <w:color w:val="auto"/>
          <w:sz w:val="24"/>
          <w:szCs w:val="32"/>
          <w:highlight w:val="none"/>
        </w:rPr>
      </w:pPr>
      <w:r>
        <w:rPr>
          <w:rFonts w:hint="eastAsia" w:ascii="宋体" w:hAnsi="宋体" w:cs="宋体"/>
          <w:strike w:val="0"/>
          <w:color w:val="auto"/>
          <w:sz w:val="24"/>
          <w:szCs w:val="32"/>
          <w:highlight w:val="none"/>
          <w:lang w:val="en-US" w:eastAsia="zh-CN"/>
        </w:rPr>
        <w:t>8、</w:t>
      </w:r>
      <w:r>
        <w:rPr>
          <w:rFonts w:hint="eastAsia" w:ascii="宋体" w:hAnsi="宋体" w:cs="宋体"/>
          <w:color w:val="auto"/>
          <w:sz w:val="24"/>
          <w:szCs w:val="32"/>
          <w:highlight w:val="none"/>
        </w:rPr>
        <w:t>、投标文件提供虚假材料的。</w:t>
      </w:r>
    </w:p>
    <w:p w14:paraId="60210BB1">
      <w:pPr>
        <w:spacing w:line="360" w:lineRule="auto"/>
        <w:ind w:firstLine="480" w:firstLineChars="200"/>
        <w:rPr>
          <w:color w:val="auto"/>
          <w:highlight w:val="none"/>
        </w:rPr>
      </w:pPr>
      <w:r>
        <w:rPr>
          <w:rFonts w:hint="eastAsia" w:ascii="宋体" w:hAnsi="宋体" w:cs="宋体"/>
          <w:color w:val="auto"/>
          <w:sz w:val="24"/>
          <w:szCs w:val="32"/>
          <w:highlight w:val="none"/>
          <w:lang w:val="en-US" w:eastAsia="zh-CN"/>
        </w:rPr>
        <w:t>9</w:t>
      </w:r>
      <w:r>
        <w:rPr>
          <w:rFonts w:hint="eastAsia" w:ascii="宋体" w:hAnsi="宋体" w:cs="宋体"/>
          <w:color w:val="auto"/>
          <w:sz w:val="24"/>
          <w:szCs w:val="32"/>
          <w:highlight w:val="none"/>
        </w:rPr>
        <w:t>、投标人的电子投标文件无法按时解密的。</w:t>
      </w:r>
    </w:p>
    <w:p w14:paraId="5C5E45C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、不符合中华人民共和国财政部令第87号《政府采购货物和服务招标投标管理办法》第三十七条情形之一的，视为投标人串通投标，其投标无效，并移送采购监管部门：</w:t>
      </w:r>
    </w:p>
    <w:p w14:paraId="0CBFAC3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（1）不同投标人的投标文件由同一单位或者个人编制；</w:t>
      </w:r>
    </w:p>
    <w:p w14:paraId="4E6F274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（2）不同投标人委托同一单位或者个人办理投标事宜；</w:t>
      </w:r>
    </w:p>
    <w:p w14:paraId="21D33D1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（3）不同投标人的投标文件载明的项目管理成员或者联系人员为同一人；</w:t>
      </w:r>
    </w:p>
    <w:p w14:paraId="6FE2BC7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（4）不同投标人的投标文件异常一致或者投标报价呈规律性差异；</w:t>
      </w:r>
    </w:p>
    <w:p w14:paraId="67E6B31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（5）不同投标人的投标文件相互混装；</w:t>
      </w:r>
    </w:p>
    <w:p w14:paraId="332B74D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11</w:t>
      </w:r>
      <w:r>
        <w:rPr>
          <w:rFonts w:hint="eastAsia" w:ascii="宋体" w:hAnsi="宋体" w:cs="宋体"/>
          <w:color w:val="auto"/>
          <w:sz w:val="24"/>
          <w:szCs w:val="32"/>
          <w:highlight w:val="none"/>
        </w:rPr>
        <w:t>、不同供应商的响应文件上传计算机的网卡MAC地址或硬盘序列号等硬件信息相同且无法合理解释的；</w:t>
      </w:r>
    </w:p>
    <w:p w14:paraId="2F57CD9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12、</w:t>
      </w:r>
      <w:r>
        <w:rPr>
          <w:rFonts w:hint="eastAsia" w:ascii="宋体" w:hAnsi="宋体" w:cs="宋体"/>
          <w:color w:val="auto"/>
          <w:sz w:val="24"/>
          <w:szCs w:val="32"/>
          <w:highlight w:val="none"/>
        </w:rPr>
        <w:t>上传的响应文件若出现使用本项目其他响应供应商的数字证书加密的，或者加盖本项目其他响应供应商的电子印章且无法合理解释的；</w:t>
      </w:r>
    </w:p>
    <w:p w14:paraId="6B1D178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不同供应商的响应文件的内容存在3处（含）以上错误一致且无法合理解释的；</w:t>
      </w:r>
    </w:p>
    <w:p w14:paraId="53EE741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不同供应商联系人为同一人或不同联系人的联系电话一致且无法合理解释的；</w:t>
      </w:r>
    </w:p>
    <w:p w14:paraId="531A0F7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15、</w:t>
      </w:r>
      <w:r>
        <w:rPr>
          <w:rFonts w:hint="eastAsia" w:ascii="宋体" w:hAnsi="宋体" w:cs="宋体"/>
          <w:color w:val="auto"/>
          <w:sz w:val="24"/>
          <w:szCs w:val="32"/>
          <w:highlight w:val="none"/>
        </w:rPr>
        <w:t>不符合法律、法规和招标文件中规定的其他实质性要求的（招标文件</w:t>
      </w:r>
    </w:p>
    <w:p w14:paraId="414C58A7">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中打“▲”内容及被拒绝的条款）。</w:t>
      </w:r>
    </w:p>
    <w:p w14:paraId="4F7956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、未传输递交电子投标文件的或者未按规定提供相应的备份投标文件，造成项目开评标活动无法进行下去的.</w:t>
      </w:r>
    </w:p>
    <w:p w14:paraId="606D4D95">
      <w:pPr>
        <w:spacing w:line="360" w:lineRule="auto"/>
        <w:ind w:firstLine="482" w:firstLineChars="200"/>
        <w:outlineLvl w:val="2"/>
        <w:rPr>
          <w:rFonts w:ascii="宋体" w:hAnsi="宋体" w:cs="宋体"/>
          <w:b/>
          <w:bCs/>
          <w:color w:val="auto"/>
          <w:sz w:val="24"/>
          <w:szCs w:val="32"/>
          <w:highlight w:val="none"/>
        </w:rPr>
      </w:pPr>
      <w:bookmarkStart w:id="21" w:name="_Toc822"/>
      <w:r>
        <w:rPr>
          <w:rFonts w:hint="eastAsia" w:ascii="宋体" w:hAnsi="宋体" w:cs="宋体"/>
          <w:b/>
          <w:bCs/>
          <w:color w:val="auto"/>
          <w:sz w:val="24"/>
          <w:szCs w:val="32"/>
          <w:highlight w:val="none"/>
        </w:rPr>
        <w:t>（六）有下列情况之一的，本次招标作为废标处理</w:t>
      </w:r>
      <w:bookmarkEnd w:id="21"/>
    </w:p>
    <w:p w14:paraId="4AD4B3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1、出现影响采购公正的违法、违规行为的；</w:t>
      </w:r>
    </w:p>
    <w:p w14:paraId="4C7636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2、评标委员会发现招标文件存在歧义、重大缺陷导致评标工作无法进行，或者招标文件内容违反国家有关强制性规定的； </w:t>
      </w:r>
    </w:p>
    <w:p w14:paraId="6E9355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3、因重大变故，采购任务取消的；</w:t>
      </w:r>
    </w:p>
    <w:p w14:paraId="58AA9C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4、法律、法规和招标文件规定的其他导致评标结果无效的。</w:t>
      </w:r>
    </w:p>
    <w:p w14:paraId="4D4D44F6">
      <w:pPr>
        <w:spacing w:line="360" w:lineRule="auto"/>
        <w:ind w:firstLine="482" w:firstLineChars="200"/>
        <w:outlineLvl w:val="2"/>
        <w:rPr>
          <w:rFonts w:ascii="宋体" w:hAnsi="宋体" w:cs="宋体"/>
          <w:b/>
          <w:bCs/>
          <w:color w:val="auto"/>
          <w:sz w:val="24"/>
          <w:szCs w:val="32"/>
          <w:highlight w:val="none"/>
        </w:rPr>
      </w:pPr>
      <w:bookmarkStart w:id="22" w:name="_Toc29751"/>
      <w:r>
        <w:rPr>
          <w:rFonts w:hint="eastAsia" w:ascii="宋体" w:hAnsi="宋体" w:cs="宋体"/>
          <w:b/>
          <w:bCs/>
          <w:color w:val="auto"/>
          <w:sz w:val="24"/>
          <w:szCs w:val="32"/>
          <w:highlight w:val="none"/>
        </w:rPr>
        <w:t>（七）评标原则和评标办法</w:t>
      </w:r>
      <w:bookmarkEnd w:id="22"/>
    </w:p>
    <w:p w14:paraId="1D5875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62D3A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2、评标办法。具体评标内容及评分标准等详见《第三章：评标方法及评分标准》。</w:t>
      </w:r>
    </w:p>
    <w:p w14:paraId="56E23BE1">
      <w:pPr>
        <w:spacing w:line="360" w:lineRule="auto"/>
        <w:ind w:firstLine="482" w:firstLineChars="200"/>
        <w:outlineLvl w:val="2"/>
        <w:rPr>
          <w:rFonts w:ascii="宋体" w:hAnsi="宋体" w:cs="宋体"/>
          <w:b/>
          <w:bCs/>
          <w:color w:val="auto"/>
          <w:sz w:val="24"/>
          <w:szCs w:val="32"/>
          <w:highlight w:val="none"/>
        </w:rPr>
      </w:pPr>
      <w:bookmarkStart w:id="23" w:name="_Toc18394"/>
      <w:r>
        <w:rPr>
          <w:rFonts w:hint="eastAsia" w:ascii="宋体" w:hAnsi="宋体" w:cs="宋体"/>
          <w:b/>
          <w:bCs/>
          <w:color w:val="auto"/>
          <w:sz w:val="24"/>
          <w:szCs w:val="32"/>
          <w:highlight w:val="none"/>
        </w:rPr>
        <w:t>（八）评标过程的监控</w:t>
      </w:r>
      <w:bookmarkEnd w:id="23"/>
    </w:p>
    <w:p w14:paraId="6DDAC6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本项目评标过程实行全程录音、录像监控，政府采购监管部门视情进行现场监督，投标人在评标过程中所进行的试图影响评标结果的不公正活动，可能导致其投标被拒绝。</w:t>
      </w:r>
    </w:p>
    <w:p w14:paraId="6C32EEF9">
      <w:pPr>
        <w:spacing w:line="360" w:lineRule="auto"/>
        <w:ind w:firstLine="482" w:firstLineChars="200"/>
        <w:outlineLvl w:val="1"/>
        <w:rPr>
          <w:rFonts w:ascii="宋体" w:hAnsi="宋体" w:cs="宋体"/>
          <w:b/>
          <w:bCs/>
          <w:color w:val="auto"/>
          <w:sz w:val="24"/>
          <w:szCs w:val="32"/>
          <w:highlight w:val="none"/>
        </w:rPr>
      </w:pPr>
      <w:bookmarkStart w:id="24" w:name="_Toc18224"/>
      <w:r>
        <w:rPr>
          <w:rFonts w:hint="eastAsia" w:ascii="宋体" w:hAnsi="宋体" w:cs="宋体"/>
          <w:b/>
          <w:bCs/>
          <w:color w:val="auto"/>
          <w:sz w:val="24"/>
          <w:szCs w:val="32"/>
          <w:highlight w:val="none"/>
        </w:rPr>
        <w:t>六、定标</w:t>
      </w:r>
      <w:bookmarkEnd w:id="24"/>
    </w:p>
    <w:p w14:paraId="4049F7A9">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1、确定中标人。评标委员会根据采购人的《授权意见确认书》，推荐中标候选人或确定中标人。其中推荐中标候选人的，采购组织机构在评审结束后2个工作日内将评标报告送采购人，采购人自收到评审报告之日起5个工作日内在评审报告推荐的中标候选人中按顺序确定中标人。</w:t>
      </w:r>
    </w:p>
    <w:p w14:paraId="76AC6B3D">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2、发布中标结果公告。</w:t>
      </w:r>
      <w:r>
        <w:rPr>
          <w:rFonts w:hint="eastAsia" w:ascii="宋体" w:hAnsi="宋体" w:eastAsia="宋体" w:cs="宋体"/>
          <w:color w:val="auto"/>
          <w:sz w:val="24"/>
          <w:szCs w:val="32"/>
          <w:highlight w:val="none"/>
        </w:rPr>
        <w:t>采购组织机构应当自中标人确定之日起2个工作日内，在省级以上财政部门指定的媒体及相关网站上公告中标结果，招标文件应当随中标结果同时公告。如发现中标供应商资格无效或其放弃中标资格，则按本次评标供应商得分排序结果依次替补或重新组织</w:t>
      </w:r>
      <w:r>
        <w:rPr>
          <w:rFonts w:hint="eastAsia" w:ascii="宋体" w:hAnsi="宋体" w:cs="宋体"/>
          <w:color w:val="auto"/>
          <w:sz w:val="24"/>
          <w:szCs w:val="32"/>
          <w:highlight w:val="none"/>
        </w:rPr>
        <w:t>。</w:t>
      </w:r>
    </w:p>
    <w:p w14:paraId="1AAA2965">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3、发出中标通知书。采购组织机构在发布中标结果的同时，向中标人发出中标通知书。</w:t>
      </w:r>
    </w:p>
    <w:p w14:paraId="463A0AAB">
      <w:pPr>
        <w:pStyle w:val="23"/>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4、</w:t>
      </w:r>
      <w:r>
        <w:rPr>
          <w:rFonts w:hint="eastAsia" w:ascii="宋体" w:hAnsi="宋体" w:eastAsia="宋体" w:cs="宋体"/>
          <w:color w:val="auto"/>
          <w:sz w:val="24"/>
          <w:szCs w:val="32"/>
          <w:highlight w:val="none"/>
          <w:lang w:val="zh-CN"/>
        </w:rPr>
        <w:t>中标人在领取通知书之后，应向招标代理机构交纳招标代理服务费</w:t>
      </w:r>
      <w:r>
        <w:rPr>
          <w:rFonts w:hint="eastAsia" w:cs="宋体"/>
          <w:color w:val="auto"/>
          <w:highlight w:val="none"/>
        </w:rPr>
        <w:t>。若中标人未在约定时间内支付招标代理服务费，从逾期之日起按日利率千分之一承担违约金。若中标人未按上述规定办理，需承担招标代理机构为实现债权的所有费用（包括但不限于律师费、催讨车旅费、保全担保费等）。</w:t>
      </w:r>
    </w:p>
    <w:p w14:paraId="1FB224F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5、代理费</w:t>
      </w:r>
      <w:r>
        <w:rPr>
          <w:rFonts w:hint="eastAsia" w:ascii="宋体" w:hAnsi="宋体" w:cs="宋体"/>
          <w:color w:val="auto"/>
          <w:sz w:val="24"/>
          <w:szCs w:val="32"/>
          <w:highlight w:val="none"/>
        </w:rPr>
        <w:t>用</w:t>
      </w:r>
      <w:r>
        <w:rPr>
          <w:rFonts w:hint="eastAsia" w:ascii="宋体" w:hAnsi="宋体" w:cs="宋体"/>
          <w:color w:val="auto"/>
          <w:sz w:val="24"/>
          <w:highlight w:val="none"/>
        </w:rPr>
        <w:t>：</w:t>
      </w:r>
      <w:r>
        <w:rPr>
          <w:rFonts w:hint="eastAsia" w:ascii="宋体" w:hAnsi="宋体" w:eastAsia="宋体" w:cs="宋体"/>
          <w:color w:val="auto"/>
          <w:sz w:val="24"/>
          <w:szCs w:val="32"/>
          <w:highlight w:val="none"/>
        </w:rPr>
        <w:t>招标代理服务收费采用差额定率累进计费方式</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收费标准</w:t>
      </w:r>
      <w:r>
        <w:rPr>
          <w:rFonts w:hint="eastAsia" w:ascii="宋体" w:hAnsi="宋体" w:eastAsia="宋体" w:cs="宋体"/>
          <w:color w:val="auto"/>
          <w:sz w:val="24"/>
          <w:szCs w:val="32"/>
          <w:highlight w:val="none"/>
          <w:lang w:val="en-US" w:eastAsia="zh-CN"/>
        </w:rPr>
        <w:t>根据中标金额</w:t>
      </w:r>
      <w:r>
        <w:rPr>
          <w:rFonts w:hint="eastAsia" w:ascii="宋体" w:hAnsi="宋体" w:cs="宋体"/>
          <w:color w:val="auto"/>
          <w:sz w:val="24"/>
          <w:szCs w:val="32"/>
          <w:highlight w:val="none"/>
          <w:lang w:val="en-US" w:eastAsia="zh-CN"/>
        </w:rPr>
        <w:t>不超过</w:t>
      </w:r>
      <w:r>
        <w:rPr>
          <w:rFonts w:hint="eastAsia" w:ascii="宋体" w:hAnsi="宋体" w:eastAsia="宋体" w:cs="宋体"/>
          <w:color w:val="auto"/>
          <w:sz w:val="24"/>
          <w:szCs w:val="32"/>
          <w:highlight w:val="none"/>
        </w:rPr>
        <w:t>下列表格中货物招标类别</w:t>
      </w:r>
      <w:r>
        <w:rPr>
          <w:rFonts w:hint="eastAsia" w:ascii="宋体" w:hAnsi="宋体" w:eastAsia="宋体" w:cs="宋体"/>
          <w:color w:val="auto"/>
          <w:sz w:val="24"/>
          <w:szCs w:val="32"/>
          <w:highlight w:val="none"/>
          <w:lang w:val="en-US" w:eastAsia="zh-CN"/>
        </w:rPr>
        <w:t>费率</w:t>
      </w:r>
      <w:r>
        <w:rPr>
          <w:rFonts w:hint="eastAsia" w:ascii="宋体" w:hAnsi="宋体" w:cs="宋体"/>
          <w:color w:val="auto"/>
          <w:sz w:val="24"/>
          <w:szCs w:val="32"/>
          <w:highlight w:val="none"/>
          <w:lang w:val="en-US" w:eastAsia="zh-CN"/>
        </w:rPr>
        <w:t>的75%</w:t>
      </w:r>
      <w:r>
        <w:rPr>
          <w:rFonts w:hint="eastAsia" w:ascii="宋体" w:hAnsi="宋体" w:eastAsia="宋体" w:cs="宋体"/>
          <w:color w:val="auto"/>
          <w:sz w:val="24"/>
          <w:szCs w:val="32"/>
          <w:highlight w:val="none"/>
          <w:lang w:val="en-US" w:eastAsia="zh-CN"/>
        </w:rPr>
        <w:t>计算，</w:t>
      </w:r>
      <w:r>
        <w:rPr>
          <w:rFonts w:hint="eastAsia" w:ascii="宋体" w:hAnsi="宋体" w:eastAsia="宋体" w:cs="宋体"/>
          <w:color w:val="auto"/>
          <w:sz w:val="24"/>
          <w:szCs w:val="32"/>
          <w:highlight w:val="none"/>
        </w:rPr>
        <w:t>向中标单位收取招标代理费，该费用中标人须在中标公告发出</w:t>
      </w:r>
      <w:r>
        <w:rPr>
          <w:rFonts w:hint="eastAsia" w:ascii="宋体" w:hAnsi="宋体" w:cs="宋体"/>
          <w:color w:val="auto"/>
          <w:sz w:val="24"/>
          <w:szCs w:val="32"/>
          <w:highlight w:val="none"/>
        </w:rPr>
        <w:t>5日内一次性付清。</w:t>
      </w:r>
    </w:p>
    <w:tbl>
      <w:tblPr>
        <w:tblStyle w:val="2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1935"/>
        <w:gridCol w:w="1935"/>
        <w:gridCol w:w="1936"/>
      </w:tblGrid>
      <w:tr w14:paraId="53D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35516AE2">
            <w:pPr>
              <w:jc w:val="center"/>
              <w:rPr>
                <w:rFonts w:ascii="宋体" w:hAnsi="宋体" w:cs="宋体"/>
                <w:color w:val="auto"/>
                <w:sz w:val="24"/>
                <w:highlight w:val="none"/>
              </w:rPr>
            </w:pPr>
            <w:r>
              <w:rPr>
                <w:rFonts w:hint="eastAsia" w:ascii="宋体" w:hAnsi="宋体" w:cs="宋体"/>
                <w:color w:val="auto"/>
                <w:sz w:val="24"/>
                <w:highlight w:val="none"/>
              </w:rPr>
              <w:t>服务类型、费率、中标金额（万元）</w:t>
            </w:r>
          </w:p>
        </w:tc>
        <w:tc>
          <w:tcPr>
            <w:tcW w:w="1935" w:type="dxa"/>
            <w:vAlign w:val="center"/>
          </w:tcPr>
          <w:p w14:paraId="7AC39022">
            <w:pPr>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935" w:type="dxa"/>
            <w:vAlign w:val="center"/>
          </w:tcPr>
          <w:p w14:paraId="708272AD">
            <w:pPr>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936" w:type="dxa"/>
            <w:vAlign w:val="center"/>
          </w:tcPr>
          <w:p w14:paraId="3F921BF7">
            <w:pPr>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2ABE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7EF97B83">
            <w:pPr>
              <w:jc w:val="center"/>
              <w:rPr>
                <w:rFonts w:ascii="宋体" w:hAnsi="宋体" w:cs="宋体"/>
                <w:color w:val="auto"/>
                <w:sz w:val="24"/>
                <w:highlight w:val="none"/>
              </w:rPr>
            </w:pPr>
            <w:r>
              <w:rPr>
                <w:rFonts w:hint="eastAsia" w:ascii="宋体" w:hAnsi="宋体" w:cs="宋体"/>
                <w:color w:val="auto"/>
                <w:sz w:val="24"/>
                <w:highlight w:val="none"/>
              </w:rPr>
              <w:t>100以下</w:t>
            </w:r>
          </w:p>
        </w:tc>
        <w:tc>
          <w:tcPr>
            <w:tcW w:w="1935" w:type="dxa"/>
            <w:vAlign w:val="center"/>
          </w:tcPr>
          <w:p w14:paraId="6F38F956">
            <w:pPr>
              <w:jc w:val="center"/>
              <w:rPr>
                <w:rFonts w:ascii="宋体" w:hAnsi="宋体" w:cs="宋体"/>
                <w:color w:val="auto"/>
                <w:sz w:val="24"/>
                <w:highlight w:val="none"/>
              </w:rPr>
            </w:pPr>
            <w:r>
              <w:rPr>
                <w:rFonts w:hint="eastAsia" w:ascii="宋体" w:hAnsi="宋体" w:cs="宋体"/>
                <w:color w:val="auto"/>
                <w:sz w:val="24"/>
                <w:highlight w:val="none"/>
              </w:rPr>
              <w:t>1.50%</w:t>
            </w:r>
          </w:p>
        </w:tc>
        <w:tc>
          <w:tcPr>
            <w:tcW w:w="1935" w:type="dxa"/>
            <w:vAlign w:val="center"/>
          </w:tcPr>
          <w:p w14:paraId="2FD1A154">
            <w:pPr>
              <w:jc w:val="center"/>
              <w:rPr>
                <w:rFonts w:ascii="宋体" w:hAnsi="宋体" w:cs="宋体"/>
                <w:color w:val="auto"/>
                <w:sz w:val="24"/>
                <w:highlight w:val="none"/>
              </w:rPr>
            </w:pPr>
            <w:r>
              <w:rPr>
                <w:rFonts w:hint="eastAsia" w:ascii="宋体" w:hAnsi="宋体" w:cs="宋体"/>
                <w:color w:val="auto"/>
                <w:sz w:val="24"/>
                <w:highlight w:val="none"/>
              </w:rPr>
              <w:t>1.50%</w:t>
            </w:r>
          </w:p>
        </w:tc>
        <w:tc>
          <w:tcPr>
            <w:tcW w:w="1936" w:type="dxa"/>
            <w:vAlign w:val="center"/>
          </w:tcPr>
          <w:p w14:paraId="423C1BB5">
            <w:pPr>
              <w:jc w:val="center"/>
              <w:rPr>
                <w:rFonts w:ascii="宋体" w:hAnsi="宋体" w:cs="宋体"/>
                <w:color w:val="auto"/>
                <w:sz w:val="24"/>
                <w:highlight w:val="none"/>
              </w:rPr>
            </w:pPr>
            <w:r>
              <w:rPr>
                <w:rFonts w:hint="eastAsia" w:ascii="宋体" w:hAnsi="宋体" w:cs="宋体"/>
                <w:color w:val="auto"/>
                <w:sz w:val="24"/>
                <w:highlight w:val="none"/>
              </w:rPr>
              <w:t>1.00%</w:t>
            </w:r>
          </w:p>
        </w:tc>
      </w:tr>
      <w:tr w14:paraId="5BB0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61B85064">
            <w:pPr>
              <w:jc w:val="center"/>
              <w:rPr>
                <w:rFonts w:ascii="宋体" w:hAnsi="宋体" w:cs="宋体"/>
                <w:color w:val="auto"/>
                <w:sz w:val="24"/>
                <w:highlight w:val="none"/>
              </w:rPr>
            </w:pPr>
            <w:r>
              <w:rPr>
                <w:rFonts w:hint="eastAsia" w:ascii="宋体" w:hAnsi="宋体" w:cs="宋体"/>
                <w:color w:val="auto"/>
                <w:sz w:val="24"/>
                <w:highlight w:val="none"/>
              </w:rPr>
              <w:t>100-500</w:t>
            </w:r>
          </w:p>
        </w:tc>
        <w:tc>
          <w:tcPr>
            <w:tcW w:w="1935" w:type="dxa"/>
            <w:vAlign w:val="center"/>
          </w:tcPr>
          <w:p w14:paraId="3E49B020">
            <w:pPr>
              <w:jc w:val="center"/>
              <w:rPr>
                <w:rFonts w:ascii="宋体" w:hAnsi="宋体" w:cs="宋体"/>
                <w:color w:val="auto"/>
                <w:sz w:val="24"/>
                <w:highlight w:val="none"/>
              </w:rPr>
            </w:pPr>
            <w:r>
              <w:rPr>
                <w:rFonts w:hint="eastAsia" w:ascii="宋体" w:hAnsi="宋体" w:cs="宋体"/>
                <w:color w:val="auto"/>
                <w:sz w:val="24"/>
                <w:highlight w:val="none"/>
              </w:rPr>
              <w:t>1.10%</w:t>
            </w:r>
          </w:p>
        </w:tc>
        <w:tc>
          <w:tcPr>
            <w:tcW w:w="1935" w:type="dxa"/>
            <w:vAlign w:val="center"/>
          </w:tcPr>
          <w:p w14:paraId="7AB0E49F">
            <w:pPr>
              <w:jc w:val="center"/>
              <w:rPr>
                <w:rFonts w:ascii="宋体" w:hAnsi="宋体" w:cs="宋体"/>
                <w:color w:val="auto"/>
                <w:sz w:val="24"/>
                <w:highlight w:val="none"/>
              </w:rPr>
            </w:pPr>
            <w:r>
              <w:rPr>
                <w:rFonts w:hint="eastAsia" w:ascii="宋体" w:hAnsi="宋体" w:cs="宋体"/>
                <w:color w:val="auto"/>
                <w:sz w:val="24"/>
                <w:highlight w:val="none"/>
              </w:rPr>
              <w:t>0.80%</w:t>
            </w:r>
          </w:p>
        </w:tc>
        <w:tc>
          <w:tcPr>
            <w:tcW w:w="1936" w:type="dxa"/>
            <w:vAlign w:val="center"/>
          </w:tcPr>
          <w:p w14:paraId="3E0BAFFF">
            <w:pPr>
              <w:jc w:val="center"/>
              <w:rPr>
                <w:rFonts w:ascii="宋体" w:hAnsi="宋体" w:cs="宋体"/>
                <w:color w:val="auto"/>
                <w:sz w:val="24"/>
                <w:highlight w:val="none"/>
              </w:rPr>
            </w:pPr>
            <w:r>
              <w:rPr>
                <w:rFonts w:hint="eastAsia" w:ascii="宋体" w:hAnsi="宋体" w:cs="宋体"/>
                <w:color w:val="auto"/>
                <w:sz w:val="24"/>
                <w:highlight w:val="none"/>
              </w:rPr>
              <w:t>0.70%</w:t>
            </w:r>
          </w:p>
        </w:tc>
      </w:tr>
      <w:tr w14:paraId="551F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812" w:type="dxa"/>
            <w:vAlign w:val="center"/>
          </w:tcPr>
          <w:p w14:paraId="2B890D0D">
            <w:pPr>
              <w:jc w:val="center"/>
              <w:rPr>
                <w:rFonts w:ascii="宋体" w:hAnsi="宋体" w:cs="宋体"/>
                <w:color w:val="auto"/>
                <w:sz w:val="24"/>
                <w:highlight w:val="none"/>
              </w:rPr>
            </w:pPr>
            <w:r>
              <w:rPr>
                <w:rFonts w:hint="eastAsia" w:ascii="宋体" w:hAnsi="宋体" w:cs="宋体"/>
                <w:color w:val="auto"/>
                <w:sz w:val="24"/>
                <w:highlight w:val="none"/>
              </w:rPr>
              <w:t>500-1000</w:t>
            </w:r>
          </w:p>
        </w:tc>
        <w:tc>
          <w:tcPr>
            <w:tcW w:w="1935" w:type="dxa"/>
            <w:vAlign w:val="center"/>
          </w:tcPr>
          <w:p w14:paraId="5DC6ECE7">
            <w:pPr>
              <w:jc w:val="center"/>
              <w:rPr>
                <w:rFonts w:ascii="宋体" w:hAnsi="宋体" w:cs="宋体"/>
                <w:color w:val="auto"/>
                <w:sz w:val="24"/>
                <w:highlight w:val="none"/>
              </w:rPr>
            </w:pPr>
            <w:r>
              <w:rPr>
                <w:rFonts w:hint="eastAsia" w:ascii="宋体" w:hAnsi="宋体" w:cs="宋体"/>
                <w:color w:val="auto"/>
                <w:sz w:val="24"/>
                <w:highlight w:val="none"/>
              </w:rPr>
              <w:t>0.80%</w:t>
            </w:r>
          </w:p>
        </w:tc>
        <w:tc>
          <w:tcPr>
            <w:tcW w:w="1935" w:type="dxa"/>
            <w:vAlign w:val="center"/>
          </w:tcPr>
          <w:p w14:paraId="5E6321FC">
            <w:pPr>
              <w:jc w:val="center"/>
              <w:rPr>
                <w:rFonts w:ascii="宋体" w:hAnsi="宋体" w:cs="宋体"/>
                <w:color w:val="auto"/>
                <w:sz w:val="24"/>
                <w:highlight w:val="none"/>
              </w:rPr>
            </w:pPr>
            <w:r>
              <w:rPr>
                <w:rFonts w:hint="eastAsia" w:ascii="宋体" w:hAnsi="宋体" w:cs="宋体"/>
                <w:color w:val="auto"/>
                <w:sz w:val="24"/>
                <w:highlight w:val="none"/>
              </w:rPr>
              <w:t>0.45%</w:t>
            </w:r>
          </w:p>
        </w:tc>
        <w:tc>
          <w:tcPr>
            <w:tcW w:w="1936" w:type="dxa"/>
            <w:vAlign w:val="center"/>
          </w:tcPr>
          <w:p w14:paraId="365AE216">
            <w:pPr>
              <w:jc w:val="center"/>
              <w:rPr>
                <w:rFonts w:ascii="宋体" w:hAnsi="宋体" w:cs="宋体"/>
                <w:color w:val="auto"/>
                <w:sz w:val="24"/>
                <w:highlight w:val="none"/>
              </w:rPr>
            </w:pPr>
            <w:r>
              <w:rPr>
                <w:rFonts w:hint="eastAsia" w:ascii="宋体" w:hAnsi="宋体" w:cs="宋体"/>
                <w:color w:val="auto"/>
                <w:sz w:val="24"/>
                <w:highlight w:val="none"/>
              </w:rPr>
              <w:t>0.55%</w:t>
            </w:r>
          </w:p>
        </w:tc>
      </w:tr>
      <w:tr w14:paraId="73DD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09774A89">
            <w:pPr>
              <w:jc w:val="center"/>
              <w:rPr>
                <w:rFonts w:ascii="宋体" w:hAnsi="宋体" w:cs="宋体"/>
                <w:color w:val="auto"/>
                <w:sz w:val="24"/>
                <w:highlight w:val="none"/>
              </w:rPr>
            </w:pPr>
            <w:r>
              <w:rPr>
                <w:rFonts w:hint="eastAsia" w:ascii="宋体" w:hAnsi="宋体" w:cs="宋体"/>
                <w:color w:val="auto"/>
                <w:sz w:val="24"/>
                <w:highlight w:val="none"/>
              </w:rPr>
              <w:t>1000-5000</w:t>
            </w:r>
          </w:p>
        </w:tc>
        <w:tc>
          <w:tcPr>
            <w:tcW w:w="1935" w:type="dxa"/>
            <w:vAlign w:val="center"/>
          </w:tcPr>
          <w:p w14:paraId="4238866E">
            <w:pPr>
              <w:jc w:val="center"/>
              <w:rPr>
                <w:rFonts w:ascii="宋体" w:hAnsi="宋体" w:cs="宋体"/>
                <w:color w:val="auto"/>
                <w:sz w:val="24"/>
                <w:highlight w:val="none"/>
              </w:rPr>
            </w:pPr>
            <w:r>
              <w:rPr>
                <w:rFonts w:hint="eastAsia" w:ascii="宋体" w:hAnsi="宋体" w:cs="宋体"/>
                <w:color w:val="auto"/>
                <w:sz w:val="24"/>
                <w:highlight w:val="none"/>
              </w:rPr>
              <w:t>0.50%</w:t>
            </w:r>
          </w:p>
        </w:tc>
        <w:tc>
          <w:tcPr>
            <w:tcW w:w="1935" w:type="dxa"/>
            <w:vAlign w:val="center"/>
          </w:tcPr>
          <w:p w14:paraId="6324A508">
            <w:pPr>
              <w:jc w:val="center"/>
              <w:rPr>
                <w:rFonts w:ascii="宋体" w:hAnsi="宋体" w:cs="宋体"/>
                <w:color w:val="auto"/>
                <w:sz w:val="24"/>
                <w:highlight w:val="none"/>
              </w:rPr>
            </w:pPr>
            <w:r>
              <w:rPr>
                <w:rFonts w:hint="eastAsia" w:ascii="宋体" w:hAnsi="宋体" w:cs="宋体"/>
                <w:color w:val="auto"/>
                <w:sz w:val="24"/>
                <w:highlight w:val="none"/>
              </w:rPr>
              <w:t>0.25%</w:t>
            </w:r>
          </w:p>
        </w:tc>
        <w:tc>
          <w:tcPr>
            <w:tcW w:w="1936" w:type="dxa"/>
            <w:vAlign w:val="center"/>
          </w:tcPr>
          <w:p w14:paraId="73A57E14">
            <w:pPr>
              <w:jc w:val="center"/>
              <w:rPr>
                <w:rFonts w:ascii="宋体" w:hAnsi="宋体" w:cs="宋体"/>
                <w:color w:val="auto"/>
                <w:sz w:val="24"/>
                <w:highlight w:val="none"/>
              </w:rPr>
            </w:pPr>
            <w:r>
              <w:rPr>
                <w:rFonts w:hint="eastAsia" w:ascii="宋体" w:hAnsi="宋体" w:cs="宋体"/>
                <w:color w:val="auto"/>
                <w:sz w:val="24"/>
                <w:highlight w:val="none"/>
              </w:rPr>
              <w:t>0.35%</w:t>
            </w:r>
          </w:p>
        </w:tc>
      </w:tr>
      <w:tr w14:paraId="1F27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35C204C7">
            <w:pPr>
              <w:jc w:val="center"/>
              <w:rPr>
                <w:rFonts w:ascii="宋体" w:hAnsi="宋体" w:cs="宋体"/>
                <w:color w:val="auto"/>
                <w:sz w:val="24"/>
                <w:highlight w:val="none"/>
              </w:rPr>
            </w:pPr>
            <w:r>
              <w:rPr>
                <w:rFonts w:hint="eastAsia" w:ascii="宋体" w:hAnsi="宋体" w:cs="宋体"/>
                <w:color w:val="auto"/>
                <w:sz w:val="24"/>
                <w:highlight w:val="none"/>
              </w:rPr>
              <w:t>5000-10000</w:t>
            </w:r>
          </w:p>
        </w:tc>
        <w:tc>
          <w:tcPr>
            <w:tcW w:w="1935" w:type="dxa"/>
            <w:vAlign w:val="center"/>
          </w:tcPr>
          <w:p w14:paraId="2B6D54A6">
            <w:pPr>
              <w:jc w:val="center"/>
              <w:rPr>
                <w:rFonts w:ascii="宋体" w:hAnsi="宋体" w:cs="宋体"/>
                <w:color w:val="auto"/>
                <w:sz w:val="24"/>
                <w:highlight w:val="none"/>
              </w:rPr>
            </w:pPr>
            <w:r>
              <w:rPr>
                <w:rFonts w:hint="eastAsia" w:ascii="宋体" w:hAnsi="宋体" w:cs="宋体"/>
                <w:color w:val="auto"/>
                <w:sz w:val="24"/>
                <w:highlight w:val="none"/>
              </w:rPr>
              <w:t>0.25%</w:t>
            </w:r>
          </w:p>
        </w:tc>
        <w:tc>
          <w:tcPr>
            <w:tcW w:w="1935" w:type="dxa"/>
            <w:vAlign w:val="center"/>
          </w:tcPr>
          <w:p w14:paraId="678A944B">
            <w:pPr>
              <w:jc w:val="center"/>
              <w:rPr>
                <w:rFonts w:ascii="宋体" w:hAnsi="宋体" w:cs="宋体"/>
                <w:color w:val="auto"/>
                <w:sz w:val="24"/>
                <w:highlight w:val="none"/>
              </w:rPr>
            </w:pPr>
            <w:r>
              <w:rPr>
                <w:rFonts w:hint="eastAsia" w:ascii="宋体" w:hAnsi="宋体" w:cs="宋体"/>
                <w:color w:val="auto"/>
                <w:sz w:val="24"/>
                <w:highlight w:val="none"/>
              </w:rPr>
              <w:t>0.10%</w:t>
            </w:r>
          </w:p>
        </w:tc>
        <w:tc>
          <w:tcPr>
            <w:tcW w:w="1936" w:type="dxa"/>
            <w:vAlign w:val="center"/>
          </w:tcPr>
          <w:p w14:paraId="12FA36FD">
            <w:pPr>
              <w:jc w:val="center"/>
              <w:rPr>
                <w:rFonts w:ascii="宋体" w:hAnsi="宋体" w:cs="宋体"/>
                <w:color w:val="auto"/>
                <w:sz w:val="24"/>
                <w:highlight w:val="none"/>
              </w:rPr>
            </w:pPr>
            <w:r>
              <w:rPr>
                <w:rFonts w:hint="eastAsia" w:ascii="宋体" w:hAnsi="宋体" w:cs="宋体"/>
                <w:color w:val="auto"/>
                <w:sz w:val="24"/>
                <w:highlight w:val="none"/>
              </w:rPr>
              <w:t>0.20%</w:t>
            </w:r>
          </w:p>
        </w:tc>
      </w:tr>
      <w:tr w14:paraId="2D8F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812" w:type="dxa"/>
            <w:vAlign w:val="center"/>
          </w:tcPr>
          <w:p w14:paraId="6941E9E5">
            <w:pPr>
              <w:jc w:val="center"/>
              <w:rPr>
                <w:rFonts w:ascii="宋体" w:hAnsi="宋体" w:cs="宋体"/>
                <w:color w:val="auto"/>
                <w:sz w:val="24"/>
                <w:highlight w:val="none"/>
              </w:rPr>
            </w:pPr>
            <w:r>
              <w:rPr>
                <w:rFonts w:hint="eastAsia" w:ascii="宋体" w:hAnsi="宋体" w:cs="宋体"/>
                <w:color w:val="auto"/>
                <w:sz w:val="24"/>
                <w:highlight w:val="none"/>
              </w:rPr>
              <w:t>10000-100000</w:t>
            </w:r>
          </w:p>
        </w:tc>
        <w:tc>
          <w:tcPr>
            <w:tcW w:w="1935" w:type="dxa"/>
            <w:vAlign w:val="center"/>
          </w:tcPr>
          <w:p w14:paraId="1B675AD8">
            <w:pPr>
              <w:jc w:val="center"/>
              <w:rPr>
                <w:rFonts w:ascii="宋体" w:hAnsi="宋体" w:cs="宋体"/>
                <w:color w:val="auto"/>
                <w:sz w:val="24"/>
                <w:highlight w:val="none"/>
              </w:rPr>
            </w:pPr>
            <w:r>
              <w:rPr>
                <w:rFonts w:hint="eastAsia" w:ascii="宋体" w:hAnsi="宋体" w:cs="宋体"/>
                <w:color w:val="auto"/>
                <w:sz w:val="24"/>
                <w:highlight w:val="none"/>
              </w:rPr>
              <w:t>0.05%</w:t>
            </w:r>
          </w:p>
        </w:tc>
        <w:tc>
          <w:tcPr>
            <w:tcW w:w="1935" w:type="dxa"/>
            <w:vAlign w:val="center"/>
          </w:tcPr>
          <w:p w14:paraId="2FAB6B10">
            <w:pPr>
              <w:jc w:val="center"/>
              <w:rPr>
                <w:rFonts w:ascii="宋体" w:hAnsi="宋体" w:cs="宋体"/>
                <w:color w:val="auto"/>
                <w:sz w:val="24"/>
                <w:highlight w:val="none"/>
              </w:rPr>
            </w:pPr>
            <w:r>
              <w:rPr>
                <w:rFonts w:hint="eastAsia" w:ascii="宋体" w:hAnsi="宋体" w:cs="宋体"/>
                <w:color w:val="auto"/>
                <w:sz w:val="24"/>
                <w:highlight w:val="none"/>
              </w:rPr>
              <w:t>0.05%</w:t>
            </w:r>
          </w:p>
        </w:tc>
        <w:tc>
          <w:tcPr>
            <w:tcW w:w="1936" w:type="dxa"/>
            <w:vAlign w:val="center"/>
          </w:tcPr>
          <w:p w14:paraId="110E584C">
            <w:pPr>
              <w:jc w:val="center"/>
              <w:rPr>
                <w:rFonts w:ascii="宋体" w:hAnsi="宋体" w:cs="宋体"/>
                <w:color w:val="auto"/>
                <w:sz w:val="24"/>
                <w:highlight w:val="none"/>
              </w:rPr>
            </w:pPr>
            <w:r>
              <w:rPr>
                <w:rFonts w:hint="eastAsia" w:ascii="宋体" w:hAnsi="宋体" w:cs="宋体"/>
                <w:color w:val="auto"/>
                <w:sz w:val="24"/>
                <w:highlight w:val="none"/>
              </w:rPr>
              <w:t>0.05%</w:t>
            </w:r>
          </w:p>
        </w:tc>
      </w:tr>
      <w:tr w14:paraId="3396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812" w:type="dxa"/>
            <w:vAlign w:val="center"/>
          </w:tcPr>
          <w:p w14:paraId="129DA059">
            <w:pPr>
              <w:jc w:val="center"/>
              <w:rPr>
                <w:rFonts w:ascii="宋体" w:hAnsi="宋体" w:cs="宋体"/>
                <w:color w:val="auto"/>
                <w:sz w:val="24"/>
                <w:highlight w:val="none"/>
              </w:rPr>
            </w:pPr>
            <w:r>
              <w:rPr>
                <w:rFonts w:hint="eastAsia" w:ascii="宋体" w:hAnsi="宋体" w:cs="宋体"/>
                <w:color w:val="auto"/>
                <w:sz w:val="24"/>
                <w:highlight w:val="none"/>
              </w:rPr>
              <w:t>100000以上</w:t>
            </w:r>
          </w:p>
        </w:tc>
        <w:tc>
          <w:tcPr>
            <w:tcW w:w="1935" w:type="dxa"/>
            <w:vAlign w:val="center"/>
          </w:tcPr>
          <w:p w14:paraId="6536491A">
            <w:pPr>
              <w:jc w:val="center"/>
              <w:rPr>
                <w:rFonts w:ascii="宋体" w:hAnsi="宋体" w:cs="宋体"/>
                <w:color w:val="auto"/>
                <w:sz w:val="24"/>
                <w:highlight w:val="none"/>
              </w:rPr>
            </w:pPr>
            <w:r>
              <w:rPr>
                <w:rFonts w:hint="eastAsia" w:ascii="宋体" w:hAnsi="宋体" w:cs="宋体"/>
                <w:color w:val="auto"/>
                <w:sz w:val="24"/>
                <w:highlight w:val="none"/>
              </w:rPr>
              <w:t>0.01%</w:t>
            </w:r>
          </w:p>
        </w:tc>
        <w:tc>
          <w:tcPr>
            <w:tcW w:w="1935" w:type="dxa"/>
            <w:vAlign w:val="center"/>
          </w:tcPr>
          <w:p w14:paraId="65330738">
            <w:pPr>
              <w:jc w:val="center"/>
              <w:rPr>
                <w:rFonts w:ascii="宋体" w:hAnsi="宋体" w:cs="宋体"/>
                <w:color w:val="auto"/>
                <w:sz w:val="24"/>
                <w:highlight w:val="none"/>
              </w:rPr>
            </w:pPr>
            <w:r>
              <w:rPr>
                <w:rFonts w:hint="eastAsia" w:ascii="宋体" w:hAnsi="宋体" w:cs="宋体"/>
                <w:color w:val="auto"/>
                <w:sz w:val="24"/>
                <w:highlight w:val="none"/>
              </w:rPr>
              <w:t>0.01%</w:t>
            </w:r>
          </w:p>
        </w:tc>
        <w:tc>
          <w:tcPr>
            <w:tcW w:w="1936" w:type="dxa"/>
            <w:vAlign w:val="center"/>
          </w:tcPr>
          <w:p w14:paraId="1F23E8B9">
            <w:pPr>
              <w:jc w:val="center"/>
              <w:rPr>
                <w:rFonts w:ascii="宋体" w:hAnsi="宋体" w:cs="宋体"/>
                <w:color w:val="auto"/>
                <w:sz w:val="24"/>
                <w:highlight w:val="none"/>
              </w:rPr>
            </w:pPr>
            <w:r>
              <w:rPr>
                <w:rFonts w:hint="eastAsia" w:ascii="宋体" w:hAnsi="宋体" w:cs="宋体"/>
                <w:color w:val="auto"/>
                <w:sz w:val="24"/>
                <w:highlight w:val="none"/>
              </w:rPr>
              <w:t>0.01%</w:t>
            </w:r>
          </w:p>
        </w:tc>
      </w:tr>
    </w:tbl>
    <w:p w14:paraId="5E506F03">
      <w:pPr>
        <w:spacing w:line="360" w:lineRule="auto"/>
        <w:ind w:firstLine="482" w:firstLineChars="200"/>
        <w:outlineLvl w:val="1"/>
        <w:rPr>
          <w:rFonts w:ascii="宋体" w:hAnsi="宋体" w:cs="宋体"/>
          <w:b/>
          <w:bCs/>
          <w:color w:val="auto"/>
          <w:sz w:val="24"/>
          <w:szCs w:val="32"/>
          <w:highlight w:val="none"/>
        </w:rPr>
      </w:pPr>
      <w:bookmarkStart w:id="25" w:name="_Toc20450"/>
      <w:r>
        <w:rPr>
          <w:rFonts w:hint="eastAsia" w:ascii="宋体" w:hAnsi="宋体" w:cs="宋体"/>
          <w:b/>
          <w:bCs/>
          <w:color w:val="auto"/>
          <w:sz w:val="24"/>
          <w:szCs w:val="32"/>
          <w:highlight w:val="none"/>
        </w:rPr>
        <w:t>七、合同签订及公告</w:t>
      </w:r>
      <w:bookmarkEnd w:id="25"/>
    </w:p>
    <w:p w14:paraId="55ED1FC5">
      <w:pPr>
        <w:spacing w:line="360" w:lineRule="auto"/>
        <w:ind w:firstLine="482" w:firstLineChars="200"/>
        <w:outlineLvl w:val="2"/>
        <w:rPr>
          <w:rFonts w:ascii="宋体" w:hAnsi="宋体" w:cs="宋体"/>
          <w:b/>
          <w:bCs/>
          <w:color w:val="auto"/>
          <w:sz w:val="24"/>
          <w:szCs w:val="32"/>
          <w:highlight w:val="none"/>
        </w:rPr>
      </w:pPr>
      <w:bookmarkStart w:id="26" w:name="_Toc350"/>
      <w:r>
        <w:rPr>
          <w:rFonts w:hint="eastAsia" w:ascii="宋体" w:hAnsi="宋体" w:cs="宋体"/>
          <w:b/>
          <w:bCs/>
          <w:color w:val="auto"/>
          <w:sz w:val="24"/>
          <w:szCs w:val="32"/>
          <w:highlight w:val="none"/>
        </w:rPr>
        <w:t>（一）签订合同</w:t>
      </w:r>
      <w:bookmarkEnd w:id="26"/>
    </w:p>
    <w:p w14:paraId="427401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1、采购人应当自中标通知书发出之</w:t>
      </w:r>
      <w:bookmarkStart w:id="59" w:name="_GoBack"/>
      <w:bookmarkEnd w:id="59"/>
      <w:r>
        <w:rPr>
          <w:rFonts w:hint="eastAsia" w:ascii="宋体" w:hAnsi="宋体" w:cs="宋体"/>
          <w:color w:val="auto"/>
          <w:sz w:val="24"/>
          <w:highlight w:val="none"/>
        </w:rPr>
        <w:t>日起30日内，按照招标文件和中标人投标文件的规定，与中标人签订书面合同。所签订的合同不得对招标文件确定的事项和中标人投标文件作实质性修改。</w:t>
      </w:r>
    </w:p>
    <w:p w14:paraId="6069D7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2、采购人不得向中标人提出任何不合理的要求作为签订合同的条件。</w:t>
      </w:r>
    </w:p>
    <w:p w14:paraId="2D1BF0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3、中标人无故拖延、拒签合同的,取消中标资格。</w:t>
      </w:r>
    </w:p>
    <w:p w14:paraId="67C267CD">
      <w:pPr>
        <w:shd w:val="clear"/>
        <w:spacing w:line="360" w:lineRule="auto"/>
        <w:ind w:firstLine="480" w:firstLineChars="200"/>
        <w:rPr>
          <w:rFonts w:hint="eastAsia" w:ascii="宋体" w:hAnsi="宋体" w:eastAsia="宋体" w:cs="宋体"/>
          <w:color w:val="auto"/>
          <w:sz w:val="24"/>
          <w:szCs w:val="32"/>
          <w:highlight w:val="none"/>
        </w:rPr>
      </w:pPr>
      <w:bookmarkStart w:id="27" w:name="_Toc11039"/>
      <w:r>
        <w:rPr>
          <w:rFonts w:hint="eastAsia" w:ascii="宋体" w:hAnsi="宋体" w:eastAsia="宋体" w:cs="宋体"/>
          <w:color w:val="auto"/>
          <w:sz w:val="24"/>
          <w:szCs w:val="32"/>
          <w:highlight w:val="none"/>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4209FE60">
      <w:pPr>
        <w:shd w:val="clea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5、询问或者质疑事项可能影响中标结果的，采购人应当暂停签订合同，已经签订合同的，应当中止履行合同（中标结果的质疑期为中标结果公告期限届满之日起七个工作日）。</w:t>
      </w:r>
    </w:p>
    <w:p w14:paraId="6959ED51">
      <w:pPr>
        <w:spacing w:line="360" w:lineRule="auto"/>
        <w:ind w:firstLine="482" w:firstLineChars="200"/>
        <w:outlineLvl w:val="2"/>
        <w:rPr>
          <w:rFonts w:ascii="宋体" w:hAnsi="宋体" w:cs="宋体"/>
          <w:b/>
          <w:bCs/>
          <w:color w:val="auto"/>
          <w:sz w:val="24"/>
          <w:szCs w:val="32"/>
          <w:highlight w:val="none"/>
        </w:rPr>
      </w:pPr>
      <w:r>
        <w:rPr>
          <w:rFonts w:hint="eastAsia" w:ascii="宋体" w:hAnsi="宋体" w:cs="宋体"/>
          <w:b/>
          <w:bCs/>
          <w:color w:val="auto"/>
          <w:sz w:val="24"/>
          <w:szCs w:val="32"/>
          <w:highlight w:val="none"/>
        </w:rPr>
        <w:t>（二）合同公告及备案</w:t>
      </w:r>
      <w:bookmarkEnd w:id="27"/>
    </w:p>
    <w:p w14:paraId="7C4BB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1、采购人应当自政府采购合同签订之日起2个工作日内，在省级以上财政部门指定的政府采购信息发布媒体及相关网站上公告。</w:t>
      </w:r>
    </w:p>
    <w:p w14:paraId="05ACF559">
      <w:pPr>
        <w:spacing w:line="360" w:lineRule="auto"/>
        <w:ind w:firstLine="480" w:firstLineChars="200"/>
        <w:rPr>
          <w:rFonts w:ascii="宋体" w:hAnsi="宋体" w:cs="宋体"/>
          <w:color w:val="auto"/>
          <w:sz w:val="24"/>
          <w:szCs w:val="32"/>
          <w:highlight w:val="none"/>
          <w:lang w:val="zh-CN"/>
        </w:rPr>
      </w:pPr>
      <w:r>
        <w:rPr>
          <w:rFonts w:hint="eastAsia" w:ascii="宋体" w:hAnsi="宋体" w:cs="宋体"/>
          <w:color w:val="auto"/>
          <w:sz w:val="24"/>
          <w:highlight w:val="none"/>
        </w:rPr>
        <w:t>2、采购人应当自政府采购合同签订之日起7个工作日内，将政府采购合同副本报同级人民政府财政部门备案以及采购组织机构存档。</w:t>
      </w:r>
    </w:p>
    <w:p w14:paraId="3DF16F84">
      <w:pPr>
        <w:pStyle w:val="8"/>
        <w:shd w:val="clear"/>
        <w:spacing w:line="360" w:lineRule="auto"/>
        <w:ind w:firstLine="482" w:firstLineChars="200"/>
        <w:jc w:val="both"/>
        <w:rPr>
          <w:rFonts w:hint="eastAsia" w:asciiTheme="minorEastAsia" w:hAnsiTheme="minorEastAsia" w:eastAsiaTheme="minorEastAsia" w:cstheme="minorEastAsia"/>
          <w:b/>
          <w:bCs/>
          <w:color w:val="auto"/>
          <w:sz w:val="24"/>
          <w:highlight w:val="none"/>
        </w:rPr>
      </w:pPr>
      <w:bookmarkStart w:id="28" w:name="_Toc20587"/>
      <w:bookmarkStart w:id="29" w:name="_Toc14362"/>
      <w:r>
        <w:rPr>
          <w:rFonts w:hint="eastAsia" w:asciiTheme="minorEastAsia" w:hAnsiTheme="minorEastAsia" w:eastAsiaTheme="minorEastAsia" w:cstheme="minorEastAsia"/>
          <w:b/>
          <w:bCs/>
          <w:color w:val="auto"/>
          <w:sz w:val="24"/>
          <w:highlight w:val="none"/>
        </w:rPr>
        <w:t>八、询问、质疑与投诉</w:t>
      </w:r>
    </w:p>
    <w:p w14:paraId="3E290034">
      <w:pPr>
        <w:pStyle w:val="8"/>
        <w:shd w:val="clear"/>
        <w:spacing w:line="360" w:lineRule="auto"/>
        <w:ind w:firstLine="482" w:firstLineChars="200"/>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（一）询问</w:t>
      </w:r>
    </w:p>
    <w:p w14:paraId="237AA565">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供应商对政府采购活动事项（招标文件、采购过程和中标结果）有疑问的，可以向采购人或采购组织机构提出询问，采购人或采购组织机构将及时做出答复，但答复的内容不涉及商业秘密。询问可以口头方式提出，也可以书面方式提出。联系方式见第一章“招标公告 ”中“采购人、采购组织机构的名称、地址和联系方式”。</w:t>
      </w:r>
    </w:p>
    <w:p w14:paraId="4FEEF095">
      <w:pPr>
        <w:pStyle w:val="8"/>
        <w:shd w:val="clear"/>
        <w:spacing w:line="360" w:lineRule="auto"/>
        <w:ind w:firstLine="482" w:firstLineChars="200"/>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（二）质疑</w:t>
      </w:r>
    </w:p>
    <w:p w14:paraId="7D9A1061">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1.报名本项目的投标供应商认为招标文件、采购过程和中标结果使自己的权益受到损害的，以书面形式或政采云平台的质疑系统一次性针对同一环节向采购人或采购组织机构提出质疑：</w:t>
      </w:r>
    </w:p>
    <w:p w14:paraId="68B8089B">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（1）投标供应商认为招标文件的内容损害其权益的，应当自获取采购文件之日起或公告期限届满之日起7个工作日内一次性以书面形式提出质疑；</w:t>
      </w:r>
    </w:p>
    <w:p w14:paraId="6436BCCE">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（2）投标供应商对采购过程提出质疑的，应当在各采购程序环节结束之日起7个工作日内一次性以书面形式提出质疑；</w:t>
      </w:r>
    </w:p>
    <w:p w14:paraId="7D6EA814">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（3）投标供应商对中标结果提出质疑的，应当在中标结果公告期限届满之日起7个工作日内一次性以书面形式提出质疑；</w:t>
      </w:r>
    </w:p>
    <w:p w14:paraId="795A4FCB">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2.采购人或采购组织机构在收到投标供应商的书面质疑后7个工作日内做出答复，并以书面形式或政采云平台回复质疑投标供应商和其他有关投标供应商，但答复内容不涉及商业秘密。</w:t>
      </w:r>
    </w:p>
    <w:p w14:paraId="49674837">
      <w:pPr>
        <w:pStyle w:val="8"/>
        <w:shd w:val="clear"/>
        <w:spacing w:line="360" w:lineRule="auto"/>
        <w:ind w:firstLine="480" w:firstLineChars="2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供应商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14:paraId="0E99D4CB">
      <w:pPr>
        <w:pStyle w:val="8"/>
        <w:shd w:val="clear"/>
        <w:spacing w:line="360" w:lineRule="auto"/>
        <w:ind w:firstLine="482" w:firstLineChars="200"/>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（三）投诉</w:t>
      </w:r>
    </w:p>
    <w:p w14:paraId="41A49FE9">
      <w:pPr>
        <w:pStyle w:val="8"/>
        <w:shd w:val="clear"/>
        <w:spacing w:line="360" w:lineRule="auto"/>
        <w:ind w:firstLine="480" w:firstLineChars="200"/>
        <w:jc w:val="both"/>
        <w:rPr>
          <w:rFonts w:ascii="宋体" w:hAnsi="宋体" w:cs="宋体"/>
          <w:b/>
          <w:bCs/>
          <w:color w:val="auto"/>
          <w:sz w:val="36"/>
          <w:szCs w:val="44"/>
          <w:highlight w:val="none"/>
        </w:rPr>
      </w:pPr>
      <w:r>
        <w:rPr>
          <w:rFonts w:hint="eastAsia" w:asciiTheme="minorEastAsia" w:hAnsiTheme="minorEastAsia" w:eastAsiaTheme="minorEastAsia" w:cstheme="minorEastAsia"/>
          <w:color w:val="auto"/>
          <w:sz w:val="24"/>
          <w:highlight w:val="none"/>
          <w:lang w:val="en-US" w:eastAsia="zh-CN"/>
        </w:rPr>
        <w:t>投标供应商对采购人或采购组织机构的质疑答复不满意或在规定时间内未得到答复的，可以在答复期满后15个工作日内，向同级政府采购监督管</w:t>
      </w:r>
      <w:r>
        <w:rPr>
          <w:rFonts w:hint="eastAsia" w:asciiTheme="minorEastAsia" w:hAnsiTheme="minorEastAsia" w:eastAsiaTheme="minorEastAsia" w:cstheme="minorEastAsia"/>
          <w:color w:val="auto"/>
          <w:sz w:val="24"/>
          <w:highlight w:val="none"/>
        </w:rPr>
        <w:t>理机构投诉。</w:t>
      </w:r>
      <w:r>
        <w:rPr>
          <w:rFonts w:hint="eastAsia" w:ascii="宋体" w:hAnsi="宋体" w:cs="宋体"/>
          <w:b/>
          <w:bCs/>
          <w:color w:val="auto"/>
          <w:sz w:val="36"/>
          <w:szCs w:val="44"/>
          <w:highlight w:val="none"/>
        </w:rPr>
        <w:br w:type="page"/>
      </w:r>
    </w:p>
    <w:p w14:paraId="46E867BC">
      <w:pPr>
        <w:spacing w:line="360" w:lineRule="auto"/>
        <w:jc w:val="center"/>
        <w:outlineLvl w:val="0"/>
        <w:rPr>
          <w:rFonts w:ascii="宋体" w:hAnsi="宋体" w:cs="宋体"/>
          <w:b/>
          <w:bCs/>
          <w:color w:val="auto"/>
          <w:sz w:val="36"/>
          <w:szCs w:val="44"/>
          <w:highlight w:val="none"/>
        </w:rPr>
      </w:pPr>
      <w:r>
        <w:rPr>
          <w:rFonts w:hint="eastAsia" w:ascii="宋体" w:hAnsi="宋体" w:cs="宋体"/>
          <w:b/>
          <w:bCs/>
          <w:color w:val="auto"/>
          <w:sz w:val="36"/>
          <w:szCs w:val="44"/>
          <w:highlight w:val="none"/>
        </w:rPr>
        <w:t>第三章 评标办法及评分标准</w:t>
      </w:r>
      <w:bookmarkEnd w:id="28"/>
      <w:bookmarkEnd w:id="29"/>
    </w:p>
    <w:p w14:paraId="4E3EF22E">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宋体" w:hAnsi="宋体" w:cs="宋体"/>
          <w:b/>
          <w:i/>
          <w:color w:val="auto"/>
          <w:kern w:val="0"/>
          <w:sz w:val="24"/>
          <w:highlight w:val="none"/>
        </w:rPr>
      </w:pPr>
      <w:r>
        <w:rPr>
          <w:rFonts w:hint="eastAsia" w:ascii="宋体" w:hAnsi="宋体" w:cs="宋体"/>
          <w:color w:val="auto"/>
          <w:kern w:val="0"/>
          <w:sz w:val="24"/>
          <w:highlight w:val="none"/>
        </w:rPr>
        <w:t>一、采购组织机构将组织评标委员会，对投标人提供的投标文件进行综合评审。</w:t>
      </w:r>
    </w:p>
    <w:p w14:paraId="32E8A967">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二、本次招标项目的评标方法为综合评分法，总计100分，其中商务与技术文件</w:t>
      </w:r>
      <w:r>
        <w:rPr>
          <w:rFonts w:hint="eastAsia" w:ascii="宋体" w:hAnsi="宋体" w:cs="宋体"/>
          <w:bCs/>
          <w:color w:val="auto"/>
          <w:sz w:val="24"/>
          <w:highlight w:val="none"/>
          <w:lang w:val="zh-CN"/>
        </w:rPr>
        <w:t>分值</w:t>
      </w:r>
      <w:r>
        <w:rPr>
          <w:rFonts w:hint="eastAsia" w:ascii="宋体" w:hAnsi="宋体" w:cs="宋体"/>
          <w:bCs/>
          <w:color w:val="auto"/>
          <w:sz w:val="24"/>
          <w:highlight w:val="none"/>
          <w:lang w:val="en-US" w:eastAsia="zh-CN"/>
        </w:rPr>
        <w:t>70</w:t>
      </w:r>
      <w:r>
        <w:rPr>
          <w:rFonts w:hint="eastAsia" w:ascii="宋体" w:hAnsi="宋体" w:cs="宋体"/>
          <w:bCs/>
          <w:color w:val="auto"/>
          <w:sz w:val="24"/>
          <w:highlight w:val="none"/>
          <w:lang w:val="zh-CN"/>
        </w:rPr>
        <w:t>分，投标报价分值</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lang w:val="zh-CN"/>
        </w:rPr>
        <w:t>分</w:t>
      </w:r>
      <w:r>
        <w:rPr>
          <w:rFonts w:hint="eastAsia" w:ascii="宋体" w:hAnsi="宋体" w:cs="宋体"/>
          <w:color w:val="auto"/>
          <w:sz w:val="24"/>
          <w:highlight w:val="none"/>
        </w:rPr>
        <w:t>。评标标准按评分细化条款及分值进行评审。</w:t>
      </w:r>
    </w:p>
    <w:p w14:paraId="6C43D6AE">
      <w:pPr>
        <w:keepNext w:val="0"/>
        <w:keepLines w:val="0"/>
        <w:pageBreakBefore w:val="0"/>
        <w:widowControl w:val="0"/>
        <w:kinsoku/>
        <w:wordWrap/>
        <w:overflowPunct/>
        <w:topLinePunct w:val="0"/>
        <w:autoSpaceDE w:val="0"/>
        <w:autoSpaceDN w:val="0"/>
        <w:bidi w:val="0"/>
        <w:adjustRightInd w:val="0"/>
        <w:snapToGrid w:val="0"/>
        <w:spacing w:line="360" w:lineRule="auto"/>
        <w:ind w:firstLine="472"/>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（一）商务与技术文件中的客观分由评标委员会讨论后统一打分；其余在规定的分值内单独评定打分</w:t>
      </w:r>
      <w:r>
        <w:rPr>
          <w:rFonts w:hint="eastAsia" w:ascii="宋体" w:hAnsi="宋体" w:cs="宋体"/>
          <w:color w:val="auto"/>
          <w:sz w:val="24"/>
          <w:highlight w:val="none"/>
        </w:rPr>
        <w:t>（小数点后保留1位）</w:t>
      </w:r>
      <w:r>
        <w:rPr>
          <w:rFonts w:hint="eastAsia" w:ascii="宋体" w:hAnsi="宋体" w:cs="宋体"/>
          <w:bCs/>
          <w:color w:val="auto"/>
          <w:sz w:val="24"/>
          <w:highlight w:val="none"/>
          <w:lang w:val="zh-CN"/>
        </w:rPr>
        <w:t>。</w:t>
      </w:r>
    </w:p>
    <w:p w14:paraId="366E689D">
      <w:pPr>
        <w:keepNext w:val="0"/>
        <w:keepLines w:val="0"/>
        <w:pageBreakBefore w:val="0"/>
        <w:widowControl w:val="0"/>
        <w:kinsoku/>
        <w:wordWrap/>
        <w:overflowPunct/>
        <w:topLinePunct w:val="0"/>
        <w:autoSpaceDE w:val="0"/>
        <w:autoSpaceDN w:val="0"/>
        <w:bidi w:val="0"/>
        <w:adjustRightInd w:val="0"/>
        <w:snapToGrid w:val="0"/>
        <w:spacing w:line="360" w:lineRule="auto"/>
        <w:ind w:firstLine="472"/>
        <w:textAlignment w:val="auto"/>
        <w:rPr>
          <w:rFonts w:ascii="宋体" w:hAnsi="宋体" w:cs="宋体"/>
          <w:bCs/>
          <w:color w:val="auto"/>
          <w:sz w:val="24"/>
          <w:highlight w:val="none"/>
          <w:shd w:val="clear" w:color="FFFFFF" w:fill="D9D9D9"/>
          <w:lang w:val="zh-CN"/>
        </w:rPr>
      </w:pPr>
      <w:r>
        <w:rPr>
          <w:rFonts w:hint="eastAsia" w:ascii="宋体" w:hAnsi="宋体" w:cs="宋体"/>
          <w:bCs/>
          <w:color w:val="auto"/>
          <w:sz w:val="24"/>
          <w:highlight w:val="none"/>
          <w:lang w:val="zh-CN"/>
        </w:rPr>
        <w:t>（二）各投标人商务与技术文件</w:t>
      </w:r>
      <w:r>
        <w:rPr>
          <w:rFonts w:hint="eastAsia" w:ascii="宋体" w:hAnsi="宋体" w:cs="宋体"/>
          <w:color w:val="auto"/>
          <w:sz w:val="24"/>
          <w:highlight w:val="none"/>
          <w:lang w:val="zh-CN"/>
        </w:rPr>
        <w:t>得分按照评标委员会成</w:t>
      </w:r>
      <w:r>
        <w:rPr>
          <w:rFonts w:hint="eastAsia" w:ascii="宋体" w:hAnsi="宋体" w:cs="宋体"/>
          <w:bCs/>
          <w:color w:val="auto"/>
          <w:sz w:val="24"/>
          <w:highlight w:val="none"/>
          <w:lang w:val="zh-CN"/>
        </w:rPr>
        <w:t>员的独立评分结果汇总后的算术平均分计算</w:t>
      </w:r>
      <w:r>
        <w:rPr>
          <w:rFonts w:hint="eastAsia" w:ascii="宋体" w:hAnsi="宋体" w:cs="宋体"/>
          <w:color w:val="auto"/>
          <w:sz w:val="24"/>
          <w:highlight w:val="none"/>
        </w:rPr>
        <w:t>（小数点后保留2位）</w:t>
      </w:r>
      <w:r>
        <w:rPr>
          <w:rFonts w:hint="eastAsia" w:ascii="宋体" w:hAnsi="宋体" w:cs="宋体"/>
          <w:bCs/>
          <w:color w:val="auto"/>
          <w:sz w:val="24"/>
          <w:highlight w:val="none"/>
          <w:lang w:val="zh-CN"/>
        </w:rPr>
        <w:t>，计算公式为：</w:t>
      </w:r>
    </w:p>
    <w:p w14:paraId="175704E8">
      <w:pPr>
        <w:keepNext w:val="0"/>
        <w:keepLines w:val="0"/>
        <w:pageBreakBefore w:val="0"/>
        <w:widowControl w:val="0"/>
        <w:kinsoku/>
        <w:wordWrap/>
        <w:overflowPunct/>
        <w:topLinePunct w:val="0"/>
        <w:autoSpaceDE w:val="0"/>
        <w:autoSpaceDN w:val="0"/>
        <w:bidi w:val="0"/>
        <w:adjustRightInd w:val="0"/>
        <w:snapToGrid w:val="0"/>
        <w:spacing w:line="360" w:lineRule="auto"/>
        <w:ind w:firstLine="472"/>
        <w:textAlignment w:val="auto"/>
        <w:rPr>
          <w:rFonts w:ascii="宋体" w:hAnsi="宋体" w:cs="宋体"/>
          <w:bCs/>
          <w:color w:val="auto"/>
          <w:sz w:val="24"/>
          <w:highlight w:val="none"/>
          <w:shd w:val="clear" w:color="FFFFFF" w:fill="D9D9D9"/>
          <w:lang w:val="zh-CN"/>
        </w:rPr>
      </w:pPr>
      <w:r>
        <w:rPr>
          <w:rFonts w:hint="eastAsia" w:ascii="宋体" w:hAnsi="宋体" w:cs="宋体"/>
          <w:color w:val="auto"/>
          <w:sz w:val="24"/>
          <w:highlight w:val="none"/>
        </w:rPr>
        <w:t>商务与技术文件得分</w:t>
      </w:r>
      <w:r>
        <w:rPr>
          <w:rFonts w:hint="eastAsia" w:ascii="宋体" w:hAnsi="宋体" w:cs="宋体"/>
          <w:bCs/>
          <w:color w:val="auto"/>
          <w:sz w:val="24"/>
          <w:highlight w:val="none"/>
          <w:lang w:val="zh-CN"/>
        </w:rPr>
        <w:t>=评标委员会所有成员评分合计数/评标委员会组成人员数。</w:t>
      </w:r>
    </w:p>
    <w:p w14:paraId="795A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宋体"/>
          <w:color w:val="auto"/>
          <w:sz w:val="24"/>
          <w:highlight w:val="none"/>
          <w:lang w:val="zh-CN"/>
        </w:rPr>
      </w:pPr>
      <w:r>
        <w:rPr>
          <w:rFonts w:hint="eastAsia" w:ascii="宋体" w:hAnsi="宋体" w:cs="宋体"/>
          <w:bCs/>
          <w:color w:val="auto"/>
          <w:sz w:val="24"/>
          <w:highlight w:val="none"/>
          <w:lang w:val="zh-CN"/>
        </w:rPr>
        <w:t>（三）</w:t>
      </w:r>
      <w:r>
        <w:rPr>
          <w:rFonts w:hint="eastAsia" w:ascii="宋体" w:hAnsi="宋体" w:cs="宋体"/>
          <w:color w:val="auto"/>
          <w:sz w:val="24"/>
          <w:highlight w:val="none"/>
          <w:lang w:val="zh-CN"/>
        </w:rPr>
        <w:t>投标报价得分采用低价优先法计算</w:t>
      </w:r>
      <w:r>
        <w:rPr>
          <w:rFonts w:hint="eastAsia" w:ascii="宋体" w:hAnsi="宋体" w:cs="宋体"/>
          <w:color w:val="auto"/>
          <w:sz w:val="24"/>
          <w:highlight w:val="none"/>
        </w:rPr>
        <w:t>（小数点后保留2位）</w:t>
      </w:r>
      <w:r>
        <w:rPr>
          <w:rFonts w:hint="eastAsia" w:ascii="宋体" w:hAnsi="宋体" w:cs="宋体"/>
          <w:color w:val="auto"/>
          <w:sz w:val="24"/>
          <w:highlight w:val="none"/>
          <w:lang w:val="zh-CN"/>
        </w:rPr>
        <w:t>，即满足招标文件要求且投标价格最低的投标报价为评标基准价，其报价得满分。其他投标人的投标报价得分按下列公式计算：</w:t>
      </w:r>
    </w:p>
    <w:p w14:paraId="7615285F">
      <w:pPr>
        <w:keepNext w:val="0"/>
        <w:keepLines w:val="0"/>
        <w:pageBreakBefore w:val="0"/>
        <w:widowControl w:val="0"/>
        <w:kinsoku/>
        <w:wordWrap/>
        <w:overflowPunct/>
        <w:topLinePunct w:val="0"/>
        <w:autoSpaceDE w:val="0"/>
        <w:autoSpaceDN w:val="0"/>
        <w:bidi w:val="0"/>
        <w:adjustRightInd w:val="0"/>
        <w:snapToGrid w:val="0"/>
        <w:spacing w:line="360" w:lineRule="auto"/>
        <w:ind w:right="85"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u w:val="single"/>
        </w:rPr>
        <w:t>投标报价得分=(评标基准价／投标报价)×</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%×100 。</w:t>
      </w:r>
    </w:p>
    <w:p w14:paraId="6C3ACFAD">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b/>
          <w:bCs/>
          <w:color w:val="auto"/>
          <w:kern w:val="0"/>
          <w:sz w:val="24"/>
          <w:highlight w:val="none"/>
        </w:rPr>
      </w:pPr>
      <w:r>
        <w:rPr>
          <w:rFonts w:hint="eastAsia" w:ascii="宋体" w:hAnsi="宋体" w:cs="宋体"/>
          <w:color w:val="auto"/>
          <w:sz w:val="24"/>
          <w:highlight w:val="none"/>
        </w:rPr>
        <w:t>投标人综合得分＝商务与技术文件得分＋投标报价得分。</w:t>
      </w:r>
    </w:p>
    <w:p w14:paraId="7BFAA3F3">
      <w:pPr>
        <w:keepNext w:val="0"/>
        <w:keepLines w:val="0"/>
        <w:pageBreakBefore w:val="0"/>
        <w:widowControl w:val="0"/>
        <w:kinsoku/>
        <w:wordWrap/>
        <w:overflowPunct/>
        <w:topLinePunct w:val="0"/>
        <w:autoSpaceDE w:val="0"/>
        <w:autoSpaceDN w:val="0"/>
        <w:bidi w:val="0"/>
        <w:adjustRightInd w:val="0"/>
        <w:snapToGrid w:val="0"/>
        <w:spacing w:line="360" w:lineRule="auto"/>
        <w:ind w:right="85"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rPr>
        <w:t>）政府采购政策及优惠：</w:t>
      </w:r>
    </w:p>
    <w:p w14:paraId="46D5EE7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（1）根据财政部、工业和信息化部发布的《政府采购促进中小企业发展管理办法》【财库</w:t>
      </w:r>
      <w:r>
        <w:rPr>
          <w:rFonts w:hint="eastAsia" w:ascii="宋体" w:hAnsi="宋体" w:cs="宋体"/>
          <w:color w:val="auto"/>
          <w:sz w:val="24"/>
          <w:szCs w:val="24"/>
          <w:highlight w:val="none"/>
          <w:lang w:val="zh-CN"/>
        </w:rPr>
        <w:t>〔2020〕46号</w:t>
      </w:r>
      <w:r>
        <w:rPr>
          <w:rFonts w:hint="eastAsia" w:ascii="宋体" w:hAnsi="宋体" w:eastAsia="宋体" w:cs="宋体"/>
          <w:color w:val="auto"/>
          <w:sz w:val="24"/>
          <w:szCs w:val="24"/>
          <w:highlight w:val="none"/>
          <w:lang w:val="zh-CN"/>
        </w:rPr>
        <w:t>】和《财政部关于进一步加大政府采购支持中小企业力度的通知》【财库</w:t>
      </w:r>
      <w:r>
        <w:rPr>
          <w:rFonts w:hint="eastAsia" w:ascii="宋体" w:hAnsi="宋体" w:cs="宋体"/>
          <w:color w:val="auto"/>
          <w:sz w:val="24"/>
          <w:szCs w:val="24"/>
          <w:highlight w:val="none"/>
          <w:lang w:val="zh-CN"/>
        </w:rPr>
        <w:t>〔2022〕19号</w:t>
      </w:r>
      <w:r>
        <w:rPr>
          <w:rFonts w:hint="eastAsia" w:ascii="宋体" w:hAnsi="宋体" w:eastAsia="宋体" w:cs="宋体"/>
          <w:color w:val="auto"/>
          <w:sz w:val="24"/>
          <w:szCs w:val="24"/>
          <w:highlight w:val="none"/>
          <w:lang w:val="zh-CN"/>
        </w:rPr>
        <w:t>】有关规定，货物和服务项目中未预留份额专门面向中小企业采购的，以及预留份额项目中的非预留部分采购包，采购单位、采购代理机构应当对符合规定的小微企业报价给予10%的扣除，用扣除后的价格参加评审。</w:t>
      </w:r>
    </w:p>
    <w:p w14:paraId="5FD46FA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投标文件中须同时出具《政府采购促进中小企业发展管理办法》【财库</w:t>
      </w:r>
      <w:r>
        <w:rPr>
          <w:rFonts w:hint="eastAsia" w:ascii="宋体" w:hAnsi="宋体" w:cs="宋体"/>
          <w:color w:val="auto"/>
          <w:sz w:val="24"/>
          <w:szCs w:val="24"/>
          <w:highlight w:val="none"/>
          <w:lang w:val="zh-CN"/>
        </w:rPr>
        <w:t>〔2020〕46号</w:t>
      </w:r>
      <w:r>
        <w:rPr>
          <w:rFonts w:hint="eastAsia" w:ascii="宋体" w:hAnsi="宋体" w:eastAsia="宋体" w:cs="宋体"/>
          <w:color w:val="auto"/>
          <w:sz w:val="24"/>
          <w:szCs w:val="24"/>
          <w:highlight w:val="none"/>
          <w:lang w:val="zh-CN"/>
        </w:rPr>
        <w:t>】规定的《中小企业声明函》，否则不得享受价格扣除。</w:t>
      </w:r>
    </w:p>
    <w:p w14:paraId="17F9093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本项目对符合规定的小微企业（含小型企业）报价给予10%的扣除。</w:t>
      </w:r>
    </w:p>
    <w:p w14:paraId="343192E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（2）根据《关于政府采购支持监狱企业发展有关问题的通知》（财库</w:t>
      </w:r>
      <w:r>
        <w:rPr>
          <w:rFonts w:hint="eastAsia" w:ascii="宋体" w:hAnsi="宋体" w:cs="宋体"/>
          <w:color w:val="auto"/>
          <w:sz w:val="24"/>
          <w:szCs w:val="24"/>
          <w:highlight w:val="none"/>
          <w:lang w:val="zh-CN"/>
        </w:rPr>
        <w:t>〔2014〕68号</w:t>
      </w:r>
      <w:r>
        <w:rPr>
          <w:rFonts w:hint="eastAsia" w:ascii="宋体" w:hAnsi="宋体" w:eastAsia="宋体" w:cs="宋体"/>
          <w:color w:val="auto"/>
          <w:sz w:val="24"/>
          <w:szCs w:val="24"/>
          <w:highlight w:val="none"/>
          <w:lang w:val="zh-CN"/>
        </w:rPr>
        <w:t>）的规定，供应商如为监狱企业且所投产品为小型或微型企业生产的，其投标报价扣除10%后参与评审。</w:t>
      </w:r>
    </w:p>
    <w:p w14:paraId="442D513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投标文件中须同时提供：供应商的省级以上监狱管理局、戒毒管理局（含新疆生产建设兵团）出具的属于监狱企业的证明文件，未提供完整证明材料的，投标报价不予扣减。</w:t>
      </w:r>
    </w:p>
    <w:p w14:paraId="22A124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残疾人福利性单位视同小型、微型企业，享受预留份额、评审中价格扣除等促进中小企业发展的政府采购政策。符合条件的残疾人福利性单位在参加政府采购活动时，应当提供本通知规定的《残疾人福利性单位声明函》（见附件），并对声明的真实性负责。</w:t>
      </w:r>
    </w:p>
    <w:p w14:paraId="023CED9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享受政府采购支持政策的残疾人福利性单位应当同时满足以下条件：</w:t>
      </w:r>
    </w:p>
    <w:p w14:paraId="28CD024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①安置的残疾人占本单位在职职工人数的比例不低于25%（含25%），并且安置的残疾人人数不少于10人（含10人）；</w:t>
      </w:r>
    </w:p>
    <w:p w14:paraId="1251DA6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②依法与安置的每位残疾人签订了一年以上（含一年）的劳动合同或服务协议；</w:t>
      </w:r>
    </w:p>
    <w:p w14:paraId="11CA8B6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③为安置的每位残疾人按月足额缴纳了基本养老保险、基本医疗保险、失业保险、工伤保险和生育保险等社会保险费；</w:t>
      </w:r>
    </w:p>
    <w:p w14:paraId="5744647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④通过银行等金融机构向安置的每位残疾人，按月支付了不低于单位所在区县适用的经省级人民政府批准的月最低工资标准的工资；</w:t>
      </w:r>
    </w:p>
    <w:p w14:paraId="2FD0B48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⑤提供本单位制造的货物、承担的工程或者服务（以下简称产品），或者提供其他残疾人福利性单位制造的货物（不包括使用非残疾人福利性单位注册商标的货物）。</w:t>
      </w:r>
    </w:p>
    <w:p w14:paraId="671FA5A7">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A07529">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注：得分以系统计算为准，保留2位小数。</w:t>
      </w:r>
    </w:p>
    <w:p w14:paraId="0D42AB7B">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三、在最大限度地满足招标文件实质性要求前提下，评标委员会按照招标文件中规定的各项因素进行综合评审后，推荐二名合格的中标候选人，并按评标报告推荐的顺序确定排名第一的中标候选人为中标人。</w:t>
      </w:r>
    </w:p>
    <w:p w14:paraId="54BE5AD2">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四、如综合得分相同，投标报价低者为先；如综合得分且投标报价相同的，货物类采购项目以技术性能得分较高者为先，服务类采购项目以实力信誉及业绩得分较高者为先。</w:t>
      </w:r>
    </w:p>
    <w:p w14:paraId="3FEC659A">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bookmarkStart w:id="30" w:name="_Toc8522"/>
      <w:bookmarkStart w:id="31" w:name="_Toc5439"/>
      <w:r>
        <w:rPr>
          <w:rFonts w:hint="eastAsia" w:ascii="宋体" w:hAnsi="宋体" w:eastAsia="宋体" w:cs="宋体"/>
          <w:color w:val="auto"/>
          <w:sz w:val="24"/>
          <w:szCs w:val="24"/>
          <w:highlight w:val="none"/>
          <w:lang w:val="zh-CN"/>
        </w:rPr>
        <w:t>五、提供相同品牌产品的不同投标人参加同一合同项下投标的，按一家供应商认定：</w:t>
      </w:r>
    </w:p>
    <w:p w14:paraId="5F91E2E8">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（1）采用最低评标价法的采购项目，以其中通过资格审查、符合性审查且报价最低的参加评标；报价相同的，由评标委员会集体确定一个投标人参加评标，其他投标无效。</w:t>
      </w:r>
    </w:p>
    <w:p w14:paraId="16F5FB29">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（2）使用综合评分法的采购项目，评审后得分最高的同品牌投标人获得中标人推荐资格；评审得分相同的，由评标委员会集体推荐一个投标人作为中标候选人，其他同品牌投标人不作为中标候选人。</w:t>
      </w:r>
    </w:p>
    <w:p w14:paraId="02711477">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24"/>
          <w:highlight w:val="none"/>
          <w:lang w:val="zh-CN"/>
        </w:rPr>
        <w:t>六、本次</w:t>
      </w:r>
      <w:r>
        <w:rPr>
          <w:rFonts w:hint="eastAsia" w:ascii="宋体" w:hAnsi="宋体" w:eastAsia="宋体" w:cs="宋体"/>
          <w:color w:val="auto"/>
          <w:sz w:val="24"/>
          <w:szCs w:val="32"/>
          <w:highlight w:val="none"/>
          <w:lang w:val="zh-CN"/>
        </w:rPr>
        <w:t>评分具体分值细化条款如下表：</w:t>
      </w:r>
    </w:p>
    <w:tbl>
      <w:tblPr>
        <w:tblStyle w:val="2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83"/>
        <w:gridCol w:w="5"/>
        <w:gridCol w:w="6013"/>
        <w:gridCol w:w="844"/>
        <w:gridCol w:w="844"/>
      </w:tblGrid>
      <w:tr w14:paraId="5481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4A7570">
            <w:pPr>
              <w:keepNext w:val="0"/>
              <w:keepLines w:val="0"/>
              <w:pageBreakBefore w:val="0"/>
              <w:kinsoku/>
              <w:overflowPunct/>
              <w:topLinePunct w:val="0"/>
              <w:autoSpaceDE/>
              <w:autoSpaceDN/>
              <w:bidi w:val="0"/>
              <w:adjustRightInd/>
              <w:snapToGrid w:val="0"/>
              <w:spacing w:line="240" w:lineRule="auto"/>
              <w:jc w:val="center"/>
              <w:rPr>
                <w:rFonts w:ascii="Times New Roman" w:hAnsi="Times New Roman" w:eastAsia="宋体" w:cs="Times New Roman"/>
                <w:color w:val="auto"/>
                <w:kern w:val="2"/>
                <w:sz w:val="24"/>
                <w:szCs w:val="24"/>
                <w:highlight w:val="none"/>
                <w:lang w:val="en-US" w:eastAsia="zh-CN" w:bidi="ar-SA"/>
              </w:rPr>
            </w:pPr>
            <w:r>
              <w:rPr>
                <w:rFonts w:hAnsi="宋体"/>
                <w:color w:val="auto"/>
                <w:sz w:val="24"/>
                <w:highlight w:val="none"/>
              </w:rPr>
              <w:t>序号</w:t>
            </w:r>
          </w:p>
        </w:tc>
        <w:tc>
          <w:tcPr>
            <w:tcW w:w="72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E0582E">
            <w:pPr>
              <w:keepNext w:val="0"/>
              <w:keepLines w:val="0"/>
              <w:pageBreakBefore w:val="0"/>
              <w:kinsoku/>
              <w:overflowPunct/>
              <w:topLinePunct w:val="0"/>
              <w:autoSpaceDE/>
              <w:autoSpaceDN/>
              <w:bidi w:val="0"/>
              <w:adjustRightInd/>
              <w:snapToGrid w:val="0"/>
              <w:spacing w:line="240" w:lineRule="auto"/>
              <w:jc w:val="center"/>
              <w:rPr>
                <w:rFonts w:ascii="Times New Roman" w:hAnsi="Times New Roman" w:eastAsia="宋体" w:cs="Times New Roman"/>
                <w:color w:val="auto"/>
                <w:kern w:val="2"/>
                <w:sz w:val="24"/>
                <w:szCs w:val="24"/>
                <w:highlight w:val="none"/>
                <w:lang w:val="en-US" w:eastAsia="zh-CN" w:bidi="ar-SA"/>
              </w:rPr>
            </w:pPr>
            <w:r>
              <w:rPr>
                <w:rFonts w:hAnsi="宋体"/>
                <w:bCs/>
                <w:color w:val="auto"/>
                <w:sz w:val="24"/>
                <w:highlight w:val="none"/>
              </w:rPr>
              <w:t>评标内容</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134A97">
            <w:pPr>
              <w:keepNext w:val="0"/>
              <w:keepLines w:val="0"/>
              <w:pageBreakBefore w:val="0"/>
              <w:kinsoku/>
              <w:overflowPunct/>
              <w:topLinePunct w:val="0"/>
              <w:autoSpaceDE/>
              <w:autoSpaceDN/>
              <w:bidi w:val="0"/>
              <w:adjustRightInd/>
              <w:snapToGrid w:val="0"/>
              <w:spacing w:line="240" w:lineRule="auto"/>
              <w:jc w:val="center"/>
              <w:rPr>
                <w:rFonts w:ascii="Times New Roman" w:hAnsi="Times New Roman" w:eastAsia="宋体" w:cs="Times New Roman"/>
                <w:color w:val="auto"/>
                <w:kern w:val="2"/>
                <w:sz w:val="24"/>
                <w:szCs w:val="24"/>
                <w:highlight w:val="none"/>
                <w:lang w:val="en-US" w:eastAsia="zh-CN" w:bidi="ar-SA"/>
              </w:rPr>
            </w:pPr>
            <w:r>
              <w:rPr>
                <w:rFonts w:hAnsi="宋体"/>
                <w:color w:val="auto"/>
                <w:sz w:val="24"/>
                <w:highlight w:val="none"/>
              </w:rPr>
              <w:t>满分分值</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DE44C">
            <w:pPr>
              <w:keepNext w:val="0"/>
              <w:keepLines w:val="0"/>
              <w:pageBreakBefore w:val="0"/>
              <w:kinsoku/>
              <w:overflowPunct/>
              <w:topLinePunct w:val="0"/>
              <w:autoSpaceDE/>
              <w:autoSpaceDN/>
              <w:bidi w:val="0"/>
              <w:adjustRightInd/>
              <w:snapToGrid w:val="0"/>
              <w:spacing w:line="240" w:lineRule="auto"/>
              <w:jc w:val="center"/>
              <w:rPr>
                <w:rFonts w:hint="eastAsia" w:hAnsi="宋体" w:eastAsia="宋体"/>
                <w:color w:val="auto"/>
                <w:sz w:val="24"/>
                <w:highlight w:val="none"/>
                <w:lang w:val="en-US" w:eastAsia="zh-CN"/>
              </w:rPr>
            </w:pPr>
            <w:r>
              <w:rPr>
                <w:rFonts w:hint="eastAsia" w:hAnsi="宋体"/>
                <w:color w:val="auto"/>
                <w:sz w:val="24"/>
                <w:highlight w:val="none"/>
                <w:lang w:val="en-US" w:eastAsia="zh-CN"/>
              </w:rPr>
              <w:t>备注</w:t>
            </w:r>
          </w:p>
        </w:tc>
      </w:tr>
      <w:tr w14:paraId="74B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29303">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BDB852">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体系证书</w:t>
            </w:r>
          </w:p>
        </w:tc>
        <w:tc>
          <w:tcPr>
            <w:tcW w:w="60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53F9AD">
            <w:pPr>
              <w:keepNext w:val="0"/>
              <w:keepLines w:val="0"/>
              <w:pageBreakBefore w:val="0"/>
              <w:widowControl w:val="0"/>
              <w:kinsoku/>
              <w:wordWrap w:val="0"/>
              <w:overflowPunct/>
              <w:topLinePunct w:val="0"/>
              <w:autoSpaceDE/>
              <w:autoSpaceDN/>
              <w:bidi w:val="0"/>
              <w:adjustRightInd/>
              <w:snapToGrid w:val="0"/>
              <w:spacing w:line="240" w:lineRule="auto"/>
              <w:ind w:right="-21" w:rightChars="-1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投标人具有有效期内的质量管理体系认证证书、环境管理体系认证证书、职业健康安全管理体系认证证书，每提供一个得1分，满分3分。（</w:t>
            </w:r>
            <w:r>
              <w:rPr>
                <w:rFonts w:hint="eastAsia" w:ascii="仿宋" w:hAnsi="仿宋" w:eastAsia="仿宋" w:cs="仿宋"/>
                <w:b/>
                <w:bCs/>
                <w:color w:val="auto"/>
                <w:sz w:val="24"/>
                <w:highlight w:val="none"/>
              </w:rPr>
              <w:t>须提供相应的证书复印件和国家认证认可监督委员会官方网站(http://cx.cnca.cn )公示查询网页截图并加盖投标人公章编入投标文件中，未提供或提供不全的不得分）（若投标人为代理商，还需同时提供生产厂家出具的唯一授权书）</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35176A">
            <w:pPr>
              <w:keepNext w:val="0"/>
              <w:keepLines w:val="0"/>
              <w:pageBreakBefore w:val="0"/>
              <w:kinsoku/>
              <w:wordWrap w:val="0"/>
              <w:overflowPunct/>
              <w:topLinePunct w:val="0"/>
              <w:autoSpaceDE/>
              <w:autoSpaceDN/>
              <w:bidi w:val="0"/>
              <w:adjustRightInd/>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3</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98598">
            <w:pPr>
              <w:keepNext w:val="0"/>
              <w:keepLines w:val="0"/>
              <w:pageBreakBefore w:val="0"/>
              <w:kinsoku/>
              <w:wordWrap w:val="0"/>
              <w:overflowPunct/>
              <w:topLinePunct w:val="0"/>
              <w:autoSpaceDE/>
              <w:autoSpaceDN/>
              <w:bidi w:val="0"/>
              <w:adjustRightInd/>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客观分</w:t>
            </w:r>
          </w:p>
        </w:tc>
      </w:tr>
      <w:tr w14:paraId="440E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AB081">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55D96">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业绩</w:t>
            </w:r>
          </w:p>
        </w:tc>
        <w:tc>
          <w:tcPr>
            <w:tcW w:w="60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72BD935">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highlight w:val="none"/>
              </w:rPr>
              <w:t>投标人202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年1月1日以来，已完成的窗帘供货安装业绩，每提供一个得1分，满分3分，以提供的合同为准。</w:t>
            </w:r>
            <w:r>
              <w:rPr>
                <w:rFonts w:hint="eastAsia" w:ascii="仿宋" w:hAnsi="仿宋" w:eastAsia="仿宋" w:cs="仿宋"/>
                <w:b/>
                <w:bCs/>
                <w:color w:val="auto"/>
                <w:sz w:val="24"/>
                <w:highlight w:val="none"/>
                <w:lang w:bidi="ar"/>
              </w:rPr>
              <w:t>注：提供相关网站中标公告的下载网页</w:t>
            </w:r>
            <w:r>
              <w:rPr>
                <w:rFonts w:hint="eastAsia" w:ascii="仿宋" w:hAnsi="仿宋" w:eastAsia="仿宋" w:cs="仿宋"/>
                <w:b/>
                <w:bCs/>
                <w:color w:val="auto"/>
                <w:sz w:val="24"/>
                <w:highlight w:val="none"/>
                <w:lang w:val="en-US" w:eastAsia="zh-CN" w:bidi="ar"/>
              </w:rPr>
              <w:t>截图</w:t>
            </w:r>
            <w:r>
              <w:rPr>
                <w:rFonts w:hint="eastAsia" w:ascii="仿宋" w:hAnsi="仿宋" w:eastAsia="仿宋" w:cs="仿宋"/>
                <w:b/>
                <w:bCs/>
                <w:color w:val="auto"/>
                <w:sz w:val="24"/>
                <w:highlight w:val="none"/>
                <w:lang w:bidi="ar"/>
              </w:rPr>
              <w:t>并注明网址</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bidi="ar"/>
              </w:rPr>
              <w:t>中标(成交)通知书复印件</w:t>
            </w:r>
            <w:r>
              <w:rPr>
                <w:rFonts w:hint="eastAsia" w:ascii="仿宋" w:hAnsi="仿宋" w:eastAsia="仿宋" w:cs="仿宋"/>
                <w:b/>
                <w:bCs/>
                <w:color w:val="auto"/>
                <w:sz w:val="24"/>
                <w:highlight w:val="none"/>
                <w:lang w:eastAsia="zh-CN" w:bidi="ar"/>
              </w:rPr>
              <w:t>、</w:t>
            </w:r>
            <w:r>
              <w:rPr>
                <w:rFonts w:hint="eastAsia" w:ascii="仿宋" w:hAnsi="仿宋" w:eastAsia="仿宋" w:cs="仿宋"/>
                <w:b/>
                <w:bCs/>
                <w:color w:val="auto"/>
                <w:sz w:val="24"/>
                <w:highlight w:val="none"/>
                <w:lang w:bidi="ar"/>
              </w:rPr>
              <w:t>合同复印件</w:t>
            </w:r>
            <w:r>
              <w:rPr>
                <w:rFonts w:hint="eastAsia" w:ascii="仿宋" w:hAnsi="仿宋" w:eastAsia="仿宋" w:cs="仿宋"/>
                <w:b/>
                <w:bCs/>
                <w:color w:val="auto"/>
                <w:sz w:val="24"/>
                <w:highlight w:val="none"/>
                <w:lang w:val="en-US" w:eastAsia="zh-CN" w:bidi="ar"/>
              </w:rPr>
              <w:t>、验收证明材料</w:t>
            </w:r>
            <w:r>
              <w:rPr>
                <w:rFonts w:hint="eastAsia" w:ascii="仿宋" w:hAnsi="仿宋" w:eastAsia="仿宋" w:cs="仿宋"/>
                <w:b/>
                <w:bCs/>
                <w:color w:val="auto"/>
                <w:sz w:val="24"/>
                <w:highlight w:val="none"/>
                <w:lang w:bidi="ar"/>
              </w:rPr>
              <w:t>加盖投标人公章。</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6E96C">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3</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1157A">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客观分</w:t>
            </w:r>
          </w:p>
        </w:tc>
      </w:tr>
      <w:tr w14:paraId="6306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9BCC1">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FAE37">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技术参数</w:t>
            </w:r>
          </w:p>
        </w:tc>
        <w:tc>
          <w:tcPr>
            <w:tcW w:w="60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1930332">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根据产品技术参数和配置等综合性能评价情况，所有指标均满足招标文件要求得</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分。</w:t>
            </w:r>
          </w:p>
          <w:p w14:paraId="4544A7C4">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标注“▲”的为实质性条款，对其中任何一项负偏离，其投标无效；标记“★”号产品的技术参数低于招标需求（负偏离）的，每项扣2分，其余参数每项扣1分，扣完为止。</w:t>
            </w:r>
          </w:p>
          <w:p w14:paraId="38D0E97C">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凡是要求提供检测报告的相关技术指标则依照提供的检测报告来评定采购需求的满足情况。</w:t>
            </w:r>
          </w:p>
          <w:p w14:paraId="1EAD1726">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highlight w:val="none"/>
              </w:rPr>
              <w:t>若未要求提供检测报告的相关技术指标则依照偏离表的响应程度来评定采购需求的满足情况。</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799AD">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16</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3004C5">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客观分</w:t>
            </w:r>
          </w:p>
        </w:tc>
      </w:tr>
      <w:tr w14:paraId="78A7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9" w:type="dxa"/>
            <w:tcBorders>
              <w:top w:val="single" w:color="auto" w:sz="4" w:space="0"/>
              <w:left w:val="single" w:color="auto" w:sz="4" w:space="0"/>
              <w:right w:val="single" w:color="auto" w:sz="4" w:space="0"/>
            </w:tcBorders>
            <w:shd w:val="clear" w:color="auto" w:fill="auto"/>
            <w:noWrap w:val="0"/>
            <w:vAlign w:val="center"/>
          </w:tcPr>
          <w:p w14:paraId="6914287D">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1183" w:type="dxa"/>
            <w:tcBorders>
              <w:top w:val="single" w:color="auto" w:sz="4" w:space="0"/>
              <w:left w:val="single" w:color="auto" w:sz="4" w:space="0"/>
              <w:right w:val="single" w:color="auto" w:sz="4" w:space="0"/>
            </w:tcBorders>
            <w:shd w:val="clear" w:color="auto" w:fill="auto"/>
            <w:noWrap w:val="0"/>
            <w:vAlign w:val="center"/>
          </w:tcPr>
          <w:p w14:paraId="22F43C7D">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设计方案</w:t>
            </w:r>
          </w:p>
        </w:tc>
        <w:tc>
          <w:tcPr>
            <w:tcW w:w="6018" w:type="dxa"/>
            <w:gridSpan w:val="2"/>
            <w:tcBorders>
              <w:top w:val="single" w:color="auto" w:sz="4" w:space="0"/>
              <w:left w:val="single" w:color="auto" w:sz="4" w:space="0"/>
              <w:right w:val="single" w:color="auto" w:sz="4" w:space="0"/>
            </w:tcBorders>
            <w:shd w:val="clear" w:color="auto" w:fill="auto"/>
            <w:noWrap w:val="0"/>
            <w:vAlign w:val="center"/>
          </w:tcPr>
          <w:p w14:paraId="25B26595">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highlight w:val="none"/>
              </w:rPr>
              <w:t>对投标产品进行深化设计，提供深化设计方案（提供产品的设计思路、效果图），设计效果与环境相融合性及体现文化理念性情况进行综合评分。（评分范围：0、0.5、1.0、1.5、2.0、2.5、3.0、3.5、4.0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4.5、5.0</w:t>
            </w:r>
            <w:r>
              <w:rPr>
                <w:rFonts w:hint="eastAsia" w:ascii="仿宋" w:hAnsi="仿宋" w:eastAsia="仿宋" w:cs="仿宋"/>
                <w:color w:val="auto"/>
                <w:sz w:val="24"/>
                <w:highlight w:val="none"/>
              </w:rPr>
              <w:t>）</w:t>
            </w:r>
          </w:p>
        </w:tc>
        <w:tc>
          <w:tcPr>
            <w:tcW w:w="844" w:type="dxa"/>
            <w:tcBorders>
              <w:top w:val="single" w:color="auto" w:sz="4" w:space="0"/>
              <w:left w:val="single" w:color="auto" w:sz="4" w:space="0"/>
              <w:right w:val="single" w:color="auto" w:sz="4" w:space="0"/>
            </w:tcBorders>
            <w:shd w:val="clear" w:color="auto" w:fill="auto"/>
            <w:noWrap w:val="0"/>
            <w:vAlign w:val="center"/>
          </w:tcPr>
          <w:p w14:paraId="5C7C15A5">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44" w:type="dxa"/>
            <w:tcBorders>
              <w:top w:val="single" w:color="auto" w:sz="4" w:space="0"/>
              <w:left w:val="single" w:color="auto" w:sz="4" w:space="0"/>
              <w:right w:val="single" w:color="auto" w:sz="4" w:space="0"/>
            </w:tcBorders>
            <w:shd w:val="clear" w:color="auto" w:fill="auto"/>
            <w:noWrap w:val="0"/>
            <w:vAlign w:val="center"/>
          </w:tcPr>
          <w:p w14:paraId="1307A50C">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540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729" w:type="dxa"/>
            <w:tcBorders>
              <w:top w:val="single" w:color="auto" w:sz="4" w:space="0"/>
              <w:left w:val="single" w:color="auto" w:sz="4" w:space="0"/>
              <w:right w:val="single" w:color="auto" w:sz="4" w:space="0"/>
            </w:tcBorders>
            <w:shd w:val="clear" w:color="auto" w:fill="auto"/>
            <w:noWrap w:val="0"/>
            <w:vAlign w:val="center"/>
          </w:tcPr>
          <w:p w14:paraId="64431404">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1183" w:type="dxa"/>
            <w:tcBorders>
              <w:top w:val="single" w:color="auto" w:sz="4" w:space="0"/>
              <w:left w:val="single" w:color="auto" w:sz="4" w:space="0"/>
              <w:right w:val="single" w:color="auto" w:sz="4" w:space="0"/>
            </w:tcBorders>
            <w:shd w:val="clear" w:color="auto" w:fill="auto"/>
            <w:noWrap w:val="0"/>
            <w:vAlign w:val="center"/>
          </w:tcPr>
          <w:p w14:paraId="5818CCD8">
            <w:pPr>
              <w:keepNext w:val="0"/>
              <w:keepLines w:val="0"/>
              <w:pageBreakBefore w:val="0"/>
              <w:kinsoku/>
              <w:wordWrap w:val="0"/>
              <w:overflowPunct/>
              <w:topLinePunct w:val="0"/>
              <w:autoSpaceDE/>
              <w:autoSpaceDN/>
              <w:bidi w:val="0"/>
              <w:adjustRightInd/>
              <w:snapToGrid w:val="0"/>
              <w:spacing w:line="240" w:lineRule="auto"/>
              <w:contextualSpacing/>
              <w:jc w:val="center"/>
              <w:rPr>
                <w:rFonts w:hint="eastAsia" w:ascii="仿宋" w:hAnsi="仿宋" w:eastAsia="仿宋" w:cs="仿宋"/>
                <w:color w:val="auto"/>
                <w:kern w:val="2"/>
                <w:sz w:val="24"/>
                <w:szCs w:val="24"/>
                <w:highlight w:val="none"/>
                <w:lang w:val="zh-CN" w:eastAsia="zh-CN" w:bidi="ar-SA"/>
              </w:rPr>
            </w:pPr>
            <w:r>
              <w:rPr>
                <w:rStyle w:val="63"/>
                <w:rFonts w:hint="eastAsia" w:ascii="仿宋" w:hAnsi="仿宋" w:eastAsia="仿宋" w:cs="仿宋"/>
                <w:color w:val="auto"/>
                <w:sz w:val="24"/>
                <w:szCs w:val="24"/>
                <w:highlight w:val="none"/>
              </w:rPr>
              <w:t>项目实施方案</w:t>
            </w:r>
          </w:p>
        </w:tc>
        <w:tc>
          <w:tcPr>
            <w:tcW w:w="6018" w:type="dxa"/>
            <w:gridSpan w:val="2"/>
            <w:tcBorders>
              <w:top w:val="single" w:color="auto" w:sz="4" w:space="0"/>
              <w:left w:val="single" w:color="auto" w:sz="4" w:space="0"/>
              <w:right w:val="single" w:color="auto" w:sz="4" w:space="0"/>
            </w:tcBorders>
            <w:shd w:val="clear" w:color="auto" w:fill="auto"/>
            <w:noWrap w:val="0"/>
            <w:vAlign w:val="center"/>
          </w:tcPr>
          <w:p w14:paraId="09AD1C4F">
            <w:pPr>
              <w:keepNext w:val="0"/>
              <w:keepLines w:val="0"/>
              <w:pageBreakBefore w:val="0"/>
              <w:widowControl/>
              <w:kinsoku/>
              <w:wordWrap w:val="0"/>
              <w:overflowPunct/>
              <w:topLinePunct w:val="0"/>
              <w:autoSpaceDE/>
              <w:autoSpaceDN/>
              <w:bidi w:val="0"/>
              <w:adjustRightInd/>
              <w:snapToGrid w:val="0"/>
              <w:spacing w:line="240" w:lineRule="auto"/>
              <w:contextualSpacing/>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rPr>
              <w:t>根据投标人提供项目实施方案中的项目整体实施方案、各阶段进度计划、各阶段进度保障措施方案、安全文明施工方案等评分。</w:t>
            </w:r>
            <w:r>
              <w:rPr>
                <w:rFonts w:hint="eastAsia" w:ascii="仿宋" w:hAnsi="仿宋" w:eastAsia="仿宋" w:cs="仿宋"/>
                <w:color w:val="auto"/>
                <w:sz w:val="24"/>
                <w:highlight w:val="none"/>
              </w:rPr>
              <w:t>（评分范围：0、0.5、1.0、1.5、2.0、2.5、3.0、3.5、4.0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4.5、5.0</w:t>
            </w:r>
            <w:r>
              <w:rPr>
                <w:rFonts w:hint="eastAsia" w:ascii="仿宋" w:hAnsi="仿宋" w:eastAsia="仿宋" w:cs="仿宋"/>
                <w:color w:val="auto"/>
                <w:sz w:val="24"/>
                <w:highlight w:val="none"/>
              </w:rPr>
              <w:t>）</w:t>
            </w:r>
          </w:p>
        </w:tc>
        <w:tc>
          <w:tcPr>
            <w:tcW w:w="844" w:type="dxa"/>
            <w:tcBorders>
              <w:top w:val="single" w:color="auto" w:sz="4" w:space="0"/>
              <w:left w:val="single" w:color="auto" w:sz="4" w:space="0"/>
              <w:right w:val="single" w:color="auto" w:sz="4" w:space="0"/>
            </w:tcBorders>
            <w:shd w:val="clear" w:color="auto" w:fill="auto"/>
            <w:noWrap w:val="0"/>
            <w:vAlign w:val="center"/>
          </w:tcPr>
          <w:p w14:paraId="049BCE76">
            <w:pPr>
              <w:keepNext w:val="0"/>
              <w:keepLines w:val="0"/>
              <w:pageBreakBefore w:val="0"/>
              <w:kinsoku/>
              <w:wordWrap w:val="0"/>
              <w:overflowPunct/>
              <w:topLinePunct w:val="0"/>
              <w:autoSpaceDE/>
              <w:autoSpaceDN/>
              <w:bidi w:val="0"/>
              <w:adjustRightInd/>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44" w:type="dxa"/>
            <w:tcBorders>
              <w:top w:val="single" w:color="auto" w:sz="4" w:space="0"/>
              <w:left w:val="single" w:color="auto" w:sz="4" w:space="0"/>
              <w:right w:val="single" w:color="auto" w:sz="4" w:space="0"/>
            </w:tcBorders>
            <w:shd w:val="clear" w:color="auto" w:fill="auto"/>
            <w:noWrap w:val="0"/>
            <w:vAlign w:val="center"/>
          </w:tcPr>
          <w:p w14:paraId="084295C5">
            <w:pPr>
              <w:keepNext w:val="0"/>
              <w:keepLines w:val="0"/>
              <w:pageBreakBefore w:val="0"/>
              <w:kinsoku/>
              <w:wordWrap w:val="0"/>
              <w:overflowPunct/>
              <w:topLinePunct w:val="0"/>
              <w:autoSpaceDE/>
              <w:autoSpaceDN/>
              <w:bidi w:val="0"/>
              <w:adjustRightInd/>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53E3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29" w:type="dxa"/>
            <w:tcBorders>
              <w:left w:val="single" w:color="auto" w:sz="4" w:space="0"/>
              <w:bottom w:val="single" w:color="auto" w:sz="4" w:space="0"/>
              <w:right w:val="single" w:color="auto" w:sz="4" w:space="0"/>
            </w:tcBorders>
            <w:shd w:val="clear" w:color="auto" w:fill="auto"/>
            <w:noWrap w:val="0"/>
            <w:vAlign w:val="center"/>
          </w:tcPr>
          <w:p w14:paraId="1CB7EF0A">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p>
        </w:tc>
        <w:tc>
          <w:tcPr>
            <w:tcW w:w="1188" w:type="dxa"/>
            <w:gridSpan w:val="2"/>
            <w:tcBorders>
              <w:left w:val="single" w:color="auto" w:sz="4" w:space="0"/>
              <w:bottom w:val="single" w:color="auto" w:sz="4" w:space="0"/>
              <w:right w:val="single" w:color="auto" w:sz="4" w:space="0"/>
            </w:tcBorders>
            <w:shd w:val="clear" w:color="auto" w:fill="auto"/>
            <w:noWrap w:val="0"/>
            <w:vAlign w:val="center"/>
          </w:tcPr>
          <w:p w14:paraId="3A562F4D">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生产实施方案</w:t>
            </w:r>
          </w:p>
        </w:tc>
        <w:tc>
          <w:tcPr>
            <w:tcW w:w="6013" w:type="dxa"/>
            <w:tcBorders>
              <w:left w:val="single" w:color="auto" w:sz="4" w:space="0"/>
              <w:bottom w:val="single" w:color="auto" w:sz="4" w:space="0"/>
              <w:right w:val="single" w:color="auto" w:sz="4" w:space="0"/>
            </w:tcBorders>
            <w:shd w:val="clear" w:color="auto" w:fill="auto"/>
            <w:noWrap w:val="0"/>
            <w:vAlign w:val="center"/>
          </w:tcPr>
          <w:p w14:paraId="2486F128">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生产实施方案的全面性、针对性进行评分，包括原材料采购、加工制作、生产线及装备状况是否先进等各个环节的实施方案，及在规定时间内有计划完成项目需求产品的生产装配方案等。（评分范围：0、0.5、1.0、1.5、2.0、2.5、3.0、3.5、4.0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4.5、5.0</w:t>
            </w:r>
            <w:r>
              <w:rPr>
                <w:rFonts w:hint="eastAsia" w:ascii="仿宋" w:hAnsi="仿宋" w:eastAsia="仿宋" w:cs="仿宋"/>
                <w:color w:val="auto"/>
                <w:sz w:val="24"/>
                <w:highlight w:val="none"/>
              </w:rPr>
              <w:t>）</w:t>
            </w:r>
          </w:p>
        </w:tc>
        <w:tc>
          <w:tcPr>
            <w:tcW w:w="844" w:type="dxa"/>
            <w:tcBorders>
              <w:left w:val="single" w:color="auto" w:sz="4" w:space="0"/>
              <w:bottom w:val="single" w:color="auto" w:sz="4" w:space="0"/>
              <w:right w:val="single" w:color="auto" w:sz="4" w:space="0"/>
            </w:tcBorders>
            <w:shd w:val="clear" w:color="auto" w:fill="auto"/>
            <w:noWrap w:val="0"/>
            <w:vAlign w:val="center"/>
          </w:tcPr>
          <w:p w14:paraId="3C95A017">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44" w:type="dxa"/>
            <w:tcBorders>
              <w:left w:val="single" w:color="auto" w:sz="4" w:space="0"/>
              <w:bottom w:val="single" w:color="auto" w:sz="4" w:space="0"/>
              <w:right w:val="single" w:color="auto" w:sz="4" w:space="0"/>
            </w:tcBorders>
            <w:shd w:val="clear" w:color="auto" w:fill="auto"/>
            <w:noWrap w:val="0"/>
            <w:vAlign w:val="center"/>
          </w:tcPr>
          <w:p w14:paraId="28B2162B">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2B49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9" w:type="dxa"/>
            <w:tcBorders>
              <w:left w:val="single" w:color="auto" w:sz="4" w:space="0"/>
              <w:bottom w:val="single" w:color="auto" w:sz="4" w:space="0"/>
              <w:right w:val="single" w:color="auto" w:sz="4" w:space="0"/>
            </w:tcBorders>
            <w:shd w:val="clear" w:color="auto" w:fill="auto"/>
            <w:noWrap w:val="0"/>
            <w:vAlign w:val="center"/>
          </w:tcPr>
          <w:p w14:paraId="336A8FF0">
            <w:pPr>
              <w:keepNext w:val="0"/>
              <w:keepLines w:val="0"/>
              <w:pageBreakBefore w:val="0"/>
              <w:widowControl w:val="0"/>
              <w:numPr>
                <w:ilvl w:val="1"/>
                <w:numId w:val="0"/>
              </w:numPr>
              <w:shd w:val="clear" w:color="auto" w:fill="auto"/>
              <w:kinsoku/>
              <w:overflowPunct/>
              <w:topLinePunct w:val="0"/>
              <w:autoSpaceDE/>
              <w:autoSpaceDN/>
              <w:bidi w:val="0"/>
              <w:adjustRightInd/>
              <w:snapToGrid w:val="0"/>
              <w:spacing w:line="240" w:lineRule="auto"/>
              <w:ind w:left="567" w:leftChars="0" w:hanging="567"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1188" w:type="dxa"/>
            <w:gridSpan w:val="2"/>
            <w:tcBorders>
              <w:left w:val="single" w:color="auto" w:sz="4" w:space="0"/>
              <w:bottom w:val="single" w:color="auto" w:sz="4" w:space="0"/>
              <w:right w:val="single" w:color="auto" w:sz="4" w:space="0"/>
            </w:tcBorders>
            <w:shd w:val="clear" w:color="auto" w:fill="auto"/>
            <w:noWrap w:val="0"/>
            <w:vAlign w:val="center"/>
          </w:tcPr>
          <w:p w14:paraId="45014F78">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安装、调试、验收的方案和措施</w:t>
            </w:r>
          </w:p>
        </w:tc>
        <w:tc>
          <w:tcPr>
            <w:tcW w:w="6013" w:type="dxa"/>
            <w:tcBorders>
              <w:left w:val="single" w:color="auto" w:sz="4" w:space="0"/>
              <w:bottom w:val="single" w:color="auto" w:sz="4" w:space="0"/>
              <w:right w:val="single" w:color="auto" w:sz="4" w:space="0"/>
            </w:tcBorders>
            <w:shd w:val="clear" w:color="auto" w:fill="auto"/>
            <w:noWrap w:val="0"/>
            <w:vAlign w:val="center"/>
          </w:tcPr>
          <w:p w14:paraId="489E479C">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安装、调试、验收的方案和措施：安装、调试、验收的各阶段的方案和措施能结合本项目特点、切实可行。（评分范围：0、0.5、1.0、1.5、2.0、2.5、3.0、3.5、4.0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4.5、5.0</w:t>
            </w:r>
            <w:r>
              <w:rPr>
                <w:rFonts w:hint="eastAsia" w:ascii="仿宋" w:hAnsi="仿宋" w:eastAsia="仿宋" w:cs="仿宋"/>
                <w:color w:val="auto"/>
                <w:sz w:val="24"/>
                <w:highlight w:val="none"/>
              </w:rPr>
              <w:t>）</w:t>
            </w:r>
          </w:p>
        </w:tc>
        <w:tc>
          <w:tcPr>
            <w:tcW w:w="844" w:type="dxa"/>
            <w:tcBorders>
              <w:left w:val="single" w:color="auto" w:sz="4" w:space="0"/>
              <w:bottom w:val="single" w:color="auto" w:sz="4" w:space="0"/>
              <w:right w:val="single" w:color="auto" w:sz="4" w:space="0"/>
            </w:tcBorders>
            <w:shd w:val="clear" w:color="auto" w:fill="auto"/>
            <w:noWrap w:val="0"/>
            <w:vAlign w:val="center"/>
          </w:tcPr>
          <w:p w14:paraId="276B2D01">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44" w:type="dxa"/>
            <w:tcBorders>
              <w:left w:val="single" w:color="auto" w:sz="4" w:space="0"/>
              <w:bottom w:val="single" w:color="auto" w:sz="4" w:space="0"/>
              <w:right w:val="single" w:color="auto" w:sz="4" w:space="0"/>
            </w:tcBorders>
            <w:shd w:val="clear" w:color="auto" w:fill="auto"/>
            <w:noWrap w:val="0"/>
            <w:vAlign w:val="center"/>
          </w:tcPr>
          <w:p w14:paraId="77ABECAA">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4FB7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3EEC8">
            <w:pPr>
              <w:keepNext w:val="0"/>
              <w:keepLines w:val="0"/>
              <w:pageBreakBefore w:val="0"/>
              <w:widowControl w:val="0"/>
              <w:numPr>
                <w:ilvl w:val="1"/>
                <w:numId w:val="0"/>
              </w:numPr>
              <w:shd w:val="clear" w:color="auto" w:fill="auto"/>
              <w:kinsoku/>
              <w:overflowPunct/>
              <w:topLinePunct w:val="0"/>
              <w:autoSpaceDE/>
              <w:autoSpaceDN/>
              <w:bidi w:val="0"/>
              <w:adjustRightInd/>
              <w:snapToGrid w:val="0"/>
              <w:spacing w:line="240" w:lineRule="auto"/>
              <w:ind w:left="567" w:leftChars="0" w:hanging="567"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627288">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拟投入项目人员技术力量</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27ED0">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zh-CN"/>
              </w:rPr>
              <w:t>根据拟派项目班子劳动力的投入：人员安排是否充足、合理，</w:t>
            </w:r>
            <w:r>
              <w:rPr>
                <w:rFonts w:hint="eastAsia" w:ascii="仿宋" w:hAnsi="仿宋" w:eastAsia="仿宋" w:cs="仿宋"/>
                <w:color w:val="auto"/>
                <w:sz w:val="24"/>
                <w:highlight w:val="none"/>
                <w:lang w:val="en-US" w:eastAsia="zh-CN"/>
              </w:rPr>
              <w:t>人员职责</w:t>
            </w:r>
            <w:r>
              <w:rPr>
                <w:rFonts w:hint="eastAsia" w:ascii="仿宋" w:hAnsi="仿宋" w:eastAsia="仿宋" w:cs="仿宋"/>
                <w:color w:val="auto"/>
                <w:sz w:val="24"/>
                <w:highlight w:val="none"/>
                <w:lang w:val="zh-CN"/>
              </w:rPr>
              <w:t>是否</w:t>
            </w:r>
            <w:r>
              <w:rPr>
                <w:rFonts w:hint="eastAsia" w:ascii="仿宋" w:hAnsi="仿宋" w:eastAsia="仿宋" w:cs="仿宋"/>
                <w:color w:val="auto"/>
                <w:sz w:val="24"/>
                <w:highlight w:val="none"/>
                <w:lang w:val="en-US" w:eastAsia="zh-CN"/>
              </w:rPr>
              <w:t>明确、人员技术能力及形象好差，</w:t>
            </w:r>
            <w:r>
              <w:rPr>
                <w:rFonts w:hint="eastAsia" w:ascii="仿宋" w:hAnsi="仿宋" w:eastAsia="仿宋" w:cs="仿宋"/>
                <w:color w:val="auto"/>
                <w:sz w:val="24"/>
                <w:highlight w:val="none"/>
                <w:lang w:val="zh-CN"/>
              </w:rPr>
              <w:t>能满足本项目供货及安装要求，</w:t>
            </w:r>
            <w:r>
              <w:rPr>
                <w:rFonts w:hint="eastAsia" w:ascii="仿宋" w:hAnsi="仿宋" w:eastAsia="仿宋" w:cs="仿宋"/>
                <w:color w:val="auto"/>
                <w:sz w:val="24"/>
                <w:highlight w:val="none"/>
              </w:rPr>
              <w:t>进行综合评分进行综合评分</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（评分范围：0、0.5、1.0、1.5、2.0、2.5、3.0、3.5、4.0）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16035">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8CB4E">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254E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B0231">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672EBB">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售后服务方案</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E25AA">
            <w:pPr>
              <w:keepNext w:val="0"/>
              <w:keepLines w:val="0"/>
              <w:pageBreakBefore w:val="0"/>
              <w:kinsoku/>
              <w:wordWrap w:val="0"/>
              <w:overflowPunct/>
              <w:topLinePunct w:val="0"/>
              <w:autoSpaceDE/>
              <w:autoSpaceDN/>
              <w:bidi w:val="0"/>
              <w:adjustRightInd/>
              <w:snapToGrid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投标人提供针对本项目的售后服务方案（售后服务承诺、售后服务内容、售后服务网点、技术培训等内容）进行综合评审。（评分范围：0、0.5、1.0、1.5、2.0、2.5、3.0、3.5、4.0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4.5、5.0</w:t>
            </w:r>
            <w:r>
              <w:rPr>
                <w:rFonts w:hint="eastAsia" w:ascii="仿宋" w:hAnsi="仿宋" w:eastAsia="仿宋" w:cs="仿宋"/>
                <w:color w:val="auto"/>
                <w:sz w:val="24"/>
                <w:highlight w:val="none"/>
              </w:rPr>
              <w:t>）</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0DE90">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1E394">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029E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B2EEB">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90E87D">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备品备件</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2ED58">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备品备件情况</w:t>
            </w:r>
            <w:r>
              <w:rPr>
                <w:rFonts w:hint="eastAsia" w:ascii="仿宋" w:hAnsi="仿宋" w:eastAsia="仿宋" w:cs="仿宋"/>
                <w:color w:val="auto"/>
                <w:sz w:val="24"/>
                <w:highlight w:val="none"/>
                <w:lang w:val="en-US" w:eastAsia="zh-CN"/>
              </w:rPr>
              <w:t>配备及保障措施</w:t>
            </w:r>
            <w:r>
              <w:rPr>
                <w:rFonts w:hint="eastAsia" w:ascii="仿宋" w:hAnsi="仿宋" w:eastAsia="仿宋" w:cs="仿宋"/>
                <w:color w:val="auto"/>
                <w:sz w:val="24"/>
                <w:highlight w:val="none"/>
              </w:rPr>
              <w:t>。（评分范围：0、0.5、1.0、1.5、2.0、2.5、3.0、3.5、4.0）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ED2D0">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EAD1A">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7C6B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08D1E">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1FA896">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质保期</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EECF2C">
            <w:pPr>
              <w:keepNext w:val="0"/>
              <w:keepLines w:val="0"/>
              <w:pageBreakBefore w:val="0"/>
              <w:kinsoku/>
              <w:wordWrap w:val="0"/>
              <w:overflowPunct/>
              <w:topLinePunct w:val="0"/>
              <w:autoSpaceDE/>
              <w:autoSpaceDN/>
              <w:bidi w:val="0"/>
              <w:adjustRightInd/>
              <w:snapToGrid w:val="0"/>
              <w:spacing w:line="240" w:lineRule="auto"/>
              <w:ind w:right="-21" w:rightChars="-1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产品验收合格后</w:t>
            </w:r>
            <w:r>
              <w:rPr>
                <w:rFonts w:hint="eastAsia" w:ascii="仿宋" w:hAnsi="仿宋" w:eastAsia="仿宋" w:cs="仿宋"/>
                <w:color w:val="auto"/>
                <w:sz w:val="24"/>
                <w:highlight w:val="none"/>
                <w:lang w:val="en-US" w:eastAsia="zh-CN"/>
              </w:rPr>
              <w:t>在原</w:t>
            </w:r>
            <w:r>
              <w:rPr>
                <w:rFonts w:hint="eastAsia" w:ascii="仿宋" w:hAnsi="仿宋" w:eastAsia="仿宋" w:cs="仿宋"/>
                <w:color w:val="auto"/>
                <w:sz w:val="24"/>
                <w:highlight w:val="none"/>
              </w:rPr>
              <w:t>质保</w:t>
            </w:r>
            <w:r>
              <w:rPr>
                <w:rFonts w:hint="eastAsia" w:ascii="仿宋" w:hAnsi="仿宋" w:eastAsia="仿宋" w:cs="仿宋"/>
                <w:color w:val="auto"/>
                <w:sz w:val="24"/>
                <w:highlight w:val="none"/>
                <w:lang w:val="en-US" w:eastAsia="zh-CN"/>
              </w:rPr>
              <w:t>期限上</w:t>
            </w:r>
            <w:r>
              <w:rPr>
                <w:rFonts w:hint="eastAsia" w:ascii="仿宋" w:hAnsi="仿宋" w:eastAsia="仿宋" w:cs="仿宋"/>
                <w:color w:val="auto"/>
                <w:sz w:val="24"/>
                <w:highlight w:val="none"/>
              </w:rPr>
              <w:t>每增加一年的得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分，最高得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34A78">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16041">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客观分</w:t>
            </w:r>
          </w:p>
        </w:tc>
      </w:tr>
      <w:tr w14:paraId="28C0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78932">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12</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A9C353">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样品</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0112D">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highlight w:val="none"/>
              </w:rPr>
              <w:t>手动透景卷帘</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根据提供样品的整体质量（包括整体制作工艺、美观性、表观质量、表面处理及细节处理情况等）进行综合评分。</w:t>
            </w:r>
            <w:r>
              <w:rPr>
                <w:rFonts w:hint="eastAsia" w:ascii="仿宋" w:hAnsi="仿宋" w:eastAsia="仿宋" w:cs="仿宋"/>
                <w:color w:val="auto"/>
                <w:sz w:val="24"/>
                <w:highlight w:val="none"/>
              </w:rPr>
              <w:t>（评分范围：0、0.5、1.0、1.5、2.0、2.5、3.0）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8FC05">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EA7E5">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6D29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2DB361">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13</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BEBD80A">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样品</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F6673">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手动布帘1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根据提供样品的整体质量（包括整体制作工艺、美观性、表观质量、表面处理及细节处理情况等）进行综合评分。</w:t>
            </w:r>
            <w:r>
              <w:rPr>
                <w:rFonts w:hint="eastAsia" w:ascii="仿宋" w:hAnsi="仿宋" w:eastAsia="仿宋" w:cs="仿宋"/>
                <w:color w:val="auto"/>
                <w:sz w:val="24"/>
                <w:highlight w:val="none"/>
              </w:rPr>
              <w:t>（评分范围：0、0.5、1.0、1.5、2.0、2.5、3.0）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05729">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816B64">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7EA8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DCADB">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14</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9DFC0FC">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样品</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89CCF0">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手动纱帘</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根据提供样品的整体质量（包括整体制作工艺、美观性、表观质量、表面处理及细节处理情况等）进行综合评分。</w:t>
            </w:r>
            <w:r>
              <w:rPr>
                <w:rFonts w:hint="eastAsia" w:ascii="仿宋" w:hAnsi="仿宋" w:eastAsia="仿宋" w:cs="仿宋"/>
                <w:color w:val="auto"/>
                <w:sz w:val="24"/>
                <w:highlight w:val="none"/>
              </w:rPr>
              <w:t>（评分范围：0、0.5、1.0、1.5、2.0）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52B2B">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8ADD8">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2362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A2156">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15</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890CA6">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样品</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5D30F5">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手动轨道</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根据提供样品的整体质量（包括整体制作工艺、美观性、表观质量、表面处理及细节处理情况等）进行综合评分。</w:t>
            </w:r>
            <w:r>
              <w:rPr>
                <w:rFonts w:hint="eastAsia" w:ascii="仿宋" w:hAnsi="仿宋" w:eastAsia="仿宋" w:cs="仿宋"/>
                <w:color w:val="auto"/>
                <w:sz w:val="24"/>
                <w:highlight w:val="none"/>
              </w:rPr>
              <w:t>（评分范围：0、0.5、1.0、1.5、2.0）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54311">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3E5DB">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r w14:paraId="45C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2DEE5">
            <w:pPr>
              <w:keepNext w:val="0"/>
              <w:keepLines w:val="0"/>
              <w:pageBreakBefore w:val="0"/>
              <w:widowControl w:val="0"/>
              <w:numPr>
                <w:ilvl w:val="0"/>
                <w:numId w:val="0"/>
              </w:numPr>
              <w:shd w:val="clear" w:color="auto" w:fill="auto"/>
              <w:kinsoku/>
              <w:overflowPunct/>
              <w:topLinePunct w:val="0"/>
              <w:autoSpaceDE/>
              <w:autoSpaceDN/>
              <w:bidi w:val="0"/>
              <w:adjustRightInd/>
              <w:snapToGrid w:val="0"/>
              <w:spacing w:line="240" w:lineRule="auto"/>
              <w:ind w:left="425" w:leftChars="0" w:hanging="425" w:firstLineChars="0"/>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16</w:t>
            </w: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3362FA1">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样品</w:t>
            </w:r>
          </w:p>
        </w:tc>
        <w:tc>
          <w:tcPr>
            <w:tcW w:w="6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8A434">
            <w:pPr>
              <w:keepNext w:val="0"/>
              <w:keepLines w:val="0"/>
              <w:pageBreakBefore w:val="0"/>
              <w:kinsoku/>
              <w:wordWrap w:val="0"/>
              <w:overflowPunct/>
              <w:topLinePunct w:val="0"/>
              <w:autoSpaceDE/>
              <w:autoSpaceDN/>
              <w:bidi w:val="0"/>
              <w:adjustRightInd/>
              <w:snapToGrid w:val="0"/>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医用围帘</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根据提供样品的整体质量（包括整体制作工艺、美观性、表观质量、表面处理及细节处理情况等）进行综合评分。</w:t>
            </w:r>
            <w:r>
              <w:rPr>
                <w:rFonts w:hint="eastAsia" w:ascii="仿宋" w:hAnsi="仿宋" w:eastAsia="仿宋" w:cs="仿宋"/>
                <w:color w:val="auto"/>
                <w:sz w:val="24"/>
                <w:highlight w:val="none"/>
              </w:rPr>
              <w:t>（评分范围：0、0.5、1.0、1.5、2.0、2.5、3.0）</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B8523">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ADB41">
            <w:pPr>
              <w:keepNext w:val="0"/>
              <w:keepLines w:val="0"/>
              <w:pageBreakBefore w:val="0"/>
              <w:kinsoku/>
              <w:wordWrap w:val="0"/>
              <w:overflowPunct/>
              <w:topLinePunct w:val="0"/>
              <w:autoSpaceDE/>
              <w:autoSpaceDN/>
              <w:bidi w:val="0"/>
              <w:adjustRightInd/>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r>
    </w:tbl>
    <w:p w14:paraId="2D93B723">
      <w:pPr>
        <w:rPr>
          <w:rFonts w:ascii="宋体" w:hAnsi="宋体" w:cs="宋体"/>
          <w:b/>
          <w:bCs/>
          <w:color w:val="auto"/>
          <w:sz w:val="36"/>
          <w:szCs w:val="44"/>
          <w:highlight w:val="none"/>
        </w:rPr>
      </w:pPr>
      <w:r>
        <w:rPr>
          <w:rFonts w:hint="eastAsia" w:ascii="宋体" w:hAnsi="宋体" w:cs="宋体"/>
          <w:b/>
          <w:bCs/>
          <w:color w:val="auto"/>
          <w:sz w:val="36"/>
          <w:szCs w:val="44"/>
          <w:highlight w:val="none"/>
        </w:rPr>
        <w:br w:type="page"/>
      </w:r>
    </w:p>
    <w:p w14:paraId="5CC3F11B">
      <w:pPr>
        <w:numPr>
          <w:ilvl w:val="0"/>
          <w:numId w:val="5"/>
        </w:numPr>
        <w:spacing w:line="360" w:lineRule="auto"/>
        <w:jc w:val="center"/>
        <w:outlineLvl w:val="0"/>
        <w:rPr>
          <w:rFonts w:ascii="宋体" w:hAnsi="宋体" w:cs="宋体"/>
          <w:b/>
          <w:bCs/>
          <w:color w:val="auto"/>
          <w:sz w:val="36"/>
          <w:szCs w:val="44"/>
          <w:highlight w:val="none"/>
        </w:rPr>
      </w:pPr>
      <w:r>
        <w:rPr>
          <w:rFonts w:hint="eastAsia" w:ascii="宋体" w:hAnsi="宋体" w:cs="宋体"/>
          <w:b/>
          <w:bCs/>
          <w:color w:val="auto"/>
          <w:sz w:val="36"/>
          <w:szCs w:val="44"/>
          <w:highlight w:val="none"/>
        </w:rPr>
        <w:t>公开招标需求</w:t>
      </w:r>
      <w:bookmarkEnd w:id="30"/>
      <w:bookmarkEnd w:id="31"/>
    </w:p>
    <w:p w14:paraId="61CA8E99">
      <w:pPr>
        <w:tabs>
          <w:tab w:val="left" w:pos="8280"/>
        </w:tabs>
        <w:autoSpaceDE w:val="0"/>
        <w:autoSpaceDN w:val="0"/>
        <w:adjustRightInd w:val="0"/>
        <w:spacing w:line="360" w:lineRule="auto"/>
        <w:ind w:right="2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一、招标项目一览表</w:t>
      </w:r>
    </w:p>
    <w:p w14:paraId="7C66D12C">
      <w:pPr>
        <w:tabs>
          <w:tab w:val="left" w:pos="8280"/>
        </w:tabs>
        <w:autoSpaceDE w:val="0"/>
        <w:autoSpaceDN w:val="0"/>
        <w:adjustRightInd w:val="0"/>
        <w:spacing w:line="360" w:lineRule="auto"/>
        <w:ind w:right="25" w:firstLine="2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本次招标共</w:t>
      </w:r>
      <w:r>
        <w:rPr>
          <w:rFonts w:hint="eastAsia" w:asciiTheme="minorEastAsia" w:hAnsiTheme="minorEastAsia" w:eastAsiaTheme="minorEastAsia"/>
          <w:color w:val="auto"/>
          <w:sz w:val="24"/>
          <w:highlight w:val="none"/>
          <w:u w:val="single"/>
        </w:rPr>
        <w:t xml:space="preserve"> 1 </w:t>
      </w:r>
      <w:r>
        <w:rPr>
          <w:rFonts w:hint="eastAsia" w:asciiTheme="minorEastAsia" w:hAnsiTheme="minorEastAsia" w:eastAsiaTheme="minorEastAsia"/>
          <w:color w:val="auto"/>
          <w:sz w:val="24"/>
          <w:highlight w:val="none"/>
        </w:rPr>
        <w:t>个标段，具体内容如下表：</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24"/>
        <w:gridCol w:w="1334"/>
        <w:gridCol w:w="783"/>
        <w:gridCol w:w="1439"/>
        <w:gridCol w:w="2385"/>
      </w:tblGrid>
      <w:tr w14:paraId="58FB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8" w:type="dxa"/>
            <w:shd w:val="clear" w:color="auto" w:fill="E7E6E6" w:themeFill="background2"/>
            <w:vAlign w:val="center"/>
          </w:tcPr>
          <w:p w14:paraId="4BEA66B5">
            <w:pPr>
              <w:tabs>
                <w:tab w:val="left" w:pos="8280"/>
              </w:tabs>
              <w:autoSpaceDE w:val="0"/>
              <w:autoSpaceDN w:val="0"/>
              <w:adjustRightInd w:val="0"/>
              <w:snapToGri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标段号</w:t>
            </w:r>
          </w:p>
        </w:tc>
        <w:tc>
          <w:tcPr>
            <w:tcW w:w="2224" w:type="dxa"/>
            <w:shd w:val="clear" w:color="auto" w:fill="E7E6E6" w:themeFill="background2"/>
            <w:vAlign w:val="center"/>
          </w:tcPr>
          <w:p w14:paraId="7EDBD0D1">
            <w:pPr>
              <w:tabs>
                <w:tab w:val="left" w:pos="8280"/>
              </w:tabs>
              <w:autoSpaceDE w:val="0"/>
              <w:autoSpaceDN w:val="0"/>
              <w:adjustRightInd w:val="0"/>
              <w:snapToGrid w:val="0"/>
              <w:ind w:right="25" w:firstLine="120" w:firstLineChars="5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1334" w:type="dxa"/>
            <w:shd w:val="clear" w:color="auto" w:fill="E7E6E6" w:themeFill="background2"/>
            <w:vAlign w:val="center"/>
          </w:tcPr>
          <w:p w14:paraId="56213DFC">
            <w:pPr>
              <w:tabs>
                <w:tab w:val="left" w:pos="8280"/>
              </w:tabs>
              <w:autoSpaceDE w:val="0"/>
              <w:autoSpaceDN w:val="0"/>
              <w:adjustRightInd w:val="0"/>
              <w:snapToGri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规格型号</w:t>
            </w:r>
          </w:p>
        </w:tc>
        <w:tc>
          <w:tcPr>
            <w:tcW w:w="783" w:type="dxa"/>
            <w:shd w:val="clear" w:color="auto" w:fill="E7E6E6" w:themeFill="background2"/>
            <w:vAlign w:val="center"/>
          </w:tcPr>
          <w:p w14:paraId="3BF04599">
            <w:pPr>
              <w:tabs>
                <w:tab w:val="left" w:pos="8280"/>
              </w:tabs>
              <w:autoSpaceDE w:val="0"/>
              <w:autoSpaceDN w:val="0"/>
              <w:adjustRightInd w:val="0"/>
              <w:snapToGri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1439" w:type="dxa"/>
            <w:shd w:val="clear" w:color="auto" w:fill="E7E6E6" w:themeFill="background2"/>
            <w:vAlign w:val="center"/>
          </w:tcPr>
          <w:p w14:paraId="739DABD5">
            <w:pPr>
              <w:tabs>
                <w:tab w:val="left" w:pos="8280"/>
              </w:tabs>
              <w:autoSpaceDE w:val="0"/>
              <w:autoSpaceDN w:val="0"/>
              <w:adjustRightInd w:val="0"/>
              <w:snapToGri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预算金额（元）</w:t>
            </w:r>
          </w:p>
        </w:tc>
        <w:tc>
          <w:tcPr>
            <w:tcW w:w="2385" w:type="dxa"/>
            <w:shd w:val="clear" w:color="auto" w:fill="E7E6E6" w:themeFill="background2"/>
            <w:vAlign w:val="center"/>
          </w:tcPr>
          <w:p w14:paraId="627AD66A">
            <w:pPr>
              <w:tabs>
                <w:tab w:val="left" w:pos="8280"/>
              </w:tabs>
              <w:autoSpaceDE w:val="0"/>
              <w:autoSpaceDN w:val="0"/>
              <w:adjustRightInd w:val="0"/>
              <w:snapToGri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交货</w:t>
            </w:r>
            <w:r>
              <w:rPr>
                <w:rFonts w:hint="eastAsia" w:asciiTheme="minorEastAsia" w:hAnsiTheme="minorEastAsia" w:eastAsiaTheme="minorEastAsia"/>
                <w:b/>
                <w:color w:val="auto"/>
                <w:sz w:val="24"/>
                <w:highlight w:val="none"/>
              </w:rPr>
              <w:t>期</w:t>
            </w:r>
          </w:p>
        </w:tc>
      </w:tr>
      <w:tr w14:paraId="373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68" w:type="dxa"/>
            <w:vAlign w:val="center"/>
          </w:tcPr>
          <w:p w14:paraId="2614CCCF">
            <w:pPr>
              <w:tabs>
                <w:tab w:val="left" w:pos="8280"/>
              </w:tabs>
              <w:autoSpaceDE w:val="0"/>
              <w:autoSpaceDN w:val="0"/>
              <w:adjustRightIn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224" w:type="dxa"/>
            <w:vAlign w:val="center"/>
          </w:tcPr>
          <w:p w14:paraId="16C9A3ED">
            <w:pPr>
              <w:widowControl/>
              <w:jc w:val="center"/>
              <w:rPr>
                <w:rFonts w:hint="eastAsia" w:asciiTheme="minorEastAsia" w:hAnsiTheme="minorEastAsia" w:eastAsiaTheme="minorEastAsia"/>
                <w:color w:val="auto"/>
                <w:sz w:val="24"/>
                <w:highlight w:val="none"/>
                <w:lang w:eastAsia="zh-CN"/>
              </w:rPr>
            </w:pPr>
            <w:r>
              <w:rPr>
                <w:rFonts w:hint="eastAsia" w:hAnsi="宋体" w:eastAsiaTheme="minorEastAsia"/>
                <w:color w:val="auto"/>
                <w:sz w:val="24"/>
                <w:szCs w:val="22"/>
                <w:highlight w:val="none"/>
                <w:lang w:eastAsia="zh-CN"/>
              </w:rPr>
              <w:t>台州市中心医院外科大楼窗帘、床帘、卷帘及配套轨道采购项目</w:t>
            </w:r>
          </w:p>
        </w:tc>
        <w:tc>
          <w:tcPr>
            <w:tcW w:w="1334" w:type="dxa"/>
            <w:vAlign w:val="center"/>
          </w:tcPr>
          <w:p w14:paraId="1AF703DF">
            <w:pPr>
              <w:widowControl/>
              <w:jc w:val="center"/>
              <w:rPr>
                <w:rFonts w:asciiTheme="minorEastAsia" w:hAnsiTheme="minorEastAsia" w:eastAsiaTheme="minorEastAsia"/>
                <w:color w:val="auto"/>
                <w:sz w:val="24"/>
                <w:highlight w:val="none"/>
              </w:rPr>
            </w:pPr>
            <w:r>
              <w:rPr>
                <w:rFonts w:hint="eastAsia" w:ascii="宋体" w:hAnsi="宋体" w:cs="宋体"/>
                <w:color w:val="auto"/>
                <w:kern w:val="0"/>
                <w:sz w:val="24"/>
                <w:highlight w:val="none"/>
              </w:rPr>
              <w:t>详见技术需求</w:t>
            </w:r>
          </w:p>
        </w:tc>
        <w:tc>
          <w:tcPr>
            <w:tcW w:w="783" w:type="dxa"/>
            <w:vAlign w:val="center"/>
          </w:tcPr>
          <w:p w14:paraId="7957B751">
            <w:pPr>
              <w:widowControl/>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val="en-US" w:eastAsia="zh-CN"/>
              </w:rPr>
              <w:t>项</w:t>
            </w:r>
          </w:p>
        </w:tc>
        <w:tc>
          <w:tcPr>
            <w:tcW w:w="1439" w:type="dxa"/>
            <w:vAlign w:val="center"/>
          </w:tcPr>
          <w:p w14:paraId="6B3D3628">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83.97万元</w:t>
            </w:r>
            <w:r>
              <w:rPr>
                <w:rFonts w:hint="default" w:asciiTheme="minorEastAsia" w:hAnsiTheme="minorEastAsia" w:eastAsiaTheme="minorEastAsia"/>
                <w:color w:val="auto"/>
                <w:sz w:val="24"/>
                <w:highlight w:val="none"/>
                <w:lang w:val="en-US" w:eastAsia="zh-CN"/>
              </w:rPr>
              <w:t xml:space="preserve"> </w:t>
            </w:r>
          </w:p>
        </w:tc>
        <w:tc>
          <w:tcPr>
            <w:tcW w:w="2385" w:type="dxa"/>
            <w:vAlign w:val="center"/>
          </w:tcPr>
          <w:p w14:paraId="2357F79B">
            <w:pPr>
              <w:widowControl/>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在合同签订后两个月内按院方要求货到指定地点并完成安装调试。</w:t>
            </w:r>
          </w:p>
        </w:tc>
      </w:tr>
    </w:tbl>
    <w:p w14:paraId="4854F414">
      <w:pPr>
        <w:tabs>
          <w:tab w:val="left" w:pos="8280"/>
        </w:tabs>
        <w:autoSpaceDE w:val="0"/>
        <w:autoSpaceDN w:val="0"/>
        <w:adjustRightInd w:val="0"/>
        <w:spacing w:line="360" w:lineRule="auto"/>
        <w:ind w:right="25"/>
        <w:rPr>
          <w:rFonts w:hint="eastAsia" w:ascii="宋体" w:hAnsi="宋体" w:cs="宋体"/>
          <w:b/>
          <w:bCs/>
          <w:color w:val="auto"/>
          <w:sz w:val="24"/>
          <w:highlight w:val="none"/>
        </w:rPr>
      </w:pPr>
      <w:r>
        <w:rPr>
          <w:rFonts w:hint="eastAsia" w:cs="Times New Roman" w:asciiTheme="minorEastAsia" w:hAnsiTheme="minorEastAsia" w:eastAsiaTheme="minorEastAsia"/>
          <w:b/>
          <w:color w:val="auto"/>
          <w:sz w:val="24"/>
          <w:highlight w:val="none"/>
        </w:rPr>
        <w:t>二、采购清单</w:t>
      </w:r>
    </w:p>
    <w:tbl>
      <w:tblPr>
        <w:tblStyle w:val="2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0"/>
        <w:gridCol w:w="2243"/>
        <w:gridCol w:w="1755"/>
        <w:gridCol w:w="1312"/>
      </w:tblGrid>
      <w:tr w14:paraId="0B1B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6563798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序号</w:t>
            </w:r>
          </w:p>
        </w:tc>
        <w:tc>
          <w:tcPr>
            <w:tcW w:w="2750" w:type="dxa"/>
            <w:tcBorders>
              <w:top w:val="single" w:color="auto" w:sz="4" w:space="0"/>
              <w:left w:val="single" w:color="auto" w:sz="4" w:space="0"/>
              <w:bottom w:val="single" w:color="auto" w:sz="4" w:space="0"/>
              <w:right w:val="single" w:color="auto" w:sz="4" w:space="0"/>
            </w:tcBorders>
            <w:vAlign w:val="center"/>
          </w:tcPr>
          <w:p w14:paraId="2F50831C">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243" w:type="dxa"/>
            <w:tcBorders>
              <w:top w:val="single" w:color="auto" w:sz="4" w:space="0"/>
              <w:left w:val="single" w:color="auto" w:sz="4" w:space="0"/>
              <w:bottom w:val="single" w:color="auto" w:sz="4" w:space="0"/>
              <w:right w:val="single" w:color="auto" w:sz="4" w:space="0"/>
            </w:tcBorders>
            <w:vAlign w:val="center"/>
          </w:tcPr>
          <w:p w14:paraId="3097A776">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755" w:type="dxa"/>
            <w:tcBorders>
              <w:top w:val="single" w:color="auto" w:sz="4" w:space="0"/>
              <w:left w:val="single" w:color="auto" w:sz="4" w:space="0"/>
              <w:bottom w:val="single" w:color="auto" w:sz="4" w:space="0"/>
              <w:right w:val="single" w:color="auto" w:sz="4" w:space="0"/>
            </w:tcBorders>
            <w:vAlign w:val="center"/>
          </w:tcPr>
          <w:p w14:paraId="3089D75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312" w:type="dxa"/>
            <w:tcBorders>
              <w:top w:val="single" w:color="auto" w:sz="4" w:space="0"/>
              <w:left w:val="single" w:color="auto" w:sz="4" w:space="0"/>
              <w:bottom w:val="single" w:color="auto" w:sz="4" w:space="0"/>
              <w:right w:val="single" w:color="auto" w:sz="4" w:space="0"/>
            </w:tcBorders>
            <w:vAlign w:val="center"/>
          </w:tcPr>
          <w:p w14:paraId="0DA08557">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550F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1C4F214">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2750" w:type="dxa"/>
            <w:tcBorders>
              <w:top w:val="single" w:color="auto" w:sz="4" w:space="0"/>
              <w:left w:val="single" w:color="auto" w:sz="4" w:space="0"/>
              <w:bottom w:val="single" w:color="auto" w:sz="4" w:space="0"/>
              <w:right w:val="single" w:color="auto" w:sz="4" w:space="0"/>
            </w:tcBorders>
            <w:vAlign w:val="center"/>
          </w:tcPr>
          <w:p w14:paraId="21E5421A">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手动透景卷帘</w:t>
            </w:r>
          </w:p>
        </w:tc>
        <w:tc>
          <w:tcPr>
            <w:tcW w:w="2243" w:type="dxa"/>
            <w:tcBorders>
              <w:top w:val="single" w:color="auto" w:sz="4" w:space="0"/>
              <w:left w:val="single" w:color="auto" w:sz="4" w:space="0"/>
              <w:bottom w:val="single" w:color="auto" w:sz="4" w:space="0"/>
              <w:right w:val="single" w:color="auto" w:sz="4" w:space="0"/>
            </w:tcBorders>
            <w:vAlign w:val="center"/>
          </w:tcPr>
          <w:p w14:paraId="20DEA7EE">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1372.40 </w:t>
            </w:r>
          </w:p>
        </w:tc>
        <w:tc>
          <w:tcPr>
            <w:tcW w:w="1755" w:type="dxa"/>
            <w:tcBorders>
              <w:top w:val="single" w:color="auto" w:sz="4" w:space="0"/>
              <w:left w:val="single" w:color="auto" w:sz="4" w:space="0"/>
              <w:bottom w:val="single" w:color="auto" w:sz="4" w:space="0"/>
              <w:right w:val="single" w:color="auto" w:sz="4" w:space="0"/>
            </w:tcBorders>
            <w:vAlign w:val="center"/>
          </w:tcPr>
          <w:p w14:paraId="2C01CEFE">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4995CC73">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r w14:paraId="2EB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1C56D0E5">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p>
        </w:tc>
        <w:tc>
          <w:tcPr>
            <w:tcW w:w="2750" w:type="dxa"/>
            <w:tcBorders>
              <w:top w:val="single" w:color="auto" w:sz="4" w:space="0"/>
              <w:left w:val="single" w:color="auto" w:sz="4" w:space="0"/>
              <w:bottom w:val="single" w:color="auto" w:sz="4" w:space="0"/>
              <w:right w:val="single" w:color="auto" w:sz="4" w:space="0"/>
            </w:tcBorders>
            <w:vAlign w:val="center"/>
          </w:tcPr>
          <w:p w14:paraId="67F69D41">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手动遮光卷帘</w:t>
            </w:r>
          </w:p>
        </w:tc>
        <w:tc>
          <w:tcPr>
            <w:tcW w:w="2243" w:type="dxa"/>
            <w:tcBorders>
              <w:top w:val="single" w:color="auto" w:sz="4" w:space="0"/>
              <w:left w:val="single" w:color="auto" w:sz="4" w:space="0"/>
              <w:bottom w:val="single" w:color="auto" w:sz="4" w:space="0"/>
              <w:right w:val="single" w:color="auto" w:sz="4" w:space="0"/>
            </w:tcBorders>
            <w:vAlign w:val="center"/>
          </w:tcPr>
          <w:p w14:paraId="26478070">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70.46 </w:t>
            </w:r>
          </w:p>
        </w:tc>
        <w:tc>
          <w:tcPr>
            <w:tcW w:w="1755" w:type="dxa"/>
            <w:tcBorders>
              <w:top w:val="single" w:color="auto" w:sz="4" w:space="0"/>
              <w:left w:val="single" w:color="auto" w:sz="4" w:space="0"/>
              <w:bottom w:val="single" w:color="auto" w:sz="4" w:space="0"/>
              <w:right w:val="single" w:color="auto" w:sz="4" w:space="0"/>
            </w:tcBorders>
            <w:vAlign w:val="center"/>
          </w:tcPr>
          <w:p w14:paraId="381CCAC6">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66D76D9E">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r w14:paraId="7C7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58A33E8">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p>
        </w:tc>
        <w:tc>
          <w:tcPr>
            <w:tcW w:w="2750" w:type="dxa"/>
            <w:tcBorders>
              <w:top w:val="single" w:color="auto" w:sz="4" w:space="0"/>
              <w:left w:val="single" w:color="auto" w:sz="4" w:space="0"/>
              <w:bottom w:val="single" w:color="auto" w:sz="4" w:space="0"/>
              <w:right w:val="single" w:color="auto" w:sz="4" w:space="0"/>
            </w:tcBorders>
            <w:vAlign w:val="center"/>
          </w:tcPr>
          <w:p w14:paraId="05485F50">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手动布帘1</w:t>
            </w:r>
          </w:p>
        </w:tc>
        <w:tc>
          <w:tcPr>
            <w:tcW w:w="2243" w:type="dxa"/>
            <w:tcBorders>
              <w:top w:val="single" w:color="auto" w:sz="4" w:space="0"/>
              <w:left w:val="single" w:color="auto" w:sz="4" w:space="0"/>
              <w:bottom w:val="single" w:color="auto" w:sz="4" w:space="0"/>
              <w:right w:val="single" w:color="auto" w:sz="4" w:space="0"/>
            </w:tcBorders>
            <w:vAlign w:val="center"/>
          </w:tcPr>
          <w:p w14:paraId="0934A46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6801.54 </w:t>
            </w:r>
          </w:p>
        </w:tc>
        <w:tc>
          <w:tcPr>
            <w:tcW w:w="1755" w:type="dxa"/>
            <w:tcBorders>
              <w:top w:val="single" w:color="auto" w:sz="4" w:space="0"/>
              <w:left w:val="single" w:color="auto" w:sz="4" w:space="0"/>
              <w:bottom w:val="single" w:color="auto" w:sz="4" w:space="0"/>
              <w:right w:val="single" w:color="auto" w:sz="4" w:space="0"/>
            </w:tcBorders>
            <w:vAlign w:val="center"/>
          </w:tcPr>
          <w:p w14:paraId="7BC4A5F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1C29ECE1">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核心产品</w:t>
            </w:r>
          </w:p>
        </w:tc>
      </w:tr>
      <w:tr w14:paraId="5246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29D58F3">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p>
        </w:tc>
        <w:tc>
          <w:tcPr>
            <w:tcW w:w="2750" w:type="dxa"/>
            <w:tcBorders>
              <w:top w:val="single" w:color="auto" w:sz="4" w:space="0"/>
              <w:left w:val="single" w:color="auto" w:sz="4" w:space="0"/>
              <w:bottom w:val="single" w:color="auto" w:sz="4" w:space="0"/>
              <w:right w:val="single" w:color="auto" w:sz="4" w:space="0"/>
            </w:tcBorders>
            <w:vAlign w:val="center"/>
          </w:tcPr>
          <w:p w14:paraId="6FADB111">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手动布帘2</w:t>
            </w:r>
          </w:p>
        </w:tc>
        <w:tc>
          <w:tcPr>
            <w:tcW w:w="2243" w:type="dxa"/>
            <w:tcBorders>
              <w:top w:val="single" w:color="auto" w:sz="4" w:space="0"/>
              <w:left w:val="single" w:color="auto" w:sz="4" w:space="0"/>
              <w:bottom w:val="single" w:color="auto" w:sz="4" w:space="0"/>
              <w:right w:val="single" w:color="auto" w:sz="4" w:space="0"/>
            </w:tcBorders>
            <w:vAlign w:val="center"/>
          </w:tcPr>
          <w:p w14:paraId="6958404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1488.78 </w:t>
            </w:r>
          </w:p>
        </w:tc>
        <w:tc>
          <w:tcPr>
            <w:tcW w:w="1755" w:type="dxa"/>
            <w:tcBorders>
              <w:top w:val="single" w:color="auto" w:sz="4" w:space="0"/>
              <w:left w:val="single" w:color="auto" w:sz="4" w:space="0"/>
              <w:bottom w:val="single" w:color="auto" w:sz="4" w:space="0"/>
              <w:right w:val="single" w:color="auto" w:sz="4" w:space="0"/>
            </w:tcBorders>
            <w:vAlign w:val="center"/>
          </w:tcPr>
          <w:p w14:paraId="5BAFC9D0">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59F2A5CB">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核心产品</w:t>
            </w:r>
          </w:p>
        </w:tc>
      </w:tr>
      <w:tr w14:paraId="56CA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ECC9CE5">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p>
        </w:tc>
        <w:tc>
          <w:tcPr>
            <w:tcW w:w="2750" w:type="dxa"/>
            <w:tcBorders>
              <w:top w:val="single" w:color="auto" w:sz="4" w:space="0"/>
              <w:left w:val="single" w:color="auto" w:sz="4" w:space="0"/>
              <w:bottom w:val="single" w:color="auto" w:sz="4" w:space="0"/>
              <w:right w:val="single" w:color="auto" w:sz="4" w:space="0"/>
            </w:tcBorders>
            <w:vAlign w:val="center"/>
          </w:tcPr>
          <w:p w14:paraId="2ECCDC11">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手动纱帘</w:t>
            </w:r>
          </w:p>
        </w:tc>
        <w:tc>
          <w:tcPr>
            <w:tcW w:w="2243" w:type="dxa"/>
            <w:tcBorders>
              <w:top w:val="single" w:color="auto" w:sz="4" w:space="0"/>
              <w:left w:val="single" w:color="auto" w:sz="4" w:space="0"/>
              <w:bottom w:val="single" w:color="auto" w:sz="4" w:space="0"/>
              <w:right w:val="single" w:color="auto" w:sz="4" w:space="0"/>
            </w:tcBorders>
            <w:vAlign w:val="center"/>
          </w:tcPr>
          <w:p w14:paraId="7759D5C3">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1488.78 </w:t>
            </w:r>
          </w:p>
        </w:tc>
        <w:tc>
          <w:tcPr>
            <w:tcW w:w="1755" w:type="dxa"/>
            <w:tcBorders>
              <w:top w:val="single" w:color="auto" w:sz="4" w:space="0"/>
              <w:left w:val="single" w:color="auto" w:sz="4" w:space="0"/>
              <w:bottom w:val="single" w:color="auto" w:sz="4" w:space="0"/>
              <w:right w:val="single" w:color="auto" w:sz="4" w:space="0"/>
            </w:tcBorders>
            <w:vAlign w:val="center"/>
          </w:tcPr>
          <w:p w14:paraId="046AC135">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194992E7">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r w14:paraId="08F0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BC24AE2">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p>
        </w:tc>
        <w:tc>
          <w:tcPr>
            <w:tcW w:w="2750" w:type="dxa"/>
            <w:tcBorders>
              <w:top w:val="single" w:color="auto" w:sz="4" w:space="0"/>
              <w:left w:val="single" w:color="auto" w:sz="4" w:space="0"/>
              <w:bottom w:val="single" w:color="auto" w:sz="4" w:space="0"/>
              <w:right w:val="single" w:color="auto" w:sz="4" w:space="0"/>
            </w:tcBorders>
            <w:vAlign w:val="center"/>
          </w:tcPr>
          <w:p w14:paraId="477C024E">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手动轨道</w:t>
            </w:r>
          </w:p>
        </w:tc>
        <w:tc>
          <w:tcPr>
            <w:tcW w:w="2243" w:type="dxa"/>
            <w:tcBorders>
              <w:top w:val="single" w:color="auto" w:sz="4" w:space="0"/>
              <w:left w:val="single" w:color="auto" w:sz="4" w:space="0"/>
              <w:bottom w:val="single" w:color="auto" w:sz="4" w:space="0"/>
              <w:right w:val="single" w:color="auto" w:sz="4" w:space="0"/>
            </w:tcBorders>
            <w:vAlign w:val="center"/>
          </w:tcPr>
          <w:p w14:paraId="3D4559B1">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1216.87 </w:t>
            </w:r>
          </w:p>
        </w:tc>
        <w:tc>
          <w:tcPr>
            <w:tcW w:w="1755" w:type="dxa"/>
            <w:tcBorders>
              <w:top w:val="single" w:color="auto" w:sz="4" w:space="0"/>
              <w:left w:val="single" w:color="auto" w:sz="4" w:space="0"/>
              <w:bottom w:val="single" w:color="auto" w:sz="4" w:space="0"/>
              <w:right w:val="single" w:color="auto" w:sz="4" w:space="0"/>
            </w:tcBorders>
            <w:vAlign w:val="center"/>
          </w:tcPr>
          <w:p w14:paraId="2CD00DF0">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米</w:t>
            </w:r>
          </w:p>
        </w:tc>
        <w:tc>
          <w:tcPr>
            <w:tcW w:w="1312" w:type="dxa"/>
            <w:tcBorders>
              <w:top w:val="single" w:color="auto" w:sz="4" w:space="0"/>
              <w:left w:val="single" w:color="auto" w:sz="4" w:space="0"/>
              <w:bottom w:val="single" w:color="auto" w:sz="4" w:space="0"/>
              <w:right w:val="single" w:color="auto" w:sz="4" w:space="0"/>
            </w:tcBorders>
            <w:vAlign w:val="center"/>
          </w:tcPr>
          <w:p w14:paraId="12DD47F5">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r w14:paraId="6E61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4479107">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p>
        </w:tc>
        <w:tc>
          <w:tcPr>
            <w:tcW w:w="2750" w:type="dxa"/>
            <w:tcBorders>
              <w:top w:val="single" w:color="auto" w:sz="4" w:space="0"/>
              <w:left w:val="single" w:color="auto" w:sz="4" w:space="0"/>
              <w:bottom w:val="single" w:color="auto" w:sz="4" w:space="0"/>
              <w:right w:val="single" w:color="auto" w:sz="4" w:space="0"/>
            </w:tcBorders>
            <w:vAlign w:val="center"/>
          </w:tcPr>
          <w:p w14:paraId="5ED9F560">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磨砂膜</w:t>
            </w:r>
          </w:p>
        </w:tc>
        <w:tc>
          <w:tcPr>
            <w:tcW w:w="2243" w:type="dxa"/>
            <w:tcBorders>
              <w:top w:val="single" w:color="auto" w:sz="4" w:space="0"/>
              <w:left w:val="single" w:color="auto" w:sz="4" w:space="0"/>
              <w:bottom w:val="single" w:color="auto" w:sz="4" w:space="0"/>
              <w:right w:val="single" w:color="auto" w:sz="4" w:space="0"/>
            </w:tcBorders>
            <w:vAlign w:val="center"/>
          </w:tcPr>
          <w:p w14:paraId="1D441596">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71.31 </w:t>
            </w:r>
          </w:p>
        </w:tc>
        <w:tc>
          <w:tcPr>
            <w:tcW w:w="1755" w:type="dxa"/>
            <w:tcBorders>
              <w:top w:val="single" w:color="auto" w:sz="4" w:space="0"/>
              <w:left w:val="single" w:color="auto" w:sz="4" w:space="0"/>
              <w:bottom w:val="single" w:color="auto" w:sz="4" w:space="0"/>
              <w:right w:val="single" w:color="auto" w:sz="4" w:space="0"/>
            </w:tcBorders>
            <w:vAlign w:val="center"/>
          </w:tcPr>
          <w:p w14:paraId="367FDC29">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082DC9F5">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r w14:paraId="0807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3CCCD93">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p>
        </w:tc>
        <w:tc>
          <w:tcPr>
            <w:tcW w:w="2750" w:type="dxa"/>
            <w:tcBorders>
              <w:top w:val="single" w:color="auto" w:sz="4" w:space="0"/>
              <w:left w:val="single" w:color="auto" w:sz="4" w:space="0"/>
              <w:bottom w:val="single" w:color="auto" w:sz="4" w:space="0"/>
              <w:right w:val="single" w:color="auto" w:sz="4" w:space="0"/>
            </w:tcBorders>
            <w:vAlign w:val="center"/>
          </w:tcPr>
          <w:p w14:paraId="7AED6C66">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医用围帘</w:t>
            </w:r>
          </w:p>
        </w:tc>
        <w:tc>
          <w:tcPr>
            <w:tcW w:w="2243" w:type="dxa"/>
            <w:tcBorders>
              <w:top w:val="single" w:color="auto" w:sz="4" w:space="0"/>
              <w:left w:val="single" w:color="auto" w:sz="4" w:space="0"/>
              <w:bottom w:val="single" w:color="auto" w:sz="4" w:space="0"/>
              <w:right w:val="single" w:color="auto" w:sz="4" w:space="0"/>
            </w:tcBorders>
            <w:vAlign w:val="center"/>
          </w:tcPr>
          <w:p w14:paraId="38A644E2">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12544.07 </w:t>
            </w:r>
          </w:p>
        </w:tc>
        <w:tc>
          <w:tcPr>
            <w:tcW w:w="1755" w:type="dxa"/>
            <w:tcBorders>
              <w:top w:val="single" w:color="auto" w:sz="4" w:space="0"/>
              <w:left w:val="single" w:color="auto" w:sz="4" w:space="0"/>
              <w:bottom w:val="single" w:color="auto" w:sz="4" w:space="0"/>
              <w:right w:val="single" w:color="auto" w:sz="4" w:space="0"/>
            </w:tcBorders>
            <w:vAlign w:val="center"/>
          </w:tcPr>
          <w:p w14:paraId="0EDD1BCA">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平米</w:t>
            </w:r>
          </w:p>
        </w:tc>
        <w:tc>
          <w:tcPr>
            <w:tcW w:w="1312" w:type="dxa"/>
            <w:tcBorders>
              <w:top w:val="single" w:color="auto" w:sz="4" w:space="0"/>
              <w:left w:val="single" w:color="auto" w:sz="4" w:space="0"/>
              <w:bottom w:val="single" w:color="auto" w:sz="4" w:space="0"/>
              <w:right w:val="single" w:color="auto" w:sz="4" w:space="0"/>
            </w:tcBorders>
            <w:vAlign w:val="center"/>
          </w:tcPr>
          <w:p w14:paraId="2928065B">
            <w:pPr>
              <w:keepNext w:val="0"/>
              <w:keepLines w:val="0"/>
              <w:pageBreakBefore w:val="0"/>
              <w:suppressLineNumbers w:val="0"/>
              <w:kinsoku/>
              <w:wordWrap w:val="0"/>
              <w:topLinePunct w:val="0"/>
              <w:autoSpaceDE/>
              <w:autoSpaceDN/>
              <w:bidi w:val="0"/>
              <w:adjustRightInd/>
              <w:spacing w:before="0" w:beforeAutospacing="0" w:after="0" w:afterAutospacing="0" w:line="440" w:lineRule="exact"/>
              <w:ind w:left="0" w:leftChars="0" w:right="0" w:rightChars="0"/>
              <w:jc w:val="center"/>
              <w:rPr>
                <w:rFonts w:hint="eastAsia" w:ascii="宋体" w:hAnsi="宋体" w:eastAsia="宋体" w:cs="宋体"/>
                <w:color w:val="auto"/>
                <w:sz w:val="24"/>
                <w:highlight w:val="none"/>
                <w:lang w:val="en-US" w:eastAsia="zh-CN"/>
              </w:rPr>
            </w:pPr>
          </w:p>
        </w:tc>
      </w:tr>
    </w:tbl>
    <w:p w14:paraId="0203FE8D">
      <w:pPr>
        <w:keepNext w:val="0"/>
        <w:keepLines w:val="0"/>
        <w:pageBreakBefore w:val="0"/>
        <w:widowControl/>
        <w:kinsoku/>
        <w:wordWrap w:val="0"/>
        <w:topLinePunct w:val="0"/>
        <w:autoSpaceDE/>
        <w:autoSpaceDN/>
        <w:bidi w:val="0"/>
        <w:adjustRightInd/>
        <w:snapToGrid w:val="0"/>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注：本次招标的卷帘、</w:t>
      </w:r>
      <w:r>
        <w:rPr>
          <w:rFonts w:hint="eastAsia" w:ascii="宋体" w:hAnsi="宋体" w:eastAsia="宋体" w:cs="宋体"/>
          <w:color w:val="auto"/>
          <w:sz w:val="24"/>
          <w:highlight w:val="none"/>
        </w:rPr>
        <w:t>磨砂隐私膜</w:t>
      </w:r>
      <w:r>
        <w:rPr>
          <w:rFonts w:hint="eastAsia" w:ascii="宋体" w:hAnsi="宋体" w:eastAsia="宋体" w:cs="宋体"/>
          <w:color w:val="auto"/>
          <w:kern w:val="0"/>
          <w:sz w:val="24"/>
          <w:highlight w:val="none"/>
        </w:rPr>
        <w:t>为覆盖面积；布帘、纱帘为窗帘实际用量。</w:t>
      </w:r>
    </w:p>
    <w:p w14:paraId="02A93A21">
      <w:pPr>
        <w:keepNext w:val="0"/>
        <w:keepLines w:val="0"/>
        <w:pageBreakBefore w:val="0"/>
        <w:widowControl/>
        <w:kinsoku/>
        <w:wordWrap w:val="0"/>
        <w:topLinePunct w:val="0"/>
        <w:autoSpaceDE/>
        <w:autoSpaceDN/>
        <w:bidi w:val="0"/>
        <w:adjustRightInd/>
        <w:snapToGrid w:val="0"/>
        <w:spacing w:line="44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所有布帘、纱帘需采用2倍饱和度(1:2打摺)，医用隔帘需采用1.5倍饱和度(1:1.5打摺)</w:t>
      </w:r>
      <w:r>
        <w:rPr>
          <w:rFonts w:hint="eastAsia" w:ascii="宋体" w:hAnsi="宋体" w:eastAsia="宋体" w:cs="宋体"/>
          <w:color w:val="auto"/>
          <w:kern w:val="0"/>
          <w:sz w:val="24"/>
          <w:highlight w:val="none"/>
          <w:lang w:eastAsia="zh-CN"/>
        </w:rPr>
        <w:t>。</w:t>
      </w:r>
    </w:p>
    <w:p w14:paraId="3A6A6482">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三、技术参数</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7"/>
        <w:gridCol w:w="1677"/>
        <w:gridCol w:w="6914"/>
      </w:tblGrid>
      <w:tr w14:paraId="4AD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jc w:val="center"/>
        </w:trPr>
        <w:tc>
          <w:tcPr>
            <w:tcW w:w="607" w:type="dxa"/>
            <w:shd w:val="clear" w:color="auto" w:fill="auto"/>
            <w:noWrap/>
            <w:vAlign w:val="center"/>
          </w:tcPr>
          <w:p w14:paraId="1244696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序号</w:t>
            </w:r>
          </w:p>
        </w:tc>
        <w:tc>
          <w:tcPr>
            <w:tcW w:w="1677" w:type="dxa"/>
            <w:shd w:val="clear" w:color="auto" w:fill="auto"/>
            <w:noWrap/>
            <w:vAlign w:val="center"/>
          </w:tcPr>
          <w:p w14:paraId="0BB4DA1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名称</w:t>
            </w:r>
          </w:p>
        </w:tc>
        <w:tc>
          <w:tcPr>
            <w:tcW w:w="6914" w:type="dxa"/>
            <w:shd w:val="clear" w:color="auto" w:fill="auto"/>
            <w:noWrap/>
            <w:vAlign w:val="center"/>
          </w:tcPr>
          <w:p w14:paraId="4AFAD6B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snapToGrid w:val="0"/>
                <w:color w:val="auto"/>
                <w:kern w:val="0"/>
                <w:sz w:val="24"/>
                <w:highlight w:val="none"/>
              </w:rPr>
              <w:t>技术参数</w:t>
            </w:r>
          </w:p>
        </w:tc>
      </w:tr>
      <w:tr w14:paraId="655B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07" w:type="dxa"/>
            <w:shd w:val="clear" w:color="auto" w:fill="auto"/>
            <w:noWrap/>
            <w:vAlign w:val="center"/>
          </w:tcPr>
          <w:p w14:paraId="4B70DF9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1</w:t>
            </w:r>
          </w:p>
        </w:tc>
        <w:tc>
          <w:tcPr>
            <w:tcW w:w="1677" w:type="dxa"/>
            <w:shd w:val="clear" w:color="auto" w:fill="auto"/>
            <w:noWrap/>
            <w:vAlign w:val="center"/>
          </w:tcPr>
          <w:p w14:paraId="4EB793B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手动透景卷帘</w:t>
            </w:r>
          </w:p>
        </w:tc>
        <w:tc>
          <w:tcPr>
            <w:tcW w:w="6914" w:type="dxa"/>
            <w:shd w:val="clear" w:color="auto" w:fill="auto"/>
            <w:noWrap/>
            <w:vAlign w:val="center"/>
          </w:tcPr>
          <w:p w14:paraId="75F81CB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1</w:t>
            </w:r>
            <w:r>
              <w:rPr>
                <w:rFonts w:hint="eastAsia" w:ascii="仿宋" w:hAnsi="仿宋" w:eastAsia="仿宋" w:cs="仿宋"/>
                <w:color w:val="auto"/>
                <w:sz w:val="24"/>
                <w:highlight w:val="none"/>
                <w:lang w:bidi="zh-CN"/>
              </w:rPr>
              <w:t>.纤维含量</w:t>
            </w:r>
            <w:r>
              <w:rPr>
                <w:rFonts w:hint="eastAsia" w:ascii="仿宋" w:hAnsi="仿宋" w:eastAsia="仿宋" w:cs="仿宋"/>
                <w:color w:val="auto"/>
                <w:sz w:val="24"/>
                <w:highlight w:val="none"/>
                <w:lang w:val="zh-CN" w:bidi="zh-CN"/>
              </w:rPr>
              <w:t>：</w:t>
            </w:r>
            <w:r>
              <w:rPr>
                <w:rFonts w:hint="eastAsia" w:ascii="仿宋" w:hAnsi="仿宋" w:eastAsia="仿宋" w:cs="仿宋"/>
                <w:color w:val="0000FF"/>
                <w:sz w:val="24"/>
                <w:highlight w:val="none"/>
                <w:lang w:val="zh-CN" w:bidi="zh-CN"/>
              </w:rPr>
              <w:t>100%玻璃纤维（非纤维物质除外）</w:t>
            </w:r>
            <w:r>
              <w:rPr>
                <w:rFonts w:hint="eastAsia" w:ascii="仿宋" w:hAnsi="仿宋" w:eastAsia="仿宋" w:cs="仿宋"/>
                <w:color w:val="auto"/>
                <w:sz w:val="24"/>
                <w:highlight w:val="none"/>
                <w:lang w:val="zh-CN" w:bidi="zh-CN"/>
              </w:rPr>
              <w:t>；单位面积质量：≥</w:t>
            </w:r>
            <w:r>
              <w:rPr>
                <w:rFonts w:hint="eastAsia" w:ascii="仿宋" w:hAnsi="仿宋" w:eastAsia="仿宋" w:cs="仿宋"/>
                <w:color w:val="auto"/>
                <w:sz w:val="24"/>
                <w:highlight w:val="none"/>
                <w:lang w:val="en-US" w:bidi="zh-CN"/>
              </w:rPr>
              <w:t>420</w:t>
            </w:r>
            <w:r>
              <w:rPr>
                <w:rFonts w:hint="eastAsia" w:ascii="仿宋" w:hAnsi="仿宋" w:eastAsia="仿宋" w:cs="仿宋"/>
                <w:color w:val="auto"/>
                <w:sz w:val="24"/>
                <w:highlight w:val="none"/>
                <w:lang w:val="zh-CN" w:bidi="zh-CN"/>
              </w:rPr>
              <w:t>g/㎡，花型颜色由采购人确认；</w:t>
            </w:r>
          </w:p>
          <w:p w14:paraId="46AC0DD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遮光率: ≥9</w:t>
            </w:r>
            <w:r>
              <w:rPr>
                <w:rFonts w:hint="eastAsia" w:ascii="仿宋" w:hAnsi="仿宋" w:eastAsia="仿宋" w:cs="仿宋"/>
                <w:color w:val="auto"/>
                <w:sz w:val="24"/>
                <w:highlight w:val="none"/>
                <w:lang w:val="en-US" w:bidi="zh-CN"/>
              </w:rPr>
              <w:t>0</w:t>
            </w:r>
            <w:r>
              <w:rPr>
                <w:rFonts w:hint="eastAsia" w:ascii="仿宋" w:hAnsi="仿宋" w:eastAsia="仿宋" w:cs="仿宋"/>
                <w:color w:val="auto"/>
                <w:sz w:val="24"/>
                <w:highlight w:val="none"/>
                <w:lang w:val="zh-CN" w:bidi="zh-CN"/>
              </w:rPr>
              <w:t>%；</w:t>
            </w:r>
          </w:p>
          <w:p w14:paraId="1DDB8C5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3.PH值：4~9；</w:t>
            </w:r>
          </w:p>
          <w:p w14:paraId="5E94ACA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rPr>
              <w:t>4.异味：无；</w:t>
            </w:r>
          </w:p>
          <w:p w14:paraId="452B091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5.断裂强力：经向≥1</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00N、纬向≥1</w:t>
            </w:r>
            <w:r>
              <w:rPr>
                <w:rFonts w:hint="eastAsia" w:ascii="仿宋" w:hAnsi="仿宋" w:eastAsia="仿宋" w:cs="仿宋"/>
                <w:color w:val="auto"/>
                <w:sz w:val="24"/>
                <w:highlight w:val="none"/>
                <w:lang w:val="en-US" w:bidi="zh-CN"/>
              </w:rPr>
              <w:t>2</w:t>
            </w:r>
            <w:r>
              <w:rPr>
                <w:rFonts w:hint="eastAsia" w:ascii="仿宋" w:hAnsi="仿宋" w:eastAsia="仿宋" w:cs="仿宋"/>
                <w:color w:val="auto"/>
                <w:sz w:val="24"/>
                <w:highlight w:val="none"/>
                <w:lang w:bidi="zh-CN"/>
              </w:rPr>
              <w:t>00N；</w:t>
            </w:r>
          </w:p>
          <w:p w14:paraId="33314D4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432133A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7.</w:t>
            </w:r>
            <w:r>
              <w:rPr>
                <w:rFonts w:hint="eastAsia" w:ascii="仿宋" w:hAnsi="仿宋" w:eastAsia="仿宋" w:cs="仿宋"/>
                <w:color w:val="auto"/>
                <w:sz w:val="24"/>
                <w:highlight w:val="none"/>
                <w:lang w:bidi="zh-CN"/>
              </w:rPr>
              <w:t>阻燃标准：</w:t>
            </w:r>
            <w:r>
              <w:rPr>
                <w:rFonts w:hint="eastAsia" w:ascii="仿宋" w:hAnsi="仿宋" w:eastAsia="仿宋" w:cs="仿宋"/>
                <w:b w:val="0"/>
                <w:bCs w:val="0"/>
                <w:color w:val="auto"/>
                <w:sz w:val="24"/>
                <w:highlight w:val="none"/>
                <w:lang w:bidi="zh-CN"/>
              </w:rPr>
              <w:t>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73934EF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09FF432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7C80A37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85</w:t>
            </w:r>
            <w:r>
              <w:rPr>
                <w:rFonts w:hint="eastAsia" w:ascii="仿宋" w:hAnsi="仿宋" w:eastAsia="仿宋" w:cs="仿宋"/>
                <w:color w:val="auto"/>
                <w:sz w:val="24"/>
                <w:highlight w:val="none"/>
                <w:lang w:bidi="zh-CN"/>
              </w:rPr>
              <w:t>%；</w:t>
            </w:r>
          </w:p>
          <w:p w14:paraId="08F2B7A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3.耐光色牢度：≥4级；</w:t>
            </w:r>
          </w:p>
          <w:p w14:paraId="68C3117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★4.耐水色牢度：≥4级；</w:t>
            </w:r>
          </w:p>
          <w:p w14:paraId="0200C05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5.耐干、湿摩擦色牢度：≥4级；</w:t>
            </w:r>
          </w:p>
          <w:p w14:paraId="12A9F0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6.防紫外线性能：紫外线防护系数＞40，平均透射比：＜5；</w:t>
            </w:r>
          </w:p>
          <w:p w14:paraId="0C1B6B9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7.面料缩水率：可水洗，洗后缩率≤3%</w:t>
            </w:r>
            <w:r>
              <w:rPr>
                <w:rFonts w:hint="eastAsia" w:ascii="仿宋" w:hAnsi="仿宋" w:eastAsia="仿宋" w:cs="仿宋"/>
                <w:color w:val="auto"/>
                <w:sz w:val="24"/>
                <w:highlight w:val="none"/>
                <w:lang w:val="zh-CN" w:bidi="zh-CN"/>
              </w:rPr>
              <w:t>；</w:t>
            </w:r>
          </w:p>
          <w:p w14:paraId="5ECF0D1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卷帘卷管：</w:t>
            </w:r>
          </w:p>
          <w:p w14:paraId="5E6638F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zh-CN" w:bidi="zh-CN"/>
              </w:rPr>
              <w:t>壁厚：≥</w:t>
            </w:r>
            <w:r>
              <w:rPr>
                <w:rFonts w:hint="eastAsia" w:ascii="仿宋" w:hAnsi="仿宋" w:eastAsia="仿宋" w:cs="仿宋"/>
                <w:color w:val="auto"/>
                <w:sz w:val="24"/>
                <w:highlight w:val="none"/>
                <w:lang w:val="en-US" w:bidi="zh-CN"/>
              </w:rPr>
              <w:t>1.5</w:t>
            </w:r>
            <w:r>
              <w:rPr>
                <w:rFonts w:hint="eastAsia" w:ascii="仿宋" w:hAnsi="仿宋" w:eastAsia="仿宋" w:cs="仿宋"/>
                <w:color w:val="auto"/>
                <w:sz w:val="24"/>
                <w:highlight w:val="none"/>
                <w:lang w:val="zh-CN" w:bidi="zh-CN"/>
              </w:rPr>
              <w:t>mm；</w:t>
            </w:r>
            <w:r>
              <w:rPr>
                <w:rFonts w:hint="eastAsia" w:ascii="仿宋" w:hAnsi="仿宋" w:eastAsia="仿宋" w:cs="仿宋"/>
                <w:color w:val="auto"/>
                <w:sz w:val="24"/>
                <w:highlight w:val="none"/>
                <w:lang w:bidi="zh-CN"/>
              </w:rPr>
              <w:t>内有不少于3根加强筋</w:t>
            </w:r>
          </w:p>
          <w:p w14:paraId="459AF9B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★2.直径：</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val="en-US" w:bidi="zh-CN"/>
              </w:rPr>
              <w:t>50</w:t>
            </w:r>
            <w:r>
              <w:rPr>
                <w:rFonts w:hint="eastAsia" w:ascii="仿宋" w:hAnsi="仿宋" w:eastAsia="仿宋" w:cs="仿宋"/>
                <w:color w:val="auto"/>
                <w:sz w:val="24"/>
                <w:highlight w:val="none"/>
                <w:lang w:val="zh-CN" w:bidi="zh-CN"/>
              </w:rPr>
              <w:t>mm；</w:t>
            </w:r>
          </w:p>
          <w:p w14:paraId="5AD6693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3</w:t>
            </w:r>
            <w:r>
              <w:rPr>
                <w:rFonts w:hint="eastAsia" w:ascii="仿宋" w:hAnsi="仿宋" w:eastAsia="仿宋" w:cs="仿宋"/>
                <w:color w:val="auto"/>
                <w:sz w:val="24"/>
                <w:highlight w:val="none"/>
                <w:lang w:val="zh-CN" w:bidi="zh-CN"/>
              </w:rPr>
              <w:t>.规定塑性延伸强度：≥</w:t>
            </w:r>
            <w:r>
              <w:rPr>
                <w:rFonts w:hint="eastAsia" w:ascii="仿宋" w:hAnsi="仿宋" w:eastAsia="仿宋" w:cs="仿宋"/>
                <w:color w:val="auto"/>
                <w:sz w:val="24"/>
                <w:highlight w:val="none"/>
                <w:lang w:bidi="zh-CN"/>
              </w:rPr>
              <w:t>150</w:t>
            </w:r>
            <w:r>
              <w:rPr>
                <w:rFonts w:hint="eastAsia" w:ascii="仿宋" w:hAnsi="仿宋" w:eastAsia="仿宋" w:cs="仿宋"/>
                <w:color w:val="auto"/>
                <w:sz w:val="24"/>
                <w:highlight w:val="none"/>
                <w:lang w:val="zh-CN" w:bidi="zh-CN"/>
              </w:rPr>
              <w:t>MPa；</w:t>
            </w:r>
          </w:p>
          <w:p w14:paraId="69F640A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★4</w:t>
            </w:r>
            <w:r>
              <w:rPr>
                <w:rFonts w:hint="eastAsia" w:ascii="仿宋" w:hAnsi="仿宋" w:eastAsia="仿宋" w:cs="仿宋"/>
                <w:color w:val="auto"/>
                <w:sz w:val="24"/>
                <w:highlight w:val="none"/>
                <w:lang w:val="zh-CN" w:bidi="zh-CN"/>
              </w:rPr>
              <w:t>.抗拉强度：≥</w:t>
            </w:r>
            <w:r>
              <w:rPr>
                <w:rFonts w:hint="eastAsia" w:ascii="仿宋" w:hAnsi="仿宋" w:eastAsia="仿宋" w:cs="仿宋"/>
                <w:color w:val="auto"/>
                <w:sz w:val="24"/>
                <w:highlight w:val="none"/>
                <w:lang w:bidi="zh-CN"/>
              </w:rPr>
              <w:t>180</w:t>
            </w:r>
            <w:r>
              <w:rPr>
                <w:rFonts w:hint="eastAsia" w:ascii="仿宋" w:hAnsi="仿宋" w:eastAsia="仿宋" w:cs="仿宋"/>
                <w:color w:val="auto"/>
                <w:sz w:val="24"/>
                <w:highlight w:val="none"/>
                <w:lang w:val="zh-CN" w:bidi="zh-CN"/>
              </w:rPr>
              <w:t>MPa；</w:t>
            </w:r>
          </w:p>
          <w:p w14:paraId="20906B5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zh-CN" w:bidi="zh-CN"/>
              </w:rPr>
              <w:t>.伸长率：≥</w:t>
            </w:r>
            <w:r>
              <w:rPr>
                <w:rFonts w:hint="eastAsia" w:ascii="仿宋" w:hAnsi="仿宋" w:eastAsia="仿宋" w:cs="仿宋"/>
                <w:color w:val="auto"/>
                <w:sz w:val="24"/>
                <w:highlight w:val="none"/>
                <w:lang w:bidi="zh-CN"/>
              </w:rPr>
              <w:t>10</w:t>
            </w:r>
            <w:r>
              <w:rPr>
                <w:rFonts w:hint="eastAsia" w:ascii="仿宋" w:hAnsi="仿宋" w:eastAsia="仿宋" w:cs="仿宋"/>
                <w:color w:val="auto"/>
                <w:sz w:val="24"/>
                <w:highlight w:val="none"/>
                <w:lang w:val="zh-CN" w:bidi="zh-CN"/>
              </w:rPr>
              <w:t>%；</w:t>
            </w:r>
          </w:p>
          <w:p w14:paraId="3F818E7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6</w:t>
            </w:r>
            <w:r>
              <w:rPr>
                <w:rFonts w:hint="eastAsia" w:ascii="仿宋" w:hAnsi="仿宋" w:eastAsia="仿宋" w:cs="仿宋"/>
                <w:color w:val="auto"/>
                <w:sz w:val="24"/>
                <w:highlight w:val="none"/>
                <w:lang w:val="zh-CN" w:bidi="zh-CN"/>
              </w:rPr>
              <w:t>.外观质量：涂漆后的漆膜应均匀、整洁、无皱纹、无裂纹、无气泡、无流痕、无夹杂物、无发粘和漆膜脱落等；</w:t>
            </w:r>
          </w:p>
          <w:p w14:paraId="1DB1F0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w:t>
            </w:r>
            <w:r>
              <w:rPr>
                <w:rFonts w:hint="eastAsia" w:ascii="仿宋" w:hAnsi="仿宋" w:eastAsia="仿宋" w:cs="仿宋"/>
                <w:color w:val="auto"/>
                <w:sz w:val="24"/>
                <w:highlight w:val="none"/>
                <w:lang w:val="zh-CN" w:bidi="zh-CN"/>
              </w:rPr>
              <w:t>.漆膜硬度：≥4H；</w:t>
            </w:r>
          </w:p>
          <w:p w14:paraId="56A5431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8</w:t>
            </w:r>
            <w:r>
              <w:rPr>
                <w:rFonts w:hint="eastAsia" w:ascii="仿宋" w:hAnsi="仿宋" w:eastAsia="仿宋" w:cs="仿宋"/>
                <w:color w:val="auto"/>
                <w:sz w:val="24"/>
                <w:highlight w:val="none"/>
                <w:lang w:val="zh-CN" w:bidi="zh-CN"/>
              </w:rPr>
              <w:t>.耐碱性：经耐碱性试验后，保护等级≥10级；</w:t>
            </w:r>
          </w:p>
          <w:p w14:paraId="1D5F03F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9</w:t>
            </w:r>
            <w:r>
              <w:rPr>
                <w:rFonts w:hint="eastAsia" w:ascii="仿宋" w:hAnsi="仿宋" w:eastAsia="仿宋" w:cs="仿宋"/>
                <w:color w:val="auto"/>
                <w:sz w:val="24"/>
                <w:highlight w:val="none"/>
                <w:lang w:val="zh-CN" w:bidi="zh-CN"/>
              </w:rPr>
              <w:t>.韦氏硬度：≥12HW；</w:t>
            </w:r>
          </w:p>
          <w:p w14:paraId="5704518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10</w:t>
            </w:r>
            <w:r>
              <w:rPr>
                <w:rFonts w:hint="eastAsia" w:ascii="仿宋" w:hAnsi="仿宋" w:eastAsia="仿宋" w:cs="仿宋"/>
                <w:color w:val="auto"/>
                <w:sz w:val="24"/>
                <w:highlight w:val="none"/>
                <w:lang w:val="zh-CN" w:bidi="zh-CN"/>
              </w:rPr>
              <w:t>.耐盐酸性：经耐盐酸性试验后，复合膜表面应无气泡或其他明显变化；</w:t>
            </w:r>
          </w:p>
          <w:p w14:paraId="1C9F965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11.高强度铝合金材质；</w:t>
            </w:r>
          </w:p>
          <w:p w14:paraId="01705BA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12.卷管表面阳极氧化或防腐涂层；</w:t>
            </w:r>
          </w:p>
          <w:p w14:paraId="4772C23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注：（壁厚、直径、加强筋根数需在样品中体现）</w:t>
            </w:r>
          </w:p>
          <w:p w14:paraId="2E6F714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b/>
                <w:bCs/>
                <w:color w:val="auto"/>
                <w:sz w:val="24"/>
                <w:highlight w:val="none"/>
              </w:rPr>
              <w:t>卷帘底杆：</w:t>
            </w:r>
          </w:p>
          <w:p w14:paraId="59271FA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zh-CN" w:bidi="zh-CN"/>
              </w:rPr>
              <w:t>壁厚</w:t>
            </w: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1.8</w:t>
            </w:r>
            <w:r>
              <w:rPr>
                <w:rFonts w:hint="eastAsia" w:ascii="仿宋" w:hAnsi="仿宋" w:eastAsia="仿宋" w:cs="仿宋"/>
                <w:color w:val="auto"/>
                <w:sz w:val="24"/>
                <w:highlight w:val="none"/>
                <w:lang w:bidi="zh-CN"/>
              </w:rPr>
              <w:t>mm；</w:t>
            </w:r>
          </w:p>
          <w:p w14:paraId="030F9DB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2.规定塑性延伸强度：≥150MPa；</w:t>
            </w:r>
          </w:p>
          <w:p w14:paraId="389008C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3.抗拉强度：≥200MPa；</w:t>
            </w:r>
          </w:p>
          <w:p w14:paraId="2783A6F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4.伸长率：≥13%；</w:t>
            </w:r>
          </w:p>
          <w:p w14:paraId="24476AE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zh-CN" w:bidi="zh-CN"/>
              </w:rPr>
              <w:t>.韦氏硬度：≥12HW；</w:t>
            </w:r>
          </w:p>
          <w:p w14:paraId="18CED3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6.</w:t>
            </w:r>
            <w:r>
              <w:rPr>
                <w:rFonts w:hint="eastAsia" w:ascii="仿宋" w:hAnsi="仿宋" w:eastAsia="仿宋" w:cs="仿宋"/>
                <w:color w:val="auto"/>
                <w:sz w:val="24"/>
                <w:highlight w:val="none"/>
                <w:lang w:val="zh-CN" w:bidi="zh-CN"/>
              </w:rPr>
              <w:t>高强度铝合金材质；</w:t>
            </w:r>
          </w:p>
          <w:p w14:paraId="5B2F69B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w:t>
            </w:r>
            <w:r>
              <w:rPr>
                <w:rFonts w:hint="eastAsia" w:ascii="仿宋" w:hAnsi="仿宋" w:eastAsia="仿宋" w:cs="仿宋"/>
                <w:color w:val="auto"/>
                <w:sz w:val="24"/>
                <w:highlight w:val="none"/>
                <w:lang w:val="zh-CN" w:bidi="zh-CN"/>
              </w:rPr>
              <w:t>底杆规格：宽≥</w:t>
            </w:r>
            <w:r>
              <w:rPr>
                <w:rFonts w:hint="eastAsia" w:ascii="仿宋" w:hAnsi="仿宋" w:eastAsia="仿宋" w:cs="仿宋"/>
                <w:color w:val="auto"/>
                <w:sz w:val="24"/>
                <w:highlight w:val="none"/>
                <w:lang w:val="en-US" w:bidi="zh-CN"/>
              </w:rPr>
              <w:t>38</w:t>
            </w:r>
            <w:r>
              <w:rPr>
                <w:rFonts w:hint="eastAsia" w:ascii="仿宋" w:hAnsi="仿宋" w:eastAsia="仿宋" w:cs="仿宋"/>
                <w:color w:val="auto"/>
                <w:sz w:val="24"/>
                <w:highlight w:val="none"/>
                <w:lang w:val="zh-CN" w:bidi="zh-CN"/>
              </w:rPr>
              <w:t>mm，高≥</w:t>
            </w: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val="zh-CN" w:bidi="zh-CN"/>
              </w:rPr>
              <w:t>mm；</w:t>
            </w:r>
          </w:p>
          <w:p w14:paraId="2C4048B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重量≥0.</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val="zh-CN" w:bidi="zh-CN"/>
              </w:rPr>
              <w:t>KG/米；</w:t>
            </w:r>
          </w:p>
          <w:p w14:paraId="41F81AF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注：（壁厚、高、宽需在样品中体现）</w:t>
            </w:r>
          </w:p>
          <w:p w14:paraId="03D85EA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卷帘制头、拉珠及拉绳：</w:t>
            </w:r>
          </w:p>
          <w:p w14:paraId="0516AF3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en-US" w:eastAsia="zh-CN" w:bidi="zh-CN"/>
              </w:rPr>
              <w:t>拉珠制头为万向静音制头，带减速省力装置，省力30%以上高强度工程塑料配件，抗紫外线，耐冲击适用于重型卷帘</w:t>
            </w:r>
            <w:r>
              <w:rPr>
                <w:rFonts w:hint="eastAsia" w:ascii="仿宋" w:hAnsi="仿宋" w:eastAsia="仿宋" w:cs="仿宋"/>
                <w:color w:val="auto"/>
                <w:sz w:val="24"/>
                <w:highlight w:val="none"/>
                <w:lang w:val="zh-CN" w:bidi="zh-CN"/>
              </w:rPr>
              <w:t>；</w:t>
            </w:r>
          </w:p>
          <w:p w14:paraId="2DDFE25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安装码≥2.0mm</w:t>
            </w:r>
            <w:r>
              <w:rPr>
                <w:rFonts w:hint="eastAsia" w:ascii="仿宋" w:hAnsi="仿宋" w:eastAsia="仿宋" w:cs="仿宋"/>
                <w:color w:val="auto"/>
                <w:sz w:val="24"/>
                <w:highlight w:val="none"/>
                <w:lang w:bidi="zh-CN"/>
              </w:rPr>
              <w:t>厚</w:t>
            </w:r>
            <w:r>
              <w:rPr>
                <w:rFonts w:hint="eastAsia" w:ascii="仿宋" w:hAnsi="仿宋" w:eastAsia="仿宋" w:cs="仿宋"/>
                <w:color w:val="auto"/>
                <w:sz w:val="24"/>
                <w:highlight w:val="none"/>
                <w:lang w:val="zh-CN" w:bidi="zh-CN"/>
              </w:rPr>
              <w:t>的钢板，表面防腐处理，涂漆后的漆膜应均匀、整洁、无皱纹、无裂纹、无气泡流痕、无夹杂物、无发粘和漆膜脱落等；</w:t>
            </w:r>
          </w:p>
          <w:p w14:paraId="5E5BFBE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3.机械耐久性能≥10000次后，帘布无破损，机构装置无松动，能实现正常运行；</w:t>
            </w:r>
          </w:p>
          <w:p w14:paraId="1A7DD42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4.操作力≤50N；</w:t>
            </w:r>
          </w:p>
          <w:p w14:paraId="0D4DC65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5.粗鲁操作、强制操作、反向操作测试后要求面料无破损，操作装置无功能性障碍和损坏等。</w:t>
            </w:r>
          </w:p>
          <w:p w14:paraId="327F462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带★项应提供第三方检测机构出具的检测报告，检测报告送检人须为投标人（若投标人为代理商，还需同时提供生产厂家出具的唯一授权书）</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 xml:space="preserve">  </w:t>
            </w:r>
          </w:p>
        </w:tc>
      </w:tr>
      <w:tr w14:paraId="05A8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07" w:type="dxa"/>
            <w:shd w:val="clear" w:color="auto" w:fill="auto"/>
            <w:noWrap/>
            <w:vAlign w:val="center"/>
          </w:tcPr>
          <w:p w14:paraId="2DED363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2</w:t>
            </w:r>
          </w:p>
        </w:tc>
        <w:tc>
          <w:tcPr>
            <w:tcW w:w="1677" w:type="dxa"/>
            <w:shd w:val="clear" w:color="auto" w:fill="auto"/>
            <w:noWrap/>
            <w:vAlign w:val="center"/>
          </w:tcPr>
          <w:p w14:paraId="02AE3F1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手动遮光卷帘</w:t>
            </w:r>
          </w:p>
        </w:tc>
        <w:tc>
          <w:tcPr>
            <w:tcW w:w="6914" w:type="dxa"/>
            <w:shd w:val="clear" w:color="auto" w:fill="auto"/>
            <w:noWrap/>
            <w:vAlign w:val="center"/>
          </w:tcPr>
          <w:p w14:paraId="6E23B3F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1</w:t>
            </w:r>
            <w:r>
              <w:rPr>
                <w:rFonts w:hint="eastAsia" w:ascii="仿宋" w:hAnsi="仿宋" w:eastAsia="仿宋" w:cs="仿宋"/>
                <w:color w:val="auto"/>
                <w:sz w:val="24"/>
                <w:highlight w:val="none"/>
                <w:lang w:bidi="zh-CN"/>
              </w:rPr>
              <w:t>.纤维含量</w:t>
            </w:r>
            <w:r>
              <w:rPr>
                <w:rFonts w:hint="eastAsia" w:ascii="仿宋" w:hAnsi="仿宋" w:eastAsia="仿宋" w:cs="仿宋"/>
                <w:color w:val="auto"/>
                <w:sz w:val="24"/>
                <w:highlight w:val="none"/>
                <w:lang w:val="zh-CN" w:bidi="zh-CN"/>
              </w:rPr>
              <w:t>：</w:t>
            </w:r>
            <w:r>
              <w:rPr>
                <w:rFonts w:hint="eastAsia" w:ascii="仿宋" w:hAnsi="仿宋" w:eastAsia="仿宋" w:cs="仿宋"/>
                <w:color w:val="0000FF"/>
                <w:sz w:val="24"/>
                <w:highlight w:val="none"/>
                <w:lang w:val="zh-CN" w:bidi="zh-CN"/>
              </w:rPr>
              <w:t>100%玻璃纤维（非纤维物质除外）</w:t>
            </w:r>
            <w:r>
              <w:rPr>
                <w:rFonts w:hint="eastAsia" w:ascii="仿宋" w:hAnsi="仿宋" w:eastAsia="仿宋" w:cs="仿宋"/>
                <w:color w:val="auto"/>
                <w:sz w:val="24"/>
                <w:highlight w:val="none"/>
                <w:lang w:val="zh-CN" w:bidi="zh-CN"/>
              </w:rPr>
              <w:t>；单位面积质量：≥</w:t>
            </w:r>
            <w:r>
              <w:rPr>
                <w:rFonts w:hint="eastAsia" w:ascii="仿宋" w:hAnsi="仿宋" w:eastAsia="仿宋" w:cs="仿宋"/>
                <w:color w:val="auto"/>
                <w:sz w:val="24"/>
                <w:highlight w:val="none"/>
                <w:lang w:val="en-US" w:bidi="zh-CN"/>
              </w:rPr>
              <w:t>480</w:t>
            </w:r>
            <w:r>
              <w:rPr>
                <w:rFonts w:hint="eastAsia" w:ascii="仿宋" w:hAnsi="仿宋" w:eastAsia="仿宋" w:cs="仿宋"/>
                <w:color w:val="auto"/>
                <w:sz w:val="24"/>
                <w:highlight w:val="none"/>
                <w:lang w:val="zh-CN" w:bidi="zh-CN"/>
              </w:rPr>
              <w:t>g/㎡，花型颜色由采购人确认；</w:t>
            </w:r>
          </w:p>
          <w:p w14:paraId="56AB6AA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遮光率: ≥95%；</w:t>
            </w:r>
          </w:p>
          <w:p w14:paraId="1575551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3.PH值：4~9；</w:t>
            </w:r>
          </w:p>
          <w:p w14:paraId="00857EB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rPr>
              <w:t>4.异味：无；</w:t>
            </w:r>
          </w:p>
          <w:p w14:paraId="2310E93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5.断裂强力：经向≥1</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00N、纬向≥1</w:t>
            </w:r>
            <w:r>
              <w:rPr>
                <w:rFonts w:hint="eastAsia" w:ascii="仿宋" w:hAnsi="仿宋" w:eastAsia="仿宋" w:cs="仿宋"/>
                <w:color w:val="auto"/>
                <w:sz w:val="24"/>
                <w:highlight w:val="none"/>
                <w:lang w:val="en-US" w:bidi="zh-CN"/>
              </w:rPr>
              <w:t>2</w:t>
            </w:r>
            <w:r>
              <w:rPr>
                <w:rFonts w:hint="eastAsia" w:ascii="仿宋" w:hAnsi="仿宋" w:eastAsia="仿宋" w:cs="仿宋"/>
                <w:color w:val="auto"/>
                <w:sz w:val="24"/>
                <w:highlight w:val="none"/>
                <w:lang w:bidi="zh-CN"/>
              </w:rPr>
              <w:t>00N；</w:t>
            </w:r>
          </w:p>
          <w:p w14:paraId="6A993FA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6EF4E38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7.</w:t>
            </w:r>
            <w:r>
              <w:rPr>
                <w:rFonts w:hint="eastAsia" w:ascii="仿宋" w:hAnsi="仿宋" w:eastAsia="仿宋" w:cs="仿宋"/>
                <w:color w:val="auto"/>
                <w:sz w:val="24"/>
                <w:highlight w:val="none"/>
                <w:lang w:bidi="zh-CN"/>
              </w:rPr>
              <w:t>阻燃标准：GB20286-2006阻燃1级标准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63FBE29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6BEE202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3C93C8C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85</w:t>
            </w:r>
            <w:r>
              <w:rPr>
                <w:rFonts w:hint="eastAsia" w:ascii="仿宋" w:hAnsi="仿宋" w:eastAsia="仿宋" w:cs="仿宋"/>
                <w:color w:val="auto"/>
                <w:sz w:val="24"/>
                <w:highlight w:val="none"/>
                <w:lang w:bidi="zh-CN"/>
              </w:rPr>
              <w:t>%；</w:t>
            </w:r>
          </w:p>
          <w:p w14:paraId="1E84CD0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3.耐光色牢度：≥4级；</w:t>
            </w:r>
          </w:p>
          <w:p w14:paraId="2732CDC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★4.耐水色牢度：≥4级；</w:t>
            </w:r>
          </w:p>
          <w:p w14:paraId="3A2626D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5.耐干、湿摩擦色牢度：≥4级；</w:t>
            </w:r>
          </w:p>
          <w:p w14:paraId="5F5B54B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6.防紫外线性能：紫外线防护系数＞40，平均透射比：＜5；</w:t>
            </w:r>
          </w:p>
          <w:p w14:paraId="2E88D2F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7.面料缩水率：可水洗，洗后缩率≤3%</w:t>
            </w:r>
            <w:r>
              <w:rPr>
                <w:rFonts w:hint="eastAsia" w:ascii="仿宋" w:hAnsi="仿宋" w:eastAsia="仿宋" w:cs="仿宋"/>
                <w:color w:val="auto"/>
                <w:sz w:val="24"/>
                <w:highlight w:val="none"/>
                <w:lang w:val="zh-CN" w:bidi="zh-CN"/>
              </w:rPr>
              <w:t>；</w:t>
            </w:r>
          </w:p>
          <w:p w14:paraId="6A2D10A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卷帘卷管：</w:t>
            </w:r>
          </w:p>
          <w:p w14:paraId="175C6DA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zh-CN" w:bidi="zh-CN"/>
              </w:rPr>
              <w:t>壁厚：≥</w:t>
            </w:r>
            <w:r>
              <w:rPr>
                <w:rFonts w:hint="eastAsia" w:ascii="仿宋" w:hAnsi="仿宋" w:eastAsia="仿宋" w:cs="仿宋"/>
                <w:color w:val="auto"/>
                <w:sz w:val="24"/>
                <w:highlight w:val="none"/>
                <w:lang w:val="en-US" w:bidi="zh-CN"/>
              </w:rPr>
              <w:t>1.5</w:t>
            </w:r>
            <w:r>
              <w:rPr>
                <w:rFonts w:hint="eastAsia" w:ascii="仿宋" w:hAnsi="仿宋" w:eastAsia="仿宋" w:cs="仿宋"/>
                <w:color w:val="auto"/>
                <w:sz w:val="24"/>
                <w:highlight w:val="none"/>
                <w:lang w:val="zh-CN" w:bidi="zh-CN"/>
              </w:rPr>
              <w:t>mm；</w:t>
            </w:r>
            <w:r>
              <w:rPr>
                <w:rFonts w:hint="eastAsia" w:ascii="仿宋" w:hAnsi="仿宋" w:eastAsia="仿宋" w:cs="仿宋"/>
                <w:color w:val="auto"/>
                <w:sz w:val="24"/>
                <w:highlight w:val="none"/>
                <w:lang w:bidi="zh-CN"/>
              </w:rPr>
              <w:t>内有不少于3根加强筋</w:t>
            </w:r>
          </w:p>
          <w:p w14:paraId="3A2F6F1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2.直径：</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val="en-US" w:bidi="zh-CN"/>
              </w:rPr>
              <w:t>50</w:t>
            </w:r>
            <w:r>
              <w:rPr>
                <w:rFonts w:hint="eastAsia" w:ascii="仿宋" w:hAnsi="仿宋" w:eastAsia="仿宋" w:cs="仿宋"/>
                <w:color w:val="auto"/>
                <w:sz w:val="24"/>
                <w:highlight w:val="none"/>
                <w:lang w:val="zh-CN" w:bidi="zh-CN"/>
              </w:rPr>
              <w:t>mm；</w:t>
            </w:r>
          </w:p>
          <w:p w14:paraId="0F64A14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3</w:t>
            </w:r>
            <w:r>
              <w:rPr>
                <w:rFonts w:hint="eastAsia" w:ascii="仿宋" w:hAnsi="仿宋" w:eastAsia="仿宋" w:cs="仿宋"/>
                <w:color w:val="auto"/>
                <w:sz w:val="24"/>
                <w:highlight w:val="none"/>
                <w:lang w:val="zh-CN" w:bidi="zh-CN"/>
              </w:rPr>
              <w:t>.规定塑性延伸强度：≥</w:t>
            </w:r>
            <w:r>
              <w:rPr>
                <w:rFonts w:hint="eastAsia" w:ascii="仿宋" w:hAnsi="仿宋" w:eastAsia="仿宋" w:cs="仿宋"/>
                <w:color w:val="auto"/>
                <w:sz w:val="24"/>
                <w:highlight w:val="none"/>
                <w:lang w:bidi="zh-CN"/>
              </w:rPr>
              <w:t>150</w:t>
            </w:r>
            <w:r>
              <w:rPr>
                <w:rFonts w:hint="eastAsia" w:ascii="仿宋" w:hAnsi="仿宋" w:eastAsia="仿宋" w:cs="仿宋"/>
                <w:color w:val="auto"/>
                <w:sz w:val="24"/>
                <w:highlight w:val="none"/>
                <w:lang w:val="zh-CN" w:bidi="zh-CN"/>
              </w:rPr>
              <w:t>MPa；</w:t>
            </w:r>
          </w:p>
          <w:p w14:paraId="149B639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4</w:t>
            </w:r>
            <w:r>
              <w:rPr>
                <w:rFonts w:hint="eastAsia" w:ascii="仿宋" w:hAnsi="仿宋" w:eastAsia="仿宋" w:cs="仿宋"/>
                <w:color w:val="auto"/>
                <w:sz w:val="24"/>
                <w:highlight w:val="none"/>
                <w:lang w:val="zh-CN" w:bidi="zh-CN"/>
              </w:rPr>
              <w:t>.抗拉强度：≥</w:t>
            </w:r>
            <w:r>
              <w:rPr>
                <w:rFonts w:hint="eastAsia" w:ascii="仿宋" w:hAnsi="仿宋" w:eastAsia="仿宋" w:cs="仿宋"/>
                <w:color w:val="auto"/>
                <w:sz w:val="24"/>
                <w:highlight w:val="none"/>
                <w:lang w:bidi="zh-CN"/>
              </w:rPr>
              <w:t>180</w:t>
            </w:r>
            <w:r>
              <w:rPr>
                <w:rFonts w:hint="eastAsia" w:ascii="仿宋" w:hAnsi="仿宋" w:eastAsia="仿宋" w:cs="仿宋"/>
                <w:color w:val="auto"/>
                <w:sz w:val="24"/>
                <w:highlight w:val="none"/>
                <w:lang w:val="zh-CN" w:bidi="zh-CN"/>
              </w:rPr>
              <w:t>MPa；</w:t>
            </w:r>
          </w:p>
          <w:p w14:paraId="3A4A843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zh-CN" w:bidi="zh-CN"/>
              </w:rPr>
              <w:t>.伸长率：≥</w:t>
            </w:r>
            <w:r>
              <w:rPr>
                <w:rFonts w:hint="eastAsia" w:ascii="仿宋" w:hAnsi="仿宋" w:eastAsia="仿宋" w:cs="仿宋"/>
                <w:color w:val="auto"/>
                <w:sz w:val="24"/>
                <w:highlight w:val="none"/>
                <w:lang w:bidi="zh-CN"/>
              </w:rPr>
              <w:t>10</w:t>
            </w:r>
            <w:r>
              <w:rPr>
                <w:rFonts w:hint="eastAsia" w:ascii="仿宋" w:hAnsi="仿宋" w:eastAsia="仿宋" w:cs="仿宋"/>
                <w:color w:val="auto"/>
                <w:sz w:val="24"/>
                <w:highlight w:val="none"/>
                <w:lang w:val="zh-CN" w:bidi="zh-CN"/>
              </w:rPr>
              <w:t>%；</w:t>
            </w:r>
          </w:p>
          <w:p w14:paraId="3B55ED2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6</w:t>
            </w:r>
            <w:r>
              <w:rPr>
                <w:rFonts w:hint="eastAsia" w:ascii="仿宋" w:hAnsi="仿宋" w:eastAsia="仿宋" w:cs="仿宋"/>
                <w:color w:val="auto"/>
                <w:sz w:val="24"/>
                <w:highlight w:val="none"/>
                <w:lang w:val="zh-CN" w:bidi="zh-CN"/>
              </w:rPr>
              <w:t>.外观质量：涂漆后的漆膜应均匀、整洁、无皱纹、无裂纹、无气泡、无流痕、无夹杂物、无发粘和漆膜脱落等；</w:t>
            </w:r>
          </w:p>
          <w:p w14:paraId="0F08A3C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w:t>
            </w:r>
            <w:r>
              <w:rPr>
                <w:rFonts w:hint="eastAsia" w:ascii="仿宋" w:hAnsi="仿宋" w:eastAsia="仿宋" w:cs="仿宋"/>
                <w:color w:val="auto"/>
                <w:sz w:val="24"/>
                <w:highlight w:val="none"/>
                <w:lang w:val="zh-CN" w:bidi="zh-CN"/>
              </w:rPr>
              <w:t>.漆膜硬度：≥4H；</w:t>
            </w:r>
          </w:p>
          <w:p w14:paraId="5C97480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8</w:t>
            </w:r>
            <w:r>
              <w:rPr>
                <w:rFonts w:hint="eastAsia" w:ascii="仿宋" w:hAnsi="仿宋" w:eastAsia="仿宋" w:cs="仿宋"/>
                <w:color w:val="auto"/>
                <w:sz w:val="24"/>
                <w:highlight w:val="none"/>
                <w:lang w:val="zh-CN" w:bidi="zh-CN"/>
              </w:rPr>
              <w:t>.耐碱性：经耐碱性试验后，保护等级≥10级；</w:t>
            </w:r>
          </w:p>
          <w:p w14:paraId="35A145A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9</w:t>
            </w:r>
            <w:r>
              <w:rPr>
                <w:rFonts w:hint="eastAsia" w:ascii="仿宋" w:hAnsi="仿宋" w:eastAsia="仿宋" w:cs="仿宋"/>
                <w:color w:val="auto"/>
                <w:sz w:val="24"/>
                <w:highlight w:val="none"/>
                <w:lang w:val="zh-CN" w:bidi="zh-CN"/>
              </w:rPr>
              <w:t>.韦氏硬度：≥12HW；</w:t>
            </w:r>
          </w:p>
          <w:p w14:paraId="35C5965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10</w:t>
            </w:r>
            <w:r>
              <w:rPr>
                <w:rFonts w:hint="eastAsia" w:ascii="仿宋" w:hAnsi="仿宋" w:eastAsia="仿宋" w:cs="仿宋"/>
                <w:color w:val="auto"/>
                <w:sz w:val="24"/>
                <w:highlight w:val="none"/>
                <w:lang w:val="zh-CN" w:bidi="zh-CN"/>
              </w:rPr>
              <w:t>.耐盐酸性：经耐盐酸性试验后，复合膜表面应无气泡或其他明显变化；</w:t>
            </w:r>
          </w:p>
          <w:p w14:paraId="30F6B95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11.高强度铝合金材质；</w:t>
            </w:r>
          </w:p>
          <w:p w14:paraId="6BB3AD8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12.卷管表面阳极氧化或防腐涂层；</w:t>
            </w:r>
          </w:p>
          <w:p w14:paraId="2F8341E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注：（壁厚、直径、加强筋根数需在样品中体现）</w:t>
            </w:r>
          </w:p>
          <w:p w14:paraId="6DF3718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b/>
                <w:bCs/>
                <w:color w:val="auto"/>
                <w:sz w:val="24"/>
                <w:highlight w:val="none"/>
              </w:rPr>
              <w:t>卷帘底杆：</w:t>
            </w:r>
          </w:p>
          <w:p w14:paraId="23F5513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zh-CN" w:bidi="zh-CN"/>
              </w:rPr>
              <w:t>壁厚</w:t>
            </w: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1.8</w:t>
            </w:r>
            <w:r>
              <w:rPr>
                <w:rFonts w:hint="eastAsia" w:ascii="仿宋" w:hAnsi="仿宋" w:eastAsia="仿宋" w:cs="仿宋"/>
                <w:color w:val="auto"/>
                <w:sz w:val="24"/>
                <w:highlight w:val="none"/>
                <w:lang w:bidi="zh-CN"/>
              </w:rPr>
              <w:t>mm；</w:t>
            </w:r>
          </w:p>
          <w:p w14:paraId="59E9E24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2.规定塑性延伸强度：≥150MPa；</w:t>
            </w:r>
          </w:p>
          <w:p w14:paraId="6C7D3E6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3.抗拉强度：≥200MPa；</w:t>
            </w:r>
          </w:p>
          <w:p w14:paraId="452DA21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4.伸长率：≥13%；</w:t>
            </w:r>
          </w:p>
          <w:p w14:paraId="54FA042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zh-CN" w:bidi="zh-CN"/>
              </w:rPr>
              <w:t>.韦氏硬度：≥12HW；</w:t>
            </w:r>
          </w:p>
          <w:p w14:paraId="4F5022B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6.</w:t>
            </w:r>
            <w:r>
              <w:rPr>
                <w:rFonts w:hint="eastAsia" w:ascii="仿宋" w:hAnsi="仿宋" w:eastAsia="仿宋" w:cs="仿宋"/>
                <w:color w:val="auto"/>
                <w:sz w:val="24"/>
                <w:highlight w:val="none"/>
                <w:lang w:val="zh-CN" w:bidi="zh-CN"/>
              </w:rPr>
              <w:t>高强度铝合金材质；</w:t>
            </w:r>
          </w:p>
          <w:p w14:paraId="01294E6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7.</w:t>
            </w:r>
            <w:r>
              <w:rPr>
                <w:rFonts w:hint="eastAsia" w:ascii="仿宋" w:hAnsi="仿宋" w:eastAsia="仿宋" w:cs="仿宋"/>
                <w:color w:val="auto"/>
                <w:sz w:val="24"/>
                <w:highlight w:val="none"/>
                <w:lang w:val="zh-CN" w:bidi="zh-CN"/>
              </w:rPr>
              <w:t>底杆规格：宽≥</w:t>
            </w:r>
            <w:r>
              <w:rPr>
                <w:rFonts w:hint="eastAsia" w:ascii="仿宋" w:hAnsi="仿宋" w:eastAsia="仿宋" w:cs="仿宋"/>
                <w:color w:val="auto"/>
                <w:sz w:val="24"/>
                <w:highlight w:val="none"/>
                <w:lang w:val="en-US" w:bidi="zh-CN"/>
              </w:rPr>
              <w:t>38</w:t>
            </w:r>
            <w:r>
              <w:rPr>
                <w:rFonts w:hint="eastAsia" w:ascii="仿宋" w:hAnsi="仿宋" w:eastAsia="仿宋" w:cs="仿宋"/>
                <w:color w:val="auto"/>
                <w:sz w:val="24"/>
                <w:highlight w:val="none"/>
                <w:lang w:val="zh-CN" w:bidi="zh-CN"/>
              </w:rPr>
              <w:t>mm，高≥</w:t>
            </w: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val="zh-CN" w:bidi="zh-CN"/>
              </w:rPr>
              <w:t>mm；</w:t>
            </w:r>
          </w:p>
          <w:p w14:paraId="21A0DBA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重量≥0.</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val="zh-CN" w:bidi="zh-CN"/>
              </w:rPr>
              <w:t>KG/米；</w:t>
            </w:r>
          </w:p>
          <w:p w14:paraId="241DF4F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注：（壁厚、高、宽需在样品中体现）</w:t>
            </w:r>
          </w:p>
          <w:p w14:paraId="4CF8B1C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卷帘制头、拉珠及拉绳：</w:t>
            </w:r>
          </w:p>
          <w:p w14:paraId="4739FC8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en-US" w:eastAsia="zh-CN" w:bidi="zh-CN"/>
              </w:rPr>
              <w:t>拉珠制头为万向静音制头，带减速省力装置，省力30%以上高强度工程塑料配件，抗紫外线，耐冲击适用于重型卷帘</w:t>
            </w:r>
            <w:r>
              <w:rPr>
                <w:rFonts w:hint="eastAsia" w:ascii="仿宋" w:hAnsi="仿宋" w:eastAsia="仿宋" w:cs="仿宋"/>
                <w:color w:val="auto"/>
                <w:sz w:val="24"/>
                <w:highlight w:val="none"/>
                <w:lang w:val="zh-CN" w:bidi="zh-CN"/>
              </w:rPr>
              <w:t>；</w:t>
            </w:r>
          </w:p>
          <w:p w14:paraId="0FA223C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安装码≥2.0mm</w:t>
            </w:r>
            <w:r>
              <w:rPr>
                <w:rFonts w:hint="eastAsia" w:ascii="仿宋" w:hAnsi="仿宋" w:eastAsia="仿宋" w:cs="仿宋"/>
                <w:color w:val="auto"/>
                <w:sz w:val="24"/>
                <w:highlight w:val="none"/>
                <w:lang w:bidi="zh-CN"/>
              </w:rPr>
              <w:t>厚</w:t>
            </w:r>
            <w:r>
              <w:rPr>
                <w:rFonts w:hint="eastAsia" w:ascii="仿宋" w:hAnsi="仿宋" w:eastAsia="仿宋" w:cs="仿宋"/>
                <w:color w:val="auto"/>
                <w:sz w:val="24"/>
                <w:highlight w:val="none"/>
                <w:lang w:val="zh-CN" w:bidi="zh-CN"/>
              </w:rPr>
              <w:t>的钢板，表面防腐处理，涂漆后的漆膜应均匀、整洁、无皱纹、无裂纹、无气泡流痕、无夹杂物、无发粘和漆膜脱落等；</w:t>
            </w:r>
          </w:p>
          <w:p w14:paraId="04BF310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3.机械耐久性能≥10000次后，帘布无破损，机构装置无松动，能实现正常运行；</w:t>
            </w:r>
          </w:p>
          <w:p w14:paraId="3D1CB75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4.操作力≤50N；</w:t>
            </w:r>
          </w:p>
          <w:p w14:paraId="3EB49A2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zh-CN" w:bidi="zh-CN"/>
              </w:rPr>
              <w:t xml:space="preserve">5.粗鲁操作、强制操作、反向操作测试后要求面料无破损，操作装置无功能性障碍和损坏等。  </w:t>
            </w:r>
          </w:p>
        </w:tc>
      </w:tr>
      <w:tr w14:paraId="4C01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07" w:type="dxa"/>
            <w:shd w:val="clear" w:color="auto" w:fill="auto"/>
            <w:noWrap/>
            <w:vAlign w:val="center"/>
          </w:tcPr>
          <w:p w14:paraId="2E8BEB4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3</w:t>
            </w:r>
          </w:p>
        </w:tc>
        <w:tc>
          <w:tcPr>
            <w:tcW w:w="1677" w:type="dxa"/>
            <w:shd w:val="clear" w:color="auto" w:fill="auto"/>
            <w:noWrap/>
            <w:vAlign w:val="center"/>
          </w:tcPr>
          <w:p w14:paraId="3B905FC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手动布帘1</w:t>
            </w:r>
          </w:p>
        </w:tc>
        <w:tc>
          <w:tcPr>
            <w:tcW w:w="6914" w:type="dxa"/>
            <w:shd w:val="clear" w:color="auto" w:fill="auto"/>
            <w:noWrap/>
            <w:vAlign w:val="center"/>
          </w:tcPr>
          <w:p w14:paraId="6E5519D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val="zh-CN" w:bidi="zh-CN"/>
              </w:rPr>
            </w:pPr>
            <w:r>
              <w:rPr>
                <w:rFonts w:hint="eastAsia" w:ascii="仿宋" w:hAnsi="仿宋" w:eastAsia="仿宋" w:cs="仿宋"/>
                <w:b/>
                <w:bCs/>
                <w:color w:val="auto"/>
                <w:sz w:val="24"/>
                <w:highlight w:val="none"/>
                <w:lang w:val="zh-CN" w:bidi="zh-CN"/>
              </w:rPr>
              <w:t>基本性能</w:t>
            </w:r>
          </w:p>
          <w:p w14:paraId="538F1D4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1</w:t>
            </w:r>
            <w:r>
              <w:rPr>
                <w:rFonts w:hint="eastAsia" w:ascii="仿宋" w:hAnsi="仿宋" w:eastAsia="仿宋" w:cs="仿宋"/>
                <w:color w:val="auto"/>
                <w:sz w:val="24"/>
                <w:highlight w:val="none"/>
                <w:lang w:bidi="zh-CN"/>
              </w:rPr>
              <w:t>.纤维含量</w:t>
            </w:r>
            <w:r>
              <w:rPr>
                <w:rFonts w:hint="eastAsia" w:ascii="仿宋" w:hAnsi="仿宋" w:eastAsia="仿宋" w:cs="仿宋"/>
                <w:color w:val="auto"/>
                <w:sz w:val="24"/>
                <w:highlight w:val="none"/>
                <w:lang w:val="zh-CN" w:bidi="zh-CN"/>
              </w:rPr>
              <w:t>：100%聚酯纤维；单位面积质量：</w:t>
            </w:r>
            <w:r>
              <w:rPr>
                <w:rFonts w:hint="eastAsia" w:ascii="仿宋" w:hAnsi="仿宋" w:eastAsia="仿宋" w:cs="仿宋"/>
                <w:color w:val="FF0000"/>
                <w:sz w:val="24"/>
                <w:highlight w:val="none"/>
                <w:lang w:val="zh-CN" w:bidi="zh-CN"/>
              </w:rPr>
              <w:t>280g-350g/㎡，</w:t>
            </w:r>
            <w:r>
              <w:rPr>
                <w:rFonts w:hint="eastAsia" w:ascii="仿宋" w:hAnsi="仿宋" w:eastAsia="仿宋" w:cs="仿宋"/>
                <w:color w:val="auto"/>
                <w:sz w:val="24"/>
                <w:highlight w:val="none"/>
                <w:lang w:val="zh-CN" w:bidi="zh-CN"/>
              </w:rPr>
              <w:t>花型颜色由采购人确认；</w:t>
            </w:r>
          </w:p>
          <w:p w14:paraId="7A1E68C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 xml:space="preserve">遮光率: </w:t>
            </w:r>
            <w:r>
              <w:rPr>
                <w:rFonts w:hint="eastAsia" w:ascii="仿宋" w:hAnsi="仿宋" w:eastAsia="仿宋" w:cs="仿宋"/>
                <w:color w:val="FF0000"/>
                <w:sz w:val="24"/>
                <w:highlight w:val="none"/>
                <w:lang w:val="zh-CN" w:bidi="zh-CN"/>
              </w:rPr>
              <w:t>85%-95%</w:t>
            </w:r>
            <w:r>
              <w:rPr>
                <w:rFonts w:hint="eastAsia" w:ascii="仿宋" w:hAnsi="仿宋" w:eastAsia="仿宋" w:cs="仿宋"/>
                <w:color w:val="auto"/>
                <w:sz w:val="24"/>
                <w:highlight w:val="none"/>
                <w:lang w:val="zh-CN" w:bidi="zh-CN"/>
              </w:rPr>
              <w:t>；</w:t>
            </w:r>
          </w:p>
          <w:p w14:paraId="19E8192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3.PH值：4~9；</w:t>
            </w:r>
          </w:p>
          <w:p w14:paraId="57F2AB1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rPr>
              <w:t>4.异味：无；</w:t>
            </w:r>
          </w:p>
          <w:p w14:paraId="5753D86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37995C4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阻燃标准：GB20286-2006阻燃1级标准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0B9FE2E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3D9BBFD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4DFE4F0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85</w:t>
            </w:r>
            <w:r>
              <w:rPr>
                <w:rFonts w:hint="eastAsia" w:ascii="仿宋" w:hAnsi="仿宋" w:eastAsia="仿宋" w:cs="仿宋"/>
                <w:color w:val="auto"/>
                <w:sz w:val="24"/>
                <w:highlight w:val="none"/>
                <w:lang w:bidi="zh-CN"/>
              </w:rPr>
              <w:t>%；</w:t>
            </w:r>
          </w:p>
          <w:p w14:paraId="18779C8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3.耐光色牢度：≥4级；</w:t>
            </w:r>
          </w:p>
          <w:p w14:paraId="2E81143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default" w:ascii="仿宋" w:hAnsi="仿宋" w:eastAsia="仿宋" w:cs="仿宋"/>
                <w:color w:val="auto"/>
                <w:sz w:val="24"/>
                <w:highlight w:val="none"/>
                <w:lang w:val="en-US" w:bidi="zh-CN"/>
              </w:rPr>
            </w:pPr>
            <w:r>
              <w:rPr>
                <w:rFonts w:hint="eastAsia" w:ascii="仿宋" w:hAnsi="仿宋" w:eastAsia="仿宋" w:cs="仿宋"/>
                <w:color w:val="auto"/>
                <w:sz w:val="24"/>
                <w:highlight w:val="none"/>
                <w:lang w:bidi="zh-CN"/>
              </w:rPr>
              <w:t>★4.耐水色牢度：≥4级；</w:t>
            </w:r>
            <w:r>
              <w:rPr>
                <w:rFonts w:hint="eastAsia" w:ascii="仿宋" w:hAnsi="仿宋" w:eastAsia="仿宋" w:cs="仿宋"/>
                <w:color w:val="auto"/>
                <w:sz w:val="24"/>
                <w:highlight w:val="none"/>
                <w:lang w:val="en-US" w:bidi="zh-CN"/>
              </w:rPr>
              <w:t>标准：GB/T5713</w:t>
            </w:r>
          </w:p>
          <w:p w14:paraId="72BF6F2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5.耐干、湿摩擦色牢度：≥4级；</w:t>
            </w:r>
          </w:p>
          <w:p w14:paraId="213BEBC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.面料缩水率：可水洗，洗后缩率≤3%</w:t>
            </w:r>
            <w:r>
              <w:rPr>
                <w:rFonts w:hint="eastAsia" w:ascii="仿宋" w:hAnsi="仿宋" w:eastAsia="仿宋" w:cs="仿宋"/>
                <w:color w:val="auto"/>
                <w:sz w:val="24"/>
                <w:highlight w:val="none"/>
                <w:lang w:val="zh-CN" w:bidi="zh-CN"/>
              </w:rPr>
              <w:t>；</w:t>
            </w:r>
          </w:p>
          <w:p w14:paraId="1348643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带★项应提供第三方检测机构出具的检测报告，检测报告送检人须为投标人（若投标人为代理商，还需同时提供生产厂家出具的唯一授权书）</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p>
        </w:tc>
      </w:tr>
      <w:tr w14:paraId="6A3A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07" w:type="dxa"/>
            <w:shd w:val="clear" w:color="auto" w:fill="auto"/>
            <w:noWrap/>
            <w:vAlign w:val="center"/>
          </w:tcPr>
          <w:p w14:paraId="3A51E70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4</w:t>
            </w:r>
          </w:p>
        </w:tc>
        <w:tc>
          <w:tcPr>
            <w:tcW w:w="1677" w:type="dxa"/>
            <w:shd w:val="clear" w:color="auto" w:fill="auto"/>
            <w:noWrap/>
            <w:vAlign w:val="center"/>
          </w:tcPr>
          <w:p w14:paraId="45D3CFA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手动布帘2</w:t>
            </w:r>
          </w:p>
        </w:tc>
        <w:tc>
          <w:tcPr>
            <w:tcW w:w="6914" w:type="dxa"/>
            <w:shd w:val="clear" w:color="auto" w:fill="auto"/>
            <w:noWrap/>
            <w:vAlign w:val="center"/>
          </w:tcPr>
          <w:p w14:paraId="2C7D3EF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val="zh-CN" w:bidi="zh-CN"/>
              </w:rPr>
            </w:pPr>
            <w:r>
              <w:rPr>
                <w:rFonts w:hint="eastAsia" w:ascii="仿宋" w:hAnsi="仿宋" w:eastAsia="仿宋" w:cs="仿宋"/>
                <w:b/>
                <w:bCs/>
                <w:color w:val="auto"/>
                <w:sz w:val="24"/>
                <w:highlight w:val="none"/>
                <w:lang w:val="zh-CN" w:bidi="zh-CN"/>
              </w:rPr>
              <w:t>基本性能</w:t>
            </w:r>
          </w:p>
          <w:p w14:paraId="51A448D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1</w:t>
            </w:r>
            <w:r>
              <w:rPr>
                <w:rFonts w:hint="eastAsia" w:ascii="仿宋" w:hAnsi="仿宋" w:eastAsia="仿宋" w:cs="仿宋"/>
                <w:color w:val="auto"/>
                <w:sz w:val="24"/>
                <w:highlight w:val="none"/>
                <w:lang w:bidi="zh-CN"/>
              </w:rPr>
              <w:t>.纤维含量</w:t>
            </w:r>
            <w:r>
              <w:rPr>
                <w:rFonts w:hint="eastAsia" w:ascii="仿宋" w:hAnsi="仿宋" w:eastAsia="仿宋" w:cs="仿宋"/>
                <w:color w:val="auto"/>
                <w:sz w:val="24"/>
                <w:highlight w:val="none"/>
                <w:lang w:val="zh-CN" w:bidi="zh-CN"/>
              </w:rPr>
              <w:t>：100%聚酯纤维；单位面积质量：</w:t>
            </w:r>
            <w:r>
              <w:rPr>
                <w:rFonts w:hint="eastAsia" w:ascii="仿宋" w:hAnsi="仿宋" w:eastAsia="仿宋" w:cs="仿宋"/>
                <w:color w:val="FF0000"/>
                <w:sz w:val="24"/>
                <w:highlight w:val="none"/>
                <w:lang w:val="zh-CN" w:bidi="zh-CN"/>
              </w:rPr>
              <w:t>280g-350g/㎡，</w:t>
            </w:r>
            <w:r>
              <w:rPr>
                <w:rFonts w:hint="eastAsia" w:ascii="仿宋" w:hAnsi="仿宋" w:eastAsia="仿宋" w:cs="仿宋"/>
                <w:color w:val="auto"/>
                <w:sz w:val="24"/>
                <w:highlight w:val="none"/>
                <w:lang w:val="zh-CN" w:bidi="zh-CN"/>
              </w:rPr>
              <w:t>花型颜色由采购人确认；</w:t>
            </w:r>
          </w:p>
          <w:p w14:paraId="2BE9393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FF0000"/>
                <w:sz w:val="24"/>
                <w:highlight w:val="none"/>
                <w:lang w:bidi="zh-CN"/>
              </w:rPr>
            </w:pP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zh-CN" w:bidi="zh-CN"/>
              </w:rPr>
              <w:t>遮光率:</w:t>
            </w:r>
            <w:r>
              <w:rPr>
                <w:rFonts w:hint="eastAsia" w:ascii="仿宋" w:hAnsi="仿宋" w:eastAsia="仿宋" w:cs="仿宋"/>
                <w:color w:val="FF0000"/>
                <w:sz w:val="24"/>
                <w:highlight w:val="none"/>
                <w:lang w:val="zh-CN" w:bidi="zh-CN"/>
              </w:rPr>
              <w:t>85%-95%；</w:t>
            </w:r>
          </w:p>
          <w:p w14:paraId="3B4BA4A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3.PH值：4~9；</w:t>
            </w:r>
          </w:p>
          <w:p w14:paraId="6726383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rPr>
              <w:t>4.异味：无；</w:t>
            </w:r>
          </w:p>
          <w:p w14:paraId="3D7994D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2AA0178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阻燃标准：GB20286-2006阻燃1级标准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023EEDF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58B0C10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0D3FA02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85</w:t>
            </w:r>
            <w:r>
              <w:rPr>
                <w:rFonts w:hint="eastAsia" w:ascii="仿宋" w:hAnsi="仿宋" w:eastAsia="仿宋" w:cs="仿宋"/>
                <w:color w:val="auto"/>
                <w:sz w:val="24"/>
                <w:highlight w:val="none"/>
                <w:lang w:bidi="zh-CN"/>
              </w:rPr>
              <w:t>%；</w:t>
            </w:r>
          </w:p>
          <w:p w14:paraId="3372BB1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3.耐光色牢度：≥4级；</w:t>
            </w:r>
          </w:p>
          <w:p w14:paraId="1E37FB8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★4.耐水色牢度：≥4级；</w:t>
            </w:r>
          </w:p>
          <w:p w14:paraId="4041F86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5.耐干、湿摩擦色牢度：≥4级；</w:t>
            </w:r>
          </w:p>
          <w:p w14:paraId="0961D71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.面料缩水率：可水洗，洗后缩率≤3%</w:t>
            </w:r>
            <w:r>
              <w:rPr>
                <w:rFonts w:hint="eastAsia" w:ascii="仿宋" w:hAnsi="仿宋" w:eastAsia="仿宋" w:cs="仿宋"/>
                <w:color w:val="auto"/>
                <w:sz w:val="24"/>
                <w:highlight w:val="none"/>
                <w:lang w:val="zh-CN" w:bidi="zh-CN"/>
              </w:rPr>
              <w:t>；</w:t>
            </w:r>
          </w:p>
          <w:p w14:paraId="3B81046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w:t>
            </w:r>
            <w:r>
              <w:rPr>
                <w:rFonts w:hint="eastAsia" w:ascii="仿宋" w:hAnsi="仿宋" w:eastAsia="仿宋" w:cs="仿宋"/>
                <w:color w:val="auto"/>
                <w:sz w:val="24"/>
                <w:highlight w:val="none"/>
                <w:lang w:val="en-US" w:bidi="zh-CN"/>
              </w:rPr>
              <w:t>（若投标人为代理商，还需同时提供生产厂家出具的唯一授权书</w:t>
            </w:r>
            <w:r>
              <w:rPr>
                <w:rFonts w:hint="eastAsia" w:ascii="仿宋" w:hAnsi="仿宋" w:eastAsia="仿宋" w:cs="仿宋"/>
                <w:color w:val="auto"/>
                <w:sz w:val="24"/>
                <w:highlight w:val="none"/>
                <w:lang w:val="en-US" w:eastAsia="zh-CN" w:bidi="zh-CN"/>
              </w:rPr>
              <w:t>）</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p>
        </w:tc>
      </w:tr>
      <w:tr w14:paraId="4CAE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07" w:type="dxa"/>
            <w:shd w:val="clear" w:color="auto" w:fill="auto"/>
            <w:noWrap/>
            <w:vAlign w:val="center"/>
          </w:tcPr>
          <w:p w14:paraId="419E12E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5</w:t>
            </w:r>
          </w:p>
        </w:tc>
        <w:tc>
          <w:tcPr>
            <w:tcW w:w="1677" w:type="dxa"/>
            <w:shd w:val="clear" w:color="auto" w:fill="auto"/>
            <w:noWrap/>
            <w:vAlign w:val="center"/>
          </w:tcPr>
          <w:p w14:paraId="24ED8F1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手动纱帘</w:t>
            </w:r>
          </w:p>
        </w:tc>
        <w:tc>
          <w:tcPr>
            <w:tcW w:w="6914" w:type="dxa"/>
            <w:shd w:val="clear" w:color="auto" w:fill="auto"/>
            <w:noWrap/>
            <w:vAlign w:val="center"/>
          </w:tcPr>
          <w:p w14:paraId="0A565FC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val="zh-CN" w:bidi="zh-CN"/>
              </w:rPr>
            </w:pPr>
            <w:r>
              <w:rPr>
                <w:rFonts w:hint="eastAsia" w:ascii="仿宋" w:hAnsi="仿宋" w:eastAsia="仿宋" w:cs="仿宋"/>
                <w:b/>
                <w:bCs/>
                <w:color w:val="auto"/>
                <w:sz w:val="24"/>
                <w:highlight w:val="none"/>
                <w:lang w:val="zh-CN" w:bidi="zh-CN"/>
              </w:rPr>
              <w:t>基本性能</w:t>
            </w:r>
          </w:p>
          <w:p w14:paraId="3C1D850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zh-CN" w:bidi="zh-CN"/>
              </w:rPr>
              <w:t>1</w:t>
            </w:r>
            <w:r>
              <w:rPr>
                <w:rFonts w:hint="eastAsia" w:ascii="仿宋" w:hAnsi="仿宋" w:eastAsia="仿宋" w:cs="仿宋"/>
                <w:color w:val="auto"/>
                <w:sz w:val="24"/>
                <w:highlight w:val="none"/>
                <w:lang w:bidi="zh-CN"/>
              </w:rPr>
              <w:t>.纤维含量</w:t>
            </w:r>
            <w:r>
              <w:rPr>
                <w:rFonts w:hint="eastAsia" w:ascii="仿宋" w:hAnsi="仿宋" w:eastAsia="仿宋" w:cs="仿宋"/>
                <w:color w:val="auto"/>
                <w:sz w:val="24"/>
                <w:highlight w:val="none"/>
                <w:lang w:val="zh-CN" w:bidi="zh-CN"/>
              </w:rPr>
              <w:t>：100%聚酯纤维；单位面积质量：≥</w:t>
            </w: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en-US" w:bidi="zh-CN"/>
              </w:rPr>
              <w:t>2</w:t>
            </w:r>
            <w:r>
              <w:rPr>
                <w:rFonts w:hint="eastAsia" w:ascii="仿宋" w:hAnsi="仿宋" w:eastAsia="仿宋" w:cs="仿宋"/>
                <w:color w:val="auto"/>
                <w:sz w:val="24"/>
                <w:highlight w:val="none"/>
                <w:lang w:bidi="zh-CN"/>
              </w:rPr>
              <w:t>0</w:t>
            </w:r>
            <w:r>
              <w:rPr>
                <w:rFonts w:hint="eastAsia" w:ascii="仿宋" w:hAnsi="仿宋" w:eastAsia="仿宋" w:cs="仿宋"/>
                <w:color w:val="auto"/>
                <w:sz w:val="24"/>
                <w:highlight w:val="none"/>
                <w:lang w:val="zh-CN" w:bidi="zh-CN"/>
              </w:rPr>
              <w:t>g/㎡，花型颜色由采购人确认；</w:t>
            </w:r>
          </w:p>
          <w:p w14:paraId="2CC3C4A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2.PH值：4~9；</w:t>
            </w:r>
          </w:p>
          <w:p w14:paraId="21B09B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3.异味：无；</w:t>
            </w:r>
          </w:p>
          <w:p w14:paraId="5E135AD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4.</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10C1E56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5.</w:t>
            </w:r>
            <w:r>
              <w:rPr>
                <w:rFonts w:hint="eastAsia" w:ascii="仿宋" w:hAnsi="仿宋" w:eastAsia="仿宋" w:cs="仿宋"/>
                <w:color w:val="auto"/>
                <w:sz w:val="24"/>
                <w:highlight w:val="none"/>
                <w:lang w:bidi="zh-CN"/>
              </w:rPr>
              <w:t>阻燃标准：GB20286-2006阻燃1级标准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437018D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val="zh-CN"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7C2A73C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3079B19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5%；</w:t>
            </w:r>
          </w:p>
          <w:p w14:paraId="2B35285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3.耐摩擦色牢度：干摩、湿摩：≥3级；</w:t>
            </w:r>
          </w:p>
          <w:p w14:paraId="24D88E8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4.耐水色牢度：≥3级；</w:t>
            </w:r>
          </w:p>
          <w:p w14:paraId="2CF3168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5.防紫外线性能：（UPF≥3、T（UVA）≤40%、T（UVB）≤25%）；</w:t>
            </w:r>
          </w:p>
          <w:p w14:paraId="5F272ED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6.耐光色牢度：≥4级；</w:t>
            </w:r>
          </w:p>
          <w:p w14:paraId="7774317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7.透气率：≥2600mm/s；</w:t>
            </w:r>
          </w:p>
          <w:p w14:paraId="1C30F06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8.面料缩水率：可水洗，洗后缩率≤3%</w:t>
            </w:r>
            <w:r>
              <w:rPr>
                <w:rFonts w:hint="eastAsia" w:ascii="仿宋" w:hAnsi="仿宋" w:eastAsia="仿宋" w:cs="仿宋"/>
                <w:color w:val="auto"/>
                <w:sz w:val="24"/>
                <w:highlight w:val="none"/>
                <w:lang w:val="zh-CN" w:bidi="zh-CN"/>
              </w:rPr>
              <w:t>；</w:t>
            </w:r>
          </w:p>
          <w:p w14:paraId="0B14B13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带★项应提供第三方检测机构出具的检测报告，检测报告送检人须为投标人（若投标人为代理商，还需同时提供生产厂家出具的唯一授权书）</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p>
        </w:tc>
      </w:tr>
      <w:tr w14:paraId="423F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607" w:type="dxa"/>
            <w:shd w:val="clear" w:color="auto" w:fill="auto"/>
            <w:noWrap/>
            <w:vAlign w:val="center"/>
          </w:tcPr>
          <w:p w14:paraId="3DEB7DC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6</w:t>
            </w:r>
          </w:p>
        </w:tc>
        <w:tc>
          <w:tcPr>
            <w:tcW w:w="1677" w:type="dxa"/>
            <w:shd w:val="clear" w:color="auto" w:fill="auto"/>
            <w:noWrap/>
            <w:vAlign w:val="center"/>
          </w:tcPr>
          <w:p w14:paraId="5D8E512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手动轨道</w:t>
            </w:r>
          </w:p>
        </w:tc>
        <w:tc>
          <w:tcPr>
            <w:tcW w:w="6914" w:type="dxa"/>
            <w:shd w:val="clear" w:color="auto" w:fill="auto"/>
            <w:noWrap/>
            <w:vAlign w:val="center"/>
          </w:tcPr>
          <w:p w14:paraId="45857F35">
            <w:pPr>
              <w:pStyle w:val="64"/>
              <w:keepNext w:val="0"/>
              <w:keepLines w:val="0"/>
              <w:pageBreakBefore w:val="0"/>
              <w:widowControl w:val="0"/>
              <w:numPr>
                <w:ilvl w:val="0"/>
                <w:numId w:val="6"/>
              </w:numPr>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铝合金重型窗帘轨道，窗轨表面电化处理。</w:t>
            </w:r>
          </w:p>
          <w:p w14:paraId="66E6797B">
            <w:pPr>
              <w:pStyle w:val="64"/>
              <w:keepNext w:val="0"/>
              <w:keepLines w:val="0"/>
              <w:pageBreakBefore w:val="0"/>
              <w:widowControl w:val="0"/>
              <w:numPr>
                <w:ilvl w:val="0"/>
                <w:numId w:val="6"/>
              </w:numPr>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外观质量：型材装饰面上的涂层应均匀，不允许有皱纹、流痕、鼓泡、裂纹、发沾、凹陷、暗斑、针孔、划伤等影响使用的可视缺陷</w:t>
            </w:r>
          </w:p>
          <w:p w14:paraId="3B4E9AFE">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highlight w:val="none"/>
                <w:lang w:bidi="zh-CN"/>
              </w:rPr>
              <w:t>★</w:t>
            </w:r>
            <w:r>
              <w:rPr>
                <w:rFonts w:hint="eastAsia" w:ascii="仿宋" w:hAnsi="仿宋" w:eastAsia="仿宋" w:cs="仿宋"/>
                <w:color w:val="auto"/>
                <w:kern w:val="2"/>
                <w:sz w:val="24"/>
                <w:szCs w:val="24"/>
                <w:highlight w:val="none"/>
                <w:lang w:eastAsia="zh-CN"/>
              </w:rPr>
              <w:t>3.每米克重：≥4</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lang w:eastAsia="zh-CN"/>
              </w:rPr>
              <w:t>0g/m;</w:t>
            </w:r>
          </w:p>
          <w:p w14:paraId="6932431B">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4.尺寸：壁厚≥</w:t>
            </w:r>
            <w:r>
              <w:rPr>
                <w:rFonts w:hint="eastAsia" w:ascii="仿宋" w:hAnsi="仿宋" w:eastAsia="仿宋" w:cs="仿宋"/>
                <w:color w:val="auto"/>
                <w:kern w:val="2"/>
                <w:sz w:val="24"/>
                <w:szCs w:val="24"/>
                <w:highlight w:val="none"/>
                <w:lang w:val="en-US" w:eastAsia="zh-CN"/>
              </w:rPr>
              <w:t>1.8</w:t>
            </w:r>
            <w:r>
              <w:rPr>
                <w:rFonts w:hint="eastAsia" w:ascii="仿宋" w:hAnsi="仿宋" w:eastAsia="仿宋" w:cs="仿宋"/>
                <w:color w:val="auto"/>
                <w:kern w:val="2"/>
                <w:sz w:val="24"/>
                <w:szCs w:val="24"/>
                <w:highlight w:val="none"/>
                <w:lang w:eastAsia="zh-CN"/>
              </w:rPr>
              <w:t>mm；宽度≥</w:t>
            </w:r>
            <w:r>
              <w:rPr>
                <w:rFonts w:hint="eastAsia" w:ascii="仿宋" w:hAnsi="仿宋" w:eastAsia="仿宋" w:cs="仿宋"/>
                <w:color w:val="auto"/>
                <w:kern w:val="2"/>
                <w:sz w:val="24"/>
                <w:szCs w:val="24"/>
                <w:highlight w:val="none"/>
                <w:lang w:val="en-US" w:eastAsia="zh-CN"/>
              </w:rPr>
              <w:t>23</w:t>
            </w:r>
            <w:r>
              <w:rPr>
                <w:rFonts w:hint="eastAsia" w:ascii="仿宋" w:hAnsi="仿宋" w:eastAsia="仿宋" w:cs="仿宋"/>
                <w:color w:val="auto"/>
                <w:kern w:val="2"/>
                <w:sz w:val="24"/>
                <w:szCs w:val="24"/>
                <w:highlight w:val="none"/>
                <w:lang w:eastAsia="zh-CN"/>
              </w:rPr>
              <w:t>mm；高度≥20mm；</w:t>
            </w:r>
          </w:p>
          <w:p w14:paraId="5A7C4B2E">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5.拉伸试验：抗拉强度：≥21</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lang w:eastAsia="zh-CN"/>
              </w:rPr>
              <w:t>MPa；规定非比例延伸强度：≥18</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lang w:eastAsia="zh-CN"/>
              </w:rPr>
              <w:t>MPa；断后伸长率：≥1</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lang w:eastAsia="zh-CN"/>
              </w:rPr>
              <w:t>%；</w:t>
            </w:r>
          </w:p>
          <w:p w14:paraId="56D9430C">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6.硬度试验：韦氏硬度≥12；维氏硬度≥75；</w:t>
            </w:r>
          </w:p>
          <w:p w14:paraId="74466EF8">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7.漆膜硬度≥6H；</w:t>
            </w:r>
          </w:p>
          <w:p w14:paraId="77B4E585">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8.干附着性0级</w:t>
            </w:r>
          </w:p>
          <w:p w14:paraId="3C41456C">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9.湿附着性0级；</w:t>
            </w:r>
          </w:p>
          <w:p w14:paraId="6CA1F558">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10.轨道承重：施加≥50Kg载荷，未破坏；</w:t>
            </w:r>
          </w:p>
          <w:p w14:paraId="13EC6C2E">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11.滑轮承重：施加≥30Kg载荷，未破坏。</w:t>
            </w:r>
          </w:p>
          <w:p w14:paraId="332336A4">
            <w:pPr>
              <w:pStyle w:val="6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注：（壁厚、高、宽需在样品中体现）</w:t>
            </w:r>
          </w:p>
          <w:p w14:paraId="42E9A03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带★项应提供第三方检测机构出具的检测报告，检测报告送检人须为投标人（若投标人为代理商，还需同时提供生产厂家出具的唯一授权书）</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p>
        </w:tc>
      </w:tr>
      <w:tr w14:paraId="1AD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607" w:type="dxa"/>
            <w:shd w:val="clear" w:color="auto" w:fill="auto"/>
            <w:noWrap/>
            <w:vAlign w:val="center"/>
          </w:tcPr>
          <w:p w14:paraId="6B2ED87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7</w:t>
            </w:r>
          </w:p>
        </w:tc>
        <w:tc>
          <w:tcPr>
            <w:tcW w:w="1677" w:type="dxa"/>
            <w:shd w:val="clear" w:color="auto" w:fill="auto"/>
            <w:noWrap/>
            <w:vAlign w:val="center"/>
          </w:tcPr>
          <w:p w14:paraId="754DE85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en-US" w:eastAsia="zh-CN" w:bidi="zh-CN"/>
              </w:rPr>
              <w:t>磨砂膜</w:t>
            </w:r>
          </w:p>
        </w:tc>
        <w:tc>
          <w:tcPr>
            <w:tcW w:w="6914" w:type="dxa"/>
            <w:shd w:val="clear" w:color="auto" w:fill="auto"/>
            <w:noWrap/>
            <w:vAlign w:val="center"/>
          </w:tcPr>
          <w:p w14:paraId="1219F2C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要求阻隔紫外线,能减少家具织物的褪色，延长其使用寿命；胶黏剂需具有可再次剥离性能，经过长时间也能很好地剥下，要求铺贴没有气泡和杂质，平整度高。</w:t>
            </w:r>
          </w:p>
          <w:p w14:paraId="5BE2C24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default" w:ascii="仿宋" w:hAnsi="仿宋" w:eastAsia="仿宋" w:cs="仿宋"/>
                <w:color w:val="auto"/>
                <w:sz w:val="24"/>
                <w:highlight w:val="none"/>
                <w:lang w:val="en-US" w:bidi="zh-CN"/>
              </w:rPr>
            </w:pPr>
            <w:r>
              <w:rPr>
                <w:rFonts w:hint="eastAsia" w:ascii="宋体" w:hAnsi="宋体" w:eastAsia="宋体" w:cs="宋体"/>
                <w:color w:val="auto"/>
                <w:spacing w:val="0"/>
                <w:sz w:val="24"/>
                <w:szCs w:val="24"/>
                <w:highlight w:val="none"/>
                <w:lang w:val="en-US" w:eastAsia="zh-CN"/>
              </w:rPr>
              <w:t>厚度</w:t>
            </w:r>
            <w:bookmarkStart w:id="32" w:name="OLE_LINK3"/>
            <w:r>
              <w:rPr>
                <w:rFonts w:hint="eastAsia" w:ascii="宋体" w:hAnsi="宋体" w:eastAsia="宋体" w:cs="宋体"/>
                <w:i w:val="0"/>
                <w:iCs w:val="0"/>
                <w:color w:val="auto"/>
                <w:kern w:val="0"/>
                <w:sz w:val="24"/>
                <w:szCs w:val="24"/>
                <w:highlight w:val="none"/>
                <w:u w:val="none"/>
                <w:lang w:val="en-US" w:eastAsia="zh-CN" w:bidi="ar"/>
              </w:rPr>
              <w:t>≥</w:t>
            </w:r>
            <w:bookmarkEnd w:id="32"/>
            <w:r>
              <w:rPr>
                <w:rFonts w:hint="eastAsia" w:ascii="宋体" w:hAnsi="宋体" w:eastAsia="宋体" w:cs="宋体"/>
                <w:i w:val="0"/>
                <w:iCs w:val="0"/>
                <w:color w:val="auto"/>
                <w:kern w:val="0"/>
                <w:sz w:val="24"/>
                <w:szCs w:val="24"/>
                <w:highlight w:val="none"/>
                <w:u w:val="none"/>
                <w:lang w:val="en-US" w:eastAsia="zh-CN" w:bidi="ar"/>
              </w:rPr>
              <w:t>0.1mm</w:t>
            </w:r>
          </w:p>
          <w:p w14:paraId="42B0D0B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1.见光透射比差值的绝对值应≤4%；</w:t>
            </w:r>
          </w:p>
          <w:p w14:paraId="3577DCD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2.可见光透射比差值的绝对值应≤4%；</w:t>
            </w:r>
          </w:p>
          <w:p w14:paraId="29E78ED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lang w:val="zh-CN" w:bidi="zh-CN"/>
              </w:rPr>
              <w:t>3.断裂最大拉力≥160N，断裂延伸率≥59%。</w:t>
            </w:r>
          </w:p>
        </w:tc>
      </w:tr>
      <w:tr w14:paraId="4035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607" w:type="dxa"/>
            <w:shd w:val="clear" w:color="auto" w:fill="auto"/>
            <w:noWrap/>
            <w:vAlign w:val="center"/>
          </w:tcPr>
          <w:p w14:paraId="307571C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snapToGrid w:val="0"/>
                <w:color w:val="auto"/>
                <w:kern w:val="0"/>
                <w:sz w:val="24"/>
                <w:highlight w:val="none"/>
              </w:rPr>
              <w:t>8</w:t>
            </w:r>
          </w:p>
        </w:tc>
        <w:tc>
          <w:tcPr>
            <w:tcW w:w="1677" w:type="dxa"/>
            <w:shd w:val="clear" w:color="auto" w:fill="auto"/>
            <w:noWrap/>
            <w:vAlign w:val="center"/>
          </w:tcPr>
          <w:p w14:paraId="146A016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color w:val="auto"/>
                <w:sz w:val="24"/>
                <w:highlight w:val="none"/>
                <w:lang w:val="en-US" w:eastAsia="zh-CN" w:bidi="zh-CN"/>
              </w:rPr>
              <w:t>医用围帘</w:t>
            </w:r>
          </w:p>
          <w:p w14:paraId="3E09CCA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bidi="zh-CN"/>
              </w:rPr>
            </w:pPr>
            <w:r>
              <w:rPr>
                <w:rFonts w:hint="eastAsia" w:ascii="仿宋" w:hAnsi="仿宋" w:eastAsia="仿宋" w:cs="仿宋"/>
                <w:color w:val="auto"/>
                <w:sz w:val="24"/>
                <w:highlight w:val="none"/>
                <w:lang w:val="en-US" w:eastAsia="zh-CN" w:bidi="zh-CN"/>
              </w:rPr>
              <w:br w:type="textWrapping"/>
            </w:r>
            <w:r>
              <w:rPr>
                <w:rFonts w:hint="eastAsia" w:ascii="仿宋" w:hAnsi="仿宋" w:eastAsia="仿宋" w:cs="仿宋"/>
                <w:color w:val="auto"/>
                <w:sz w:val="24"/>
                <w:highlight w:val="none"/>
                <w:lang w:val="en-US" w:eastAsia="zh-CN" w:bidi="zh-CN"/>
              </w:rPr>
              <w:t>（核心产品）</w:t>
            </w:r>
          </w:p>
        </w:tc>
        <w:tc>
          <w:tcPr>
            <w:tcW w:w="6914" w:type="dxa"/>
            <w:shd w:val="clear" w:color="auto" w:fill="auto"/>
            <w:noWrap/>
            <w:vAlign w:val="center"/>
          </w:tcPr>
          <w:p w14:paraId="56CA334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val="zh-CN" w:bidi="zh-CN"/>
              </w:rPr>
            </w:pPr>
            <w:r>
              <w:rPr>
                <w:rFonts w:hint="eastAsia" w:ascii="仿宋" w:hAnsi="仿宋" w:eastAsia="仿宋" w:cs="仿宋"/>
                <w:b/>
                <w:bCs/>
                <w:color w:val="auto"/>
                <w:sz w:val="24"/>
                <w:highlight w:val="none"/>
                <w:lang w:val="zh-CN" w:bidi="zh-CN"/>
              </w:rPr>
              <w:t>基本性能</w:t>
            </w:r>
          </w:p>
          <w:p w14:paraId="4DE505A9">
            <w:pPr>
              <w:keepNext w:val="0"/>
              <w:keepLines w:val="0"/>
              <w:pageBreakBefore w:val="0"/>
              <w:widowControl w:val="0"/>
              <w:numPr>
                <w:ilvl w:val="0"/>
                <w:numId w:val="7"/>
              </w:numPr>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val="zh-CN" w:bidi="zh-CN"/>
              </w:rPr>
              <w:t>医用隔帘面料采用经编高精密工艺，网格与帘布一体式编织；</w:t>
            </w:r>
          </w:p>
          <w:p w14:paraId="0E820F0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★2.纤维含量：</w:t>
            </w:r>
            <w:r>
              <w:rPr>
                <w:rFonts w:hint="eastAsia" w:ascii="仿宋" w:hAnsi="仿宋" w:eastAsia="仿宋" w:cs="仿宋"/>
                <w:color w:val="auto"/>
                <w:sz w:val="24"/>
                <w:highlight w:val="none"/>
                <w:lang w:val="zh-CN" w:bidi="zh-CN"/>
              </w:rPr>
              <w:t>100%聚酯纤维；单位面积质量：≥</w:t>
            </w:r>
            <w:r>
              <w:rPr>
                <w:rFonts w:hint="eastAsia" w:ascii="仿宋" w:hAnsi="仿宋" w:eastAsia="仿宋" w:cs="仿宋"/>
                <w:color w:val="auto"/>
                <w:sz w:val="24"/>
                <w:highlight w:val="none"/>
                <w:lang w:bidi="zh-CN"/>
              </w:rPr>
              <w:t>2</w:t>
            </w:r>
            <w:r>
              <w:rPr>
                <w:rFonts w:hint="eastAsia" w:ascii="仿宋" w:hAnsi="仿宋" w:eastAsia="仿宋" w:cs="仿宋"/>
                <w:color w:val="auto"/>
                <w:sz w:val="24"/>
                <w:highlight w:val="none"/>
                <w:lang w:val="en-US" w:bidi="zh-CN"/>
              </w:rPr>
              <w:t>6</w:t>
            </w:r>
            <w:r>
              <w:rPr>
                <w:rFonts w:hint="eastAsia" w:ascii="仿宋" w:hAnsi="仿宋" w:eastAsia="仿宋" w:cs="仿宋"/>
                <w:color w:val="auto"/>
                <w:sz w:val="24"/>
                <w:highlight w:val="none"/>
                <w:lang w:bidi="zh-CN"/>
              </w:rPr>
              <w:t>0</w:t>
            </w:r>
            <w:r>
              <w:rPr>
                <w:rFonts w:hint="eastAsia" w:ascii="仿宋" w:hAnsi="仿宋" w:eastAsia="仿宋" w:cs="仿宋"/>
                <w:color w:val="auto"/>
                <w:sz w:val="24"/>
                <w:highlight w:val="none"/>
                <w:lang w:val="zh-CN" w:bidi="zh-CN"/>
              </w:rPr>
              <w:t>g/㎡；</w:t>
            </w:r>
          </w:p>
          <w:p w14:paraId="27A51D3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3.</w:t>
            </w:r>
            <w:r>
              <w:rPr>
                <w:rFonts w:hint="eastAsia" w:ascii="仿宋" w:hAnsi="仿宋" w:eastAsia="仿宋" w:cs="仿宋"/>
                <w:color w:val="auto"/>
                <w:sz w:val="24"/>
                <w:highlight w:val="none"/>
                <w:lang w:val="zh-CN" w:bidi="zh-CN"/>
              </w:rPr>
              <w:t>遮光率: ≥</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0</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主布，不含网格部分</w:t>
            </w:r>
            <w:r>
              <w:rPr>
                <w:rFonts w:hint="eastAsia" w:ascii="仿宋" w:hAnsi="仿宋" w:eastAsia="仿宋" w:cs="仿宋"/>
                <w:color w:val="auto"/>
                <w:sz w:val="24"/>
                <w:highlight w:val="none"/>
                <w:lang w:val="zh-CN" w:bidi="zh-CN"/>
              </w:rPr>
              <w:t>）</w:t>
            </w:r>
          </w:p>
          <w:p w14:paraId="49FC456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4.PH值：4~9；</w:t>
            </w:r>
          </w:p>
          <w:p w14:paraId="03F75BB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rPr>
              <w:t>5.异味：无；</w:t>
            </w:r>
          </w:p>
          <w:p w14:paraId="5ECCE17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6.断裂强力：经向≥</w:t>
            </w:r>
            <w:r>
              <w:rPr>
                <w:rFonts w:hint="eastAsia" w:ascii="仿宋" w:hAnsi="仿宋" w:eastAsia="仿宋" w:cs="仿宋"/>
                <w:color w:val="auto"/>
                <w:sz w:val="24"/>
                <w:highlight w:val="none"/>
                <w:lang w:val="en-US" w:bidi="zh-CN"/>
              </w:rPr>
              <w:t>4</w:t>
            </w:r>
            <w:r>
              <w:rPr>
                <w:rFonts w:hint="eastAsia" w:ascii="仿宋" w:hAnsi="仿宋" w:eastAsia="仿宋" w:cs="仿宋"/>
                <w:color w:val="auto"/>
                <w:sz w:val="24"/>
                <w:highlight w:val="none"/>
                <w:lang w:bidi="zh-CN"/>
              </w:rPr>
              <w:t>00N、纬向≥</w:t>
            </w:r>
            <w:r>
              <w:rPr>
                <w:rFonts w:hint="eastAsia" w:ascii="仿宋" w:hAnsi="仿宋" w:eastAsia="仿宋" w:cs="仿宋"/>
                <w:color w:val="auto"/>
                <w:sz w:val="24"/>
                <w:highlight w:val="none"/>
                <w:lang w:val="en-US" w:bidi="zh-CN"/>
              </w:rPr>
              <w:t>10</w:t>
            </w:r>
            <w:r>
              <w:rPr>
                <w:rFonts w:hint="eastAsia" w:ascii="仿宋" w:hAnsi="仿宋" w:eastAsia="仿宋" w:cs="仿宋"/>
                <w:color w:val="auto"/>
                <w:sz w:val="24"/>
                <w:highlight w:val="none"/>
                <w:lang w:bidi="zh-CN"/>
              </w:rPr>
              <w:t>00N；</w:t>
            </w:r>
          </w:p>
          <w:p w14:paraId="5044F18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7.</w:t>
            </w:r>
            <w:r>
              <w:rPr>
                <w:rFonts w:hint="eastAsia" w:ascii="仿宋" w:hAnsi="仿宋" w:eastAsia="仿宋" w:cs="仿宋"/>
                <w:color w:val="auto"/>
                <w:sz w:val="24"/>
                <w:highlight w:val="none"/>
                <w:lang w:bidi="zh-CN"/>
              </w:rPr>
              <w:t>甲醛含量：</w:t>
            </w:r>
            <w:r>
              <w:rPr>
                <w:rFonts w:hint="eastAsia" w:ascii="仿宋" w:hAnsi="仿宋" w:eastAsia="仿宋" w:cs="仿宋"/>
                <w:color w:val="auto"/>
                <w:sz w:val="24"/>
                <w:highlight w:val="none"/>
                <w:lang w:val="zh-CN" w:bidi="zh-CN"/>
              </w:rPr>
              <w:t>≤</w:t>
            </w:r>
            <w:r>
              <w:rPr>
                <w:rFonts w:hint="eastAsia" w:ascii="仿宋" w:hAnsi="仿宋" w:eastAsia="仿宋" w:cs="仿宋"/>
                <w:color w:val="auto"/>
                <w:sz w:val="24"/>
                <w:highlight w:val="none"/>
                <w:lang w:bidi="zh-CN"/>
              </w:rPr>
              <w:t>20mg/kg</w:t>
            </w:r>
          </w:p>
          <w:p w14:paraId="1233951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color w:val="auto"/>
                <w:sz w:val="24"/>
                <w:highlight w:val="none"/>
                <w:lang w:bidi="zh-CN"/>
              </w:rPr>
              <w:t>★</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阻燃标准：GB20286-2006阻燃1级标准</w:t>
            </w:r>
            <w:r>
              <w:rPr>
                <w:rFonts w:hint="eastAsia" w:ascii="仿宋" w:hAnsi="仿宋" w:eastAsia="仿宋" w:cs="仿宋"/>
                <w:color w:val="auto"/>
                <w:sz w:val="24"/>
                <w:highlight w:val="none"/>
                <w:lang w:val="en-US" w:bidi="zh-CN"/>
              </w:rPr>
              <w:t>或</w:t>
            </w:r>
            <w:r>
              <w:rPr>
                <w:rFonts w:hint="eastAsia" w:ascii="仿宋" w:hAnsi="仿宋" w:eastAsia="仿宋" w:cs="仿宋"/>
                <w:color w:val="auto"/>
                <w:sz w:val="24"/>
                <w:highlight w:val="none"/>
                <w:lang w:bidi="zh-CN"/>
              </w:rPr>
              <w:t>GB 8624-2012 B1级阻燃标准</w:t>
            </w:r>
          </w:p>
          <w:p w14:paraId="6786A24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b/>
                <w:bCs/>
                <w:color w:val="auto"/>
                <w:sz w:val="24"/>
                <w:highlight w:val="none"/>
                <w:lang w:bidi="zh-CN"/>
              </w:rPr>
            </w:pPr>
            <w:r>
              <w:rPr>
                <w:rFonts w:hint="eastAsia" w:ascii="仿宋" w:hAnsi="仿宋" w:eastAsia="仿宋" w:cs="仿宋"/>
                <w:b/>
                <w:bCs/>
                <w:color w:val="auto"/>
                <w:sz w:val="24"/>
                <w:highlight w:val="none"/>
                <w:lang w:bidi="zh-CN"/>
              </w:rPr>
              <w:t>其他</w:t>
            </w:r>
            <w:r>
              <w:rPr>
                <w:rFonts w:hint="eastAsia" w:ascii="仿宋" w:hAnsi="仿宋" w:eastAsia="仿宋" w:cs="仿宋"/>
                <w:b/>
                <w:bCs/>
                <w:color w:val="auto"/>
                <w:sz w:val="24"/>
                <w:highlight w:val="none"/>
                <w:lang w:val="zh-CN" w:bidi="zh-CN"/>
              </w:rPr>
              <w:t>性能</w:t>
            </w:r>
          </w:p>
          <w:p w14:paraId="01D70E3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1.致敏染料：禁用；致癌染料：禁用；</w:t>
            </w:r>
          </w:p>
          <w:p w14:paraId="1AD783C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default" w:ascii="仿宋" w:hAnsi="仿宋" w:eastAsia="仿宋" w:cs="仿宋"/>
                <w:color w:val="auto"/>
                <w:sz w:val="24"/>
                <w:highlight w:val="none"/>
                <w:lang w:val="en-US" w:bidi="zh-CN"/>
              </w:rPr>
            </w:pPr>
            <w:r>
              <w:rPr>
                <w:rFonts w:hint="eastAsia" w:ascii="仿宋" w:hAnsi="仿宋" w:eastAsia="仿宋" w:cs="仿宋"/>
                <w:color w:val="auto"/>
                <w:sz w:val="24"/>
                <w:highlight w:val="none"/>
                <w:lang w:bidi="zh-CN"/>
              </w:rPr>
              <w:t>★2.抗菌性能符合金黄色葡萄球菌抑菌率≥95%，大肠杆菌抑菌率≥95%，白色念珠菌抑菌率≥</w:t>
            </w:r>
            <w:r>
              <w:rPr>
                <w:rFonts w:hint="eastAsia" w:ascii="仿宋" w:hAnsi="仿宋" w:eastAsia="仿宋" w:cs="仿宋"/>
                <w:color w:val="auto"/>
                <w:sz w:val="24"/>
                <w:highlight w:val="none"/>
                <w:lang w:val="en-US" w:bidi="zh-CN"/>
              </w:rPr>
              <w:t>8</w:t>
            </w: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en-US" w:bidi="zh-CN"/>
              </w:rPr>
              <w:t>GB/T209944.3（振荡法）</w:t>
            </w:r>
          </w:p>
          <w:p w14:paraId="7C1ADE4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3.耐光色牢度：≥4级；</w:t>
            </w:r>
          </w:p>
          <w:p w14:paraId="4132F46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bidi="zh-CN"/>
              </w:rPr>
              <w:t>★4.耐水色牢度：≥4级；</w:t>
            </w:r>
          </w:p>
          <w:p w14:paraId="7C2D079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5.透气率:≥</w:t>
            </w:r>
            <w:r>
              <w:rPr>
                <w:rFonts w:hint="eastAsia" w:ascii="仿宋" w:hAnsi="仿宋" w:eastAsia="仿宋" w:cs="仿宋"/>
                <w:color w:val="auto"/>
                <w:sz w:val="24"/>
                <w:highlight w:val="none"/>
                <w:lang w:val="en-US" w:bidi="zh-CN"/>
              </w:rPr>
              <w:t>80</w:t>
            </w:r>
            <w:r>
              <w:rPr>
                <w:rFonts w:hint="eastAsia" w:ascii="仿宋" w:hAnsi="仿宋" w:eastAsia="仿宋" w:cs="仿宋"/>
                <w:color w:val="auto"/>
                <w:sz w:val="24"/>
                <w:highlight w:val="none"/>
                <w:lang w:bidi="zh-CN"/>
              </w:rPr>
              <w:t>0mm/s；</w:t>
            </w:r>
          </w:p>
          <w:p w14:paraId="42A8224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zh-CN" w:bidi="zh-CN"/>
              </w:rPr>
            </w:pPr>
            <w:r>
              <w:rPr>
                <w:rFonts w:hint="eastAsia" w:ascii="仿宋" w:hAnsi="仿宋" w:eastAsia="仿宋" w:cs="仿宋"/>
                <w:color w:val="auto"/>
                <w:sz w:val="24"/>
                <w:highlight w:val="none"/>
                <w:lang w:bidi="zh-CN"/>
              </w:rPr>
              <w:t>6.面料缩水率：可水洗，洗后缩率≤3%</w:t>
            </w:r>
            <w:r>
              <w:rPr>
                <w:rFonts w:hint="eastAsia" w:ascii="仿宋" w:hAnsi="仿宋" w:eastAsia="仿宋" w:cs="仿宋"/>
                <w:color w:val="auto"/>
                <w:sz w:val="24"/>
                <w:highlight w:val="none"/>
                <w:lang w:val="zh-CN" w:bidi="zh-CN"/>
              </w:rPr>
              <w:t>；</w:t>
            </w:r>
          </w:p>
          <w:p w14:paraId="2030BD9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zh-CN" w:bidi="zh-CN"/>
              </w:rPr>
              <w:t>注：</w:t>
            </w:r>
            <w:r>
              <w:rPr>
                <w:rFonts w:hint="eastAsia" w:ascii="仿宋" w:hAnsi="仿宋" w:eastAsia="仿宋" w:cs="仿宋"/>
                <w:color w:val="auto"/>
                <w:sz w:val="24"/>
                <w:highlight w:val="none"/>
                <w:lang w:bidi="zh-CN"/>
              </w:rPr>
              <w:t>带★项应提供第三方检测机构出具的检测报告，检测报告送检人须为投标人（若投标人为代理商，还需同时提供生产厂家出具的唯一授权书）</w:t>
            </w:r>
            <w:r>
              <w:rPr>
                <w:rFonts w:hint="eastAsia" w:ascii="仿宋" w:hAnsi="仿宋" w:eastAsia="仿宋" w:cs="仿宋"/>
                <w:color w:val="auto"/>
                <w:sz w:val="24"/>
                <w:highlight w:val="none"/>
                <w:lang w:val="en-US" w:bidi="zh-CN"/>
              </w:rPr>
              <w:t>，</w:t>
            </w:r>
            <w:r>
              <w:rPr>
                <w:rFonts w:hint="eastAsia" w:ascii="仿宋" w:hAnsi="仿宋" w:eastAsia="仿宋" w:cs="仿宋"/>
                <w:color w:val="auto"/>
                <w:sz w:val="24"/>
                <w:highlight w:val="none"/>
                <w:lang w:bidi="zh-CN"/>
              </w:rPr>
              <w:t>检测报告上须有防伪二维码</w:t>
            </w:r>
            <w:r>
              <w:rPr>
                <w:rFonts w:hint="eastAsia" w:ascii="仿宋" w:hAnsi="仿宋" w:eastAsia="仿宋" w:cs="仿宋"/>
                <w:color w:val="auto"/>
                <w:sz w:val="24"/>
                <w:highlight w:val="none"/>
                <w:lang w:val="en-US" w:eastAsia="zh-CN" w:bidi="zh-CN"/>
              </w:rPr>
              <w:t>可供查询真伪</w:t>
            </w:r>
            <w:r>
              <w:rPr>
                <w:rFonts w:hint="eastAsia" w:ascii="仿宋" w:hAnsi="仿宋" w:eastAsia="仿宋" w:cs="仿宋"/>
                <w:color w:val="auto"/>
                <w:sz w:val="24"/>
                <w:highlight w:val="none"/>
                <w:lang w:bidi="zh-CN"/>
              </w:rPr>
              <w:t>，否则不予认可</w:t>
            </w:r>
            <w:r>
              <w:rPr>
                <w:rFonts w:hint="eastAsia" w:ascii="仿宋" w:hAnsi="仿宋" w:eastAsia="仿宋" w:cs="仿宋"/>
                <w:color w:val="auto"/>
                <w:sz w:val="24"/>
                <w:highlight w:val="none"/>
                <w:lang w:eastAsia="zh-CN" w:bidi="zh-CN"/>
              </w:rPr>
              <w:t>，</w:t>
            </w:r>
            <w:r>
              <w:rPr>
                <w:rFonts w:hint="eastAsia" w:ascii="仿宋" w:hAnsi="仿宋" w:eastAsia="仿宋" w:cs="仿宋"/>
                <w:color w:val="auto"/>
                <w:sz w:val="24"/>
                <w:highlight w:val="none"/>
                <w:lang w:val="en-US" w:eastAsia="zh-CN" w:bidi="zh-CN"/>
              </w:rPr>
              <w:t>原件备查</w:t>
            </w:r>
            <w:r>
              <w:rPr>
                <w:rFonts w:hint="eastAsia" w:ascii="仿宋" w:hAnsi="仿宋" w:eastAsia="仿宋" w:cs="仿宋"/>
                <w:color w:val="auto"/>
                <w:sz w:val="24"/>
                <w:highlight w:val="none"/>
                <w:lang w:bidi="zh-CN"/>
              </w:rPr>
              <w:t>。</w:t>
            </w:r>
          </w:p>
        </w:tc>
      </w:tr>
      <w:tr w14:paraId="7554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607" w:type="dxa"/>
            <w:shd w:val="clear" w:color="auto" w:fill="auto"/>
            <w:noWrap/>
            <w:vAlign w:val="center"/>
          </w:tcPr>
          <w:p w14:paraId="69562A3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9</w:t>
            </w:r>
          </w:p>
        </w:tc>
        <w:tc>
          <w:tcPr>
            <w:tcW w:w="1677" w:type="dxa"/>
            <w:shd w:val="clear" w:color="auto" w:fill="auto"/>
            <w:noWrap/>
            <w:vAlign w:val="center"/>
          </w:tcPr>
          <w:p w14:paraId="41B3909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en-US" w:eastAsia="zh-CN" w:bidi="zh-CN"/>
              </w:rPr>
            </w:pPr>
            <w:r>
              <w:rPr>
                <w:rFonts w:hint="eastAsia" w:ascii="仿宋" w:hAnsi="仿宋" w:eastAsia="仿宋" w:cs="仿宋"/>
                <w:color w:val="auto"/>
                <w:sz w:val="24"/>
                <w:highlight w:val="none"/>
                <w:lang w:val="en-US" w:eastAsia="zh-CN" w:bidi="zh-CN"/>
              </w:rPr>
              <w:t>配套布艺帘</w:t>
            </w:r>
          </w:p>
        </w:tc>
        <w:tc>
          <w:tcPr>
            <w:tcW w:w="6914" w:type="dxa"/>
            <w:shd w:val="clear" w:color="auto" w:fill="auto"/>
            <w:noWrap/>
            <w:vAlign w:val="center"/>
          </w:tcPr>
          <w:p w14:paraId="64A5014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布带：</w:t>
            </w:r>
          </w:p>
          <w:p w14:paraId="206786D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1.纤维含量：100%聚酯纤维；</w:t>
            </w:r>
          </w:p>
          <w:p w14:paraId="1B2FAFF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2.异味：无；</w:t>
            </w:r>
          </w:p>
          <w:p w14:paraId="67012E4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3.甲醛含量≤20mg/kg</w:t>
            </w:r>
          </w:p>
          <w:p w14:paraId="6A512D7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4.可分解致癌芳香胺燃料：禁用；</w:t>
            </w:r>
          </w:p>
          <w:p w14:paraId="421109C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5.致癌染料：无；</w:t>
            </w:r>
          </w:p>
          <w:p w14:paraId="3141C0F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调节钩：</w:t>
            </w:r>
          </w:p>
          <w:p w14:paraId="0D39CD7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 xml:space="preserve">1、POM材质，白色，表面光滑，齿形滑道整齐顺畅。 </w:t>
            </w:r>
          </w:p>
          <w:p w14:paraId="4FEA492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val="en-US" w:bidi="zh-CN"/>
              </w:rPr>
            </w:pPr>
            <w:r>
              <w:rPr>
                <w:rFonts w:hint="eastAsia" w:ascii="仿宋" w:hAnsi="仿宋" w:eastAsia="仿宋" w:cs="仿宋"/>
                <w:color w:val="auto"/>
                <w:sz w:val="24"/>
                <w:highlight w:val="none"/>
                <w:lang w:val="en-US" w:bidi="zh-CN"/>
              </w:rPr>
              <w:t>2、多级斜梯齿槽微调</w:t>
            </w:r>
          </w:p>
          <w:p w14:paraId="7B33773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sz w:val="24"/>
                <w:highlight w:val="none"/>
                <w:lang w:bidi="zh-CN"/>
              </w:rPr>
            </w:pPr>
            <w:r>
              <w:rPr>
                <w:rFonts w:hint="eastAsia" w:ascii="仿宋" w:hAnsi="仿宋" w:eastAsia="仿宋" w:cs="仿宋"/>
                <w:color w:val="auto"/>
                <w:sz w:val="24"/>
                <w:highlight w:val="none"/>
                <w:lang w:val="en-US" w:bidi="zh-CN"/>
              </w:rPr>
              <w:t>3、韧度高，不易变形，结实耐用。</w:t>
            </w:r>
          </w:p>
        </w:tc>
      </w:tr>
    </w:tbl>
    <w:p w14:paraId="6C6D2658">
      <w:pPr>
        <w:keepNext w:val="0"/>
        <w:keepLines w:val="0"/>
        <w:pageBreakBefore w:val="0"/>
        <w:kinsoku/>
        <w:overflowPunct/>
        <w:autoSpaceDE/>
        <w:autoSpaceDN/>
        <w:bidi w:val="0"/>
        <w:adjustRightInd/>
        <w:snapToGrid w:val="0"/>
        <w:spacing w:line="360" w:lineRule="auto"/>
        <w:jc w:val="left"/>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color w:val="auto"/>
          <w:sz w:val="24"/>
          <w:highlight w:val="none"/>
        </w:rPr>
        <w:t>售后服务要求</w:t>
      </w:r>
    </w:p>
    <w:p w14:paraId="6827331B">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提供的产品5年质保期，质保期内的免费保修工作包括每季度维修检查。当采购人要求投标人做出维修工作时，投标人需在收到维修通知后，1小时内做出反应，4小时内到达现场，一天内修复。否则应相应延长质保期和维修期，并酌情扣罚。</w:t>
      </w:r>
    </w:p>
    <w:p w14:paraId="5D6E13C1">
      <w:pPr>
        <w:keepNext w:val="0"/>
        <w:keepLines w:val="0"/>
        <w:pageBreakBefore w:val="0"/>
        <w:widowControl/>
        <w:kinsoku/>
        <w:wordWrap w:val="0"/>
        <w:overflowPunct/>
        <w:topLinePunct/>
        <w:autoSpaceDE/>
        <w:autoSpaceDN/>
        <w:bidi w:val="0"/>
        <w:adjustRightInd/>
        <w:snapToGrid w:val="0"/>
        <w:spacing w:line="360" w:lineRule="auto"/>
        <w:textAlignment w:val="baseline"/>
        <w:rPr>
          <w:rFonts w:hint="eastAsia" w:ascii="宋体" w:hAnsi="宋体" w:cs="宋体"/>
          <w:b/>
          <w:color w:val="auto"/>
          <w:sz w:val="24"/>
          <w:highlight w:val="none"/>
        </w:rPr>
      </w:pPr>
      <w:r>
        <w:rPr>
          <w:rFonts w:hint="eastAsia" w:ascii="宋体" w:hAnsi="宋体" w:cs="宋体"/>
          <w:b/>
          <w:color w:val="auto"/>
          <w:sz w:val="24"/>
          <w:highlight w:val="none"/>
        </w:rPr>
        <w:t>五、商务要求</w:t>
      </w:r>
    </w:p>
    <w:p w14:paraId="513F7DFB">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cs="宋体"/>
          <w:b/>
          <w:color w:val="auto"/>
          <w:sz w:val="24"/>
          <w:highlight w:val="none"/>
        </w:rPr>
      </w:pPr>
      <w:r>
        <w:rPr>
          <w:rFonts w:ascii="宋体" w:hAnsi="宋体" w:cs="宋体"/>
          <w:bCs/>
          <w:color w:val="auto"/>
          <w:sz w:val="24"/>
          <w:highlight w:val="none"/>
        </w:rPr>
        <w:t>送货上门，</w:t>
      </w:r>
      <w:r>
        <w:rPr>
          <w:rFonts w:hint="eastAsia" w:ascii="宋体" w:hAnsi="宋体" w:cs="宋体"/>
          <w:bCs/>
          <w:color w:val="auto"/>
          <w:sz w:val="24"/>
          <w:highlight w:val="none"/>
        </w:rPr>
        <w:t>采购人</w:t>
      </w:r>
      <w:r>
        <w:rPr>
          <w:rFonts w:ascii="宋体" w:hAnsi="宋体" w:cs="宋体"/>
          <w:bCs/>
          <w:color w:val="auto"/>
          <w:sz w:val="24"/>
          <w:highlight w:val="none"/>
        </w:rPr>
        <w:t>指定地点安装、调试。包装要求：环保可以回收，</w:t>
      </w:r>
      <w:r>
        <w:rPr>
          <w:rFonts w:hint="eastAsia" w:ascii="宋体" w:hAnsi="宋体" w:cs="宋体"/>
          <w:bCs/>
          <w:color w:val="auto"/>
          <w:sz w:val="24"/>
          <w:highlight w:val="none"/>
        </w:rPr>
        <w:t>投标人</w:t>
      </w:r>
      <w:r>
        <w:rPr>
          <w:rFonts w:ascii="宋体" w:hAnsi="宋体" w:cs="宋体"/>
          <w:bCs/>
          <w:color w:val="auto"/>
          <w:sz w:val="24"/>
          <w:highlight w:val="none"/>
        </w:rPr>
        <w:t>负责回收，保证现场无垃圾和任何包装材料。</w:t>
      </w:r>
    </w:p>
    <w:p w14:paraId="1540086B">
      <w:pPr>
        <w:keepNext w:val="0"/>
        <w:keepLines w:val="0"/>
        <w:pageBreakBefore w:val="0"/>
        <w:widowControl/>
        <w:kinsoku/>
        <w:wordWrap w:val="0"/>
        <w:overflowPunct/>
        <w:topLinePunct/>
        <w:autoSpaceDE/>
        <w:autoSpaceDN/>
        <w:bidi w:val="0"/>
        <w:adjustRightInd/>
        <w:snapToGrid w:val="0"/>
        <w:spacing w:line="360" w:lineRule="auto"/>
        <w:jc w:val="left"/>
        <w:textAlignment w:val="baseline"/>
        <w:rPr>
          <w:rFonts w:hint="eastAsia" w:ascii="宋体" w:hAnsi="宋体" w:cs="宋体"/>
          <w:b/>
          <w:color w:val="auto"/>
          <w:sz w:val="24"/>
          <w:highlight w:val="none"/>
        </w:rPr>
      </w:pPr>
      <w:r>
        <w:rPr>
          <w:rFonts w:hint="eastAsia" w:ascii="宋体" w:hAnsi="宋体" w:cs="宋体"/>
          <w:b/>
          <w:color w:val="auto"/>
          <w:sz w:val="24"/>
          <w:highlight w:val="none"/>
        </w:rPr>
        <w:t>六、验收与质量保证</w:t>
      </w:r>
    </w:p>
    <w:p w14:paraId="5161A304">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（一）样品封存：中标人提供的样品将作为封样标准，用于到货比对。</w:t>
      </w:r>
    </w:p>
    <w:p w14:paraId="0FCEBCCA">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到货抽检：甲方有权随机抽取不少于3个批次的产品，委托甲方指定的第三方检测机构进行破坏性检测，检测项目包括但不限于：克重、甲醛含量、阻燃性能、抗菌率、邻苯二甲酸酯含量、TVOC等。若任一批次产品有2项及以上检测项目不达标，甲方有权无条件退货，由此产生的全部责任及损失由乙方承担。</w:t>
      </w:r>
    </w:p>
    <w:p w14:paraId="3D063686">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（三）出厂检验报告：每批次须随货提供出厂检验报告（含克重、阻燃、甲醛等关键项）。</w:t>
      </w:r>
    </w:p>
    <w:p w14:paraId="14712C6E">
      <w:pPr>
        <w:keepNext w:val="0"/>
        <w:keepLines w:val="0"/>
        <w:pageBreakBefore w:val="0"/>
        <w:widowControl/>
        <w:kinsoku/>
        <w:wordWrap w:val="0"/>
        <w:overflowPunct/>
        <w:topLinePunct/>
        <w:autoSpaceDE/>
        <w:autoSpaceDN/>
        <w:bidi w:val="0"/>
        <w:adjustRightInd/>
        <w:snapToGrid w:val="0"/>
        <w:spacing w:line="360" w:lineRule="auto"/>
        <w:ind w:firstLine="480" w:firstLineChars="200"/>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（四）检测费用：无论结果如何，抽检费用均由中标人承担。</w:t>
      </w:r>
    </w:p>
    <w:p w14:paraId="296A18EF">
      <w:pPr>
        <w:keepNext w:val="0"/>
        <w:keepLines w:val="0"/>
        <w:pageBreakBefore w:val="0"/>
        <w:widowControl/>
        <w:kinsoku/>
        <w:wordWrap w:val="0"/>
        <w:overflowPunct/>
        <w:topLinePunct/>
        <w:autoSpaceDE/>
        <w:autoSpaceDN/>
        <w:bidi w:val="0"/>
        <w:adjustRightInd/>
        <w:snapToGrid w:val="0"/>
        <w:spacing w:line="360" w:lineRule="auto"/>
        <w:textAlignment w:val="baseline"/>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七、样品递交要求</w:t>
      </w:r>
    </w:p>
    <w:p w14:paraId="09F0060E">
      <w:pPr>
        <w:keepNext w:val="0"/>
        <w:keepLines w:val="0"/>
        <w:pageBreakBefore w:val="0"/>
        <w:widowControl/>
        <w:kinsoku/>
        <w:wordWrap w:val="0"/>
        <w:overflowPunct/>
        <w:topLinePunct/>
        <w:autoSpaceDE/>
        <w:autoSpaceDN/>
        <w:bidi w:val="0"/>
        <w:adjustRightInd/>
        <w:snapToGrid w:val="0"/>
        <w:spacing w:line="360" w:lineRule="auto"/>
        <w:ind w:firstLine="482" w:firstLineChars="200"/>
        <w:textAlignment w:val="baseline"/>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（一）样品清单</w:t>
      </w:r>
    </w:p>
    <w:tbl>
      <w:tblPr>
        <w:tblStyle w:val="27"/>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402"/>
        <w:gridCol w:w="3566"/>
        <w:gridCol w:w="754"/>
        <w:gridCol w:w="1657"/>
      </w:tblGrid>
      <w:tr w14:paraId="0371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shd w:val="clear" w:color="auto" w:fill="FFFFFF" w:themeFill="background1"/>
            <w:vAlign w:val="center"/>
          </w:tcPr>
          <w:p w14:paraId="5404645F">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02" w:type="dxa"/>
            <w:shd w:val="clear" w:color="auto" w:fill="FFFFFF" w:themeFill="background1"/>
            <w:vAlign w:val="center"/>
          </w:tcPr>
          <w:p w14:paraId="142BC857">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样品名称</w:t>
            </w:r>
          </w:p>
        </w:tc>
        <w:tc>
          <w:tcPr>
            <w:tcW w:w="3566" w:type="dxa"/>
            <w:shd w:val="clear" w:color="auto" w:fill="FFFFFF" w:themeFill="background1"/>
            <w:vAlign w:val="center"/>
          </w:tcPr>
          <w:p w14:paraId="4DF9209F">
            <w:pPr>
              <w:keepNext w:val="0"/>
              <w:keepLines w:val="0"/>
              <w:pageBreakBefore w:val="0"/>
              <w:suppressLineNumbers w:val="0"/>
              <w:tabs>
                <w:tab w:val="left" w:pos="6615"/>
              </w:tabs>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提供规格</w:t>
            </w:r>
          </w:p>
        </w:tc>
        <w:tc>
          <w:tcPr>
            <w:tcW w:w="754" w:type="dxa"/>
            <w:shd w:val="clear" w:color="auto" w:fill="FFFFFF" w:themeFill="background1"/>
            <w:vAlign w:val="center"/>
          </w:tcPr>
          <w:p w14:paraId="191F1EFE">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657" w:type="dxa"/>
            <w:shd w:val="clear" w:color="auto" w:fill="FFFFFF" w:themeFill="background1"/>
            <w:vAlign w:val="center"/>
          </w:tcPr>
          <w:p w14:paraId="3A8CE491">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75DC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shd w:val="clear" w:color="auto" w:fill="FFFFFF" w:themeFill="background1"/>
            <w:vAlign w:val="center"/>
          </w:tcPr>
          <w:p w14:paraId="29E5F6C7">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02" w:type="dxa"/>
            <w:shd w:val="clear" w:color="auto" w:fill="FFFFFF" w:themeFill="background1"/>
            <w:vAlign w:val="center"/>
          </w:tcPr>
          <w:p w14:paraId="058947AC">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手动透景卷帘</w:t>
            </w:r>
          </w:p>
        </w:tc>
        <w:tc>
          <w:tcPr>
            <w:tcW w:w="3566" w:type="dxa"/>
            <w:shd w:val="clear" w:color="auto" w:fill="FFFFFF" w:themeFill="background1"/>
            <w:vAlign w:val="center"/>
          </w:tcPr>
          <w:p w14:paraId="330B41AA">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成品样品规格≥50cm*50cm</w:t>
            </w:r>
          </w:p>
        </w:tc>
        <w:tc>
          <w:tcPr>
            <w:tcW w:w="754" w:type="dxa"/>
            <w:shd w:val="clear" w:color="auto" w:fill="FFFFFF" w:themeFill="background1"/>
            <w:vAlign w:val="center"/>
          </w:tcPr>
          <w:p w14:paraId="72E22471">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657" w:type="dxa"/>
            <w:shd w:val="clear" w:color="auto" w:fill="FFFFFF" w:themeFill="background1"/>
            <w:vAlign w:val="center"/>
          </w:tcPr>
          <w:p w14:paraId="676A1ED9">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p>
        </w:tc>
      </w:tr>
      <w:tr w14:paraId="5476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shd w:val="clear" w:color="auto" w:fill="FFFFFF" w:themeFill="background1"/>
            <w:vAlign w:val="center"/>
          </w:tcPr>
          <w:p w14:paraId="785257B8">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02" w:type="dxa"/>
            <w:shd w:val="clear" w:color="auto" w:fill="FFFFFF" w:themeFill="background1"/>
            <w:vAlign w:val="center"/>
          </w:tcPr>
          <w:p w14:paraId="76F3EBE8">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手动布帘1</w:t>
            </w:r>
          </w:p>
        </w:tc>
        <w:tc>
          <w:tcPr>
            <w:tcW w:w="3566" w:type="dxa"/>
            <w:shd w:val="clear" w:color="auto" w:fill="FFFFFF" w:themeFill="background1"/>
            <w:vAlign w:val="center"/>
          </w:tcPr>
          <w:p w14:paraId="7BE2F55D">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成品样品规格≥50cm*50cm</w:t>
            </w:r>
          </w:p>
        </w:tc>
        <w:tc>
          <w:tcPr>
            <w:tcW w:w="754" w:type="dxa"/>
            <w:shd w:val="clear" w:color="auto" w:fill="FFFFFF" w:themeFill="background1"/>
            <w:vAlign w:val="center"/>
          </w:tcPr>
          <w:p w14:paraId="1555FD50">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657" w:type="dxa"/>
            <w:shd w:val="clear" w:color="auto" w:fill="FFFFFF" w:themeFill="background1"/>
            <w:vAlign w:val="center"/>
          </w:tcPr>
          <w:p w14:paraId="205E1135">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p>
        </w:tc>
      </w:tr>
      <w:tr w14:paraId="3ADC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shd w:val="clear" w:color="auto" w:fill="FFFFFF" w:themeFill="background1"/>
            <w:vAlign w:val="center"/>
          </w:tcPr>
          <w:p w14:paraId="43AB0A8B">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402" w:type="dxa"/>
            <w:shd w:val="clear" w:color="auto" w:fill="FFFFFF" w:themeFill="background1"/>
            <w:vAlign w:val="center"/>
          </w:tcPr>
          <w:p w14:paraId="1CCE2F0A">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手动纱帘</w:t>
            </w:r>
          </w:p>
        </w:tc>
        <w:tc>
          <w:tcPr>
            <w:tcW w:w="3566" w:type="dxa"/>
            <w:shd w:val="clear" w:color="auto" w:fill="FFFFFF" w:themeFill="background1"/>
            <w:vAlign w:val="center"/>
          </w:tcPr>
          <w:p w14:paraId="0363ACE9">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成品样品规格≥50cm*50cm</w:t>
            </w:r>
          </w:p>
        </w:tc>
        <w:tc>
          <w:tcPr>
            <w:tcW w:w="754" w:type="dxa"/>
            <w:shd w:val="clear" w:color="auto" w:fill="FFFFFF" w:themeFill="background1"/>
            <w:vAlign w:val="center"/>
          </w:tcPr>
          <w:p w14:paraId="75E3D4AF">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657" w:type="dxa"/>
            <w:shd w:val="clear" w:color="auto" w:fill="FFFFFF" w:themeFill="background1"/>
            <w:vAlign w:val="center"/>
          </w:tcPr>
          <w:p w14:paraId="0561ED8B">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p>
        </w:tc>
      </w:tr>
      <w:tr w14:paraId="74D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shd w:val="clear" w:color="auto" w:fill="FFFFFF" w:themeFill="background1"/>
            <w:vAlign w:val="center"/>
          </w:tcPr>
          <w:p w14:paraId="2AEC2414">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402" w:type="dxa"/>
            <w:shd w:val="clear" w:color="auto" w:fill="FFFFFF" w:themeFill="background1"/>
            <w:vAlign w:val="center"/>
          </w:tcPr>
          <w:p w14:paraId="76E4981D">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手动轨道</w:t>
            </w:r>
          </w:p>
        </w:tc>
        <w:tc>
          <w:tcPr>
            <w:tcW w:w="3566" w:type="dxa"/>
            <w:shd w:val="clear" w:color="auto" w:fill="FFFFFF" w:themeFill="background1"/>
            <w:vAlign w:val="center"/>
          </w:tcPr>
          <w:p w14:paraId="721B89F9">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成品样品规格≥50cm</w:t>
            </w:r>
          </w:p>
        </w:tc>
        <w:tc>
          <w:tcPr>
            <w:tcW w:w="754" w:type="dxa"/>
            <w:shd w:val="clear" w:color="auto" w:fill="FFFFFF" w:themeFill="background1"/>
            <w:vAlign w:val="center"/>
          </w:tcPr>
          <w:p w14:paraId="3DA63113">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657" w:type="dxa"/>
            <w:shd w:val="clear" w:color="auto" w:fill="FFFFFF" w:themeFill="background1"/>
            <w:vAlign w:val="center"/>
          </w:tcPr>
          <w:p w14:paraId="4B436118">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p>
        </w:tc>
      </w:tr>
      <w:tr w14:paraId="257E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shd w:val="clear" w:color="auto" w:fill="FFFFFF" w:themeFill="background1"/>
            <w:vAlign w:val="center"/>
          </w:tcPr>
          <w:p w14:paraId="1BD4B965">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402" w:type="dxa"/>
            <w:shd w:val="clear" w:color="auto" w:fill="FFFFFF" w:themeFill="background1"/>
            <w:vAlign w:val="center"/>
          </w:tcPr>
          <w:p w14:paraId="77C8B2D3">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医用围帘</w:t>
            </w:r>
          </w:p>
        </w:tc>
        <w:tc>
          <w:tcPr>
            <w:tcW w:w="3566" w:type="dxa"/>
            <w:shd w:val="clear" w:color="auto" w:fill="FFFFFF" w:themeFill="background1"/>
            <w:vAlign w:val="center"/>
          </w:tcPr>
          <w:p w14:paraId="6AD5F184">
            <w:pPr>
              <w:keepNext w:val="0"/>
              <w:keepLines w:val="0"/>
              <w:pageBreakBefore w:val="0"/>
              <w:suppressLineNumbers w:val="0"/>
              <w:kinsoku/>
              <w:wordWrap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成品样品规格≥50cm*50cm</w:t>
            </w:r>
          </w:p>
        </w:tc>
        <w:tc>
          <w:tcPr>
            <w:tcW w:w="754" w:type="dxa"/>
            <w:shd w:val="clear" w:color="auto" w:fill="FFFFFF" w:themeFill="background1"/>
            <w:vAlign w:val="center"/>
          </w:tcPr>
          <w:p w14:paraId="4A10A9A3">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657" w:type="dxa"/>
            <w:shd w:val="clear" w:color="auto" w:fill="FFFFFF" w:themeFill="background1"/>
            <w:vAlign w:val="center"/>
          </w:tcPr>
          <w:p w14:paraId="3792B2D9">
            <w:pPr>
              <w:keepNext w:val="0"/>
              <w:keepLines w:val="0"/>
              <w:pageBreakBefore w:val="0"/>
              <w:suppressLineNumbers w:val="0"/>
              <w:kinsoku/>
              <w:wordWrap w:val="0"/>
              <w:overflowPunct w:val="0"/>
              <w:topLinePunct w:val="0"/>
              <w:autoSpaceDE/>
              <w:autoSpaceDN/>
              <w:bidi w:val="0"/>
              <w:adjustRightInd/>
              <w:spacing w:before="0" w:beforeAutospacing="0" w:after="0" w:afterAutospacing="0" w:line="400" w:lineRule="exact"/>
              <w:ind w:left="0" w:right="0"/>
              <w:jc w:val="center"/>
              <w:rPr>
                <w:rFonts w:hint="eastAsia" w:ascii="仿宋" w:hAnsi="仿宋" w:eastAsia="仿宋" w:cs="仿宋"/>
                <w:bCs/>
                <w:color w:val="auto"/>
                <w:sz w:val="24"/>
                <w:highlight w:val="none"/>
              </w:rPr>
            </w:pPr>
          </w:p>
        </w:tc>
      </w:tr>
    </w:tbl>
    <w:p w14:paraId="4CFC15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p>
    <w:p w14:paraId="3AD433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（1）未递交样品或样品</w:t>
      </w:r>
      <w:r>
        <w:rPr>
          <w:rFonts w:hint="eastAsia" w:ascii="仿宋" w:hAnsi="仿宋" w:eastAsia="仿宋" w:cs="仿宋"/>
          <w:color w:val="auto"/>
          <w:sz w:val="24"/>
          <w:highlight w:val="none"/>
          <w:lang w:val="en-US" w:eastAsia="zh-CN"/>
        </w:rPr>
        <w:t>件数</w:t>
      </w:r>
      <w:r>
        <w:rPr>
          <w:rFonts w:hint="eastAsia" w:ascii="仿宋" w:hAnsi="仿宋" w:eastAsia="仿宋" w:cs="仿宋"/>
          <w:color w:val="auto"/>
          <w:sz w:val="24"/>
          <w:highlight w:val="none"/>
          <w:lang w:eastAsia="zh-CN"/>
        </w:rPr>
        <w:t>不全的，</w:t>
      </w:r>
      <w:r>
        <w:rPr>
          <w:rFonts w:hint="eastAsia" w:ascii="仿宋" w:hAnsi="仿宋" w:eastAsia="仿宋" w:cs="仿宋"/>
          <w:color w:val="auto"/>
          <w:sz w:val="24"/>
          <w:highlight w:val="none"/>
          <w:lang w:val="en-US" w:eastAsia="zh-CN"/>
        </w:rPr>
        <w:t>样品不得分</w:t>
      </w:r>
      <w:r>
        <w:rPr>
          <w:rFonts w:hint="eastAsia" w:ascii="仿宋" w:hAnsi="仿宋" w:eastAsia="仿宋" w:cs="仿宋"/>
          <w:color w:val="auto"/>
          <w:sz w:val="24"/>
          <w:highlight w:val="none"/>
          <w:lang w:eastAsia="zh-CN"/>
        </w:rPr>
        <w:t>。</w:t>
      </w:r>
    </w:p>
    <w:p w14:paraId="7D97E1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）请投标人在</w:t>
      </w:r>
      <w:r>
        <w:rPr>
          <w:rFonts w:hint="eastAsia" w:ascii="仿宋" w:hAnsi="仿宋" w:eastAsia="仿宋" w:cs="仿宋"/>
          <w:color w:val="auto"/>
          <w:sz w:val="24"/>
          <w:highlight w:val="none"/>
          <w:lang w:val="en-US" w:eastAsia="zh-CN"/>
        </w:rPr>
        <w:t>投标截止</w:t>
      </w:r>
      <w:r>
        <w:rPr>
          <w:rFonts w:hint="eastAsia" w:ascii="仿宋" w:hAnsi="仿宋" w:eastAsia="仿宋" w:cs="仿宋"/>
          <w:color w:val="auto"/>
          <w:sz w:val="24"/>
          <w:highlight w:val="none"/>
          <w:lang w:eastAsia="zh-CN"/>
        </w:rPr>
        <w:t>时间内提供样品并按规定位置安装完毕。超过截止时间的，采购人或采购代理机构将不予接收，并将清场并封闭样品现场，样品需贴有标注供应商名称且加盖公章的标签。</w:t>
      </w:r>
    </w:p>
    <w:p w14:paraId="4BFC70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46395D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）制作、运输、安装和保管样品所发生的一切费用由投标人自理。</w:t>
      </w:r>
    </w:p>
    <w:p w14:paraId="34F4DE68">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32"/>
          <w:highlight w:val="none"/>
        </w:rPr>
      </w:pPr>
      <w:r>
        <w:rPr>
          <w:rFonts w:hint="eastAsia" w:ascii="宋体" w:hAnsi="宋体" w:cs="宋体"/>
          <w:b/>
          <w:bCs/>
          <w:color w:val="auto"/>
          <w:sz w:val="24"/>
          <w:szCs w:val="32"/>
          <w:highlight w:val="none"/>
          <w:lang w:val="en-US" w:eastAsia="zh-CN"/>
        </w:rPr>
        <w:t>四</w:t>
      </w:r>
      <w:r>
        <w:rPr>
          <w:rFonts w:hint="eastAsia" w:ascii="宋体" w:hAnsi="宋体" w:eastAsia="宋体" w:cs="宋体"/>
          <w:b/>
          <w:bCs/>
          <w:color w:val="auto"/>
          <w:sz w:val="24"/>
          <w:szCs w:val="32"/>
          <w:highlight w:val="none"/>
        </w:rPr>
        <w:t>、其他</w:t>
      </w:r>
    </w:p>
    <w:p w14:paraId="77E8D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本项目中标（成交）供应商应在政府采购云平台（https://www.zcy.gov.cn/）上注册成为“政采云正式供应商”，如不按要求注册的，采购方有权延期发布中标（成交）通知书和中标（成交）公告，后果由供应商自行承</w:t>
      </w:r>
      <w:r>
        <w:rPr>
          <w:rFonts w:hint="eastAsia" w:ascii="宋体" w:hAnsi="宋体" w:eastAsia="宋体" w:cs="宋体"/>
          <w:color w:val="auto"/>
          <w:sz w:val="24"/>
          <w:szCs w:val="32"/>
          <w:highlight w:val="none"/>
        </w:rPr>
        <w:t>担</w:t>
      </w:r>
      <w:r>
        <w:rPr>
          <w:rFonts w:hint="eastAsia" w:ascii="宋体" w:hAnsi="宋体" w:cs="宋体"/>
          <w:color w:val="auto"/>
          <w:sz w:val="24"/>
          <w:highlight w:val="none"/>
          <w:lang w:val="en-US" w:eastAsia="zh-CN"/>
        </w:rPr>
        <w:t>。</w:t>
      </w:r>
    </w:p>
    <w:p w14:paraId="10BBAE64">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3097C233">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17CD6F19">
      <w:pPr>
        <w:rPr>
          <w:rFonts w:ascii="宋体" w:hAnsi="宋体" w:cs="宋体"/>
          <w:b/>
          <w:bCs/>
          <w:color w:val="auto"/>
          <w:sz w:val="36"/>
          <w:szCs w:val="44"/>
          <w:highlight w:val="none"/>
        </w:rPr>
      </w:pPr>
    </w:p>
    <w:p w14:paraId="57A24865">
      <w:pPr>
        <w:rPr>
          <w:color w:val="auto"/>
          <w:highlight w:val="none"/>
        </w:rPr>
      </w:pPr>
      <w:r>
        <w:rPr>
          <w:color w:val="auto"/>
          <w:highlight w:val="none"/>
        </w:rPr>
        <w:br w:type="page"/>
      </w:r>
    </w:p>
    <w:p w14:paraId="47C89A84">
      <w:pPr>
        <w:numPr>
          <w:ilvl w:val="0"/>
          <w:numId w:val="5"/>
        </w:numPr>
        <w:spacing w:line="360" w:lineRule="auto"/>
        <w:jc w:val="center"/>
        <w:outlineLvl w:val="0"/>
        <w:rPr>
          <w:rFonts w:ascii="黑体" w:hAnsi="黑体" w:eastAsia="黑体"/>
          <w:b/>
          <w:color w:val="auto"/>
          <w:sz w:val="44"/>
          <w:szCs w:val="44"/>
          <w:highlight w:val="none"/>
        </w:rPr>
      </w:pPr>
      <w:bookmarkStart w:id="33" w:name="_Toc2689"/>
      <w:bookmarkStart w:id="34" w:name="_Toc8958"/>
      <w:bookmarkStart w:id="35" w:name="_Toc18936"/>
      <w:bookmarkStart w:id="36" w:name="_Toc18518"/>
      <w:bookmarkStart w:id="37" w:name="_Toc30967"/>
      <w:r>
        <w:rPr>
          <w:rFonts w:hint="eastAsia" w:ascii="宋体" w:hAnsi="宋体" w:cs="宋体"/>
          <w:b/>
          <w:bCs/>
          <w:color w:val="auto"/>
          <w:sz w:val="36"/>
          <w:szCs w:val="44"/>
          <w:highlight w:val="none"/>
        </w:rPr>
        <w:t xml:space="preserve"> </w:t>
      </w:r>
      <w:bookmarkEnd w:id="33"/>
      <w:bookmarkEnd w:id="34"/>
      <w:bookmarkEnd w:id="35"/>
      <w:bookmarkEnd w:id="36"/>
      <w:bookmarkEnd w:id="37"/>
      <w:bookmarkStart w:id="38" w:name="_Toc30339"/>
      <w:bookmarkStart w:id="39" w:name="_Toc24468"/>
      <w:r>
        <w:rPr>
          <w:rFonts w:hint="eastAsia" w:ascii="黑体" w:hAnsi="黑体" w:eastAsia="黑体"/>
          <w:b/>
          <w:color w:val="auto"/>
          <w:sz w:val="44"/>
          <w:szCs w:val="44"/>
          <w:highlight w:val="none"/>
        </w:rPr>
        <w:t>采购</w:t>
      </w:r>
      <w:r>
        <w:rPr>
          <w:rFonts w:ascii="黑体" w:hAnsi="黑体" w:eastAsia="黑体"/>
          <w:b/>
          <w:color w:val="auto"/>
          <w:sz w:val="44"/>
          <w:szCs w:val="44"/>
          <w:highlight w:val="none"/>
        </w:rPr>
        <w:t>合同</w:t>
      </w:r>
    </w:p>
    <w:p w14:paraId="397C35F9">
      <w:pPr>
        <w:pStyle w:val="13"/>
        <w:spacing w:line="360" w:lineRule="auto"/>
        <w:rPr>
          <w:rFonts w:hAnsi="宋体" w:cs="宋体"/>
          <w:color w:val="auto"/>
          <w:sz w:val="24"/>
          <w:highlight w:val="none"/>
        </w:rPr>
      </w:pPr>
    </w:p>
    <w:p w14:paraId="35C3D0AC">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以下为成交后签定本项目合同的通用条款，成交供应商不得提出实质性的修改，关于专用条款将由采购人与成交供应商结合本项目具体情况协商后签订。</w:t>
      </w:r>
    </w:p>
    <w:p w14:paraId="0346C381">
      <w:pPr>
        <w:spacing w:line="360" w:lineRule="auto"/>
        <w:jc w:val="left"/>
        <w:rPr>
          <w:rFonts w:hint="eastAsia" w:ascii="宋体" w:hAnsi="宋体" w:eastAsia="宋体" w:cs="宋体"/>
          <w:color w:val="auto"/>
          <w:sz w:val="24"/>
          <w:szCs w:val="32"/>
          <w:highlight w:val="none"/>
        </w:rPr>
      </w:pPr>
    </w:p>
    <w:p w14:paraId="7E267918">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甲方：</w:t>
      </w:r>
      <w:r>
        <w:rPr>
          <w:rFonts w:hint="eastAsia" w:ascii="宋体" w:hAnsi="宋体" w:eastAsia="宋体" w:cs="宋体"/>
          <w:b/>
          <w:bCs/>
          <w:color w:val="auto"/>
          <w:sz w:val="24"/>
          <w:szCs w:val="32"/>
          <w:highlight w:val="none"/>
        </w:rPr>
        <w:t>台州市中心医院（台州学院附属医院）</w:t>
      </w:r>
      <w:r>
        <w:rPr>
          <w:rFonts w:hint="eastAsia" w:ascii="宋体" w:hAnsi="宋体" w:eastAsia="宋体" w:cs="宋体"/>
          <w:color w:val="auto"/>
          <w:sz w:val="24"/>
          <w:szCs w:val="32"/>
          <w:highlight w:val="none"/>
        </w:rPr>
        <w:t>（以下简称甲方）</w:t>
      </w:r>
    </w:p>
    <w:p w14:paraId="3077A56B">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乙方：</w:t>
      </w:r>
      <w:r>
        <w:rPr>
          <w:rFonts w:hint="eastAsia" w:ascii="宋体" w:hAnsi="宋体" w:eastAsia="宋体" w:cs="宋体"/>
          <w:b/>
          <w:bCs/>
          <w:color w:val="auto"/>
          <w:sz w:val="24"/>
          <w:szCs w:val="32"/>
          <w:highlight w:val="none"/>
          <w:u w:val="single"/>
        </w:rPr>
        <w:t xml:space="preserve">                                  </w:t>
      </w:r>
      <w:r>
        <w:rPr>
          <w:rFonts w:hint="eastAsia" w:ascii="宋体" w:hAnsi="宋体" w:eastAsia="宋体" w:cs="宋体"/>
          <w:color w:val="auto"/>
          <w:sz w:val="24"/>
          <w:szCs w:val="32"/>
          <w:highlight w:val="none"/>
        </w:rPr>
        <w:t>（以下简称乙方）</w:t>
      </w:r>
    </w:p>
    <w:p w14:paraId="1D9D760F">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合同签约地：浙江省台州市</w:t>
      </w:r>
    </w:p>
    <w:p w14:paraId="48549769">
      <w:pPr>
        <w:spacing w:line="360" w:lineRule="auto"/>
        <w:jc w:val="left"/>
        <w:rPr>
          <w:rFonts w:hint="eastAsia" w:ascii="宋体" w:hAnsi="宋体" w:eastAsia="宋体" w:cs="宋体"/>
          <w:b/>
          <w:bCs/>
          <w:color w:val="auto"/>
          <w:sz w:val="24"/>
          <w:szCs w:val="32"/>
          <w:highlight w:val="none"/>
        </w:rPr>
      </w:pPr>
      <w:r>
        <w:rPr>
          <w:rFonts w:hint="eastAsia" w:ascii="宋体" w:hAnsi="宋体" w:eastAsia="宋体" w:cs="宋体"/>
          <w:color w:val="auto"/>
          <w:sz w:val="24"/>
          <w:szCs w:val="32"/>
          <w:highlight w:val="none"/>
        </w:rPr>
        <w:t>合同编号：</w:t>
      </w:r>
    </w:p>
    <w:p w14:paraId="3AED28DE">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第一章  总 则</w:t>
      </w:r>
    </w:p>
    <w:p w14:paraId="0AFB747A">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1、根据招标情况和评标标准，确定乙方为中标人。根据招标处理办法，甲乙双方本着平等互惠、友好合作的原则，特签订本合同。</w:t>
      </w:r>
    </w:p>
    <w:p w14:paraId="43176F09">
      <w:pPr>
        <w:spacing w:line="360" w:lineRule="auto"/>
        <w:jc w:val="center"/>
        <w:rPr>
          <w:rFonts w:hint="eastAsia" w:ascii="宋体" w:hAnsi="宋体" w:eastAsia="宋体" w:cs="宋体"/>
          <w:b/>
          <w:bCs/>
          <w:color w:val="auto"/>
          <w:sz w:val="24"/>
          <w:szCs w:val="32"/>
          <w:highlight w:val="none"/>
        </w:rPr>
      </w:pPr>
    </w:p>
    <w:p w14:paraId="0A06C23D">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第二章   标 的 物</w:t>
      </w:r>
    </w:p>
    <w:p w14:paraId="0352B1DB">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1、商品的名称、品牌、规格型号、产地、数量、价格等</w:t>
      </w:r>
    </w:p>
    <w:tbl>
      <w:tblPr>
        <w:tblStyle w:val="27"/>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99"/>
        <w:gridCol w:w="730"/>
        <w:gridCol w:w="1234"/>
        <w:gridCol w:w="730"/>
        <w:gridCol w:w="730"/>
        <w:gridCol w:w="1297"/>
        <w:gridCol w:w="1297"/>
      </w:tblGrid>
      <w:tr w14:paraId="2F86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98" w:type="dxa"/>
            <w:vAlign w:val="center"/>
          </w:tcPr>
          <w:p w14:paraId="1BDD4EA3">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1599" w:type="dxa"/>
            <w:vAlign w:val="center"/>
          </w:tcPr>
          <w:p w14:paraId="7208CA33">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商品名称</w:t>
            </w:r>
          </w:p>
        </w:tc>
        <w:tc>
          <w:tcPr>
            <w:tcW w:w="730" w:type="dxa"/>
            <w:vAlign w:val="center"/>
          </w:tcPr>
          <w:p w14:paraId="17133FB7">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品牌</w:t>
            </w:r>
          </w:p>
        </w:tc>
        <w:tc>
          <w:tcPr>
            <w:tcW w:w="1234" w:type="dxa"/>
            <w:vAlign w:val="center"/>
          </w:tcPr>
          <w:p w14:paraId="18D37EBD">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规格型号</w:t>
            </w:r>
          </w:p>
        </w:tc>
        <w:tc>
          <w:tcPr>
            <w:tcW w:w="730" w:type="dxa"/>
            <w:vAlign w:val="center"/>
          </w:tcPr>
          <w:p w14:paraId="07FA3E61">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产地</w:t>
            </w:r>
          </w:p>
        </w:tc>
        <w:tc>
          <w:tcPr>
            <w:tcW w:w="730" w:type="dxa"/>
            <w:vAlign w:val="center"/>
          </w:tcPr>
          <w:p w14:paraId="0E604BAA">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数量</w:t>
            </w:r>
          </w:p>
        </w:tc>
        <w:tc>
          <w:tcPr>
            <w:tcW w:w="1297" w:type="dxa"/>
            <w:vAlign w:val="center"/>
          </w:tcPr>
          <w:p w14:paraId="3CF047FD">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单价</w:t>
            </w:r>
          </w:p>
          <w:p w14:paraId="4782518F">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（万元）</w:t>
            </w:r>
          </w:p>
        </w:tc>
        <w:tc>
          <w:tcPr>
            <w:tcW w:w="1297" w:type="dxa"/>
            <w:vAlign w:val="center"/>
          </w:tcPr>
          <w:p w14:paraId="0160840B">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总价</w:t>
            </w:r>
          </w:p>
          <w:p w14:paraId="02C675BD">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（万元）</w:t>
            </w:r>
          </w:p>
        </w:tc>
      </w:tr>
      <w:tr w14:paraId="5928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98" w:type="dxa"/>
            <w:vAlign w:val="center"/>
          </w:tcPr>
          <w:p w14:paraId="7457F353">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1599" w:type="dxa"/>
            <w:vAlign w:val="center"/>
          </w:tcPr>
          <w:p w14:paraId="2C22EB99">
            <w:pPr>
              <w:jc w:val="center"/>
              <w:rPr>
                <w:rFonts w:hint="eastAsia" w:ascii="宋体" w:hAnsi="宋体" w:eastAsia="宋体" w:cs="宋体"/>
                <w:color w:val="auto"/>
                <w:sz w:val="24"/>
                <w:szCs w:val="32"/>
                <w:highlight w:val="none"/>
              </w:rPr>
            </w:pPr>
          </w:p>
        </w:tc>
        <w:tc>
          <w:tcPr>
            <w:tcW w:w="730" w:type="dxa"/>
            <w:vAlign w:val="center"/>
          </w:tcPr>
          <w:p w14:paraId="7795D76F">
            <w:pPr>
              <w:jc w:val="center"/>
              <w:rPr>
                <w:rFonts w:hint="eastAsia" w:ascii="宋体" w:hAnsi="宋体" w:eastAsia="宋体" w:cs="宋体"/>
                <w:color w:val="auto"/>
                <w:sz w:val="24"/>
                <w:szCs w:val="32"/>
                <w:highlight w:val="none"/>
              </w:rPr>
            </w:pPr>
          </w:p>
        </w:tc>
        <w:tc>
          <w:tcPr>
            <w:tcW w:w="1234" w:type="dxa"/>
            <w:vAlign w:val="center"/>
          </w:tcPr>
          <w:p w14:paraId="2AF3A36B">
            <w:pPr>
              <w:jc w:val="center"/>
              <w:rPr>
                <w:rFonts w:hint="eastAsia" w:ascii="宋体" w:hAnsi="宋体" w:eastAsia="宋体" w:cs="宋体"/>
                <w:color w:val="auto"/>
                <w:sz w:val="24"/>
                <w:szCs w:val="32"/>
                <w:highlight w:val="none"/>
              </w:rPr>
            </w:pPr>
          </w:p>
        </w:tc>
        <w:tc>
          <w:tcPr>
            <w:tcW w:w="730" w:type="dxa"/>
            <w:vAlign w:val="center"/>
          </w:tcPr>
          <w:p w14:paraId="3CBEEFC4">
            <w:pPr>
              <w:jc w:val="center"/>
              <w:rPr>
                <w:rFonts w:hint="eastAsia" w:ascii="宋体" w:hAnsi="宋体" w:eastAsia="宋体" w:cs="宋体"/>
                <w:color w:val="auto"/>
                <w:sz w:val="24"/>
                <w:szCs w:val="32"/>
                <w:highlight w:val="none"/>
              </w:rPr>
            </w:pPr>
          </w:p>
        </w:tc>
        <w:tc>
          <w:tcPr>
            <w:tcW w:w="730" w:type="dxa"/>
            <w:vAlign w:val="center"/>
          </w:tcPr>
          <w:p w14:paraId="5377A52F">
            <w:pPr>
              <w:jc w:val="center"/>
              <w:rPr>
                <w:rFonts w:hint="eastAsia" w:ascii="宋体" w:hAnsi="宋体" w:eastAsia="宋体" w:cs="宋体"/>
                <w:color w:val="auto"/>
                <w:sz w:val="24"/>
                <w:szCs w:val="32"/>
                <w:highlight w:val="none"/>
              </w:rPr>
            </w:pPr>
          </w:p>
        </w:tc>
        <w:tc>
          <w:tcPr>
            <w:tcW w:w="1297" w:type="dxa"/>
            <w:vAlign w:val="center"/>
          </w:tcPr>
          <w:p w14:paraId="268AFBE5">
            <w:pPr>
              <w:jc w:val="center"/>
              <w:rPr>
                <w:rFonts w:hint="eastAsia" w:ascii="宋体" w:hAnsi="宋体" w:eastAsia="宋体" w:cs="宋体"/>
                <w:color w:val="auto"/>
                <w:sz w:val="24"/>
                <w:szCs w:val="32"/>
                <w:highlight w:val="none"/>
              </w:rPr>
            </w:pPr>
          </w:p>
        </w:tc>
        <w:tc>
          <w:tcPr>
            <w:tcW w:w="1297" w:type="dxa"/>
            <w:vAlign w:val="center"/>
          </w:tcPr>
          <w:p w14:paraId="541E95F3">
            <w:pPr>
              <w:jc w:val="center"/>
              <w:rPr>
                <w:rFonts w:hint="eastAsia" w:ascii="宋体" w:hAnsi="宋体" w:eastAsia="宋体" w:cs="宋体"/>
                <w:color w:val="auto"/>
                <w:sz w:val="24"/>
                <w:szCs w:val="32"/>
                <w:highlight w:val="none"/>
              </w:rPr>
            </w:pPr>
          </w:p>
        </w:tc>
      </w:tr>
      <w:tr w14:paraId="56D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98" w:type="dxa"/>
            <w:vAlign w:val="center"/>
          </w:tcPr>
          <w:p w14:paraId="37C9FB95">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599" w:type="dxa"/>
            <w:vAlign w:val="center"/>
          </w:tcPr>
          <w:p w14:paraId="0DB5020B">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730" w:type="dxa"/>
            <w:vAlign w:val="center"/>
          </w:tcPr>
          <w:p w14:paraId="1AD027D0">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234" w:type="dxa"/>
            <w:vAlign w:val="center"/>
          </w:tcPr>
          <w:p w14:paraId="0B8B2D9F">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730" w:type="dxa"/>
            <w:vAlign w:val="center"/>
          </w:tcPr>
          <w:p w14:paraId="12B5ACE9">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730" w:type="dxa"/>
            <w:vAlign w:val="center"/>
          </w:tcPr>
          <w:p w14:paraId="2AB990E3">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297" w:type="dxa"/>
            <w:vAlign w:val="center"/>
          </w:tcPr>
          <w:p w14:paraId="3CA9B099">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c>
          <w:tcPr>
            <w:tcW w:w="1297" w:type="dxa"/>
            <w:vAlign w:val="center"/>
          </w:tcPr>
          <w:p w14:paraId="7568854E">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tc>
      </w:tr>
      <w:tr w14:paraId="0C73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515" w:type="dxa"/>
            <w:gridSpan w:val="8"/>
            <w:vAlign w:val="center"/>
          </w:tcPr>
          <w:p w14:paraId="7F6C25CF">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合计人民币（大写）：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元整。</w:t>
            </w:r>
          </w:p>
        </w:tc>
      </w:tr>
    </w:tbl>
    <w:p w14:paraId="1C0AD701">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2、以上合同总价包含产品到达甲方并能正常使用所需的一切费用。</w:t>
      </w:r>
    </w:p>
    <w:p w14:paraId="67E425A4">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3、配置要求详见配置清单。</w:t>
      </w:r>
    </w:p>
    <w:p w14:paraId="74572C15">
      <w:pPr>
        <w:spacing w:line="360" w:lineRule="auto"/>
        <w:jc w:val="center"/>
        <w:rPr>
          <w:rFonts w:hint="eastAsia" w:ascii="宋体" w:hAnsi="宋体" w:eastAsia="宋体" w:cs="宋体"/>
          <w:b/>
          <w:bCs/>
          <w:color w:val="auto"/>
          <w:sz w:val="24"/>
          <w:szCs w:val="32"/>
          <w:highlight w:val="none"/>
        </w:rPr>
      </w:pPr>
    </w:p>
    <w:p w14:paraId="1BE78B77">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第三章  付款方式</w:t>
      </w:r>
    </w:p>
    <w:p w14:paraId="1D8B3591">
      <w:pPr>
        <w:widowControl/>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付款方式</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对评审委员会认定供应商为中小企业的合同：</w:t>
      </w:r>
      <w:r>
        <w:rPr>
          <w:rFonts w:hint="eastAsia" w:ascii="宋体" w:hAnsi="宋体" w:cs="宋体"/>
          <w:color w:val="auto"/>
          <w:sz w:val="24"/>
          <w:highlight w:val="none"/>
          <w:lang w:val="nl-NL"/>
        </w:rPr>
        <w:t>签订合同时，供应商应向采购人提交预付款保函。采购人在收到预付款保函、合同生效且项目具备实施条件后7个工作日内支付合同金额的40%作为预付款；货物安装验收合格后付清余款。</w:t>
      </w:r>
      <w:r>
        <w:rPr>
          <w:rFonts w:hint="eastAsia" w:ascii="宋体" w:hAnsi="宋体" w:cs="宋体"/>
          <w:color w:val="auto"/>
          <w:sz w:val="24"/>
          <w:szCs w:val="32"/>
          <w:highlight w:val="none"/>
        </w:rPr>
        <w:t>在签订合同时，供应商明确表示无需预付款或者主动要求降低预付款比例的，双方可另行协商确定付款方式。</w:t>
      </w:r>
    </w:p>
    <w:p w14:paraId="494D9857">
      <w:pPr>
        <w:widowControl/>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对非中小企业的合同：设备安装验收合格且在合同发票开具后支付合同总价的100%。</w:t>
      </w:r>
    </w:p>
    <w:p w14:paraId="2D8CE048">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第四章  交货时间、地点</w:t>
      </w:r>
    </w:p>
    <w:p w14:paraId="25CC5884">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1、乙方在</w:t>
      </w:r>
      <w:r>
        <w:rPr>
          <w:rFonts w:hint="eastAsia" w:ascii="宋体" w:hAnsi="宋体" w:eastAsia="宋体" w:cs="宋体"/>
          <w:color w:val="auto"/>
          <w:sz w:val="24"/>
          <w:highlight w:val="none"/>
        </w:rPr>
        <w:t>合同签订后</w:t>
      </w:r>
      <w:r>
        <w:rPr>
          <w:rFonts w:hint="eastAsia" w:ascii="宋体" w:hAnsi="宋体" w:cs="宋体"/>
          <w:color w:val="auto"/>
          <w:sz w:val="24"/>
          <w:szCs w:val="32"/>
          <w:highlight w:val="none"/>
          <w:lang w:val="en-US" w:eastAsia="zh-CN"/>
        </w:rPr>
        <w:t>两</w:t>
      </w:r>
      <w:r>
        <w:rPr>
          <w:rFonts w:hint="eastAsia" w:ascii="宋体" w:hAnsi="宋体" w:eastAsia="宋体" w:cs="宋体"/>
          <w:color w:val="auto"/>
          <w:sz w:val="24"/>
          <w:szCs w:val="32"/>
          <w:highlight w:val="none"/>
        </w:rPr>
        <w:t>个月内按院方要求货到指定地点并完成安装调试。如发生由于乙方原因产生的逾期到货，乙方应按照逾期到货部分价款的每天0.3%向甲方付违约金。</w:t>
      </w:r>
    </w:p>
    <w:p w14:paraId="6D731F07">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2、交货地点：台州市中心医院指定地点。</w:t>
      </w:r>
    </w:p>
    <w:p w14:paraId="6D6A02C6">
      <w:pPr>
        <w:spacing w:line="360" w:lineRule="auto"/>
        <w:jc w:val="center"/>
        <w:rPr>
          <w:rFonts w:hint="eastAsia" w:ascii="宋体" w:hAnsi="宋体" w:eastAsia="宋体" w:cs="宋体"/>
          <w:b/>
          <w:bCs/>
          <w:color w:val="auto"/>
          <w:sz w:val="24"/>
          <w:szCs w:val="32"/>
          <w:highlight w:val="none"/>
        </w:rPr>
      </w:pPr>
    </w:p>
    <w:p w14:paraId="2098072F">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第五章  货物包装、到货及安装验收</w:t>
      </w:r>
    </w:p>
    <w:p w14:paraId="437A3B28">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1、乙方应在货物发运前对其进行满足运输距离、防潮、防震、防锈和防破损装卸等符合该货物国家相关规范及本身运输需要的要求包装，以保证货物安全运达甲方指定地点。</w:t>
      </w:r>
    </w:p>
    <w:p w14:paraId="25023A36">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2、乙方应在货物发送前48小时通知甲方发货信息；货物到后，乙方负责在经甲方电话或书面通知后7天内派工程师到院安装完毕，如超过时间，每天按货物总价的0.3%作为违约金付给甲方。</w:t>
      </w:r>
    </w:p>
    <w:p w14:paraId="74CB7189">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3、设备验收规定</w:t>
      </w:r>
    </w:p>
    <w:p w14:paraId="5A60B4B8">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（1）双方工作人员清点到货设备品名、数量、产地、规格型号、中文标识及合法证件等。</w:t>
      </w:r>
    </w:p>
    <w:p w14:paraId="3DD105D3">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甲乙双方应按照合同及投标文件和承诺书对配置、功能以及其他相关数据测试方面进行一一验收。同时要求乙方提供海关报关单（如是进口设备）、商检证书（如是进口设备）、中文出厂检测报告、中文操作规程等文件资料用于验收。</w:t>
      </w:r>
    </w:p>
    <w:p w14:paraId="4A6C63E9">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（3）对技术复杂的货物，甲方应邀请国家认可的专业检测机构或质控机构参与验收，并由其出具质量检测报告。</w:t>
      </w:r>
    </w:p>
    <w:p w14:paraId="1B75BB4D">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（4）货物安装验收合格后，甲乙双方在验收报告上签字确认，货物安装调试工作完成。如有产生验收费用，则由乙方负责。</w:t>
      </w:r>
    </w:p>
    <w:p w14:paraId="49DC59AD">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4、乙方需对设备的合法性负全责（包括进货渠道、合法证件、购货发票等）。</w:t>
      </w:r>
    </w:p>
    <w:p w14:paraId="62160C75">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5、乙方应保证所提供的货物或其任何一部分均不会侵犯任何第三方的知识产权；设备所含的软件甲方具有永久使用权。</w:t>
      </w:r>
    </w:p>
    <w:p w14:paraId="670E0F0F">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6、乙方保证所交付的货物的所有权完全属于乙方且无任何抵押、查封等产权瑕疵。</w:t>
      </w:r>
    </w:p>
    <w:p w14:paraId="37537B1E">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乙方提供所有软件的备份光盘、License及所有口令信息，同时提供这些软件安装、调试及相关维护所需要的所有硬件和软件工具。不能提供上述内容的，则需到甲方现场提供所有软件终身免费安装（含硬件更换后软件重新安装调试）、调试、维护服务。</w:t>
      </w:r>
    </w:p>
    <w:p w14:paraId="3A599D8F">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8、首次计量检测费用由乙方承担，同时乙方按成本价提供后续计量服务。</w:t>
      </w:r>
    </w:p>
    <w:p w14:paraId="6FC3DCD8">
      <w:pPr>
        <w:spacing w:line="360" w:lineRule="auto"/>
        <w:jc w:val="center"/>
        <w:rPr>
          <w:rFonts w:hint="eastAsia" w:ascii="宋体" w:hAnsi="宋体" w:eastAsia="宋体" w:cs="宋体"/>
          <w:b/>
          <w:bCs/>
          <w:color w:val="auto"/>
          <w:sz w:val="24"/>
          <w:szCs w:val="32"/>
          <w:highlight w:val="none"/>
        </w:rPr>
      </w:pPr>
    </w:p>
    <w:p w14:paraId="7A3D89A7">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第六章  质量保证及售后服务</w:t>
      </w:r>
    </w:p>
    <w:p w14:paraId="3B8DE8A8">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保证本合同所供应的商品是最新生产的未曾使用过的符合国家技术规格和质量标准的出厂原装合格产品，同时该商品的所有技术性能应符合投标文件所响应条款。如发生所供商品与合同不符或者技术性能与投标文件不符等问题，甲方有权退货，并且由乙方赔偿因退货而给甲方造成的损失（赔偿金额为不少于合同总金额的10%）。</w:t>
      </w:r>
    </w:p>
    <w:p w14:paraId="21413919">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2、乙方提供的货物在质保期内因货物本身的质量问题发生故障，乙方应负责免费更换。对达不到技术要求者，根据实际情况，经双方协商，可按以下办法处理：</w:t>
      </w:r>
    </w:p>
    <w:p w14:paraId="786153D3">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（1）更换：由乙方承担所发生的全部费用。</w:t>
      </w:r>
    </w:p>
    <w:p w14:paraId="0F6FA27D">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（2）贬值处理：由甲乙双方合议定价。</w:t>
      </w:r>
    </w:p>
    <w:p w14:paraId="07AB804C">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（3）退货处理：乙方应退还甲方支付的合同款，同时应承担该货物的直接费用（包括运输、保险、检验、货款利息及银行手续费等）</w:t>
      </w:r>
    </w:p>
    <w:p w14:paraId="0EB44B27">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3、在质保期内，乙方应对货物出现的质量及安全问题负责处理解决并承担一切费用。</w:t>
      </w:r>
    </w:p>
    <w:p w14:paraId="09C13A25">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4、质保期：在乙方货到安装调试验收合格并移交所有证件资料后开始计算质保期；全套设备免费保修</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年（包含所有部件）；质保期内每年进行2次免费维护（不包括维修）；质保期外，终身维修，维修只收配件成本费，维修配件提供时间不少于十年；在质保期内保证开机率大于等于95%（按工作日每超出开机率要求时间一天，保修时间相应延长十天），接到电话报修响应并到达医院时间小于24小时。</w:t>
      </w:r>
    </w:p>
    <w:p w14:paraId="0415C9B9">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乙方派出人员在提供安装验收和维修维护等所有服务中，应遵守甲方规章制度，不得泄漏甲方一切需要保密的信息或数据（包括但不限于病人信息、医院信息等），同时工作中须符合甲方院感要求；另需提供到甲方服务人员的健康证明、资质文件、培训记录等。</w:t>
      </w:r>
    </w:p>
    <w:p w14:paraId="4B4ADF2D">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6、乙方在为甲方提供安装调试、维修维护及其他任何服务中，应负责乙方委派或派出人员的安全生产管理责任，并承担委派或派出人员在甲方服务期间因患病、意外伤害及其他原因导致损失的所有费用。</w:t>
      </w:r>
    </w:p>
    <w:p w14:paraId="1D1CCE91">
      <w:pPr>
        <w:spacing w:line="360" w:lineRule="auto"/>
        <w:jc w:val="center"/>
        <w:rPr>
          <w:rFonts w:hint="eastAsia" w:ascii="宋体" w:hAnsi="宋体" w:eastAsia="宋体" w:cs="宋体"/>
          <w:b/>
          <w:bCs/>
          <w:color w:val="auto"/>
          <w:sz w:val="24"/>
          <w:szCs w:val="32"/>
          <w:highlight w:val="none"/>
        </w:rPr>
      </w:pPr>
    </w:p>
    <w:p w14:paraId="20DE1638">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第七章  技术支持、培训</w:t>
      </w:r>
    </w:p>
    <w:p w14:paraId="03B7AA74">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1、技术支持</w:t>
      </w:r>
    </w:p>
    <w:p w14:paraId="0836862C">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甲乙双方签订合同后，货到之前，乙方派遣工程技术人员免费进行场地设计及现场指导，并且乙方承诺为甲方免费提供软件升级，及时提供设备新功能和临床应用的资料。</w:t>
      </w:r>
    </w:p>
    <w:p w14:paraId="307CC770">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2、设备安装以后，乙方负责对甲方操作人员、维修人员进行技术培训。</w:t>
      </w:r>
    </w:p>
    <w:p w14:paraId="21433161">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（1）乙方对甲方的操作人员进行现场操作培训直到甲方操作人员熟练掌握使用该设备各种性能为止，并提供详细的操作手册、电子版使用操作规程以及电子版培训资料。</w:t>
      </w:r>
    </w:p>
    <w:p w14:paraId="2744245C">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对甲方的设备维修人员进行现场培训，使甲方人员能对设备进行日常的维修保养以及一般故障进行维修，同时为甲方维修人员提供详细的维修图纸及维修手册、故障代码表、维修密码及软件备份、电子版维护保养规程等。</w:t>
      </w:r>
    </w:p>
    <w:p w14:paraId="4BB67D0D">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（3）其他乙方在投标文件或承诺书中有响应的培训内容按响应条款执行。</w:t>
      </w:r>
    </w:p>
    <w:p w14:paraId="2A986EF6">
      <w:pPr>
        <w:spacing w:line="360" w:lineRule="auto"/>
        <w:jc w:val="center"/>
        <w:rPr>
          <w:rFonts w:hint="eastAsia" w:ascii="宋体" w:hAnsi="宋体" w:eastAsia="宋体" w:cs="宋体"/>
          <w:b/>
          <w:bCs/>
          <w:color w:val="auto"/>
          <w:sz w:val="24"/>
          <w:szCs w:val="32"/>
          <w:highlight w:val="none"/>
        </w:rPr>
      </w:pPr>
    </w:p>
    <w:p w14:paraId="569D5182">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第八章  合同的修改变更与解除</w:t>
      </w:r>
    </w:p>
    <w:p w14:paraId="47825D4C">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1、对本合同及其附件变更或解除，必须合同双方签署书面协议才能生效。</w:t>
      </w:r>
    </w:p>
    <w:p w14:paraId="2A1B57AB">
      <w:pPr>
        <w:spacing w:line="360" w:lineRule="auto"/>
        <w:jc w:val="center"/>
        <w:rPr>
          <w:rFonts w:hint="eastAsia" w:ascii="宋体" w:hAnsi="宋体" w:eastAsia="宋体" w:cs="宋体"/>
          <w:b/>
          <w:bCs/>
          <w:color w:val="auto"/>
          <w:sz w:val="24"/>
          <w:szCs w:val="32"/>
          <w:highlight w:val="none"/>
        </w:rPr>
      </w:pPr>
    </w:p>
    <w:p w14:paraId="04E193BB">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第九章  违约责任</w:t>
      </w:r>
    </w:p>
    <w:p w14:paraId="6793CB20">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1、对一方的违约行为或合同执行中给对方造成的损失，责任方的赔偿额不高于实际的损失额度或本合同的总金额。</w:t>
      </w:r>
    </w:p>
    <w:p w14:paraId="2CF260C1">
      <w:pPr>
        <w:spacing w:line="360" w:lineRule="auto"/>
        <w:jc w:val="center"/>
        <w:rPr>
          <w:rFonts w:hint="eastAsia" w:ascii="宋体" w:hAnsi="宋体" w:eastAsia="宋体" w:cs="宋体"/>
          <w:b/>
          <w:bCs/>
          <w:color w:val="auto"/>
          <w:sz w:val="24"/>
          <w:szCs w:val="32"/>
          <w:highlight w:val="none"/>
        </w:rPr>
      </w:pPr>
    </w:p>
    <w:p w14:paraId="510EB7B7">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第十章  争议的解决</w:t>
      </w:r>
    </w:p>
    <w:p w14:paraId="7F787BC7">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1、本合同一式</w:t>
      </w:r>
      <w:r>
        <w:rPr>
          <w:rFonts w:hint="eastAsia" w:ascii="宋体" w:hAnsi="宋体" w:cs="宋体"/>
          <w:color w:val="auto"/>
          <w:sz w:val="24"/>
          <w:szCs w:val="32"/>
          <w:highlight w:val="none"/>
          <w:lang w:val="en-US" w:eastAsia="zh-CN"/>
        </w:rPr>
        <w:t>叁</w:t>
      </w:r>
      <w:r>
        <w:rPr>
          <w:rFonts w:hint="eastAsia" w:ascii="宋体" w:hAnsi="宋体" w:eastAsia="宋体" w:cs="宋体"/>
          <w:color w:val="auto"/>
          <w:sz w:val="24"/>
          <w:szCs w:val="32"/>
          <w:highlight w:val="none"/>
        </w:rPr>
        <w:t>份（甲方</w:t>
      </w:r>
      <w:r>
        <w:rPr>
          <w:rFonts w:hint="eastAsia" w:ascii="宋体" w:hAnsi="宋体" w:cs="宋体"/>
          <w:color w:val="auto"/>
          <w:sz w:val="24"/>
          <w:szCs w:val="32"/>
          <w:highlight w:val="none"/>
          <w:lang w:val="en-US" w:eastAsia="zh-CN"/>
        </w:rPr>
        <w:t>贰</w:t>
      </w:r>
      <w:r>
        <w:rPr>
          <w:rFonts w:hint="eastAsia" w:ascii="宋体" w:hAnsi="宋体" w:eastAsia="宋体" w:cs="宋体"/>
          <w:color w:val="auto"/>
          <w:sz w:val="24"/>
          <w:szCs w:val="32"/>
          <w:highlight w:val="none"/>
        </w:rPr>
        <w:t>份、乙方</w:t>
      </w:r>
      <w:r>
        <w:rPr>
          <w:rFonts w:hint="eastAsia" w:ascii="宋体" w:hAnsi="宋体" w:cs="宋体"/>
          <w:color w:val="auto"/>
          <w:sz w:val="24"/>
          <w:szCs w:val="32"/>
          <w:highlight w:val="none"/>
          <w:lang w:val="en-US" w:eastAsia="zh-CN"/>
        </w:rPr>
        <w:t>壹</w:t>
      </w:r>
      <w:r>
        <w:rPr>
          <w:rFonts w:hint="eastAsia" w:ascii="宋体" w:hAnsi="宋体" w:eastAsia="宋体" w:cs="宋体"/>
          <w:color w:val="auto"/>
          <w:sz w:val="24"/>
          <w:szCs w:val="32"/>
          <w:highlight w:val="none"/>
        </w:rPr>
        <w:t>份），具有同等法律效力，双方签字盖章后生效。</w:t>
      </w:r>
    </w:p>
    <w:p w14:paraId="528D8965">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2、凡有关本合同或执行本合同而发生的一切争议，应通过友好协商解决，如协商不成，则应申请甲方所在地法院裁决。</w:t>
      </w:r>
    </w:p>
    <w:p w14:paraId="3D7ACF1B">
      <w:pPr>
        <w:spacing w:line="360" w:lineRule="auto"/>
        <w:jc w:val="center"/>
        <w:rPr>
          <w:rFonts w:hint="eastAsia" w:ascii="宋体" w:hAnsi="宋体" w:eastAsia="宋体" w:cs="宋体"/>
          <w:b/>
          <w:bCs/>
          <w:color w:val="auto"/>
          <w:sz w:val="24"/>
          <w:szCs w:val="32"/>
          <w:highlight w:val="none"/>
        </w:rPr>
      </w:pPr>
    </w:p>
    <w:p w14:paraId="1E81A38B">
      <w:pPr>
        <w:spacing w:line="36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第十一章  其 它</w:t>
      </w:r>
    </w:p>
    <w:p w14:paraId="781CBEA4">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1、在合同有效期内，任何一方因不可抗力事件导致不能履行合同，则合同履行期可延长；不可抗力延续120天以上，双方应友好协商是否解除合同。</w:t>
      </w:r>
    </w:p>
    <w:p w14:paraId="36C2C825">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2、本合同未尽事宜，可另行签订《补充协议》，《补充协议》与本合同具有同等法律效力。</w:t>
      </w:r>
    </w:p>
    <w:p w14:paraId="5BC26B64">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3、本合同未涉及到的内容以</w:t>
      </w:r>
      <w:r>
        <w:rPr>
          <w:rFonts w:hint="eastAsia" w:ascii="宋体" w:hAnsi="宋体" w:eastAsia="宋体" w:cs="宋体"/>
          <w:b/>
          <w:bCs/>
          <w:color w:val="auto"/>
          <w:sz w:val="24"/>
          <w:szCs w:val="32"/>
          <w:highlight w:val="none"/>
          <w:u w:val="single"/>
        </w:rPr>
        <w:t>编号：</w:t>
      </w:r>
      <w:r>
        <w:rPr>
          <w:rFonts w:hint="eastAsia" w:ascii="宋体" w:hAnsi="宋体" w:cs="宋体"/>
          <w:b/>
          <w:bCs/>
          <w:color w:val="auto"/>
          <w:sz w:val="24"/>
          <w:szCs w:val="32"/>
          <w:highlight w:val="none"/>
          <w:u w:val="single"/>
          <w:lang w:eastAsia="zh-CN"/>
        </w:rPr>
        <w:t>331000261400110000002-HZHB2026-JJ19</w:t>
      </w:r>
      <w:r>
        <w:rPr>
          <w:rFonts w:hint="eastAsia" w:ascii="宋体" w:hAnsi="宋体" w:eastAsia="宋体" w:cs="宋体"/>
          <w:color w:val="auto"/>
          <w:sz w:val="24"/>
          <w:szCs w:val="32"/>
          <w:highlight w:val="none"/>
        </w:rPr>
        <w:t>项目中的招投标文件和承诺书为准。</w:t>
      </w:r>
    </w:p>
    <w:p w14:paraId="212EFA39">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4、若合同签定、执行过程中，乙方有违反国家法律法规或医院廉洁自律方面规章制度的行为，则本合同自动作废。</w:t>
      </w:r>
    </w:p>
    <w:p w14:paraId="382B97D6">
      <w:pPr>
        <w:spacing w:line="360" w:lineRule="auto"/>
        <w:jc w:val="left"/>
        <w:rPr>
          <w:rFonts w:hint="eastAsia" w:ascii="宋体" w:hAnsi="宋体" w:eastAsia="宋体" w:cs="宋体"/>
          <w:color w:val="auto"/>
          <w:sz w:val="24"/>
          <w:szCs w:val="32"/>
          <w:highlight w:val="none"/>
        </w:rPr>
      </w:pPr>
    </w:p>
    <w:p w14:paraId="6C46FEB7">
      <w:pPr>
        <w:spacing w:line="360" w:lineRule="auto"/>
        <w:jc w:val="left"/>
        <w:rPr>
          <w:rFonts w:hint="eastAsia" w:ascii="宋体" w:hAnsi="宋体" w:eastAsia="宋体" w:cs="宋体"/>
          <w:color w:val="auto"/>
          <w:sz w:val="24"/>
          <w:szCs w:val="32"/>
          <w:highlight w:val="none"/>
        </w:rPr>
      </w:pPr>
    </w:p>
    <w:p w14:paraId="55E803ED">
      <w:pPr>
        <w:spacing w:line="360" w:lineRule="auto"/>
        <w:jc w:val="left"/>
        <w:rPr>
          <w:rFonts w:hint="eastAsia" w:ascii="宋体" w:hAnsi="宋体" w:eastAsia="宋体" w:cs="宋体"/>
          <w:color w:val="auto"/>
          <w:sz w:val="24"/>
          <w:szCs w:val="32"/>
          <w:highlight w:val="none"/>
        </w:rPr>
      </w:pPr>
    </w:p>
    <w:p w14:paraId="67FF8BBE">
      <w:pPr>
        <w:spacing w:line="360" w:lineRule="auto"/>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甲  方：台州市中心医院                乙  方：</w:t>
      </w:r>
    </w:p>
    <w:p w14:paraId="2CBA123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（台州学院附属医院）                        </w:t>
      </w:r>
    </w:p>
    <w:p w14:paraId="125CC324">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统一社会信用代码：</w:t>
      </w:r>
    </w:p>
    <w:p w14:paraId="513DF801">
      <w:pPr>
        <w:spacing w:line="360" w:lineRule="auto"/>
        <w:jc w:val="left"/>
        <w:rPr>
          <w:rFonts w:hint="eastAsia" w:ascii="宋体" w:hAnsi="宋体" w:eastAsia="宋体" w:cs="宋体"/>
          <w:b/>
          <w:bCs/>
          <w:color w:val="auto"/>
          <w:sz w:val="24"/>
          <w:szCs w:val="32"/>
          <w:highlight w:val="none"/>
        </w:rPr>
      </w:pPr>
      <w:r>
        <w:rPr>
          <w:rFonts w:hint="eastAsia" w:ascii="宋体" w:hAnsi="宋体" w:eastAsia="宋体" w:cs="宋体"/>
          <w:color w:val="auto"/>
          <w:sz w:val="24"/>
          <w:szCs w:val="32"/>
          <w:highlight w:val="none"/>
        </w:rPr>
        <w:t xml:space="preserve">签字盖章：                            签字盖章： </w:t>
      </w:r>
    </w:p>
    <w:p w14:paraId="06D7BC77">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开户银行：                            开户银行：（必填）</w:t>
      </w:r>
    </w:p>
    <w:p w14:paraId="5B7E59AF">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银行账号：                            银行账号：（必填）</w:t>
      </w:r>
    </w:p>
    <w:p w14:paraId="7615CC81">
      <w:pPr>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日    期：                            日    期： </w:t>
      </w:r>
    </w:p>
    <w:p w14:paraId="6B7BA334">
      <w:pPr>
        <w:spacing w:line="360" w:lineRule="auto"/>
        <w:ind w:firstLine="480" w:firstLineChars="200"/>
        <w:jc w:val="left"/>
        <w:rPr>
          <w:rFonts w:hint="eastAsia" w:ascii="宋体" w:hAnsi="宋体" w:eastAsia="宋体" w:cs="宋体"/>
          <w:color w:val="auto"/>
          <w:sz w:val="24"/>
          <w:szCs w:val="32"/>
          <w:highlight w:val="none"/>
        </w:rPr>
      </w:pPr>
    </w:p>
    <w:p w14:paraId="4237B494">
      <w:pPr>
        <w:jc w:val="center"/>
        <w:rPr>
          <w:rFonts w:hint="eastAsia" w:ascii="宋体" w:hAnsi="宋体" w:eastAsia="宋体" w:cs="宋体"/>
          <w:b/>
          <w:color w:val="auto"/>
          <w:sz w:val="36"/>
          <w:szCs w:val="36"/>
          <w:highlight w:val="none"/>
        </w:rPr>
      </w:pPr>
    </w:p>
    <w:p w14:paraId="3FAFDAF0">
      <w:pPr>
        <w:rPr>
          <w:rFonts w:ascii="仿宋" w:hAnsi="仿宋" w:eastAsia="仿宋"/>
          <w:color w:val="auto"/>
          <w:sz w:val="24"/>
          <w:highlight w:val="none"/>
        </w:rPr>
      </w:pPr>
      <w:r>
        <w:rPr>
          <w:rFonts w:hint="eastAsia" w:ascii="宋体" w:hAnsi="宋体" w:eastAsia="宋体" w:cs="宋体"/>
          <w:b/>
          <w:color w:val="auto"/>
          <w:sz w:val="36"/>
          <w:szCs w:val="36"/>
          <w:highlight w:val="none"/>
        </w:rPr>
        <w:br w:type="page"/>
      </w:r>
    </w:p>
    <w:p w14:paraId="0BE2D0A7">
      <w:pPr>
        <w:spacing w:line="360" w:lineRule="auto"/>
        <w:jc w:val="center"/>
        <w:outlineLvl w:val="0"/>
        <w:rPr>
          <w:rFonts w:ascii="宋体" w:hAnsi="宋体" w:cs="宋体"/>
          <w:b/>
          <w:bCs/>
          <w:color w:val="auto"/>
          <w:sz w:val="24"/>
          <w:highlight w:val="none"/>
        </w:rPr>
        <w:sectPr>
          <w:footerReference r:id="rId5" w:type="default"/>
          <w:pgSz w:w="11906" w:h="16838"/>
          <w:pgMar w:top="1440" w:right="1080" w:bottom="1440" w:left="1080" w:header="851" w:footer="992" w:gutter="0"/>
          <w:pgNumType w:fmt="decimal" w:start="1"/>
          <w:cols w:space="0" w:num="1"/>
          <w:rtlGutter w:val="0"/>
          <w:docGrid w:type="lines" w:linePitch="317" w:charSpace="0"/>
        </w:sectPr>
      </w:pPr>
    </w:p>
    <w:p w14:paraId="47EBDFFC">
      <w:pPr>
        <w:spacing w:line="360" w:lineRule="auto"/>
        <w:jc w:val="center"/>
        <w:outlineLvl w:val="0"/>
        <w:rPr>
          <w:rFonts w:ascii="宋体" w:hAnsi="宋体" w:cs="宋体"/>
          <w:b/>
          <w:bCs/>
          <w:color w:val="auto"/>
          <w:sz w:val="36"/>
          <w:szCs w:val="44"/>
          <w:highlight w:val="none"/>
        </w:rPr>
      </w:pPr>
      <w:r>
        <w:rPr>
          <w:rFonts w:hint="eastAsia" w:ascii="宋体" w:hAnsi="宋体" w:cs="宋体"/>
          <w:b/>
          <w:bCs/>
          <w:color w:val="auto"/>
          <w:sz w:val="36"/>
          <w:szCs w:val="44"/>
          <w:highlight w:val="none"/>
        </w:rPr>
        <w:t>第六章 投标文件格式附件</w:t>
      </w:r>
      <w:bookmarkEnd w:id="38"/>
      <w:bookmarkEnd w:id="39"/>
    </w:p>
    <w:p w14:paraId="5139851B">
      <w:pPr>
        <w:outlineLvl w:val="0"/>
        <w:rPr>
          <w:rFonts w:ascii="宋体" w:hAnsi="宋体" w:cs="宋体"/>
          <w:b/>
          <w:color w:val="auto"/>
          <w:kern w:val="0"/>
          <w:sz w:val="28"/>
          <w:szCs w:val="28"/>
          <w:highlight w:val="none"/>
        </w:rPr>
      </w:pPr>
      <w:bookmarkStart w:id="40" w:name="_Toc12913"/>
      <w:bookmarkStart w:id="41" w:name="_Toc30432"/>
      <w:r>
        <w:rPr>
          <w:rFonts w:hint="eastAsia" w:ascii="宋体" w:hAnsi="宋体" w:cs="宋体"/>
          <w:b/>
          <w:bCs/>
          <w:color w:val="auto"/>
          <w:sz w:val="28"/>
          <w:szCs w:val="36"/>
          <w:highlight w:val="none"/>
        </w:rPr>
        <w:t>附件1　</w:t>
      </w:r>
      <w:r>
        <w:rPr>
          <w:rFonts w:hint="eastAsia" w:ascii="宋体" w:hAnsi="宋体" w:cs="宋体"/>
          <w:color w:val="auto"/>
          <w:sz w:val="30"/>
          <w:szCs w:val="30"/>
          <w:highlight w:val="none"/>
        </w:rPr>
        <w:t xml:space="preserve">　　                                   </w:t>
      </w:r>
      <w:bookmarkEnd w:id="40"/>
      <w:bookmarkEnd w:id="41"/>
    </w:p>
    <w:p w14:paraId="216CE167">
      <w:pPr>
        <w:spacing w:line="360" w:lineRule="auto"/>
        <w:rPr>
          <w:rFonts w:ascii="宋体" w:hAnsi="宋体" w:cs="宋体"/>
          <w:b/>
          <w:color w:val="auto"/>
          <w:sz w:val="30"/>
          <w:szCs w:val="30"/>
          <w:highlight w:val="none"/>
        </w:rPr>
      </w:pPr>
    </w:p>
    <w:p w14:paraId="1BB0BED6">
      <w:pPr>
        <w:spacing w:line="360" w:lineRule="auto"/>
        <w:jc w:val="center"/>
        <w:rPr>
          <w:rFonts w:ascii="宋体" w:hAnsi="宋体" w:cs="宋体"/>
          <w:color w:val="auto"/>
          <w:spacing w:val="40"/>
          <w:sz w:val="52"/>
          <w:szCs w:val="52"/>
          <w:highlight w:val="none"/>
        </w:rPr>
      </w:pPr>
      <w:r>
        <w:rPr>
          <w:rFonts w:hint="eastAsia" w:ascii="宋体" w:hAnsi="宋体" w:cs="宋体"/>
          <w:color w:val="auto"/>
          <w:spacing w:val="40"/>
          <w:sz w:val="52"/>
          <w:szCs w:val="52"/>
          <w:highlight w:val="none"/>
        </w:rPr>
        <w:t>项目名称</w:t>
      </w:r>
    </w:p>
    <w:p w14:paraId="59106FB7">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项目编号：</w:t>
      </w:r>
    </w:p>
    <w:p w14:paraId="0B03DC17">
      <w:pPr>
        <w:autoSpaceDE w:val="0"/>
        <w:autoSpaceDN w:val="0"/>
        <w:adjustRightInd w:val="0"/>
        <w:spacing w:line="360" w:lineRule="auto"/>
        <w:jc w:val="center"/>
        <w:rPr>
          <w:rFonts w:ascii="宋体" w:hAnsi="宋体" w:cs="宋体"/>
          <w:color w:val="auto"/>
          <w:sz w:val="84"/>
          <w:szCs w:val="84"/>
          <w:highlight w:val="none"/>
          <w:lang w:val="zh-CN"/>
        </w:rPr>
      </w:pPr>
    </w:p>
    <w:p w14:paraId="66B667EC">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2A1351B7">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41C65E33">
      <w:pPr>
        <w:autoSpaceDE w:val="0"/>
        <w:autoSpaceDN w:val="0"/>
        <w:adjustRightInd w:val="0"/>
        <w:spacing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lang w:val="zh-CN"/>
        </w:rPr>
        <w:t>文</w:t>
      </w:r>
    </w:p>
    <w:p w14:paraId="2170EBEF">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21CE774F">
      <w:pPr>
        <w:autoSpaceDE w:val="0"/>
        <w:autoSpaceDN w:val="0"/>
        <w:adjustRightInd w:val="0"/>
        <w:spacing w:line="360" w:lineRule="auto"/>
        <w:jc w:val="center"/>
        <w:rPr>
          <w:rFonts w:ascii="宋体" w:hAnsi="宋体" w:cs="宋体"/>
          <w:color w:val="auto"/>
          <w:sz w:val="36"/>
          <w:szCs w:val="36"/>
          <w:highlight w:val="none"/>
        </w:rPr>
      </w:pPr>
    </w:p>
    <w:p w14:paraId="2A710435">
      <w:pPr>
        <w:autoSpaceDE w:val="0"/>
        <w:autoSpaceDN w:val="0"/>
        <w:adjustRightInd w:val="0"/>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（资格证明文件）</w:t>
      </w:r>
    </w:p>
    <w:p w14:paraId="6C3354FA">
      <w:pPr>
        <w:autoSpaceDE w:val="0"/>
        <w:autoSpaceDN w:val="0"/>
        <w:adjustRightInd w:val="0"/>
        <w:spacing w:line="360" w:lineRule="auto"/>
        <w:rPr>
          <w:rFonts w:ascii="宋体" w:hAnsi="宋体" w:cs="宋体"/>
          <w:color w:val="auto"/>
          <w:sz w:val="36"/>
          <w:szCs w:val="36"/>
          <w:highlight w:val="none"/>
        </w:rPr>
      </w:pPr>
    </w:p>
    <w:p w14:paraId="6F829368">
      <w:pPr>
        <w:autoSpaceDE w:val="0"/>
        <w:autoSpaceDN w:val="0"/>
        <w:adjustRightInd w:val="0"/>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投标人全称：</w:t>
      </w:r>
    </w:p>
    <w:p w14:paraId="122CCF9D">
      <w:pPr>
        <w:autoSpaceDE w:val="0"/>
        <w:autoSpaceDN w:val="0"/>
        <w:adjustRightInd w:val="0"/>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地址：</w:t>
      </w:r>
    </w:p>
    <w:p w14:paraId="54A356AC">
      <w:pPr>
        <w:autoSpaceDE w:val="0"/>
        <w:autoSpaceDN w:val="0"/>
        <w:adjustRightInd w:val="0"/>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时间：</w:t>
      </w:r>
    </w:p>
    <w:p w14:paraId="23EBEAB8">
      <w:pPr>
        <w:spacing w:line="360" w:lineRule="auto"/>
        <w:jc w:val="center"/>
        <w:rPr>
          <w:rFonts w:ascii="宋体" w:hAnsi="宋体" w:cs="宋体"/>
          <w:b/>
          <w:bCs/>
          <w:color w:val="auto"/>
          <w:sz w:val="28"/>
          <w:szCs w:val="36"/>
          <w:highlight w:val="none"/>
        </w:rPr>
      </w:pPr>
    </w:p>
    <w:p w14:paraId="5E95274C">
      <w:pPr>
        <w:spacing w:line="360" w:lineRule="auto"/>
        <w:jc w:val="center"/>
        <w:rPr>
          <w:rFonts w:ascii="宋体" w:hAnsi="宋体" w:cs="宋体"/>
          <w:b/>
          <w:bCs/>
          <w:color w:val="auto"/>
          <w:sz w:val="32"/>
          <w:szCs w:val="40"/>
          <w:highlight w:val="none"/>
        </w:rPr>
      </w:pPr>
      <w:r>
        <w:rPr>
          <w:rFonts w:hint="eastAsia" w:ascii="宋体" w:hAnsi="宋体" w:cs="宋体"/>
          <w:b/>
          <w:bCs/>
          <w:color w:val="auto"/>
          <w:sz w:val="32"/>
          <w:szCs w:val="40"/>
          <w:highlight w:val="none"/>
        </w:rPr>
        <w:t xml:space="preserve"> 资格证明文件目录</w:t>
      </w:r>
    </w:p>
    <w:p w14:paraId="549E0681">
      <w:pPr>
        <w:spacing w:line="360" w:lineRule="auto"/>
        <w:ind w:firstLine="480" w:firstLineChars="200"/>
        <w:rPr>
          <w:rFonts w:ascii="宋体" w:hAnsi="宋体" w:cs="宋体"/>
          <w:color w:val="auto"/>
          <w:sz w:val="24"/>
          <w:highlight w:val="none"/>
        </w:rPr>
      </w:pPr>
    </w:p>
    <w:p w14:paraId="66AE93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1、投标声明书（附件2）；</w:t>
      </w:r>
    </w:p>
    <w:p w14:paraId="7BD36C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亲自办理投标事宜的，则无需提交本证明书)（附件3）；</w:t>
      </w:r>
    </w:p>
    <w:p w14:paraId="53B8EC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3、法人或者其他组织的营业执照等证明文件；</w:t>
      </w:r>
    </w:p>
    <w:p w14:paraId="6295B12A">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4、具有良好的商业信誉和健全的财务会计制度的承诺（附件4）；</w:t>
      </w:r>
    </w:p>
    <w:p w14:paraId="5E5E47EF">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5、依法缴纳税收和社会保障资金的承诺（附件5）；</w:t>
      </w:r>
    </w:p>
    <w:p w14:paraId="6EDC6AC6">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6、具有履行合同所必需的设备和专业技术能力承诺函（附件</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p>
    <w:p w14:paraId="027AC1B5">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提供采购公告中符合供应商特定条件的有效资质证书影印件（投标供应商特定条件中有要求的必须提供）（如有）；</w:t>
      </w:r>
    </w:p>
    <w:p w14:paraId="2FBF61AC">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需要说明的其他资料（如有）；</w:t>
      </w:r>
    </w:p>
    <w:p w14:paraId="4EF74B17">
      <w:pPr>
        <w:spacing w:line="360" w:lineRule="auto"/>
        <w:ind w:firstLine="560" w:firstLineChars="200"/>
        <w:rPr>
          <w:rFonts w:ascii="宋体" w:hAnsi="宋体" w:cs="宋体"/>
          <w:color w:val="auto"/>
          <w:sz w:val="28"/>
          <w:szCs w:val="28"/>
          <w:highlight w:val="none"/>
        </w:rPr>
      </w:pPr>
    </w:p>
    <w:p w14:paraId="02C363AB">
      <w:pPr>
        <w:rPr>
          <w:rFonts w:ascii="宋体" w:hAnsi="宋体" w:cs="宋体"/>
          <w:color w:val="auto"/>
          <w:sz w:val="28"/>
          <w:szCs w:val="36"/>
          <w:highlight w:val="none"/>
        </w:rPr>
      </w:pPr>
    </w:p>
    <w:p w14:paraId="762234B2">
      <w:pPr>
        <w:spacing w:line="360" w:lineRule="auto"/>
        <w:outlineLvl w:val="0"/>
        <w:rPr>
          <w:rFonts w:ascii="宋体" w:hAnsi="宋体" w:cs="宋体"/>
          <w:b/>
          <w:color w:val="auto"/>
          <w:sz w:val="28"/>
          <w:highlight w:val="none"/>
        </w:rPr>
      </w:pPr>
      <w:bookmarkStart w:id="42" w:name="_Toc23824"/>
      <w:bookmarkStart w:id="43" w:name="_Toc10699"/>
    </w:p>
    <w:p w14:paraId="59F569E2">
      <w:pPr>
        <w:spacing w:line="360" w:lineRule="auto"/>
        <w:outlineLvl w:val="0"/>
        <w:rPr>
          <w:rFonts w:ascii="宋体" w:hAnsi="宋体" w:cs="宋体"/>
          <w:b/>
          <w:color w:val="auto"/>
          <w:sz w:val="28"/>
          <w:highlight w:val="none"/>
        </w:rPr>
      </w:pPr>
    </w:p>
    <w:p w14:paraId="23FB6D0C">
      <w:pPr>
        <w:spacing w:line="360" w:lineRule="auto"/>
        <w:outlineLvl w:val="0"/>
        <w:rPr>
          <w:rFonts w:ascii="宋体" w:hAnsi="宋体" w:cs="宋体"/>
          <w:b/>
          <w:color w:val="auto"/>
          <w:sz w:val="28"/>
          <w:highlight w:val="none"/>
        </w:rPr>
      </w:pPr>
    </w:p>
    <w:p w14:paraId="3F13FB48">
      <w:pPr>
        <w:spacing w:line="360" w:lineRule="auto"/>
        <w:outlineLvl w:val="0"/>
        <w:rPr>
          <w:rFonts w:ascii="宋体" w:hAnsi="宋体" w:cs="宋体"/>
          <w:b/>
          <w:color w:val="auto"/>
          <w:sz w:val="28"/>
          <w:highlight w:val="none"/>
        </w:rPr>
      </w:pPr>
    </w:p>
    <w:p w14:paraId="5230A3BC">
      <w:pPr>
        <w:rPr>
          <w:rFonts w:ascii="宋体" w:hAnsi="宋体" w:cs="宋体"/>
          <w:b/>
          <w:color w:val="auto"/>
          <w:sz w:val="28"/>
          <w:highlight w:val="none"/>
        </w:rPr>
      </w:pPr>
      <w:r>
        <w:rPr>
          <w:rFonts w:hint="eastAsia" w:ascii="宋体" w:hAnsi="宋体" w:cs="宋体"/>
          <w:b/>
          <w:color w:val="auto"/>
          <w:sz w:val="28"/>
          <w:highlight w:val="none"/>
        </w:rPr>
        <w:br w:type="page"/>
      </w:r>
    </w:p>
    <w:p w14:paraId="5C66AEB1">
      <w:pPr>
        <w:spacing w:line="360" w:lineRule="auto"/>
        <w:outlineLvl w:val="0"/>
        <w:rPr>
          <w:rFonts w:ascii="宋体" w:hAnsi="宋体" w:cs="宋体"/>
          <w:b/>
          <w:color w:val="auto"/>
          <w:sz w:val="28"/>
          <w:highlight w:val="none"/>
        </w:rPr>
      </w:pPr>
      <w:r>
        <w:rPr>
          <w:rFonts w:hint="eastAsia" w:ascii="宋体" w:hAnsi="宋体" w:cs="宋体"/>
          <w:b/>
          <w:color w:val="auto"/>
          <w:sz w:val="28"/>
          <w:highlight w:val="none"/>
        </w:rPr>
        <w:t>附件2</w:t>
      </w:r>
      <w:bookmarkEnd w:id="42"/>
      <w:bookmarkEnd w:id="43"/>
    </w:p>
    <w:p w14:paraId="20B89F71">
      <w:pPr>
        <w:spacing w:line="360" w:lineRule="auto"/>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投标声明书</w:t>
      </w:r>
    </w:p>
    <w:p w14:paraId="185936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u w:val="single"/>
          <w:lang w:eastAsia="zh-CN"/>
        </w:rPr>
        <w:t>杭州好邦建筑工程咨询有限公司</w:t>
      </w:r>
      <w:r>
        <w:rPr>
          <w:rFonts w:hint="eastAsia" w:ascii="宋体" w:hAnsi="宋体" w:cs="宋体"/>
          <w:color w:val="auto"/>
          <w:sz w:val="24"/>
          <w:szCs w:val="32"/>
          <w:highlight w:val="none"/>
        </w:rPr>
        <w:t>：</w:t>
      </w:r>
    </w:p>
    <w:p w14:paraId="5DC0A8B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u w:val="single"/>
        </w:rPr>
        <w:t>（投标人名称）</w:t>
      </w:r>
      <w:r>
        <w:rPr>
          <w:rFonts w:hint="eastAsia" w:ascii="宋体" w:hAnsi="宋体" w:cs="宋体"/>
          <w:color w:val="auto"/>
          <w:sz w:val="24"/>
          <w:szCs w:val="32"/>
          <w:highlight w:val="none"/>
        </w:rPr>
        <w:t>系中华人民共和国合法企业，经营地址</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p>
    <w:p w14:paraId="7D76F7F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我（</w:t>
      </w:r>
      <w:r>
        <w:rPr>
          <w:rFonts w:hint="eastAsia" w:ascii="宋体" w:hAnsi="宋体" w:cs="宋体"/>
          <w:color w:val="auto"/>
          <w:sz w:val="24"/>
          <w:szCs w:val="32"/>
          <w:highlight w:val="none"/>
          <w:u w:val="single"/>
        </w:rPr>
        <w:t xml:space="preserve"> 姓名 </w:t>
      </w:r>
      <w:r>
        <w:rPr>
          <w:rFonts w:hint="eastAsia" w:ascii="宋体" w:hAnsi="宋体" w:cs="宋体"/>
          <w:color w:val="auto"/>
          <w:sz w:val="24"/>
          <w:szCs w:val="32"/>
          <w:highlight w:val="none"/>
        </w:rPr>
        <w:t>）系（</w:t>
      </w:r>
      <w:r>
        <w:rPr>
          <w:rFonts w:hint="eastAsia" w:ascii="宋体" w:hAnsi="宋体" w:cs="宋体"/>
          <w:color w:val="auto"/>
          <w:sz w:val="24"/>
          <w:szCs w:val="32"/>
          <w:highlight w:val="none"/>
          <w:u w:val="single"/>
        </w:rPr>
        <w:t xml:space="preserve"> 投标人名称 </w:t>
      </w:r>
      <w:r>
        <w:rPr>
          <w:rFonts w:hint="eastAsia" w:ascii="宋体" w:hAnsi="宋体" w:cs="宋体"/>
          <w:color w:val="auto"/>
          <w:sz w:val="24"/>
          <w:szCs w:val="32"/>
          <w:highlight w:val="none"/>
        </w:rPr>
        <w:t>）的</w:t>
      </w: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，我公司自愿参加贵方组织的（</w:t>
      </w:r>
      <w:r>
        <w:rPr>
          <w:rFonts w:hint="eastAsia" w:ascii="宋体" w:hAnsi="宋体" w:cs="宋体"/>
          <w:color w:val="auto"/>
          <w:sz w:val="24"/>
          <w:szCs w:val="32"/>
          <w:highlight w:val="none"/>
          <w:lang w:eastAsia="zh-CN"/>
        </w:rPr>
        <w:t>台州市中心医院外科大楼窗帘、床帘、卷帘及配套轨道采购项目</w:t>
      </w:r>
      <w:r>
        <w:rPr>
          <w:rFonts w:hint="eastAsia" w:ascii="宋体" w:hAnsi="宋体" w:cs="宋体"/>
          <w:color w:val="auto"/>
          <w:sz w:val="24"/>
          <w:szCs w:val="32"/>
          <w:highlight w:val="none"/>
        </w:rPr>
        <w:t>）（编号为</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lang w:eastAsia="zh-CN"/>
        </w:rPr>
        <w:t>331000261400110000002-HZHB2026-JJ19</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）的投标，为此，我公司就本次投标有关事项郑重声明如下：</w:t>
      </w:r>
    </w:p>
    <w:p w14:paraId="2D758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rPr>
        <w:t>1、我公司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p>
    <w:p w14:paraId="4946F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rPr>
        <w:t>2、我公司不是采购人的附属机构；在获知本项目采购信息后，与采购人聘请的为此项目提供咨询服务的公司及其附属机构没有任何联系。</w:t>
      </w:r>
    </w:p>
    <w:p w14:paraId="343CA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32"/>
          <w:highlight w:val="none"/>
          <w:lang w:val="af-ZA"/>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保证，</w:t>
      </w:r>
      <w:r>
        <w:rPr>
          <w:rFonts w:hint="eastAsia" w:ascii="宋体" w:hAnsi="宋体" w:cs="宋体"/>
          <w:color w:val="auto"/>
          <w:sz w:val="24"/>
          <w:szCs w:val="32"/>
          <w:highlight w:val="none"/>
          <w:lang w:val="af-ZA"/>
        </w:rPr>
        <w:t>采购人在中华人民共和国境内使用</w:t>
      </w:r>
      <w:r>
        <w:rPr>
          <w:rFonts w:hint="eastAsia" w:ascii="宋体" w:hAnsi="宋体" w:cs="宋体"/>
          <w:color w:val="auto"/>
          <w:sz w:val="24"/>
          <w:szCs w:val="32"/>
          <w:highlight w:val="none"/>
        </w:rPr>
        <w:t>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lang w:val="af-ZA"/>
        </w:rPr>
        <w:t>投标产品、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3A157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lang w:val="af-ZA"/>
        </w:rPr>
        <w:t>、我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lang w:val="af-ZA"/>
        </w:rPr>
        <w:t>严格履行政府采购合同，不降低合同约定的产品质量和服务，不擅自变更、中止、终止合同，或拒绝履行合同义务；</w:t>
      </w:r>
    </w:p>
    <w:p w14:paraId="6B06E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、以上事项如有虚假或隐瞒，我</w:t>
      </w:r>
      <w:r>
        <w:rPr>
          <w:rFonts w:hint="eastAsia" w:ascii="宋体" w:hAnsi="宋体" w:cs="宋体"/>
          <w:color w:val="auto"/>
          <w:sz w:val="24"/>
          <w:szCs w:val="32"/>
          <w:highlight w:val="none"/>
          <w:lang w:val="zh-CN"/>
        </w:rPr>
        <w:t>公司</w:t>
      </w:r>
      <w:r>
        <w:rPr>
          <w:rFonts w:hint="eastAsia" w:ascii="宋体" w:hAnsi="宋体" w:cs="宋体"/>
          <w:color w:val="auto"/>
          <w:sz w:val="24"/>
          <w:szCs w:val="32"/>
          <w:highlight w:val="none"/>
        </w:rPr>
        <w:t>愿意承担一切后果，并不再寻求任何旨在减轻或免除法律责任的辩解。</w:t>
      </w:r>
    </w:p>
    <w:p w14:paraId="75ED7AAE">
      <w:pPr>
        <w:spacing w:line="400" w:lineRule="exact"/>
        <w:ind w:firstLine="480" w:firstLineChars="200"/>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rPr>
        <w:t>本单位若违反以上承诺，将无条件接受项目主管部门和有关监督管理部门的调查，并愿意承担取消中标资格及限制在本地区参与投标等一切法律责任。</w:t>
      </w:r>
    </w:p>
    <w:p w14:paraId="78E2B021">
      <w:pPr>
        <w:spacing w:line="400" w:lineRule="exact"/>
        <w:ind w:firstLine="480" w:firstLineChars="200"/>
        <w:rPr>
          <w:rFonts w:hint="eastAsia" w:ascii="宋体" w:hAnsi="宋体" w:cs="宋体"/>
          <w:color w:val="auto"/>
          <w:sz w:val="24"/>
          <w:szCs w:val="32"/>
          <w:highlight w:val="none"/>
          <w:lang w:val="zh-CN"/>
        </w:rPr>
      </w:pPr>
    </w:p>
    <w:p w14:paraId="7EBDDAFC">
      <w:pPr>
        <w:spacing w:line="360" w:lineRule="auto"/>
        <w:ind w:firstLine="4560" w:firstLineChars="1900"/>
        <w:rPr>
          <w:rFonts w:ascii="宋体" w:hAnsi="宋体" w:cs="宋体"/>
          <w:color w:val="auto"/>
          <w:sz w:val="24"/>
          <w:szCs w:val="32"/>
          <w:highlight w:val="none"/>
          <w:lang w:val="zh-CN"/>
        </w:rPr>
      </w:pPr>
      <w:r>
        <w:rPr>
          <w:rFonts w:hint="eastAsia" w:ascii="宋体" w:hAnsi="宋体" w:cs="宋体"/>
          <w:color w:val="auto"/>
          <w:sz w:val="24"/>
          <w:szCs w:val="32"/>
          <w:highlight w:val="none"/>
          <w:lang w:val="zh-CN"/>
        </w:rPr>
        <w:t>投标人名称（盖章）：</w:t>
      </w:r>
    </w:p>
    <w:p w14:paraId="458FF05C">
      <w:pPr>
        <w:spacing w:line="360" w:lineRule="auto"/>
        <w:jc w:val="right"/>
        <w:rPr>
          <w:rFonts w:ascii="宋体" w:hAnsi="宋体" w:cs="宋体"/>
          <w:color w:val="auto"/>
          <w:sz w:val="24"/>
          <w:szCs w:val="32"/>
          <w:highlight w:val="none"/>
          <w:lang w:val="zh-CN"/>
        </w:rPr>
      </w:pPr>
      <w:r>
        <w:rPr>
          <w:rFonts w:hint="eastAsia" w:ascii="宋体" w:hAnsi="宋体" w:cs="宋体"/>
          <w:color w:val="auto"/>
          <w:sz w:val="24"/>
          <w:szCs w:val="32"/>
          <w:highlight w:val="none"/>
          <w:lang w:val="zh-CN"/>
        </w:rPr>
        <w:t>法定代表人或授权委托代理人（签字或盖章）：</w:t>
      </w:r>
    </w:p>
    <w:p w14:paraId="58910C60">
      <w:pPr>
        <w:spacing w:line="360" w:lineRule="auto"/>
        <w:ind w:firstLine="4560" w:firstLineChars="1900"/>
        <w:rPr>
          <w:rFonts w:ascii="宋体" w:hAnsi="宋体" w:cs="宋体"/>
          <w:color w:val="auto"/>
          <w:kern w:val="0"/>
          <w:sz w:val="24"/>
          <w:highlight w:val="none"/>
        </w:rPr>
      </w:pPr>
      <w:r>
        <w:rPr>
          <w:rFonts w:hint="eastAsia" w:ascii="宋体" w:hAnsi="宋体" w:cs="宋体"/>
          <w:color w:val="auto"/>
          <w:sz w:val="24"/>
          <w:szCs w:val="32"/>
          <w:highlight w:val="none"/>
          <w:lang w:val="zh-CN"/>
        </w:rPr>
        <w:t>日期：</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年</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月</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日</w:t>
      </w:r>
    </w:p>
    <w:p w14:paraId="06B78456">
      <w:pPr>
        <w:rPr>
          <w:rFonts w:hint="eastAsia" w:ascii="宋体" w:hAnsi="宋体" w:cs="宋体"/>
          <w:b/>
          <w:color w:val="auto"/>
          <w:sz w:val="28"/>
          <w:highlight w:val="none"/>
        </w:rPr>
      </w:pPr>
      <w:bookmarkStart w:id="44" w:name="_Toc1946"/>
      <w:bookmarkStart w:id="45" w:name="_Toc5973"/>
      <w:r>
        <w:rPr>
          <w:rFonts w:hint="eastAsia" w:ascii="宋体" w:hAnsi="宋体" w:cs="宋体"/>
          <w:b/>
          <w:color w:val="auto"/>
          <w:sz w:val="28"/>
          <w:highlight w:val="none"/>
        </w:rPr>
        <w:br w:type="page"/>
      </w:r>
    </w:p>
    <w:p w14:paraId="112A47D5">
      <w:pPr>
        <w:spacing w:line="360" w:lineRule="auto"/>
        <w:outlineLvl w:val="0"/>
        <w:rPr>
          <w:rFonts w:ascii="宋体" w:hAnsi="宋体" w:cs="宋体"/>
          <w:b/>
          <w:color w:val="auto"/>
          <w:sz w:val="28"/>
          <w:highlight w:val="none"/>
        </w:rPr>
      </w:pPr>
      <w:r>
        <w:rPr>
          <w:rFonts w:hint="eastAsia" w:ascii="宋体" w:hAnsi="宋体" w:cs="宋体"/>
          <w:b/>
          <w:color w:val="auto"/>
          <w:sz w:val="28"/>
          <w:highlight w:val="none"/>
        </w:rPr>
        <w:t>附件3</w:t>
      </w:r>
      <w:bookmarkEnd w:id="44"/>
      <w:bookmarkEnd w:id="45"/>
    </w:p>
    <w:p w14:paraId="2E420877">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授权委托书</w:t>
      </w:r>
    </w:p>
    <w:p w14:paraId="41A52BFE">
      <w:pPr>
        <w:spacing w:line="360" w:lineRule="auto"/>
        <w:jc w:val="left"/>
        <w:rPr>
          <w:rFonts w:ascii="宋体" w:hAnsi="宋体" w:cs="宋体"/>
          <w:color w:val="auto"/>
          <w:sz w:val="24"/>
          <w:szCs w:val="32"/>
          <w:highlight w:val="none"/>
        </w:rPr>
      </w:pPr>
      <w:r>
        <w:rPr>
          <w:rFonts w:hint="eastAsia" w:ascii="宋体" w:hAnsi="宋体" w:cs="宋体"/>
          <w:color w:val="auto"/>
          <w:sz w:val="24"/>
          <w:szCs w:val="32"/>
          <w:highlight w:val="none"/>
          <w:u w:val="single"/>
          <w:lang w:eastAsia="zh-CN"/>
        </w:rPr>
        <w:t>杭州好邦建筑工程咨询有限公司</w:t>
      </w:r>
      <w:r>
        <w:rPr>
          <w:rFonts w:hint="eastAsia" w:ascii="宋体" w:hAnsi="宋体" w:cs="宋体"/>
          <w:color w:val="auto"/>
          <w:sz w:val="24"/>
          <w:szCs w:val="32"/>
          <w:highlight w:val="none"/>
        </w:rPr>
        <w:t>：</w:t>
      </w:r>
    </w:p>
    <w:p w14:paraId="7F7E1C3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u w:val="single"/>
        </w:rPr>
        <w:t>（投标人全称）</w:t>
      </w:r>
      <w:r>
        <w:rPr>
          <w:rFonts w:hint="eastAsia" w:ascii="宋体" w:hAnsi="宋体" w:cs="宋体"/>
          <w:color w:val="auto"/>
          <w:sz w:val="24"/>
          <w:szCs w:val="32"/>
          <w:highlight w:val="none"/>
        </w:rPr>
        <w:t>法定代表人（或营业执照中单位负责人）</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u w:val="single"/>
        </w:rPr>
        <w:t xml:space="preserve">（法定代表人或营业执照中单位负责人姓名） </w:t>
      </w:r>
      <w:r>
        <w:rPr>
          <w:rFonts w:hint="eastAsia" w:ascii="宋体" w:hAnsi="宋体" w:cs="宋体"/>
          <w:color w:val="auto"/>
          <w:sz w:val="24"/>
          <w:szCs w:val="32"/>
          <w:highlight w:val="none"/>
        </w:rPr>
        <w:t>授权</w:t>
      </w:r>
      <w:r>
        <w:rPr>
          <w:rFonts w:hint="eastAsia" w:ascii="宋体" w:hAnsi="宋体" w:cs="宋体"/>
          <w:color w:val="auto"/>
          <w:sz w:val="24"/>
          <w:szCs w:val="32"/>
          <w:highlight w:val="none"/>
          <w:u w:val="single"/>
        </w:rPr>
        <w:t xml:space="preserve"> （授权委托代理人姓名） </w:t>
      </w:r>
      <w:r>
        <w:rPr>
          <w:rFonts w:hint="eastAsia" w:ascii="宋体" w:hAnsi="宋体" w:cs="宋体"/>
          <w:color w:val="auto"/>
          <w:sz w:val="24"/>
          <w:szCs w:val="32"/>
          <w:highlight w:val="none"/>
        </w:rPr>
        <w:t>为授权委托代理人，参加贵单位组织的</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lang w:eastAsia="zh-CN"/>
        </w:rPr>
        <w:t>台州市中心医院外科大楼窗帘、床帘、卷帘及配套轨道采购项目</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的采购活动，并代表我方全权办理针对上述项目的投标、开标、评标、签约等具体事务和签署相关文件。我方对授权委托代理人的签字事项负全部责任。</w:t>
      </w:r>
    </w:p>
    <w:p w14:paraId="195F5CB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在撤销授权的书面通知以前，本授权书一直有效。授权委托代理人在授权委托书有效期内签署的所有文件不因授权的撤销而失效。</w:t>
      </w:r>
    </w:p>
    <w:p w14:paraId="00C3EB7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授权委托代理人无转委托权，特此委托。</w:t>
      </w:r>
    </w:p>
    <w:p w14:paraId="2E87879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签字或盖章：</w:t>
      </w:r>
    </w:p>
    <w:p w14:paraId="5E0F7B8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 xml:space="preserve">投标人全称（公章）：                      </w:t>
      </w:r>
      <w:r>
        <w:rPr>
          <w:rFonts w:hint="eastAsia" w:ascii="宋体" w:hAnsi="宋体" w:cs="宋体"/>
          <w:color w:val="auto"/>
          <w:sz w:val="24"/>
          <w:szCs w:val="32"/>
          <w:highlight w:val="none"/>
          <w:lang w:val="zh-CN"/>
        </w:rPr>
        <w:t>日期：</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年</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月</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日</w:t>
      </w:r>
    </w:p>
    <w:p w14:paraId="72E0CEE5">
      <w:pPr>
        <w:spacing w:line="360" w:lineRule="auto"/>
        <w:rPr>
          <w:rFonts w:ascii="宋体" w:hAnsi="宋体" w:cs="宋体"/>
          <w:b/>
          <w:bCs/>
          <w:color w:val="auto"/>
          <w:sz w:val="24"/>
          <w:szCs w:val="32"/>
          <w:highlight w:val="none"/>
        </w:rPr>
      </w:pPr>
      <w:r>
        <w:rPr>
          <w:rFonts w:hint="eastAsia" w:ascii="宋体" w:hAnsi="宋体" w:cs="宋体"/>
          <w:b/>
          <w:bCs/>
          <w:color w:val="auto"/>
          <w:sz w:val="24"/>
          <w:szCs w:val="32"/>
          <w:highlight w:val="none"/>
        </w:rPr>
        <w:t>附：</w:t>
      </w:r>
    </w:p>
    <w:tbl>
      <w:tblPr>
        <w:tblStyle w:val="27"/>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5F8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347C91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法定代表（</w:t>
            </w:r>
            <w:r>
              <w:rPr>
                <w:rFonts w:hint="eastAsia" w:ascii="宋体" w:hAnsi="宋体" w:cs="宋体"/>
                <w:b/>
                <w:color w:val="auto"/>
                <w:sz w:val="24"/>
                <w:highlight w:val="none"/>
                <w:lang w:val="en-US" w:eastAsia="zh-CN"/>
              </w:rPr>
              <w:t>或营业执照中</w:t>
            </w:r>
            <w:r>
              <w:rPr>
                <w:rFonts w:hint="eastAsia" w:ascii="宋体" w:hAnsi="宋体" w:cs="宋体"/>
                <w:b/>
                <w:color w:val="auto"/>
                <w:sz w:val="24"/>
                <w:highlight w:val="none"/>
              </w:rPr>
              <w:t>单位负责人）身份证复印件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w:t>
            </w:r>
          </w:p>
        </w:tc>
      </w:tr>
    </w:tbl>
    <w:p w14:paraId="7BD78801">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lang w:eastAsia="zh-CN"/>
        </w:rPr>
        <w:t>法定代表人</w:t>
      </w:r>
      <w:r>
        <w:rPr>
          <w:rFonts w:hint="eastAsia" w:ascii="宋体" w:hAnsi="宋体" w:cs="宋体"/>
          <w:color w:val="auto"/>
          <w:sz w:val="24"/>
          <w:szCs w:val="32"/>
          <w:highlight w:val="none"/>
        </w:rPr>
        <w:t>姓名：</w:t>
      </w:r>
    </w:p>
    <w:p w14:paraId="3F82C225">
      <w:pPr>
        <w:spacing w:line="360" w:lineRule="auto"/>
        <w:rPr>
          <w:rFonts w:hint="eastAsia" w:ascii="宋体" w:hAnsi="宋体" w:cs="宋体"/>
          <w:color w:val="auto"/>
          <w:sz w:val="24"/>
          <w:szCs w:val="32"/>
          <w:highlight w:val="none"/>
        </w:rPr>
      </w:pPr>
    </w:p>
    <w:p w14:paraId="51C0CA9A">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传真：</w:t>
      </w:r>
    </w:p>
    <w:p w14:paraId="0D0FBCA8">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手机：</w:t>
      </w:r>
    </w:p>
    <w:p w14:paraId="3AB0EC4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详细通讯地址：</w:t>
      </w:r>
    </w:p>
    <w:p w14:paraId="117660E2">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邮政编码：</w:t>
      </w:r>
    </w:p>
    <w:p w14:paraId="79BEDDBE">
      <w:pPr>
        <w:spacing w:line="360" w:lineRule="auto"/>
        <w:rPr>
          <w:rFonts w:ascii="宋体" w:hAnsi="宋体" w:cs="宋体"/>
          <w:b/>
          <w:color w:val="auto"/>
          <w:sz w:val="24"/>
          <w:highlight w:val="none"/>
        </w:rPr>
      </w:pPr>
    </w:p>
    <w:tbl>
      <w:tblPr>
        <w:tblStyle w:val="27"/>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516E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3BFE4C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授权委托代理人身份证复印件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w:t>
            </w:r>
          </w:p>
        </w:tc>
      </w:tr>
    </w:tbl>
    <w:p w14:paraId="3E2A05DE">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授权委托代理人姓名：</w:t>
      </w:r>
    </w:p>
    <w:p w14:paraId="0E7E7D8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职务：</w:t>
      </w:r>
    </w:p>
    <w:p w14:paraId="113A1DDF">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传真：</w:t>
      </w:r>
    </w:p>
    <w:p w14:paraId="6CFFB5F8">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手机：</w:t>
      </w:r>
    </w:p>
    <w:p w14:paraId="69106888">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详细通讯地址：</w:t>
      </w:r>
    </w:p>
    <w:p w14:paraId="29472A1E">
      <w:pPr>
        <w:spacing w:line="360" w:lineRule="auto"/>
        <w:rPr>
          <w:rFonts w:ascii="宋体" w:hAnsi="宋体" w:cs="宋体"/>
          <w:b/>
          <w:bCs/>
          <w:color w:val="auto"/>
          <w:sz w:val="28"/>
          <w:szCs w:val="36"/>
          <w:highlight w:val="none"/>
        </w:rPr>
      </w:pPr>
      <w:r>
        <w:rPr>
          <w:rFonts w:hint="eastAsia" w:ascii="宋体" w:hAnsi="宋体" w:cs="宋体"/>
          <w:color w:val="auto"/>
          <w:sz w:val="24"/>
          <w:szCs w:val="32"/>
          <w:highlight w:val="none"/>
        </w:rPr>
        <w:t>邮政编码：</w:t>
      </w:r>
    </w:p>
    <w:p w14:paraId="4F7B6773">
      <w:pPr>
        <w:spacing w:line="360" w:lineRule="auto"/>
        <w:outlineLvl w:val="0"/>
        <w:rPr>
          <w:rFonts w:ascii="宋体" w:hAnsi="宋体" w:cs="宋体"/>
          <w:b/>
          <w:bCs/>
          <w:color w:val="auto"/>
          <w:sz w:val="28"/>
          <w:szCs w:val="36"/>
          <w:highlight w:val="none"/>
        </w:rPr>
        <w:sectPr>
          <w:pgSz w:w="11906" w:h="16838"/>
          <w:pgMar w:top="1440" w:right="1080" w:bottom="1440" w:left="1080" w:header="851" w:footer="992" w:gutter="0"/>
          <w:pgNumType w:fmt="decimal"/>
          <w:cols w:space="0" w:num="1"/>
          <w:rtlGutter w:val="0"/>
          <w:docGrid w:type="lines" w:linePitch="317" w:charSpace="0"/>
        </w:sectPr>
      </w:pPr>
      <w:bookmarkStart w:id="46" w:name="_Toc10120"/>
      <w:bookmarkStart w:id="47" w:name="_Toc31224"/>
    </w:p>
    <w:p w14:paraId="09E70155">
      <w:pPr>
        <w:spacing w:line="360" w:lineRule="auto"/>
        <w:outlineLvl w:val="0"/>
        <w:rPr>
          <w:rFonts w:ascii="宋体" w:hAnsi="宋体" w:cs="宋体"/>
          <w:b/>
          <w:bCs/>
          <w:color w:val="auto"/>
          <w:sz w:val="28"/>
          <w:szCs w:val="36"/>
          <w:highlight w:val="none"/>
        </w:rPr>
      </w:pPr>
      <w:r>
        <w:rPr>
          <w:rFonts w:hint="eastAsia" w:ascii="宋体" w:hAnsi="宋体" w:cs="宋体"/>
          <w:b/>
          <w:bCs/>
          <w:color w:val="auto"/>
          <w:sz w:val="28"/>
          <w:szCs w:val="36"/>
          <w:highlight w:val="none"/>
        </w:rPr>
        <w:t>附件</w:t>
      </w:r>
      <w:bookmarkEnd w:id="46"/>
      <w:bookmarkEnd w:id="47"/>
      <w:bookmarkStart w:id="48" w:name="_Toc495302721"/>
      <w:r>
        <w:rPr>
          <w:rFonts w:hint="eastAsia" w:ascii="宋体" w:hAnsi="宋体" w:cs="宋体"/>
          <w:b/>
          <w:bCs/>
          <w:color w:val="auto"/>
          <w:sz w:val="28"/>
          <w:szCs w:val="36"/>
          <w:highlight w:val="none"/>
        </w:rPr>
        <w:t>4</w:t>
      </w:r>
    </w:p>
    <w:p w14:paraId="317B65E5">
      <w:pPr>
        <w:spacing w:after="317" w:afterLines="100" w:line="360" w:lineRule="auto"/>
        <w:jc w:val="left"/>
        <w:rPr>
          <w:rFonts w:ascii="宋体" w:hAnsi="宋体" w:cs="仿宋_GB2312"/>
          <w:bCs/>
          <w:color w:val="auto"/>
          <w:kern w:val="0"/>
          <w:sz w:val="24"/>
          <w:highlight w:val="none"/>
          <w:lang w:val="zh-CN"/>
        </w:rPr>
      </w:pPr>
    </w:p>
    <w:p w14:paraId="0F967387">
      <w:pPr>
        <w:spacing w:line="360" w:lineRule="auto"/>
        <w:jc w:val="center"/>
        <w:outlineLvl w:val="0"/>
        <w:rPr>
          <w:rFonts w:eastAsia="黑体"/>
          <w:b/>
          <w:color w:val="auto"/>
          <w:sz w:val="30"/>
          <w:szCs w:val="30"/>
          <w:highlight w:val="none"/>
          <w:lang w:val="zh-CN"/>
        </w:rPr>
      </w:pPr>
      <w:r>
        <w:rPr>
          <w:rFonts w:hint="eastAsia" w:eastAsia="黑体"/>
          <w:b/>
          <w:color w:val="auto"/>
          <w:sz w:val="30"/>
          <w:szCs w:val="30"/>
          <w:highlight w:val="none"/>
          <w:lang w:val="zh-CN"/>
        </w:rPr>
        <w:t>具备健全的财务会计制度的承诺函</w:t>
      </w:r>
    </w:p>
    <w:p w14:paraId="348125A5">
      <w:pPr>
        <w:snapToGrid w:val="0"/>
        <w:spacing w:line="480" w:lineRule="auto"/>
        <w:ind w:firstLine="480" w:firstLineChars="200"/>
        <w:jc w:val="left"/>
        <w:rPr>
          <w:rFonts w:ascii="宋体" w:hAnsi="宋体" w:cs="宋体"/>
          <w:color w:val="auto"/>
          <w:sz w:val="24"/>
          <w:highlight w:val="none"/>
        </w:rPr>
      </w:pPr>
    </w:p>
    <w:p w14:paraId="22A20E98">
      <w:pPr>
        <w:snapToGrid w:val="0"/>
        <w:spacing w:line="48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台州市中心医院（台州学院附属医院）</w:t>
      </w:r>
    </w:p>
    <w:p w14:paraId="34AEE5ED">
      <w:pPr>
        <w:snapToGri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我公司参加</w:t>
      </w:r>
      <w:r>
        <w:rPr>
          <w:rFonts w:hint="eastAsia" w:ascii="宋体" w:hAnsi="宋体" w:cs="宋体"/>
          <w:color w:val="auto"/>
          <w:sz w:val="24"/>
          <w:highlight w:val="none"/>
          <w:u w:val="single"/>
          <w:lang w:eastAsia="zh-CN"/>
        </w:rPr>
        <w:t>台州市中心医院外科大楼窗帘、床帘、卷帘及配套轨道采购项目</w:t>
      </w:r>
      <w:r>
        <w:rPr>
          <w:rFonts w:hint="eastAsia" w:ascii="宋体" w:hAnsi="宋体" w:cs="宋体"/>
          <w:color w:val="auto"/>
          <w:sz w:val="24"/>
          <w:highlight w:val="none"/>
        </w:rPr>
        <w:t>（编号为</w:t>
      </w:r>
      <w:r>
        <w:rPr>
          <w:rFonts w:hint="eastAsia" w:ascii="宋体" w:hAnsi="宋体" w:cs="宋体"/>
          <w:color w:val="auto"/>
          <w:sz w:val="24"/>
          <w:highlight w:val="none"/>
          <w:lang w:eastAsia="zh-CN"/>
        </w:rPr>
        <w:t>331000261400110000002-HZHB2026-JJ19</w:t>
      </w:r>
      <w:r>
        <w:rPr>
          <w:rFonts w:hint="eastAsia" w:ascii="宋体" w:hAnsi="宋体" w:cs="宋体"/>
          <w:color w:val="auto"/>
          <w:sz w:val="24"/>
          <w:highlight w:val="none"/>
        </w:rPr>
        <w:t>）的投标活动，</w:t>
      </w:r>
      <w:r>
        <w:rPr>
          <w:rFonts w:hint="eastAsia" w:ascii="宋体" w:hAnsi="宋体" w:cs="宋体"/>
          <w:color w:val="auto"/>
          <w:sz w:val="24"/>
          <w:highlight w:val="none"/>
          <w:lang w:eastAsia="zh-CN"/>
        </w:rPr>
        <w:t>做</w:t>
      </w:r>
      <w:r>
        <w:rPr>
          <w:rFonts w:hint="eastAsia" w:ascii="宋体" w:hAnsi="宋体" w:cs="宋体"/>
          <w:color w:val="auto"/>
          <w:sz w:val="24"/>
          <w:highlight w:val="none"/>
        </w:rPr>
        <w:t>如下承诺：</w:t>
      </w:r>
    </w:p>
    <w:p w14:paraId="55FA7006">
      <w:pPr>
        <w:snapToGri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我公司在参加本项目政府采购活动前，没有处于被责令停产、财产被接管、冻结或破产状态，具有足够的流动资金，有能力履行合同；我公司具有良好的商业信誉和健全的财务会计制度。</w:t>
      </w:r>
    </w:p>
    <w:p w14:paraId="414D1571">
      <w:pPr>
        <w:snapToGri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如违反以上承诺，本公司愿承担一切法律责任。</w:t>
      </w:r>
    </w:p>
    <w:p w14:paraId="35ED6A75">
      <w:pPr>
        <w:snapToGrid w:val="0"/>
        <w:spacing w:line="480" w:lineRule="auto"/>
        <w:jc w:val="left"/>
        <w:rPr>
          <w:rFonts w:ascii="宋体" w:hAnsi="宋体" w:cs="宋体"/>
          <w:color w:val="auto"/>
          <w:sz w:val="24"/>
          <w:highlight w:val="none"/>
        </w:rPr>
      </w:pPr>
    </w:p>
    <w:p w14:paraId="5E82CECA">
      <w:pPr>
        <w:spacing w:line="360" w:lineRule="auto"/>
        <w:ind w:firstLine="424" w:firstLineChars="177"/>
        <w:rPr>
          <w:rFonts w:ascii="宋体" w:hAnsi="宋体"/>
          <w:color w:val="auto"/>
          <w:sz w:val="24"/>
          <w:highlight w:val="none"/>
        </w:rPr>
      </w:pPr>
    </w:p>
    <w:p w14:paraId="199830FC">
      <w:pPr>
        <w:spacing w:line="360" w:lineRule="auto"/>
        <w:ind w:firstLine="424" w:firstLineChars="177"/>
        <w:rPr>
          <w:rFonts w:ascii="宋体" w:hAnsi="宋体"/>
          <w:color w:val="auto"/>
          <w:sz w:val="24"/>
          <w:highlight w:val="none"/>
        </w:rPr>
      </w:pPr>
    </w:p>
    <w:p w14:paraId="31744C7F">
      <w:pPr>
        <w:spacing w:line="360" w:lineRule="auto"/>
        <w:ind w:firstLine="424" w:firstLineChars="177"/>
        <w:rPr>
          <w:rFonts w:ascii="宋体" w:hAnsi="宋体"/>
          <w:color w:val="auto"/>
          <w:sz w:val="24"/>
          <w:highlight w:val="none"/>
          <w:u w:val="single"/>
        </w:rPr>
      </w:pPr>
      <w:r>
        <w:rPr>
          <w:rFonts w:hint="eastAsia" w:ascii="宋体" w:hAnsi="宋体"/>
          <w:color w:val="auto"/>
          <w:sz w:val="24"/>
          <w:highlight w:val="none"/>
          <w:lang w:eastAsia="zh-CN"/>
        </w:rPr>
        <w:t>投标人名称（盖章）</w:t>
      </w:r>
      <w:r>
        <w:rPr>
          <w:rFonts w:hint="eastAsia" w:ascii="宋体" w:hAnsi="宋体"/>
          <w:color w:val="auto"/>
          <w:sz w:val="24"/>
          <w:highlight w:val="none"/>
        </w:rPr>
        <w:t>：</w:t>
      </w:r>
    </w:p>
    <w:p w14:paraId="192CBBD7">
      <w:pPr>
        <w:spacing w:line="360" w:lineRule="auto"/>
        <w:ind w:left="420"/>
        <w:rPr>
          <w:rFonts w:ascii="宋体" w:hAnsi="宋体"/>
          <w:color w:val="auto"/>
          <w:sz w:val="24"/>
          <w:highlight w:val="none"/>
        </w:rPr>
      </w:pPr>
    </w:p>
    <w:p w14:paraId="20AF603A">
      <w:pPr>
        <w:spacing w:line="360" w:lineRule="auto"/>
        <w:ind w:firstLine="424" w:firstLineChars="177"/>
        <w:rPr>
          <w:rFonts w:ascii="宋体" w:hAnsi="宋体"/>
          <w:color w:val="auto"/>
          <w:sz w:val="24"/>
          <w:highlight w:val="none"/>
        </w:rPr>
      </w:pPr>
      <w:r>
        <w:rPr>
          <w:rFonts w:hint="eastAsia" w:ascii="宋体" w:hAnsi="宋体" w:cs="仿宋_GB2312"/>
          <w:color w:val="auto"/>
          <w:kern w:val="0"/>
          <w:sz w:val="24"/>
          <w:highlight w:val="none"/>
          <w:lang w:val="zh-CN"/>
        </w:rPr>
        <w:t>法定代表人或授权委托代理人（签字或盖章）</w:t>
      </w:r>
      <w:r>
        <w:rPr>
          <w:rFonts w:hint="eastAsia" w:ascii="宋体" w:hAnsi="宋体"/>
          <w:color w:val="auto"/>
          <w:sz w:val="24"/>
          <w:highlight w:val="none"/>
        </w:rPr>
        <w:t>：</w:t>
      </w:r>
    </w:p>
    <w:p w14:paraId="7BD70666">
      <w:pPr>
        <w:spacing w:line="360" w:lineRule="auto"/>
        <w:rPr>
          <w:rFonts w:ascii="宋体" w:hAnsi="宋体"/>
          <w:color w:val="auto"/>
          <w:sz w:val="24"/>
          <w:highlight w:val="none"/>
        </w:rPr>
      </w:pPr>
    </w:p>
    <w:p w14:paraId="1CE4004D">
      <w:pPr>
        <w:pStyle w:val="54"/>
        <w:shd w:val="clear" w:color="auto" w:fill="FFFFFF"/>
        <w:spacing w:before="0" w:beforeAutospacing="0" w:after="0" w:afterAutospacing="0" w:line="360" w:lineRule="auto"/>
        <w:ind w:firstLine="424" w:firstLineChars="177"/>
        <w:rPr>
          <w:b/>
          <w:bCs/>
          <w:color w:val="auto"/>
          <w:spacing w:val="11"/>
          <w:highlight w:val="none"/>
        </w:rPr>
      </w:pPr>
      <w:r>
        <w:rPr>
          <w:rFonts w:hint="eastAsia"/>
          <w:color w:val="auto"/>
          <w:highlight w:val="none"/>
        </w:rPr>
        <w:t>日        期：</w:t>
      </w:r>
    </w:p>
    <w:p w14:paraId="6A3C09A5">
      <w:pPr>
        <w:widowControl/>
        <w:jc w:val="left"/>
        <w:rPr>
          <w:b/>
          <w:bCs/>
          <w:color w:val="auto"/>
          <w:sz w:val="32"/>
          <w:szCs w:val="32"/>
          <w:highlight w:val="none"/>
          <w:lang w:val="zh-CN"/>
        </w:rPr>
      </w:pPr>
    </w:p>
    <w:p w14:paraId="25916DD5">
      <w:pPr>
        <w:rPr>
          <w:rFonts w:ascii="宋体" w:hAnsi="宋体" w:cs="宋体"/>
          <w:b/>
          <w:bCs/>
          <w:color w:val="auto"/>
          <w:sz w:val="32"/>
          <w:szCs w:val="40"/>
          <w:highlight w:val="none"/>
        </w:rPr>
      </w:pPr>
      <w:r>
        <w:rPr>
          <w:rFonts w:hint="eastAsia" w:ascii="宋体" w:hAnsi="宋体" w:cs="宋体"/>
          <w:b/>
          <w:bCs/>
          <w:color w:val="auto"/>
          <w:sz w:val="32"/>
          <w:szCs w:val="40"/>
          <w:highlight w:val="none"/>
        </w:rPr>
        <w:br w:type="page"/>
      </w:r>
    </w:p>
    <w:bookmarkEnd w:id="48"/>
    <w:p w14:paraId="19DB40B7">
      <w:pPr>
        <w:snapToGrid w:val="0"/>
        <w:spacing w:line="360" w:lineRule="auto"/>
        <w:rPr>
          <w:rFonts w:ascii="宋体" w:hAnsi="宋体"/>
          <w:b/>
          <w:color w:val="auto"/>
          <w:sz w:val="28"/>
          <w:highlight w:val="none"/>
        </w:rPr>
      </w:pPr>
      <w:r>
        <w:rPr>
          <w:rFonts w:hint="eastAsia" w:ascii="宋体" w:hAnsi="宋体"/>
          <w:b/>
          <w:color w:val="auto"/>
          <w:sz w:val="28"/>
          <w:highlight w:val="none"/>
        </w:rPr>
        <w:t>附件5</w:t>
      </w:r>
    </w:p>
    <w:p w14:paraId="66FB3139">
      <w:pPr>
        <w:adjustRightInd w:val="0"/>
        <w:snapToGrid w:val="0"/>
        <w:jc w:val="center"/>
        <w:rPr>
          <w:b/>
          <w:bCs/>
          <w:color w:val="auto"/>
          <w:sz w:val="28"/>
          <w:szCs w:val="21"/>
          <w:highlight w:val="none"/>
        </w:rPr>
      </w:pPr>
    </w:p>
    <w:p w14:paraId="7AA7A72D">
      <w:pPr>
        <w:adjustRightInd w:val="0"/>
        <w:snapToGrid w:val="0"/>
        <w:jc w:val="center"/>
        <w:rPr>
          <w:b/>
          <w:bCs/>
          <w:color w:val="auto"/>
          <w:sz w:val="32"/>
          <w:szCs w:val="32"/>
          <w:highlight w:val="none"/>
        </w:rPr>
      </w:pPr>
      <w:r>
        <w:rPr>
          <w:rFonts w:hint="eastAsia"/>
          <w:b/>
          <w:bCs/>
          <w:color w:val="auto"/>
          <w:sz w:val="32"/>
          <w:szCs w:val="32"/>
          <w:highlight w:val="none"/>
          <w:lang w:val="zh-CN"/>
        </w:rPr>
        <w:t>无税收缴纳、社会保障等方面的失信记录的承诺函</w:t>
      </w:r>
    </w:p>
    <w:p w14:paraId="20C6B965">
      <w:pPr>
        <w:adjustRightInd w:val="0"/>
        <w:snapToGrid w:val="0"/>
        <w:jc w:val="center"/>
        <w:rPr>
          <w:rFonts w:ascii="宋体" w:hAnsi="宋体" w:cs="宋体"/>
          <w:b/>
          <w:bCs/>
          <w:color w:val="auto"/>
          <w:szCs w:val="21"/>
          <w:highlight w:val="none"/>
        </w:rPr>
      </w:pPr>
    </w:p>
    <w:p w14:paraId="362B2042">
      <w:pPr>
        <w:adjustRightInd w:val="0"/>
        <w:snapToGrid w:val="0"/>
        <w:rPr>
          <w:rFonts w:ascii="宋体" w:hAnsi="宋体" w:cs="宋体"/>
          <w:color w:val="auto"/>
          <w:highlight w:val="none"/>
        </w:rPr>
      </w:pPr>
    </w:p>
    <w:p w14:paraId="71783A42">
      <w:pPr>
        <w:widowControl/>
        <w:adjustRightInd w:val="0"/>
        <w:snapToGrid w:val="0"/>
        <w:spacing w:line="360" w:lineRule="auto"/>
        <w:jc w:val="left"/>
        <w:rPr>
          <w:rFonts w:ascii="宋体" w:hAnsi="宋体" w:cs="宋体"/>
          <w:color w:val="auto"/>
          <w:kern w:val="0"/>
          <w:sz w:val="24"/>
          <w:highlight w:val="none"/>
          <w:u w:val="single"/>
        </w:rPr>
      </w:pPr>
    </w:p>
    <w:p w14:paraId="5D2C2845">
      <w:pPr>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台州市中心医院（台州学院附属医院）</w:t>
      </w:r>
    </w:p>
    <w:p w14:paraId="0AA4A072">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我公司参加</w:t>
      </w:r>
      <w:r>
        <w:rPr>
          <w:rFonts w:hint="eastAsia" w:ascii="宋体" w:hAnsi="宋体" w:cs="宋体"/>
          <w:color w:val="auto"/>
          <w:sz w:val="24"/>
          <w:highlight w:val="none"/>
          <w:u w:val="single"/>
          <w:lang w:eastAsia="zh-CN"/>
        </w:rPr>
        <w:t>台州市中心医院外科大楼窗帘、床帘、卷帘及配套轨道采购项目</w:t>
      </w:r>
      <w:r>
        <w:rPr>
          <w:rFonts w:hint="eastAsia" w:ascii="宋体" w:hAnsi="宋体" w:cs="宋体"/>
          <w:color w:val="auto"/>
          <w:sz w:val="24"/>
          <w:highlight w:val="none"/>
        </w:rPr>
        <w:t>（编号为</w:t>
      </w:r>
      <w:r>
        <w:rPr>
          <w:rFonts w:hint="eastAsia" w:ascii="宋体" w:hAnsi="宋体" w:cs="宋体"/>
          <w:color w:val="auto"/>
          <w:sz w:val="24"/>
          <w:highlight w:val="none"/>
          <w:lang w:eastAsia="zh-CN"/>
        </w:rPr>
        <w:t>331000261400110000002-HZHB2026-JJ19</w:t>
      </w:r>
      <w:r>
        <w:rPr>
          <w:rFonts w:hint="eastAsia" w:ascii="宋体" w:hAnsi="宋体" w:cs="宋体"/>
          <w:color w:val="auto"/>
          <w:sz w:val="24"/>
          <w:highlight w:val="none"/>
        </w:rPr>
        <w:t>）</w:t>
      </w:r>
      <w:r>
        <w:rPr>
          <w:rFonts w:hint="eastAsia" w:ascii="宋体" w:hAnsi="宋体"/>
          <w:color w:val="auto"/>
          <w:sz w:val="24"/>
          <w:highlight w:val="none"/>
        </w:rPr>
        <w:t>的投标活动，</w:t>
      </w:r>
      <w:r>
        <w:rPr>
          <w:rFonts w:hint="eastAsia" w:ascii="宋体" w:hAnsi="宋体"/>
          <w:color w:val="auto"/>
          <w:sz w:val="24"/>
          <w:highlight w:val="none"/>
          <w:lang w:eastAsia="zh-CN"/>
        </w:rPr>
        <w:t>做</w:t>
      </w:r>
      <w:r>
        <w:rPr>
          <w:rFonts w:hint="eastAsia" w:ascii="宋体" w:hAnsi="宋体"/>
          <w:color w:val="auto"/>
          <w:sz w:val="24"/>
          <w:highlight w:val="none"/>
        </w:rPr>
        <w:t>如下承诺：</w:t>
      </w:r>
    </w:p>
    <w:p w14:paraId="7B2A97CB">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我公司在参加本项目政府采购活动前，符合参与政府采购活动的资格条件，有依法缴纳税收（享受免税政策的则无欠税）和社会保障资金的良好记录，不存在税收缴纳、社会保障等方面的失信记录。</w:t>
      </w:r>
    </w:p>
    <w:p w14:paraId="23C48E29">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如违反以上承诺，本公司愿承担一切法律责任。</w:t>
      </w:r>
    </w:p>
    <w:p w14:paraId="59713F06">
      <w:pPr>
        <w:spacing w:line="360" w:lineRule="auto"/>
        <w:ind w:firstLine="424" w:firstLineChars="177"/>
        <w:rPr>
          <w:rFonts w:ascii="宋体" w:hAnsi="宋体"/>
          <w:color w:val="auto"/>
          <w:sz w:val="24"/>
          <w:highlight w:val="none"/>
        </w:rPr>
      </w:pPr>
    </w:p>
    <w:p w14:paraId="2CF4D0F4">
      <w:pPr>
        <w:spacing w:line="360" w:lineRule="auto"/>
        <w:ind w:firstLine="424" w:firstLineChars="177"/>
        <w:rPr>
          <w:rFonts w:ascii="宋体" w:hAnsi="宋体"/>
          <w:color w:val="auto"/>
          <w:sz w:val="24"/>
          <w:highlight w:val="none"/>
        </w:rPr>
      </w:pPr>
    </w:p>
    <w:p w14:paraId="275FD899">
      <w:pPr>
        <w:spacing w:line="360" w:lineRule="auto"/>
        <w:ind w:firstLine="424" w:firstLineChars="177"/>
        <w:rPr>
          <w:rFonts w:ascii="宋体" w:hAnsi="宋体"/>
          <w:color w:val="auto"/>
          <w:sz w:val="24"/>
          <w:highlight w:val="none"/>
        </w:rPr>
      </w:pPr>
    </w:p>
    <w:p w14:paraId="01D392F0">
      <w:pPr>
        <w:spacing w:line="360" w:lineRule="auto"/>
        <w:ind w:firstLine="424" w:firstLineChars="177"/>
        <w:rPr>
          <w:rFonts w:ascii="宋体" w:hAnsi="宋体"/>
          <w:color w:val="auto"/>
          <w:sz w:val="24"/>
          <w:highlight w:val="none"/>
        </w:rPr>
      </w:pPr>
    </w:p>
    <w:p w14:paraId="01F4E1EC">
      <w:pPr>
        <w:spacing w:line="360" w:lineRule="auto"/>
        <w:ind w:firstLine="424" w:firstLineChars="177"/>
        <w:rPr>
          <w:rFonts w:ascii="宋体" w:hAnsi="宋体"/>
          <w:color w:val="auto"/>
          <w:sz w:val="24"/>
          <w:highlight w:val="none"/>
          <w:u w:val="single"/>
        </w:rPr>
      </w:pPr>
      <w:r>
        <w:rPr>
          <w:rFonts w:hint="eastAsia" w:ascii="宋体" w:hAnsi="宋体"/>
          <w:color w:val="auto"/>
          <w:sz w:val="24"/>
          <w:highlight w:val="none"/>
          <w:lang w:eastAsia="zh-CN"/>
        </w:rPr>
        <w:t>投标人名称（盖章）</w:t>
      </w:r>
      <w:r>
        <w:rPr>
          <w:rFonts w:hint="eastAsia" w:ascii="宋体" w:hAnsi="宋体"/>
          <w:color w:val="auto"/>
          <w:sz w:val="24"/>
          <w:highlight w:val="none"/>
        </w:rPr>
        <w:t>：</w:t>
      </w:r>
    </w:p>
    <w:p w14:paraId="13591146">
      <w:pPr>
        <w:spacing w:line="360" w:lineRule="auto"/>
        <w:ind w:left="420"/>
        <w:rPr>
          <w:rFonts w:ascii="宋体" w:hAnsi="宋体"/>
          <w:color w:val="auto"/>
          <w:sz w:val="24"/>
          <w:highlight w:val="none"/>
        </w:rPr>
      </w:pPr>
    </w:p>
    <w:p w14:paraId="67ED6C79">
      <w:pPr>
        <w:spacing w:line="360" w:lineRule="auto"/>
        <w:ind w:firstLine="424" w:firstLineChars="177"/>
        <w:rPr>
          <w:rFonts w:ascii="宋体" w:hAnsi="宋体"/>
          <w:color w:val="auto"/>
          <w:sz w:val="24"/>
          <w:highlight w:val="none"/>
        </w:rPr>
      </w:pPr>
      <w:r>
        <w:rPr>
          <w:rFonts w:hint="eastAsia" w:ascii="宋体" w:hAnsi="宋体" w:cs="仿宋_GB2312"/>
          <w:color w:val="auto"/>
          <w:kern w:val="0"/>
          <w:sz w:val="24"/>
          <w:highlight w:val="none"/>
          <w:lang w:val="zh-CN"/>
        </w:rPr>
        <w:t>法定代表人或授权委托代理人（签字或盖章）</w:t>
      </w:r>
      <w:r>
        <w:rPr>
          <w:rFonts w:hint="eastAsia" w:ascii="宋体" w:hAnsi="宋体"/>
          <w:color w:val="auto"/>
          <w:sz w:val="24"/>
          <w:highlight w:val="none"/>
        </w:rPr>
        <w:t>：</w:t>
      </w:r>
    </w:p>
    <w:p w14:paraId="17190588">
      <w:pPr>
        <w:spacing w:line="360" w:lineRule="auto"/>
        <w:rPr>
          <w:rFonts w:ascii="宋体" w:hAnsi="宋体"/>
          <w:color w:val="auto"/>
          <w:sz w:val="24"/>
          <w:highlight w:val="none"/>
        </w:rPr>
      </w:pPr>
    </w:p>
    <w:p w14:paraId="1829EA93">
      <w:pPr>
        <w:ind w:firstLine="420" w:firstLineChars="200"/>
        <w:rPr>
          <w:rFonts w:ascii="宋体" w:hAnsi="宋体" w:cs="宋体"/>
          <w:b/>
          <w:bCs/>
          <w:color w:val="auto"/>
          <w:sz w:val="28"/>
          <w:szCs w:val="36"/>
          <w:highlight w:val="none"/>
          <w:lang w:val="zh-CN"/>
        </w:rPr>
      </w:pPr>
      <w:r>
        <w:rPr>
          <w:rFonts w:hint="eastAsia"/>
          <w:color w:val="auto"/>
          <w:highlight w:val="none"/>
        </w:rPr>
        <w:t>日        期：</w:t>
      </w:r>
    </w:p>
    <w:p w14:paraId="18466414">
      <w:pPr>
        <w:rPr>
          <w:rFonts w:ascii="宋体" w:hAnsi="宋体" w:cs="宋体"/>
          <w:b/>
          <w:color w:val="auto"/>
          <w:sz w:val="28"/>
          <w:highlight w:val="none"/>
        </w:rPr>
      </w:pPr>
      <w:r>
        <w:rPr>
          <w:rFonts w:hint="eastAsia" w:ascii="宋体" w:hAnsi="宋体" w:cs="宋体"/>
          <w:b/>
          <w:color w:val="auto"/>
          <w:sz w:val="28"/>
          <w:highlight w:val="none"/>
        </w:rPr>
        <w:br w:type="page"/>
      </w:r>
    </w:p>
    <w:p w14:paraId="6E84C7B7">
      <w:pPr>
        <w:snapToGrid w:val="0"/>
        <w:spacing w:line="360" w:lineRule="auto"/>
        <w:rPr>
          <w:rFonts w:hint="eastAsia" w:ascii="宋体" w:hAnsi="宋体" w:eastAsia="宋体"/>
          <w:b/>
          <w:color w:val="auto"/>
          <w:sz w:val="28"/>
          <w:highlight w:val="none"/>
          <w:lang w:eastAsia="zh-CN"/>
        </w:rPr>
      </w:pPr>
      <w:r>
        <w:rPr>
          <w:rFonts w:hint="eastAsia" w:ascii="宋体" w:hAnsi="宋体"/>
          <w:b/>
          <w:color w:val="auto"/>
          <w:sz w:val="28"/>
          <w:highlight w:val="none"/>
        </w:rPr>
        <w:t>附件</w:t>
      </w:r>
      <w:r>
        <w:rPr>
          <w:rFonts w:hint="eastAsia" w:ascii="宋体" w:hAnsi="宋体"/>
          <w:b/>
          <w:color w:val="auto"/>
          <w:sz w:val="28"/>
          <w:highlight w:val="none"/>
          <w:lang w:val="en-US" w:eastAsia="zh-CN"/>
        </w:rPr>
        <w:t>6</w:t>
      </w:r>
    </w:p>
    <w:p w14:paraId="307D0603">
      <w:pPr>
        <w:adjustRightInd w:val="0"/>
        <w:snapToGrid w:val="0"/>
        <w:jc w:val="center"/>
        <w:rPr>
          <w:b/>
          <w:bCs/>
          <w:color w:val="auto"/>
          <w:sz w:val="28"/>
          <w:szCs w:val="21"/>
          <w:highlight w:val="none"/>
        </w:rPr>
      </w:pPr>
    </w:p>
    <w:p w14:paraId="0B6E2874">
      <w:pPr>
        <w:adjustRightInd w:val="0"/>
        <w:snapToGrid w:val="0"/>
        <w:jc w:val="center"/>
        <w:rPr>
          <w:b/>
          <w:bCs/>
          <w:color w:val="auto"/>
          <w:sz w:val="32"/>
          <w:szCs w:val="32"/>
          <w:highlight w:val="none"/>
        </w:rPr>
      </w:pPr>
      <w:r>
        <w:rPr>
          <w:rFonts w:hint="eastAsia"/>
          <w:b/>
          <w:bCs/>
          <w:color w:val="auto"/>
          <w:sz w:val="32"/>
          <w:szCs w:val="32"/>
          <w:highlight w:val="none"/>
          <w:lang w:val="zh-CN"/>
        </w:rPr>
        <w:t>具有履行合同所必须的设备和专业技术能力的承诺函</w:t>
      </w:r>
    </w:p>
    <w:p w14:paraId="76E60BCC">
      <w:pPr>
        <w:adjustRightInd w:val="0"/>
        <w:snapToGrid w:val="0"/>
        <w:jc w:val="center"/>
        <w:rPr>
          <w:rFonts w:ascii="宋体" w:hAnsi="宋体" w:cs="宋体"/>
          <w:b/>
          <w:bCs/>
          <w:color w:val="auto"/>
          <w:szCs w:val="21"/>
          <w:highlight w:val="none"/>
        </w:rPr>
      </w:pPr>
    </w:p>
    <w:p w14:paraId="40F97301">
      <w:pPr>
        <w:adjustRightInd w:val="0"/>
        <w:snapToGrid w:val="0"/>
        <w:rPr>
          <w:rFonts w:ascii="宋体" w:hAnsi="宋体" w:cs="宋体"/>
          <w:color w:val="auto"/>
          <w:highlight w:val="none"/>
        </w:rPr>
      </w:pPr>
    </w:p>
    <w:p w14:paraId="2861BC17">
      <w:pPr>
        <w:widowControl/>
        <w:adjustRightInd w:val="0"/>
        <w:snapToGrid w:val="0"/>
        <w:spacing w:line="360" w:lineRule="auto"/>
        <w:jc w:val="left"/>
        <w:rPr>
          <w:rFonts w:ascii="宋体" w:hAnsi="宋体" w:cs="宋体"/>
          <w:color w:val="auto"/>
          <w:kern w:val="0"/>
          <w:sz w:val="24"/>
          <w:highlight w:val="none"/>
          <w:u w:val="single"/>
        </w:rPr>
      </w:pPr>
    </w:p>
    <w:p w14:paraId="6AFBD8D7">
      <w:pPr>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台州市中心医院（台州学院附属医院）</w:t>
      </w:r>
    </w:p>
    <w:p w14:paraId="276B9BC5">
      <w:pPr>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在贵方组织的</w:t>
      </w:r>
      <w:r>
        <w:rPr>
          <w:rFonts w:hint="eastAsia" w:ascii="宋体" w:hAnsi="宋体"/>
          <w:color w:val="auto"/>
          <w:sz w:val="24"/>
          <w:highlight w:val="none"/>
          <w:u w:val="single"/>
          <w:lang w:eastAsia="zh-CN"/>
        </w:rPr>
        <w:t>台州市中心医院外科大楼窗帘、床帘、卷帘及配套轨道采购项目</w:t>
      </w:r>
      <w:r>
        <w:rPr>
          <w:rFonts w:hint="eastAsia" w:ascii="宋体" w:hAnsi="宋体"/>
          <w:color w:val="auto"/>
          <w:sz w:val="24"/>
          <w:highlight w:val="none"/>
        </w:rPr>
        <w:t>（编号为</w:t>
      </w:r>
      <w:r>
        <w:rPr>
          <w:rFonts w:hint="eastAsia" w:ascii="宋体" w:hAnsi="宋体"/>
          <w:color w:val="auto"/>
          <w:sz w:val="24"/>
          <w:highlight w:val="none"/>
          <w:u w:val="single"/>
          <w:lang w:eastAsia="zh-CN"/>
        </w:rPr>
        <w:t>331000261400110000002-HZHB2026-JJ19</w:t>
      </w:r>
      <w:r>
        <w:rPr>
          <w:rFonts w:hint="eastAsia" w:ascii="宋体" w:hAnsi="宋体"/>
          <w:color w:val="auto"/>
          <w:sz w:val="24"/>
          <w:highlight w:val="none"/>
        </w:rPr>
        <w:t>）公开招标，我方在完全理解本项目采购的技术要求、商务条款及其他内容后，决定参与该项目的投标活动。并承诺，如中标，我方将提供足够的设备和专业技术能力保证本合同履行。</w:t>
      </w:r>
    </w:p>
    <w:p w14:paraId="439DDA2F">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我方对上述承诺的真实性负责。如有虚假，我方同意按我方合同违约处理，并依法承担相应法律责任。</w:t>
      </w:r>
    </w:p>
    <w:p w14:paraId="5B9D2468">
      <w:pPr>
        <w:spacing w:line="360" w:lineRule="auto"/>
        <w:ind w:firstLine="424" w:firstLineChars="177"/>
        <w:rPr>
          <w:rFonts w:ascii="宋体" w:hAnsi="宋体"/>
          <w:color w:val="auto"/>
          <w:sz w:val="24"/>
          <w:highlight w:val="none"/>
        </w:rPr>
      </w:pPr>
    </w:p>
    <w:p w14:paraId="37BE4A95">
      <w:pPr>
        <w:spacing w:line="360" w:lineRule="auto"/>
        <w:ind w:firstLine="424" w:firstLineChars="177"/>
        <w:rPr>
          <w:rFonts w:ascii="宋体" w:hAnsi="宋体"/>
          <w:color w:val="auto"/>
          <w:sz w:val="24"/>
          <w:highlight w:val="none"/>
        </w:rPr>
      </w:pPr>
    </w:p>
    <w:p w14:paraId="2EDCB3E1">
      <w:pPr>
        <w:spacing w:line="360" w:lineRule="auto"/>
        <w:ind w:firstLine="424" w:firstLineChars="177"/>
        <w:rPr>
          <w:rFonts w:ascii="宋体" w:hAnsi="宋体"/>
          <w:color w:val="auto"/>
          <w:sz w:val="24"/>
          <w:highlight w:val="none"/>
        </w:rPr>
      </w:pPr>
    </w:p>
    <w:p w14:paraId="5CA895AA">
      <w:pPr>
        <w:spacing w:line="360" w:lineRule="auto"/>
        <w:ind w:firstLine="424" w:firstLineChars="177"/>
        <w:rPr>
          <w:rFonts w:ascii="宋体" w:hAnsi="宋体"/>
          <w:color w:val="auto"/>
          <w:sz w:val="24"/>
          <w:highlight w:val="none"/>
        </w:rPr>
      </w:pPr>
    </w:p>
    <w:p w14:paraId="70960BB4">
      <w:pPr>
        <w:spacing w:line="360" w:lineRule="auto"/>
        <w:ind w:firstLine="424" w:firstLineChars="177"/>
        <w:rPr>
          <w:rFonts w:ascii="宋体" w:hAnsi="宋体"/>
          <w:color w:val="auto"/>
          <w:sz w:val="24"/>
          <w:highlight w:val="none"/>
          <w:u w:val="single"/>
        </w:rPr>
      </w:pPr>
      <w:r>
        <w:rPr>
          <w:rFonts w:hint="eastAsia" w:ascii="宋体" w:hAnsi="宋体"/>
          <w:color w:val="auto"/>
          <w:sz w:val="24"/>
          <w:highlight w:val="none"/>
          <w:lang w:eastAsia="zh-CN"/>
        </w:rPr>
        <w:t>投标人名称（盖章）</w:t>
      </w:r>
      <w:r>
        <w:rPr>
          <w:rFonts w:hint="eastAsia" w:ascii="宋体" w:hAnsi="宋体"/>
          <w:color w:val="auto"/>
          <w:sz w:val="24"/>
          <w:highlight w:val="none"/>
        </w:rPr>
        <w:t>：</w:t>
      </w:r>
    </w:p>
    <w:p w14:paraId="62A42DD0">
      <w:pPr>
        <w:spacing w:line="360" w:lineRule="auto"/>
        <w:ind w:left="420"/>
        <w:rPr>
          <w:rFonts w:ascii="宋体" w:hAnsi="宋体"/>
          <w:color w:val="auto"/>
          <w:sz w:val="24"/>
          <w:highlight w:val="none"/>
        </w:rPr>
      </w:pPr>
    </w:p>
    <w:p w14:paraId="3588A1F0">
      <w:pPr>
        <w:spacing w:line="360" w:lineRule="auto"/>
        <w:ind w:firstLine="424" w:firstLineChars="177"/>
        <w:rPr>
          <w:rFonts w:ascii="宋体" w:hAnsi="宋体"/>
          <w:color w:val="auto"/>
          <w:sz w:val="24"/>
          <w:highlight w:val="none"/>
        </w:rPr>
      </w:pPr>
      <w:r>
        <w:rPr>
          <w:rFonts w:hint="eastAsia" w:ascii="宋体" w:hAnsi="宋体" w:cs="仿宋_GB2312"/>
          <w:color w:val="auto"/>
          <w:kern w:val="0"/>
          <w:sz w:val="24"/>
          <w:highlight w:val="none"/>
          <w:lang w:val="zh-CN"/>
        </w:rPr>
        <w:t>法定代表人或授权委托代理人（签字或盖章）</w:t>
      </w:r>
      <w:r>
        <w:rPr>
          <w:rFonts w:hint="eastAsia" w:ascii="宋体" w:hAnsi="宋体"/>
          <w:color w:val="auto"/>
          <w:sz w:val="24"/>
          <w:highlight w:val="none"/>
        </w:rPr>
        <w:t>：</w:t>
      </w:r>
    </w:p>
    <w:p w14:paraId="013284A4">
      <w:pPr>
        <w:spacing w:line="360" w:lineRule="auto"/>
        <w:rPr>
          <w:rFonts w:ascii="宋体" w:hAnsi="宋体"/>
          <w:color w:val="auto"/>
          <w:sz w:val="24"/>
          <w:highlight w:val="none"/>
        </w:rPr>
      </w:pPr>
    </w:p>
    <w:p w14:paraId="261C742A">
      <w:pPr>
        <w:ind w:firstLine="420" w:firstLineChars="200"/>
        <w:rPr>
          <w:rFonts w:ascii="宋体" w:hAnsi="宋体" w:cs="宋体"/>
          <w:b/>
          <w:bCs/>
          <w:color w:val="auto"/>
          <w:sz w:val="28"/>
          <w:szCs w:val="36"/>
          <w:highlight w:val="none"/>
          <w:lang w:val="zh-CN"/>
        </w:rPr>
      </w:pPr>
      <w:r>
        <w:rPr>
          <w:rFonts w:hint="eastAsia"/>
          <w:color w:val="auto"/>
          <w:highlight w:val="none"/>
        </w:rPr>
        <w:t>日        期：</w:t>
      </w:r>
    </w:p>
    <w:p w14:paraId="44EA708F">
      <w:pPr>
        <w:rPr>
          <w:rFonts w:ascii="宋体" w:hAnsi="宋体" w:cs="宋体"/>
          <w:b/>
          <w:color w:val="auto"/>
          <w:sz w:val="28"/>
          <w:highlight w:val="none"/>
        </w:rPr>
      </w:pPr>
      <w:r>
        <w:rPr>
          <w:rFonts w:hint="eastAsia" w:ascii="宋体" w:hAnsi="宋体" w:cs="宋体"/>
          <w:b/>
          <w:color w:val="auto"/>
          <w:sz w:val="28"/>
          <w:highlight w:val="none"/>
        </w:rPr>
        <w:br w:type="page"/>
      </w:r>
    </w:p>
    <w:p w14:paraId="26033FB4">
      <w:pPr>
        <w:spacing w:line="360" w:lineRule="auto"/>
        <w:jc w:val="left"/>
        <w:rPr>
          <w:rFonts w:ascii="宋体"/>
          <w:b/>
          <w:color w:val="auto"/>
          <w:sz w:val="28"/>
          <w:highlight w:val="none"/>
        </w:rPr>
      </w:pPr>
      <w:r>
        <w:rPr>
          <w:rFonts w:hint="eastAsia" w:ascii="宋体"/>
          <w:b/>
          <w:color w:val="auto"/>
          <w:sz w:val="28"/>
          <w:highlight w:val="none"/>
        </w:rPr>
        <w:t>附件</w:t>
      </w:r>
      <w:r>
        <w:rPr>
          <w:rFonts w:hint="eastAsia" w:ascii="宋体"/>
          <w:b/>
          <w:color w:val="auto"/>
          <w:sz w:val="28"/>
          <w:highlight w:val="none"/>
          <w:lang w:val="en-US" w:eastAsia="zh-CN"/>
        </w:rPr>
        <w:t>7</w:t>
      </w:r>
      <w:r>
        <w:rPr>
          <w:rFonts w:hint="eastAsia" w:ascii="宋体"/>
          <w:b/>
          <w:color w:val="auto"/>
          <w:sz w:val="28"/>
          <w:highlight w:val="none"/>
        </w:rPr>
        <w:t xml:space="preserve"> </w:t>
      </w:r>
    </w:p>
    <w:p w14:paraId="24AB8B98">
      <w:pPr>
        <w:spacing w:line="360" w:lineRule="auto"/>
        <w:ind w:right="-110"/>
        <w:jc w:val="center"/>
        <w:rPr>
          <w:rFonts w:ascii="宋体" w:hAnsi="宋体"/>
          <w:color w:val="auto"/>
          <w:spacing w:val="40"/>
          <w:sz w:val="52"/>
          <w:szCs w:val="52"/>
          <w:highlight w:val="none"/>
        </w:rPr>
      </w:pPr>
    </w:p>
    <w:p w14:paraId="084069DE">
      <w:pPr>
        <w:spacing w:line="600" w:lineRule="auto"/>
        <w:ind w:right="-110"/>
        <w:jc w:val="center"/>
        <w:rPr>
          <w:rFonts w:ascii="宋体" w:hAnsi="宋体"/>
          <w:color w:val="auto"/>
          <w:spacing w:val="40"/>
          <w:sz w:val="52"/>
          <w:szCs w:val="52"/>
          <w:highlight w:val="none"/>
        </w:rPr>
      </w:pPr>
      <w:r>
        <w:rPr>
          <w:rFonts w:hint="eastAsia" w:ascii="宋体" w:hAnsi="宋体"/>
          <w:color w:val="auto"/>
          <w:spacing w:val="40"/>
          <w:sz w:val="52"/>
          <w:szCs w:val="52"/>
          <w:highlight w:val="none"/>
        </w:rPr>
        <w:t>项目名称：</w:t>
      </w:r>
    </w:p>
    <w:p w14:paraId="306A97BA">
      <w:pPr>
        <w:spacing w:before="158" w:beforeLines="50" w:line="600" w:lineRule="auto"/>
        <w:ind w:right="-108" w:firstLine="2160" w:firstLineChars="600"/>
        <w:rPr>
          <w:rFonts w:ascii="宋体" w:hAnsi="宋体"/>
          <w:color w:val="auto"/>
          <w:sz w:val="36"/>
          <w:szCs w:val="36"/>
          <w:highlight w:val="none"/>
        </w:rPr>
      </w:pPr>
      <w:r>
        <w:rPr>
          <w:rFonts w:hint="eastAsia" w:ascii="宋体" w:hAnsi="宋体"/>
          <w:color w:val="auto"/>
          <w:sz w:val="36"/>
          <w:szCs w:val="36"/>
          <w:highlight w:val="none"/>
        </w:rPr>
        <w:t>项目编号：</w:t>
      </w:r>
    </w:p>
    <w:p w14:paraId="48BB1910">
      <w:pPr>
        <w:pStyle w:val="24"/>
        <w:rPr>
          <w:color w:val="auto"/>
          <w:highlight w:val="none"/>
        </w:rPr>
      </w:pPr>
    </w:p>
    <w:p w14:paraId="5A347729">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493B763A">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2D90F237">
      <w:pPr>
        <w:autoSpaceDE w:val="0"/>
        <w:autoSpaceDN w:val="0"/>
        <w:adjustRightInd w:val="0"/>
        <w:spacing w:line="360" w:lineRule="auto"/>
        <w:jc w:val="center"/>
        <w:rPr>
          <w:rFonts w:ascii="宋体" w:hAnsi="宋体"/>
          <w:color w:val="auto"/>
          <w:sz w:val="84"/>
          <w:szCs w:val="84"/>
          <w:highlight w:val="none"/>
        </w:rPr>
      </w:pPr>
      <w:r>
        <w:rPr>
          <w:rFonts w:hint="eastAsia" w:ascii="宋体" w:hAnsi="宋体" w:cs="宋体"/>
          <w:color w:val="auto"/>
          <w:sz w:val="84"/>
          <w:szCs w:val="84"/>
          <w:highlight w:val="none"/>
          <w:lang w:val="zh-CN"/>
        </w:rPr>
        <w:t>文</w:t>
      </w:r>
    </w:p>
    <w:p w14:paraId="61E8386A">
      <w:pPr>
        <w:spacing w:line="360" w:lineRule="auto"/>
        <w:ind w:right="-108"/>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57B7596D">
      <w:pPr>
        <w:autoSpaceDE w:val="0"/>
        <w:autoSpaceDN w:val="0"/>
        <w:adjustRightInd w:val="0"/>
        <w:spacing w:line="360" w:lineRule="auto"/>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（商务与技术文件）</w:t>
      </w:r>
    </w:p>
    <w:p w14:paraId="371EE565">
      <w:pPr>
        <w:spacing w:before="100" w:beforeAutospacing="1" w:line="360" w:lineRule="auto"/>
        <w:ind w:right="533" w:firstLine="720" w:firstLineChars="200"/>
        <w:rPr>
          <w:rFonts w:ascii="宋体" w:hAnsi="宋体"/>
          <w:color w:val="auto"/>
          <w:sz w:val="36"/>
          <w:szCs w:val="36"/>
          <w:highlight w:val="none"/>
        </w:rPr>
      </w:pPr>
      <w:r>
        <w:rPr>
          <w:rFonts w:hint="eastAsia" w:ascii="宋体" w:hAnsi="宋体"/>
          <w:color w:val="auto"/>
          <w:sz w:val="36"/>
          <w:szCs w:val="36"/>
          <w:highlight w:val="none"/>
        </w:rPr>
        <w:t>投标人全称：</w:t>
      </w:r>
    </w:p>
    <w:p w14:paraId="513C01D8">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地址：</w:t>
      </w:r>
    </w:p>
    <w:p w14:paraId="32CB2828">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时间：</w:t>
      </w:r>
    </w:p>
    <w:p w14:paraId="47C73655">
      <w:pPr>
        <w:rPr>
          <w:rFonts w:ascii="宋体" w:hAnsi="宋体" w:cs="宋体"/>
          <w:b/>
          <w:bCs/>
          <w:color w:val="auto"/>
          <w:sz w:val="28"/>
          <w:szCs w:val="36"/>
          <w:highlight w:val="none"/>
          <w:lang w:val="zh-CN"/>
        </w:rPr>
      </w:pPr>
    </w:p>
    <w:p w14:paraId="72F777E9">
      <w:pPr>
        <w:rPr>
          <w:rFonts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br w:type="page"/>
      </w:r>
    </w:p>
    <w:p w14:paraId="2A373963">
      <w:pPr>
        <w:spacing w:line="360" w:lineRule="auto"/>
        <w:jc w:val="center"/>
        <w:rPr>
          <w:rFonts w:ascii="宋体" w:hAnsi="宋体" w:cs="宋体"/>
          <w:b/>
          <w:bCs/>
          <w:color w:val="auto"/>
          <w:sz w:val="32"/>
          <w:szCs w:val="40"/>
          <w:highlight w:val="none"/>
        </w:rPr>
      </w:pPr>
      <w:r>
        <w:rPr>
          <w:rFonts w:hint="eastAsia" w:ascii="宋体" w:hAnsi="宋体" w:cs="宋体"/>
          <w:b/>
          <w:bCs/>
          <w:color w:val="auto"/>
          <w:sz w:val="32"/>
          <w:szCs w:val="40"/>
          <w:highlight w:val="none"/>
          <w:lang w:val="zh-CN"/>
        </w:rPr>
        <w:t xml:space="preserve"> 商务与技术文件</w:t>
      </w:r>
      <w:r>
        <w:rPr>
          <w:rFonts w:hint="eastAsia" w:ascii="宋体" w:hAnsi="宋体" w:cs="宋体"/>
          <w:b/>
          <w:bCs/>
          <w:color w:val="auto"/>
          <w:sz w:val="32"/>
          <w:szCs w:val="40"/>
          <w:highlight w:val="none"/>
        </w:rPr>
        <w:t>目录</w:t>
      </w:r>
    </w:p>
    <w:p w14:paraId="224780A1">
      <w:pPr>
        <w:snapToGrid w:val="0"/>
        <w:spacing w:line="360" w:lineRule="auto"/>
        <w:ind w:firstLine="480" w:firstLineChars="200"/>
        <w:rPr>
          <w:rFonts w:ascii="宋体" w:hAnsi="宋体" w:cs="宋体"/>
          <w:color w:val="auto"/>
          <w:sz w:val="24"/>
          <w:highlight w:val="none"/>
        </w:rPr>
      </w:pPr>
    </w:p>
    <w:p w14:paraId="6AE5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投标人情况介绍（人员与技术力量、企业规模、经营业绩等）。</w:t>
      </w:r>
    </w:p>
    <w:p w14:paraId="699A0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投标方案描述：根据评标办法自行拟订；</w:t>
      </w:r>
    </w:p>
    <w:p w14:paraId="44D0D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投标产品描述及相关资料：</w:t>
      </w:r>
    </w:p>
    <w:p w14:paraId="079EB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A.设备配置清单</w:t>
      </w:r>
      <w:r>
        <w:rPr>
          <w:rFonts w:hint="eastAsia" w:ascii="宋体" w:hAnsi="宋体" w:eastAsia="宋体" w:cs="宋体"/>
          <w:b/>
          <w:bCs/>
          <w:color w:val="auto"/>
          <w:sz w:val="24"/>
          <w:szCs w:val="32"/>
          <w:highlight w:val="none"/>
        </w:rPr>
        <w:t>（均不含报价）</w:t>
      </w:r>
      <w:r>
        <w:rPr>
          <w:rFonts w:hint="eastAsia" w:ascii="宋体" w:hAnsi="宋体" w:cs="宋体"/>
          <w:color w:val="auto"/>
          <w:sz w:val="24"/>
          <w:highlight w:val="none"/>
          <w:lang w:eastAsia="zh-CN"/>
        </w:rPr>
        <w:t>。</w:t>
      </w:r>
    </w:p>
    <w:p w14:paraId="7BDB8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B.产品品牌及型号、技术参数指标、性能特点、图片资料以及所遵循的技术规范、产品质保期、出厂标准、产品质量相关检测报告等内容。</w:t>
      </w:r>
    </w:p>
    <w:p w14:paraId="1EB66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C.技术需求响应表、资信及商务需求响应表。</w:t>
      </w:r>
    </w:p>
    <w:p w14:paraId="6AD1F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D.投标产品中有节能产品的，应列明投标产品中有列入最新一期财政部、发展改革委公布的“节能产品政府采购清单”明细（提供所投产品在清单中所处的页码、截图，并以明显标识标注）；投标产品中有环保产品的，应列明投标产品中有列入最新一期财政部、环境保护部公布的“环境标志产品政府采购清单”明细（提供所投产品在清单中所处的页码、截图，并以明显标识标注）。</w:t>
      </w:r>
    </w:p>
    <w:p w14:paraId="34FBB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【特别提示：节能和环境标志产品最新一期政府采购清单，可在“中国政府采购网”中查看】；</w:t>
      </w:r>
    </w:p>
    <w:p w14:paraId="7F18D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投标人认为需要提供的其他资料（包括可能影响投标人商务与技术文件评分的各类证明材料）。</w:t>
      </w:r>
    </w:p>
    <w:p w14:paraId="0954F393">
      <w:pPr>
        <w:spacing w:line="360" w:lineRule="auto"/>
        <w:rPr>
          <w:rFonts w:ascii="宋体" w:hAnsi="宋体" w:cs="宋体"/>
          <w:color w:val="auto"/>
          <w:sz w:val="24"/>
          <w:szCs w:val="32"/>
          <w:highlight w:val="none"/>
        </w:rPr>
      </w:pPr>
    </w:p>
    <w:p w14:paraId="518187D5">
      <w:pPr>
        <w:rPr>
          <w:rFonts w:ascii="宋体" w:hAnsi="宋体" w:cs="宋体"/>
          <w:b/>
          <w:bCs/>
          <w:color w:val="auto"/>
          <w:sz w:val="28"/>
          <w:szCs w:val="36"/>
          <w:highlight w:val="none"/>
          <w:lang w:val="zh-CN"/>
        </w:rPr>
      </w:pPr>
      <w:bookmarkStart w:id="49" w:name="_Toc19677"/>
      <w:bookmarkStart w:id="50" w:name="_Toc21996"/>
      <w:r>
        <w:rPr>
          <w:rFonts w:hint="eastAsia" w:ascii="宋体" w:hAnsi="宋体" w:cs="宋体"/>
          <w:b/>
          <w:bCs/>
          <w:color w:val="auto"/>
          <w:sz w:val="28"/>
          <w:szCs w:val="36"/>
          <w:highlight w:val="none"/>
          <w:lang w:val="zh-CN"/>
        </w:rPr>
        <w:br w:type="page"/>
      </w:r>
    </w:p>
    <w:p w14:paraId="3A4BA78F">
      <w:pPr>
        <w:outlineLvl w:val="0"/>
        <w:rPr>
          <w:rFonts w:hint="eastAsia" w:ascii="宋体" w:hAnsi="宋体" w:eastAsia="宋体" w:cs="宋体"/>
          <w:b/>
          <w:bCs/>
          <w:color w:val="auto"/>
          <w:sz w:val="28"/>
          <w:szCs w:val="36"/>
          <w:highlight w:val="none"/>
          <w:lang w:val="zh-CN" w:eastAsia="zh-CN"/>
        </w:rPr>
      </w:pPr>
      <w:r>
        <w:rPr>
          <w:rFonts w:hint="eastAsia" w:ascii="宋体" w:hAnsi="宋体" w:cs="宋体"/>
          <w:b/>
          <w:bCs/>
          <w:color w:val="auto"/>
          <w:sz w:val="28"/>
          <w:szCs w:val="36"/>
          <w:highlight w:val="none"/>
          <w:lang w:val="zh-CN"/>
        </w:rPr>
        <w:t>附件</w:t>
      </w:r>
      <w:bookmarkEnd w:id="49"/>
      <w:bookmarkEnd w:id="50"/>
      <w:r>
        <w:rPr>
          <w:rFonts w:hint="eastAsia" w:ascii="宋体" w:hAnsi="宋体" w:cs="宋体"/>
          <w:b/>
          <w:bCs/>
          <w:color w:val="auto"/>
          <w:sz w:val="28"/>
          <w:szCs w:val="36"/>
          <w:highlight w:val="none"/>
          <w:lang w:val="en-US" w:eastAsia="zh-CN"/>
        </w:rPr>
        <w:t>8</w:t>
      </w:r>
    </w:p>
    <w:p w14:paraId="3ACF2915">
      <w:pPr>
        <w:spacing w:line="360" w:lineRule="auto"/>
        <w:jc w:val="center"/>
        <w:rPr>
          <w:rFonts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投标人基本情况表</w:t>
      </w:r>
    </w:p>
    <w:tbl>
      <w:tblPr>
        <w:tblStyle w:val="27"/>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90"/>
        <w:gridCol w:w="665"/>
        <w:gridCol w:w="295"/>
        <w:gridCol w:w="926"/>
        <w:gridCol w:w="112"/>
        <w:gridCol w:w="1077"/>
        <w:gridCol w:w="1560"/>
        <w:gridCol w:w="57"/>
        <w:gridCol w:w="1618"/>
        <w:gridCol w:w="933"/>
      </w:tblGrid>
      <w:tr w14:paraId="2179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0" w:type="dxa"/>
            <w:shd w:val="clear" w:color="auto" w:fill="auto"/>
            <w:vAlign w:val="center"/>
          </w:tcPr>
          <w:p w14:paraId="06B60CD3">
            <w:pPr>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3765" w:type="dxa"/>
            <w:gridSpan w:val="6"/>
            <w:shd w:val="clear" w:color="auto" w:fill="auto"/>
            <w:vAlign w:val="center"/>
          </w:tcPr>
          <w:p w14:paraId="59AD2163">
            <w:pPr>
              <w:jc w:val="center"/>
              <w:rPr>
                <w:rFonts w:ascii="宋体" w:hAnsi="宋体" w:cs="宋体"/>
                <w:color w:val="auto"/>
                <w:sz w:val="24"/>
                <w:highlight w:val="none"/>
              </w:rPr>
            </w:pPr>
          </w:p>
        </w:tc>
        <w:tc>
          <w:tcPr>
            <w:tcW w:w="1560" w:type="dxa"/>
            <w:shd w:val="clear" w:color="auto" w:fill="auto"/>
            <w:vAlign w:val="center"/>
          </w:tcPr>
          <w:p w14:paraId="7B37D39C">
            <w:pPr>
              <w:jc w:val="center"/>
              <w:rPr>
                <w:rFonts w:ascii="宋体" w:hAnsi="宋体" w:cs="宋体"/>
                <w:color w:val="auto"/>
                <w:sz w:val="24"/>
                <w:highlight w:val="none"/>
              </w:rPr>
            </w:pPr>
            <w:r>
              <w:rPr>
                <w:rFonts w:hint="eastAsia" w:ascii="宋体" w:hAnsi="宋体" w:cs="宋体"/>
                <w:color w:val="auto"/>
                <w:sz w:val="24"/>
                <w:highlight w:val="none"/>
              </w:rPr>
              <w:t>法人代表</w:t>
            </w:r>
          </w:p>
        </w:tc>
        <w:tc>
          <w:tcPr>
            <w:tcW w:w="2608" w:type="dxa"/>
            <w:gridSpan w:val="3"/>
            <w:shd w:val="clear" w:color="auto" w:fill="auto"/>
            <w:vAlign w:val="center"/>
          </w:tcPr>
          <w:p w14:paraId="3A60ACF8">
            <w:pPr>
              <w:jc w:val="center"/>
              <w:rPr>
                <w:rFonts w:ascii="宋体" w:hAnsi="宋体" w:cs="宋体"/>
                <w:color w:val="auto"/>
                <w:sz w:val="24"/>
                <w:highlight w:val="none"/>
              </w:rPr>
            </w:pPr>
          </w:p>
        </w:tc>
      </w:tr>
      <w:tr w14:paraId="233A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0" w:type="dxa"/>
            <w:shd w:val="clear" w:color="auto" w:fill="auto"/>
            <w:vAlign w:val="center"/>
          </w:tcPr>
          <w:p w14:paraId="00E6487F">
            <w:pPr>
              <w:jc w:val="center"/>
              <w:rPr>
                <w:rFonts w:ascii="宋体" w:hAnsi="宋体" w:cs="宋体"/>
                <w:color w:val="auto"/>
                <w:sz w:val="24"/>
                <w:highlight w:val="none"/>
              </w:rPr>
            </w:pPr>
            <w:r>
              <w:rPr>
                <w:rFonts w:hint="eastAsia" w:ascii="宋体" w:hAnsi="宋体" w:cs="宋体"/>
                <w:color w:val="auto"/>
                <w:sz w:val="24"/>
                <w:highlight w:val="none"/>
              </w:rPr>
              <w:t>地址</w:t>
            </w:r>
          </w:p>
        </w:tc>
        <w:tc>
          <w:tcPr>
            <w:tcW w:w="3765" w:type="dxa"/>
            <w:gridSpan w:val="6"/>
            <w:tcBorders>
              <w:bottom w:val="single" w:color="auto" w:sz="4" w:space="0"/>
            </w:tcBorders>
            <w:shd w:val="clear" w:color="auto" w:fill="auto"/>
            <w:vAlign w:val="center"/>
          </w:tcPr>
          <w:p w14:paraId="0EFEFB64">
            <w:pPr>
              <w:jc w:val="center"/>
              <w:rPr>
                <w:rFonts w:ascii="宋体" w:hAnsi="宋体" w:cs="宋体"/>
                <w:color w:val="auto"/>
                <w:sz w:val="24"/>
                <w:highlight w:val="none"/>
              </w:rPr>
            </w:pPr>
          </w:p>
        </w:tc>
        <w:tc>
          <w:tcPr>
            <w:tcW w:w="1560" w:type="dxa"/>
            <w:shd w:val="clear" w:color="auto" w:fill="auto"/>
            <w:vAlign w:val="center"/>
          </w:tcPr>
          <w:p w14:paraId="41EA4504">
            <w:pPr>
              <w:jc w:val="center"/>
              <w:rPr>
                <w:rFonts w:ascii="宋体" w:hAnsi="宋体" w:cs="宋体"/>
                <w:color w:val="auto"/>
                <w:sz w:val="24"/>
                <w:highlight w:val="none"/>
              </w:rPr>
            </w:pPr>
            <w:r>
              <w:rPr>
                <w:rFonts w:hint="eastAsia" w:ascii="宋体" w:hAnsi="宋体" w:cs="宋体"/>
                <w:color w:val="auto"/>
                <w:sz w:val="24"/>
                <w:highlight w:val="none"/>
              </w:rPr>
              <w:t>企业性质</w:t>
            </w:r>
          </w:p>
        </w:tc>
        <w:tc>
          <w:tcPr>
            <w:tcW w:w="2608" w:type="dxa"/>
            <w:gridSpan w:val="3"/>
            <w:shd w:val="clear" w:color="auto" w:fill="auto"/>
            <w:vAlign w:val="center"/>
          </w:tcPr>
          <w:p w14:paraId="49171725">
            <w:pPr>
              <w:jc w:val="center"/>
              <w:rPr>
                <w:rFonts w:ascii="宋体" w:hAnsi="宋体" w:cs="宋体"/>
                <w:color w:val="auto"/>
                <w:sz w:val="24"/>
                <w:highlight w:val="none"/>
              </w:rPr>
            </w:pPr>
          </w:p>
        </w:tc>
      </w:tr>
      <w:tr w14:paraId="71E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80" w:type="dxa"/>
            <w:tcBorders>
              <w:bottom w:val="single" w:color="auto" w:sz="4" w:space="0"/>
            </w:tcBorders>
            <w:shd w:val="clear" w:color="auto" w:fill="auto"/>
            <w:vAlign w:val="center"/>
          </w:tcPr>
          <w:p w14:paraId="5B017197">
            <w:pPr>
              <w:jc w:val="center"/>
              <w:rPr>
                <w:rFonts w:ascii="宋体" w:hAnsi="宋体" w:cs="宋体"/>
                <w:color w:val="auto"/>
                <w:sz w:val="24"/>
                <w:highlight w:val="none"/>
              </w:rPr>
            </w:pPr>
            <w:r>
              <w:rPr>
                <w:rFonts w:hint="eastAsia" w:ascii="宋体" w:hAnsi="宋体" w:cs="宋体"/>
                <w:color w:val="auto"/>
                <w:sz w:val="24"/>
                <w:highlight w:val="none"/>
              </w:rPr>
              <w:t>股东姓名</w:t>
            </w:r>
          </w:p>
        </w:tc>
        <w:tc>
          <w:tcPr>
            <w:tcW w:w="690" w:type="dxa"/>
            <w:tcBorders>
              <w:bottom w:val="single" w:color="auto" w:sz="4" w:space="0"/>
            </w:tcBorders>
            <w:shd w:val="clear" w:color="auto" w:fill="auto"/>
            <w:vAlign w:val="center"/>
          </w:tcPr>
          <w:p w14:paraId="19B72677">
            <w:pPr>
              <w:jc w:val="center"/>
              <w:rPr>
                <w:rFonts w:ascii="宋体" w:hAnsi="宋体" w:cs="宋体"/>
                <w:color w:val="auto"/>
                <w:sz w:val="24"/>
                <w:highlight w:val="none"/>
              </w:rPr>
            </w:pPr>
          </w:p>
        </w:tc>
        <w:tc>
          <w:tcPr>
            <w:tcW w:w="960" w:type="dxa"/>
            <w:gridSpan w:val="2"/>
            <w:tcBorders>
              <w:bottom w:val="single" w:color="auto" w:sz="4" w:space="0"/>
            </w:tcBorders>
            <w:shd w:val="clear" w:color="auto" w:fill="auto"/>
            <w:vAlign w:val="center"/>
          </w:tcPr>
          <w:p w14:paraId="62FF1586">
            <w:pPr>
              <w:jc w:val="center"/>
              <w:rPr>
                <w:rFonts w:ascii="宋体" w:hAnsi="宋体" w:cs="宋体"/>
                <w:color w:val="auto"/>
                <w:sz w:val="24"/>
                <w:highlight w:val="none"/>
              </w:rPr>
            </w:pPr>
            <w:r>
              <w:rPr>
                <w:rFonts w:hint="eastAsia" w:ascii="宋体" w:hAnsi="宋体" w:cs="宋体"/>
                <w:color w:val="auto"/>
                <w:sz w:val="24"/>
                <w:highlight w:val="none"/>
              </w:rPr>
              <w:t>股权结构（%）</w:t>
            </w:r>
          </w:p>
        </w:tc>
        <w:tc>
          <w:tcPr>
            <w:tcW w:w="2115" w:type="dxa"/>
            <w:gridSpan w:val="3"/>
            <w:tcBorders>
              <w:bottom w:val="single" w:color="auto" w:sz="4" w:space="0"/>
            </w:tcBorders>
            <w:shd w:val="clear" w:color="auto" w:fill="auto"/>
            <w:vAlign w:val="center"/>
          </w:tcPr>
          <w:p w14:paraId="27C93648">
            <w:pPr>
              <w:jc w:val="center"/>
              <w:rPr>
                <w:rFonts w:ascii="宋体" w:hAnsi="宋体" w:cs="宋体"/>
                <w:color w:val="auto"/>
                <w:sz w:val="24"/>
                <w:highlight w:val="none"/>
              </w:rPr>
            </w:pPr>
          </w:p>
          <w:p w14:paraId="7206B65C">
            <w:pPr>
              <w:jc w:val="center"/>
              <w:rPr>
                <w:rFonts w:ascii="宋体" w:hAnsi="宋体" w:cs="宋体"/>
                <w:color w:val="auto"/>
                <w:sz w:val="24"/>
                <w:highlight w:val="none"/>
              </w:rPr>
            </w:pPr>
          </w:p>
        </w:tc>
        <w:tc>
          <w:tcPr>
            <w:tcW w:w="1560" w:type="dxa"/>
            <w:shd w:val="clear" w:color="auto" w:fill="auto"/>
            <w:vAlign w:val="center"/>
          </w:tcPr>
          <w:p w14:paraId="4B1FD6D8">
            <w:pPr>
              <w:jc w:val="center"/>
              <w:rPr>
                <w:rFonts w:ascii="宋体" w:hAnsi="宋体" w:cs="宋体"/>
                <w:color w:val="auto"/>
                <w:sz w:val="24"/>
                <w:highlight w:val="none"/>
              </w:rPr>
            </w:pPr>
            <w:r>
              <w:rPr>
                <w:rFonts w:hint="eastAsia" w:ascii="宋体" w:hAnsi="宋体" w:cs="宋体"/>
                <w:color w:val="auto"/>
                <w:sz w:val="24"/>
                <w:highlight w:val="none"/>
              </w:rPr>
              <w:t>股东关系</w:t>
            </w:r>
          </w:p>
        </w:tc>
        <w:tc>
          <w:tcPr>
            <w:tcW w:w="2608" w:type="dxa"/>
            <w:gridSpan w:val="3"/>
            <w:shd w:val="clear" w:color="auto" w:fill="auto"/>
            <w:vAlign w:val="center"/>
          </w:tcPr>
          <w:p w14:paraId="2451185D">
            <w:pPr>
              <w:jc w:val="center"/>
              <w:rPr>
                <w:rFonts w:ascii="宋体" w:hAnsi="宋体" w:cs="宋体"/>
                <w:color w:val="auto"/>
                <w:sz w:val="24"/>
                <w:highlight w:val="none"/>
              </w:rPr>
            </w:pPr>
          </w:p>
        </w:tc>
      </w:tr>
      <w:tr w14:paraId="0E31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 w:type="dxa"/>
            <w:vMerge w:val="restart"/>
            <w:shd w:val="clear" w:color="auto" w:fill="auto"/>
            <w:vAlign w:val="center"/>
          </w:tcPr>
          <w:p w14:paraId="3CD1F027">
            <w:pPr>
              <w:jc w:val="center"/>
              <w:rPr>
                <w:rFonts w:ascii="宋体" w:hAnsi="宋体" w:cs="宋体"/>
                <w:color w:val="auto"/>
                <w:sz w:val="24"/>
                <w:highlight w:val="none"/>
              </w:rPr>
            </w:pPr>
            <w:r>
              <w:rPr>
                <w:rFonts w:hint="eastAsia" w:ascii="宋体" w:hAnsi="宋体" w:cs="宋体"/>
                <w:color w:val="auto"/>
                <w:sz w:val="24"/>
                <w:highlight w:val="none"/>
              </w:rPr>
              <w:t>联系人姓名</w:t>
            </w:r>
          </w:p>
        </w:tc>
        <w:tc>
          <w:tcPr>
            <w:tcW w:w="690" w:type="dxa"/>
            <w:vMerge w:val="restart"/>
            <w:tcBorders>
              <w:top w:val="nil"/>
            </w:tcBorders>
            <w:shd w:val="clear" w:color="auto" w:fill="auto"/>
            <w:vAlign w:val="center"/>
          </w:tcPr>
          <w:p w14:paraId="565BBAB7">
            <w:pPr>
              <w:jc w:val="center"/>
              <w:rPr>
                <w:rFonts w:ascii="宋体" w:hAnsi="宋体" w:cs="宋体"/>
                <w:color w:val="auto"/>
                <w:sz w:val="24"/>
                <w:highlight w:val="none"/>
              </w:rPr>
            </w:pPr>
          </w:p>
        </w:tc>
        <w:tc>
          <w:tcPr>
            <w:tcW w:w="960" w:type="dxa"/>
            <w:gridSpan w:val="2"/>
            <w:tcBorders>
              <w:top w:val="nil"/>
              <w:bottom w:val="single" w:color="auto" w:sz="4" w:space="0"/>
            </w:tcBorders>
            <w:shd w:val="clear" w:color="auto" w:fill="auto"/>
            <w:vAlign w:val="center"/>
          </w:tcPr>
          <w:p w14:paraId="60FE078A">
            <w:pPr>
              <w:jc w:val="center"/>
              <w:rPr>
                <w:rFonts w:ascii="宋体" w:hAnsi="宋体" w:cs="宋体"/>
                <w:color w:val="auto"/>
                <w:sz w:val="24"/>
                <w:highlight w:val="none"/>
              </w:rPr>
            </w:pPr>
            <w:r>
              <w:rPr>
                <w:rFonts w:hint="eastAsia" w:ascii="宋体" w:hAnsi="宋体" w:cs="宋体"/>
                <w:color w:val="auto"/>
                <w:sz w:val="24"/>
                <w:highlight w:val="none"/>
              </w:rPr>
              <w:t>固定电话</w:t>
            </w:r>
          </w:p>
        </w:tc>
        <w:tc>
          <w:tcPr>
            <w:tcW w:w="2115" w:type="dxa"/>
            <w:gridSpan w:val="3"/>
            <w:tcBorders>
              <w:top w:val="nil"/>
              <w:bottom w:val="single" w:color="auto" w:sz="4" w:space="0"/>
            </w:tcBorders>
            <w:shd w:val="clear" w:color="auto" w:fill="auto"/>
            <w:vAlign w:val="center"/>
          </w:tcPr>
          <w:p w14:paraId="40FC26EB">
            <w:pPr>
              <w:jc w:val="center"/>
              <w:rPr>
                <w:rFonts w:ascii="宋体" w:hAnsi="宋体" w:cs="宋体"/>
                <w:color w:val="auto"/>
                <w:sz w:val="24"/>
                <w:highlight w:val="none"/>
              </w:rPr>
            </w:pPr>
          </w:p>
          <w:p w14:paraId="40742E34">
            <w:pPr>
              <w:jc w:val="center"/>
              <w:rPr>
                <w:rFonts w:ascii="宋体" w:hAnsi="宋体" w:cs="宋体"/>
                <w:color w:val="auto"/>
                <w:sz w:val="24"/>
                <w:highlight w:val="none"/>
              </w:rPr>
            </w:pPr>
          </w:p>
        </w:tc>
        <w:tc>
          <w:tcPr>
            <w:tcW w:w="1560" w:type="dxa"/>
            <w:vMerge w:val="restart"/>
            <w:shd w:val="clear" w:color="auto" w:fill="auto"/>
            <w:vAlign w:val="center"/>
          </w:tcPr>
          <w:p w14:paraId="3C2D80A7">
            <w:pPr>
              <w:jc w:val="center"/>
              <w:rPr>
                <w:rFonts w:ascii="宋体" w:hAnsi="宋体" w:cs="宋体"/>
                <w:color w:val="auto"/>
                <w:sz w:val="24"/>
                <w:highlight w:val="none"/>
              </w:rPr>
            </w:pPr>
            <w:r>
              <w:rPr>
                <w:rFonts w:hint="eastAsia" w:ascii="宋体" w:hAnsi="宋体" w:cs="宋体"/>
                <w:color w:val="auto"/>
                <w:sz w:val="24"/>
                <w:highlight w:val="none"/>
              </w:rPr>
              <w:t>传真</w:t>
            </w:r>
          </w:p>
        </w:tc>
        <w:tc>
          <w:tcPr>
            <w:tcW w:w="2608" w:type="dxa"/>
            <w:gridSpan w:val="3"/>
            <w:vMerge w:val="restart"/>
            <w:shd w:val="clear" w:color="auto" w:fill="auto"/>
            <w:vAlign w:val="center"/>
          </w:tcPr>
          <w:p w14:paraId="34A6DEA3">
            <w:pPr>
              <w:jc w:val="center"/>
              <w:rPr>
                <w:rFonts w:ascii="宋体" w:hAnsi="宋体" w:cs="宋体"/>
                <w:color w:val="auto"/>
                <w:sz w:val="24"/>
                <w:highlight w:val="none"/>
              </w:rPr>
            </w:pPr>
          </w:p>
        </w:tc>
      </w:tr>
      <w:tr w14:paraId="1C07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0" w:type="dxa"/>
            <w:vMerge w:val="continue"/>
            <w:tcBorders>
              <w:bottom w:val="single" w:color="auto" w:sz="4" w:space="0"/>
            </w:tcBorders>
            <w:shd w:val="clear" w:color="auto" w:fill="auto"/>
            <w:vAlign w:val="center"/>
          </w:tcPr>
          <w:p w14:paraId="486F04AD">
            <w:pPr>
              <w:jc w:val="center"/>
              <w:rPr>
                <w:rFonts w:ascii="宋体" w:hAnsi="宋体" w:cs="宋体"/>
                <w:color w:val="auto"/>
                <w:sz w:val="24"/>
                <w:highlight w:val="none"/>
              </w:rPr>
            </w:pPr>
          </w:p>
        </w:tc>
        <w:tc>
          <w:tcPr>
            <w:tcW w:w="690" w:type="dxa"/>
            <w:vMerge w:val="continue"/>
            <w:tcBorders>
              <w:bottom w:val="single" w:color="auto" w:sz="4" w:space="0"/>
            </w:tcBorders>
            <w:shd w:val="clear" w:color="auto" w:fill="auto"/>
            <w:vAlign w:val="center"/>
          </w:tcPr>
          <w:p w14:paraId="0C000459">
            <w:pPr>
              <w:jc w:val="center"/>
              <w:rPr>
                <w:rFonts w:ascii="宋体" w:hAnsi="宋体" w:cs="宋体"/>
                <w:color w:val="auto"/>
                <w:sz w:val="24"/>
                <w:highlight w:val="none"/>
              </w:rPr>
            </w:pPr>
          </w:p>
        </w:tc>
        <w:tc>
          <w:tcPr>
            <w:tcW w:w="960" w:type="dxa"/>
            <w:gridSpan w:val="2"/>
            <w:tcBorders>
              <w:bottom w:val="single" w:color="auto" w:sz="4" w:space="0"/>
            </w:tcBorders>
            <w:shd w:val="clear" w:color="auto" w:fill="auto"/>
            <w:vAlign w:val="center"/>
          </w:tcPr>
          <w:p w14:paraId="068EEA64">
            <w:pPr>
              <w:jc w:val="center"/>
              <w:rPr>
                <w:rFonts w:ascii="宋体" w:hAnsi="宋体" w:cs="宋体"/>
                <w:color w:val="auto"/>
                <w:sz w:val="24"/>
                <w:highlight w:val="none"/>
              </w:rPr>
            </w:pPr>
            <w:r>
              <w:rPr>
                <w:rFonts w:hint="eastAsia" w:ascii="宋体" w:hAnsi="宋体" w:cs="宋体"/>
                <w:color w:val="auto"/>
                <w:sz w:val="24"/>
                <w:highlight w:val="none"/>
              </w:rPr>
              <w:t>手机</w:t>
            </w:r>
          </w:p>
        </w:tc>
        <w:tc>
          <w:tcPr>
            <w:tcW w:w="2115" w:type="dxa"/>
            <w:gridSpan w:val="3"/>
            <w:tcBorders>
              <w:bottom w:val="single" w:color="auto" w:sz="4" w:space="0"/>
            </w:tcBorders>
            <w:shd w:val="clear" w:color="auto" w:fill="auto"/>
            <w:vAlign w:val="center"/>
          </w:tcPr>
          <w:p w14:paraId="6D422A61">
            <w:pPr>
              <w:jc w:val="center"/>
              <w:rPr>
                <w:rFonts w:ascii="宋体" w:hAnsi="宋体" w:cs="宋体"/>
                <w:color w:val="auto"/>
                <w:sz w:val="24"/>
                <w:highlight w:val="none"/>
              </w:rPr>
            </w:pPr>
          </w:p>
        </w:tc>
        <w:tc>
          <w:tcPr>
            <w:tcW w:w="1560" w:type="dxa"/>
            <w:vMerge w:val="continue"/>
            <w:shd w:val="clear" w:color="auto" w:fill="auto"/>
            <w:vAlign w:val="center"/>
          </w:tcPr>
          <w:p w14:paraId="6D100FD6">
            <w:pPr>
              <w:jc w:val="center"/>
              <w:rPr>
                <w:rFonts w:ascii="宋体" w:hAnsi="宋体" w:cs="宋体"/>
                <w:color w:val="auto"/>
                <w:sz w:val="24"/>
                <w:highlight w:val="none"/>
              </w:rPr>
            </w:pPr>
          </w:p>
        </w:tc>
        <w:tc>
          <w:tcPr>
            <w:tcW w:w="2608" w:type="dxa"/>
            <w:gridSpan w:val="3"/>
            <w:vMerge w:val="continue"/>
            <w:shd w:val="clear" w:color="auto" w:fill="auto"/>
            <w:vAlign w:val="center"/>
          </w:tcPr>
          <w:p w14:paraId="75F9ABCE">
            <w:pPr>
              <w:jc w:val="center"/>
              <w:rPr>
                <w:rFonts w:ascii="宋体" w:hAnsi="宋体" w:cs="宋体"/>
                <w:color w:val="auto"/>
                <w:sz w:val="24"/>
                <w:highlight w:val="none"/>
              </w:rPr>
            </w:pPr>
          </w:p>
        </w:tc>
      </w:tr>
      <w:tr w14:paraId="052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80" w:type="dxa"/>
            <w:vMerge w:val="restart"/>
            <w:shd w:val="clear" w:color="auto" w:fill="auto"/>
            <w:vAlign w:val="center"/>
          </w:tcPr>
          <w:p w14:paraId="7225BF68">
            <w:pPr>
              <w:jc w:val="center"/>
              <w:rPr>
                <w:rFonts w:ascii="宋体" w:hAnsi="宋体" w:cs="宋体"/>
                <w:color w:val="auto"/>
                <w:sz w:val="24"/>
                <w:highlight w:val="none"/>
              </w:rPr>
            </w:pPr>
            <w:r>
              <w:rPr>
                <w:rFonts w:hint="eastAsia" w:ascii="宋体" w:hAnsi="宋体" w:cs="宋体"/>
                <w:color w:val="auto"/>
                <w:sz w:val="24"/>
                <w:highlight w:val="none"/>
              </w:rPr>
              <w:t>1.</w:t>
            </w:r>
          </w:p>
          <w:p w14:paraId="6BA256F4">
            <w:pPr>
              <w:jc w:val="center"/>
              <w:rPr>
                <w:rFonts w:ascii="宋体" w:hAnsi="宋体" w:cs="宋体"/>
                <w:color w:val="auto"/>
                <w:sz w:val="24"/>
                <w:highlight w:val="none"/>
              </w:rPr>
            </w:pPr>
            <w:r>
              <w:rPr>
                <w:rFonts w:hint="eastAsia" w:ascii="宋体" w:hAnsi="宋体" w:cs="宋体"/>
                <w:color w:val="auto"/>
                <w:sz w:val="24"/>
                <w:highlight w:val="none"/>
              </w:rPr>
              <w:t>企</w:t>
            </w:r>
          </w:p>
          <w:p w14:paraId="3D261C29">
            <w:pPr>
              <w:jc w:val="center"/>
              <w:rPr>
                <w:rFonts w:ascii="宋体" w:hAnsi="宋体" w:cs="宋体"/>
                <w:color w:val="auto"/>
                <w:sz w:val="24"/>
                <w:highlight w:val="none"/>
              </w:rPr>
            </w:pPr>
            <w:r>
              <w:rPr>
                <w:rFonts w:hint="eastAsia" w:ascii="宋体" w:hAnsi="宋体" w:cs="宋体"/>
                <w:color w:val="auto"/>
                <w:sz w:val="24"/>
                <w:highlight w:val="none"/>
              </w:rPr>
              <w:t>业</w:t>
            </w:r>
          </w:p>
          <w:p w14:paraId="72216E27">
            <w:pPr>
              <w:jc w:val="center"/>
              <w:rPr>
                <w:rFonts w:ascii="宋体" w:hAnsi="宋体" w:cs="宋体"/>
                <w:color w:val="auto"/>
                <w:sz w:val="24"/>
                <w:highlight w:val="none"/>
              </w:rPr>
            </w:pPr>
            <w:r>
              <w:rPr>
                <w:rFonts w:hint="eastAsia" w:ascii="宋体" w:hAnsi="宋体" w:cs="宋体"/>
                <w:color w:val="auto"/>
                <w:sz w:val="24"/>
                <w:highlight w:val="none"/>
              </w:rPr>
              <w:t>概</w:t>
            </w:r>
          </w:p>
          <w:p w14:paraId="298EABAA">
            <w:pPr>
              <w:jc w:val="center"/>
              <w:rPr>
                <w:rFonts w:ascii="宋体" w:hAnsi="宋体" w:cs="宋体"/>
                <w:color w:val="auto"/>
                <w:sz w:val="24"/>
                <w:highlight w:val="none"/>
              </w:rPr>
            </w:pPr>
            <w:r>
              <w:rPr>
                <w:rFonts w:hint="eastAsia" w:ascii="宋体" w:hAnsi="宋体" w:cs="宋体"/>
                <w:color w:val="auto"/>
                <w:sz w:val="24"/>
                <w:highlight w:val="none"/>
              </w:rPr>
              <w:t>况</w:t>
            </w:r>
          </w:p>
        </w:tc>
        <w:tc>
          <w:tcPr>
            <w:tcW w:w="690" w:type="dxa"/>
            <w:tcBorders>
              <w:top w:val="nil"/>
            </w:tcBorders>
            <w:shd w:val="clear" w:color="auto" w:fill="auto"/>
            <w:vAlign w:val="center"/>
          </w:tcPr>
          <w:p w14:paraId="56C0E296">
            <w:pPr>
              <w:jc w:val="center"/>
              <w:rPr>
                <w:rFonts w:ascii="宋体" w:hAnsi="宋体" w:cs="宋体"/>
                <w:color w:val="auto"/>
                <w:sz w:val="24"/>
                <w:highlight w:val="none"/>
              </w:rPr>
            </w:pPr>
            <w:r>
              <w:rPr>
                <w:rFonts w:hint="eastAsia" w:ascii="宋体" w:hAnsi="宋体" w:cs="宋体"/>
                <w:color w:val="auto"/>
                <w:sz w:val="24"/>
                <w:highlight w:val="none"/>
              </w:rPr>
              <w:t>职工人数</w:t>
            </w:r>
          </w:p>
        </w:tc>
        <w:tc>
          <w:tcPr>
            <w:tcW w:w="960" w:type="dxa"/>
            <w:gridSpan w:val="2"/>
            <w:tcBorders>
              <w:top w:val="nil"/>
            </w:tcBorders>
            <w:shd w:val="clear" w:color="auto" w:fill="auto"/>
            <w:vAlign w:val="center"/>
          </w:tcPr>
          <w:p w14:paraId="5F1FBDCC">
            <w:pPr>
              <w:jc w:val="center"/>
              <w:rPr>
                <w:rFonts w:ascii="宋体" w:hAnsi="宋体" w:cs="宋体"/>
                <w:color w:val="auto"/>
                <w:sz w:val="24"/>
                <w:highlight w:val="none"/>
              </w:rPr>
            </w:pPr>
          </w:p>
        </w:tc>
        <w:tc>
          <w:tcPr>
            <w:tcW w:w="926" w:type="dxa"/>
            <w:tcBorders>
              <w:top w:val="nil"/>
            </w:tcBorders>
            <w:shd w:val="clear" w:color="auto" w:fill="auto"/>
            <w:vAlign w:val="center"/>
          </w:tcPr>
          <w:p w14:paraId="2750F67F">
            <w:pPr>
              <w:jc w:val="center"/>
              <w:rPr>
                <w:rFonts w:ascii="宋体" w:hAnsi="宋体" w:cs="宋体"/>
                <w:color w:val="auto"/>
                <w:sz w:val="24"/>
                <w:highlight w:val="none"/>
              </w:rPr>
            </w:pPr>
            <w:r>
              <w:rPr>
                <w:rFonts w:hint="eastAsia" w:ascii="宋体" w:hAnsi="宋体" w:cs="宋体"/>
                <w:color w:val="auto"/>
                <w:sz w:val="24"/>
                <w:highlight w:val="none"/>
              </w:rPr>
              <w:t>具备大专以上学历人数</w:t>
            </w:r>
          </w:p>
        </w:tc>
        <w:tc>
          <w:tcPr>
            <w:tcW w:w="1189" w:type="dxa"/>
            <w:gridSpan w:val="2"/>
            <w:tcBorders>
              <w:top w:val="nil"/>
            </w:tcBorders>
            <w:shd w:val="clear" w:color="auto" w:fill="auto"/>
            <w:vAlign w:val="center"/>
          </w:tcPr>
          <w:p w14:paraId="51BEFEC9">
            <w:pPr>
              <w:jc w:val="center"/>
              <w:rPr>
                <w:rFonts w:ascii="宋体" w:hAnsi="宋体" w:cs="宋体"/>
                <w:color w:val="auto"/>
                <w:sz w:val="24"/>
                <w:highlight w:val="none"/>
              </w:rPr>
            </w:pPr>
          </w:p>
          <w:p w14:paraId="567F75A8">
            <w:pPr>
              <w:jc w:val="center"/>
              <w:rPr>
                <w:rFonts w:ascii="宋体" w:hAnsi="宋体" w:cs="宋体"/>
                <w:color w:val="auto"/>
                <w:sz w:val="24"/>
                <w:highlight w:val="none"/>
              </w:rPr>
            </w:pPr>
          </w:p>
          <w:p w14:paraId="10FD40AD">
            <w:pPr>
              <w:jc w:val="center"/>
              <w:rPr>
                <w:rFonts w:ascii="宋体" w:hAnsi="宋体" w:cs="宋体"/>
                <w:color w:val="auto"/>
                <w:sz w:val="24"/>
                <w:highlight w:val="none"/>
              </w:rPr>
            </w:pPr>
          </w:p>
        </w:tc>
        <w:tc>
          <w:tcPr>
            <w:tcW w:w="1560" w:type="dxa"/>
            <w:shd w:val="clear" w:color="auto" w:fill="auto"/>
            <w:vAlign w:val="center"/>
          </w:tcPr>
          <w:p w14:paraId="352A7DC9">
            <w:pPr>
              <w:jc w:val="center"/>
              <w:rPr>
                <w:rFonts w:ascii="宋体" w:hAnsi="宋体" w:cs="宋体"/>
                <w:color w:val="auto"/>
                <w:sz w:val="24"/>
                <w:highlight w:val="none"/>
              </w:rPr>
            </w:pPr>
            <w:r>
              <w:rPr>
                <w:rFonts w:hint="eastAsia" w:ascii="宋体" w:hAnsi="宋体" w:cs="宋体"/>
                <w:color w:val="auto"/>
                <w:sz w:val="24"/>
                <w:highlight w:val="none"/>
              </w:rPr>
              <w:t>国家授予技术职称人数</w:t>
            </w:r>
          </w:p>
        </w:tc>
        <w:tc>
          <w:tcPr>
            <w:tcW w:w="2608" w:type="dxa"/>
            <w:gridSpan w:val="3"/>
            <w:shd w:val="clear" w:color="auto" w:fill="auto"/>
            <w:vAlign w:val="center"/>
          </w:tcPr>
          <w:p w14:paraId="4E062F39">
            <w:pPr>
              <w:jc w:val="center"/>
              <w:rPr>
                <w:rFonts w:ascii="宋体" w:hAnsi="宋体" w:cs="宋体"/>
                <w:color w:val="auto"/>
                <w:sz w:val="24"/>
                <w:highlight w:val="none"/>
              </w:rPr>
            </w:pPr>
          </w:p>
          <w:p w14:paraId="649F6013">
            <w:pPr>
              <w:jc w:val="center"/>
              <w:rPr>
                <w:rFonts w:ascii="宋体" w:hAnsi="宋体" w:cs="宋体"/>
                <w:color w:val="auto"/>
                <w:sz w:val="24"/>
                <w:highlight w:val="none"/>
              </w:rPr>
            </w:pPr>
          </w:p>
        </w:tc>
      </w:tr>
      <w:tr w14:paraId="7B3F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80" w:type="dxa"/>
            <w:vMerge w:val="continue"/>
            <w:shd w:val="clear" w:color="auto" w:fill="auto"/>
            <w:vAlign w:val="center"/>
          </w:tcPr>
          <w:p w14:paraId="57E3EB78">
            <w:pPr>
              <w:jc w:val="center"/>
              <w:rPr>
                <w:rFonts w:ascii="宋体" w:hAnsi="宋体" w:cs="宋体"/>
                <w:color w:val="auto"/>
                <w:sz w:val="24"/>
                <w:highlight w:val="none"/>
              </w:rPr>
            </w:pPr>
          </w:p>
        </w:tc>
        <w:tc>
          <w:tcPr>
            <w:tcW w:w="690" w:type="dxa"/>
            <w:shd w:val="clear" w:color="auto" w:fill="auto"/>
            <w:vAlign w:val="center"/>
          </w:tcPr>
          <w:p w14:paraId="2B24DC78">
            <w:pPr>
              <w:jc w:val="center"/>
              <w:rPr>
                <w:rFonts w:ascii="宋体" w:hAnsi="宋体" w:cs="宋体"/>
                <w:color w:val="auto"/>
                <w:sz w:val="24"/>
                <w:highlight w:val="none"/>
              </w:rPr>
            </w:pPr>
            <w:r>
              <w:rPr>
                <w:rFonts w:hint="eastAsia" w:ascii="宋体" w:hAnsi="宋体" w:cs="宋体"/>
                <w:color w:val="auto"/>
                <w:sz w:val="24"/>
                <w:highlight w:val="none"/>
              </w:rPr>
              <w:t>占地面积</w:t>
            </w:r>
          </w:p>
        </w:tc>
        <w:tc>
          <w:tcPr>
            <w:tcW w:w="960" w:type="dxa"/>
            <w:gridSpan w:val="2"/>
            <w:shd w:val="clear" w:color="auto" w:fill="auto"/>
            <w:vAlign w:val="center"/>
          </w:tcPr>
          <w:p w14:paraId="1C6189BF">
            <w:pPr>
              <w:jc w:val="center"/>
              <w:rPr>
                <w:rFonts w:ascii="宋体" w:hAnsi="宋体" w:cs="宋体"/>
                <w:color w:val="auto"/>
                <w:sz w:val="24"/>
                <w:highlight w:val="none"/>
              </w:rPr>
            </w:pPr>
          </w:p>
        </w:tc>
        <w:tc>
          <w:tcPr>
            <w:tcW w:w="926" w:type="dxa"/>
            <w:shd w:val="clear" w:color="auto" w:fill="auto"/>
            <w:vAlign w:val="center"/>
          </w:tcPr>
          <w:p w14:paraId="0D3A34B1">
            <w:pPr>
              <w:jc w:val="center"/>
              <w:rPr>
                <w:rFonts w:ascii="宋体" w:hAnsi="宋体" w:cs="宋体"/>
                <w:color w:val="auto"/>
                <w:sz w:val="24"/>
                <w:highlight w:val="none"/>
              </w:rPr>
            </w:pPr>
            <w:r>
              <w:rPr>
                <w:rFonts w:hint="eastAsia" w:ascii="宋体" w:hAnsi="宋体" w:cs="宋体"/>
                <w:color w:val="auto"/>
                <w:sz w:val="24"/>
                <w:highlight w:val="none"/>
              </w:rPr>
              <w:t>建筑面积</w:t>
            </w:r>
          </w:p>
        </w:tc>
        <w:tc>
          <w:tcPr>
            <w:tcW w:w="1189" w:type="dxa"/>
            <w:gridSpan w:val="2"/>
            <w:shd w:val="clear" w:color="auto" w:fill="auto"/>
            <w:vAlign w:val="center"/>
          </w:tcPr>
          <w:p w14:paraId="29950E32">
            <w:pPr>
              <w:jc w:val="center"/>
              <w:rPr>
                <w:rFonts w:ascii="宋体" w:hAnsi="宋体" w:cs="宋体"/>
                <w:color w:val="auto"/>
                <w:sz w:val="24"/>
                <w:highlight w:val="none"/>
              </w:rPr>
            </w:pPr>
            <w:r>
              <w:rPr>
                <w:rFonts w:hint="eastAsia" w:ascii="宋体" w:hAnsi="宋体" w:cs="宋体"/>
                <w:color w:val="auto"/>
                <w:sz w:val="24"/>
                <w:highlight w:val="none"/>
              </w:rPr>
              <w:t>平方米</w:t>
            </w:r>
          </w:p>
          <w:p w14:paraId="36D5E4EC">
            <w:pPr>
              <w:jc w:val="center"/>
              <w:rPr>
                <w:rFonts w:ascii="宋体" w:hAnsi="宋体" w:cs="宋体"/>
                <w:color w:val="auto"/>
                <w:sz w:val="24"/>
                <w:highlight w:val="none"/>
              </w:rPr>
            </w:pPr>
            <w:r>
              <w:rPr>
                <w:rFonts w:hint="eastAsia" w:ascii="宋体" w:hAnsi="宋体" w:cs="宋体"/>
                <w:color w:val="auto"/>
                <w:sz w:val="24"/>
                <w:highlight w:val="none"/>
              </w:rPr>
              <w:t>□自有</w:t>
            </w:r>
          </w:p>
          <w:p w14:paraId="162437F7">
            <w:pPr>
              <w:jc w:val="center"/>
              <w:rPr>
                <w:rFonts w:ascii="宋体" w:hAnsi="宋体" w:cs="宋体"/>
                <w:color w:val="auto"/>
                <w:sz w:val="24"/>
                <w:highlight w:val="none"/>
              </w:rPr>
            </w:pPr>
            <w:r>
              <w:rPr>
                <w:rFonts w:hint="eastAsia" w:ascii="宋体" w:hAnsi="宋体" w:cs="宋体"/>
                <w:color w:val="auto"/>
                <w:sz w:val="24"/>
                <w:highlight w:val="none"/>
              </w:rPr>
              <w:t>□租赁</w:t>
            </w:r>
          </w:p>
        </w:tc>
        <w:tc>
          <w:tcPr>
            <w:tcW w:w="1560" w:type="dxa"/>
            <w:shd w:val="clear" w:color="auto" w:fill="auto"/>
            <w:vAlign w:val="center"/>
          </w:tcPr>
          <w:p w14:paraId="2B75FD60">
            <w:pPr>
              <w:jc w:val="center"/>
              <w:rPr>
                <w:rFonts w:ascii="宋体" w:hAnsi="宋体" w:cs="宋体"/>
                <w:color w:val="auto"/>
                <w:sz w:val="24"/>
                <w:highlight w:val="none"/>
              </w:rPr>
            </w:pPr>
            <w:r>
              <w:rPr>
                <w:rFonts w:hint="eastAsia" w:ascii="宋体" w:hAnsi="宋体" w:cs="宋体"/>
                <w:color w:val="auto"/>
                <w:sz w:val="24"/>
                <w:highlight w:val="none"/>
              </w:rPr>
              <w:t>生产经营场所及场所的设施与设备</w:t>
            </w:r>
          </w:p>
        </w:tc>
        <w:tc>
          <w:tcPr>
            <w:tcW w:w="2608" w:type="dxa"/>
            <w:gridSpan w:val="3"/>
            <w:shd w:val="clear" w:color="auto" w:fill="auto"/>
            <w:vAlign w:val="center"/>
          </w:tcPr>
          <w:p w14:paraId="1E852EBC">
            <w:pPr>
              <w:jc w:val="center"/>
              <w:rPr>
                <w:rFonts w:ascii="宋体" w:hAnsi="宋体" w:cs="宋体"/>
                <w:color w:val="auto"/>
                <w:sz w:val="24"/>
                <w:highlight w:val="none"/>
              </w:rPr>
            </w:pPr>
          </w:p>
        </w:tc>
      </w:tr>
      <w:tr w14:paraId="19CF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80" w:type="dxa"/>
            <w:vMerge w:val="continue"/>
            <w:shd w:val="clear" w:color="auto" w:fill="auto"/>
            <w:vAlign w:val="center"/>
          </w:tcPr>
          <w:p w14:paraId="26F3ADA5">
            <w:pPr>
              <w:jc w:val="center"/>
              <w:rPr>
                <w:rFonts w:ascii="宋体" w:hAnsi="宋体" w:cs="宋体"/>
                <w:color w:val="auto"/>
                <w:sz w:val="24"/>
                <w:highlight w:val="none"/>
              </w:rPr>
            </w:pPr>
          </w:p>
        </w:tc>
        <w:tc>
          <w:tcPr>
            <w:tcW w:w="690" w:type="dxa"/>
            <w:shd w:val="clear" w:color="auto" w:fill="auto"/>
            <w:vAlign w:val="center"/>
          </w:tcPr>
          <w:p w14:paraId="0C65EDCA">
            <w:pPr>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960" w:type="dxa"/>
            <w:gridSpan w:val="2"/>
            <w:shd w:val="clear" w:color="auto" w:fill="auto"/>
            <w:vAlign w:val="center"/>
          </w:tcPr>
          <w:p w14:paraId="59372F5B">
            <w:pPr>
              <w:jc w:val="center"/>
              <w:rPr>
                <w:rFonts w:ascii="宋体" w:hAnsi="宋体" w:cs="宋体"/>
                <w:color w:val="auto"/>
                <w:sz w:val="24"/>
                <w:highlight w:val="none"/>
              </w:rPr>
            </w:pPr>
          </w:p>
        </w:tc>
        <w:tc>
          <w:tcPr>
            <w:tcW w:w="926" w:type="dxa"/>
            <w:shd w:val="clear" w:color="auto" w:fill="auto"/>
            <w:vAlign w:val="center"/>
          </w:tcPr>
          <w:p w14:paraId="0CEFBD2F">
            <w:pPr>
              <w:jc w:val="center"/>
              <w:rPr>
                <w:rFonts w:ascii="宋体" w:hAnsi="宋体" w:cs="宋体"/>
                <w:color w:val="auto"/>
                <w:sz w:val="24"/>
                <w:highlight w:val="none"/>
              </w:rPr>
            </w:pPr>
            <w:r>
              <w:rPr>
                <w:rFonts w:hint="eastAsia" w:ascii="宋体" w:hAnsi="宋体" w:cs="宋体"/>
                <w:color w:val="auto"/>
                <w:sz w:val="24"/>
                <w:highlight w:val="none"/>
              </w:rPr>
              <w:t>注册发证机关</w:t>
            </w:r>
          </w:p>
        </w:tc>
        <w:tc>
          <w:tcPr>
            <w:tcW w:w="2749" w:type="dxa"/>
            <w:gridSpan w:val="3"/>
            <w:shd w:val="clear" w:color="auto" w:fill="auto"/>
            <w:vAlign w:val="center"/>
          </w:tcPr>
          <w:p w14:paraId="0D19EEEB">
            <w:pPr>
              <w:jc w:val="center"/>
              <w:rPr>
                <w:rFonts w:ascii="宋体" w:hAnsi="宋体" w:cs="宋体"/>
                <w:color w:val="auto"/>
                <w:sz w:val="24"/>
                <w:highlight w:val="none"/>
              </w:rPr>
            </w:pPr>
          </w:p>
          <w:p w14:paraId="0D0C48F2">
            <w:pPr>
              <w:jc w:val="center"/>
              <w:rPr>
                <w:rFonts w:ascii="宋体" w:hAnsi="宋体" w:cs="宋体"/>
                <w:color w:val="auto"/>
                <w:sz w:val="24"/>
                <w:highlight w:val="none"/>
              </w:rPr>
            </w:pPr>
          </w:p>
        </w:tc>
        <w:tc>
          <w:tcPr>
            <w:tcW w:w="1675" w:type="dxa"/>
            <w:gridSpan w:val="2"/>
            <w:shd w:val="clear" w:color="auto" w:fill="auto"/>
            <w:vAlign w:val="center"/>
          </w:tcPr>
          <w:p w14:paraId="4823A82E">
            <w:pPr>
              <w:jc w:val="center"/>
              <w:rPr>
                <w:rFonts w:ascii="宋体" w:hAnsi="宋体" w:cs="宋体"/>
                <w:color w:val="auto"/>
                <w:sz w:val="24"/>
                <w:highlight w:val="none"/>
              </w:rPr>
            </w:pPr>
            <w:r>
              <w:rPr>
                <w:rFonts w:hint="eastAsia" w:ascii="宋体" w:hAnsi="宋体" w:cs="宋体"/>
                <w:color w:val="auto"/>
                <w:sz w:val="24"/>
                <w:highlight w:val="none"/>
              </w:rPr>
              <w:t>公司成立时间</w:t>
            </w:r>
          </w:p>
        </w:tc>
        <w:tc>
          <w:tcPr>
            <w:tcW w:w="933" w:type="dxa"/>
            <w:shd w:val="clear" w:color="auto" w:fill="auto"/>
            <w:vAlign w:val="center"/>
          </w:tcPr>
          <w:p w14:paraId="78961391">
            <w:pPr>
              <w:jc w:val="center"/>
              <w:rPr>
                <w:rFonts w:ascii="宋体" w:hAnsi="宋体" w:cs="宋体"/>
                <w:color w:val="auto"/>
                <w:sz w:val="24"/>
                <w:highlight w:val="none"/>
              </w:rPr>
            </w:pPr>
          </w:p>
        </w:tc>
      </w:tr>
      <w:tr w14:paraId="189E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80" w:type="dxa"/>
            <w:vMerge w:val="continue"/>
            <w:shd w:val="clear" w:color="auto" w:fill="auto"/>
            <w:vAlign w:val="center"/>
          </w:tcPr>
          <w:p w14:paraId="62BDAFB8">
            <w:pPr>
              <w:jc w:val="center"/>
              <w:rPr>
                <w:rFonts w:ascii="宋体" w:hAnsi="宋体" w:cs="宋体"/>
                <w:color w:val="auto"/>
                <w:sz w:val="24"/>
                <w:highlight w:val="none"/>
              </w:rPr>
            </w:pPr>
          </w:p>
        </w:tc>
        <w:tc>
          <w:tcPr>
            <w:tcW w:w="690" w:type="dxa"/>
            <w:shd w:val="clear" w:color="auto" w:fill="auto"/>
            <w:vAlign w:val="center"/>
          </w:tcPr>
          <w:p w14:paraId="6BC0079A">
            <w:pPr>
              <w:jc w:val="center"/>
              <w:rPr>
                <w:rFonts w:ascii="宋体" w:hAnsi="宋体" w:cs="宋体"/>
                <w:color w:val="auto"/>
                <w:sz w:val="24"/>
                <w:highlight w:val="none"/>
              </w:rPr>
            </w:pPr>
            <w:r>
              <w:rPr>
                <w:rFonts w:hint="eastAsia" w:ascii="宋体" w:hAnsi="宋体" w:cs="宋体"/>
                <w:color w:val="auto"/>
                <w:sz w:val="24"/>
                <w:highlight w:val="none"/>
              </w:rPr>
              <w:t>核准经营范围</w:t>
            </w:r>
          </w:p>
        </w:tc>
        <w:tc>
          <w:tcPr>
            <w:tcW w:w="7243" w:type="dxa"/>
            <w:gridSpan w:val="9"/>
            <w:shd w:val="clear" w:color="auto" w:fill="auto"/>
            <w:vAlign w:val="center"/>
          </w:tcPr>
          <w:p w14:paraId="0A46B938">
            <w:pPr>
              <w:jc w:val="center"/>
              <w:rPr>
                <w:rFonts w:ascii="宋体" w:hAnsi="宋体" w:cs="宋体"/>
                <w:color w:val="auto"/>
                <w:sz w:val="24"/>
                <w:highlight w:val="none"/>
              </w:rPr>
            </w:pPr>
          </w:p>
        </w:tc>
      </w:tr>
      <w:tr w14:paraId="0478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 w:type="dxa"/>
            <w:vMerge w:val="continue"/>
            <w:shd w:val="clear" w:color="auto" w:fill="auto"/>
            <w:vAlign w:val="center"/>
          </w:tcPr>
          <w:p w14:paraId="74B8A310">
            <w:pPr>
              <w:jc w:val="center"/>
              <w:rPr>
                <w:rFonts w:ascii="宋体" w:hAnsi="宋体" w:cs="宋体"/>
                <w:color w:val="auto"/>
                <w:sz w:val="24"/>
                <w:highlight w:val="none"/>
              </w:rPr>
            </w:pPr>
          </w:p>
        </w:tc>
        <w:tc>
          <w:tcPr>
            <w:tcW w:w="7933" w:type="dxa"/>
            <w:gridSpan w:val="10"/>
            <w:shd w:val="clear" w:color="auto" w:fill="auto"/>
            <w:vAlign w:val="center"/>
          </w:tcPr>
          <w:p w14:paraId="641B76E4">
            <w:pPr>
              <w:jc w:val="center"/>
              <w:rPr>
                <w:rFonts w:ascii="宋体" w:hAnsi="宋体" w:cs="宋体"/>
                <w:color w:val="auto"/>
                <w:sz w:val="24"/>
                <w:highlight w:val="none"/>
              </w:rPr>
            </w:pPr>
            <w:r>
              <w:rPr>
                <w:rFonts w:hint="eastAsia" w:ascii="宋体" w:hAnsi="宋体" w:cs="宋体"/>
                <w:color w:val="auto"/>
                <w:sz w:val="24"/>
                <w:highlight w:val="none"/>
              </w:rPr>
              <w:t>发展历程及主要荣誉：</w:t>
            </w:r>
          </w:p>
        </w:tc>
      </w:tr>
      <w:tr w14:paraId="5C83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0" w:type="dxa"/>
            <w:vMerge w:val="restart"/>
            <w:shd w:val="clear" w:color="auto" w:fill="auto"/>
            <w:vAlign w:val="center"/>
          </w:tcPr>
          <w:p w14:paraId="072315DC">
            <w:pPr>
              <w:jc w:val="center"/>
              <w:rPr>
                <w:rFonts w:ascii="宋体" w:hAnsi="宋体" w:cs="宋体"/>
                <w:color w:val="auto"/>
                <w:sz w:val="24"/>
                <w:highlight w:val="none"/>
              </w:rPr>
            </w:pPr>
            <w:r>
              <w:rPr>
                <w:rFonts w:hint="eastAsia" w:ascii="宋体" w:hAnsi="宋体" w:cs="宋体"/>
                <w:color w:val="auto"/>
                <w:sz w:val="24"/>
                <w:highlight w:val="none"/>
              </w:rPr>
              <w:t>2．</w:t>
            </w:r>
          </w:p>
          <w:p w14:paraId="3BB21B22">
            <w:pPr>
              <w:jc w:val="center"/>
              <w:rPr>
                <w:rFonts w:ascii="宋体" w:hAnsi="宋体" w:cs="宋体"/>
                <w:color w:val="auto"/>
                <w:sz w:val="24"/>
                <w:highlight w:val="none"/>
              </w:rPr>
            </w:pPr>
            <w:r>
              <w:rPr>
                <w:rFonts w:hint="eastAsia" w:ascii="宋体" w:hAnsi="宋体" w:cs="宋体"/>
                <w:color w:val="auto"/>
                <w:sz w:val="24"/>
                <w:highlight w:val="none"/>
              </w:rPr>
              <w:t>企业有关资质获证情况</w:t>
            </w:r>
          </w:p>
        </w:tc>
        <w:tc>
          <w:tcPr>
            <w:tcW w:w="1355" w:type="dxa"/>
            <w:gridSpan w:val="2"/>
            <w:vMerge w:val="restart"/>
            <w:shd w:val="clear" w:color="auto" w:fill="auto"/>
            <w:vAlign w:val="center"/>
          </w:tcPr>
          <w:p w14:paraId="3E06B44D">
            <w:pPr>
              <w:jc w:val="center"/>
              <w:rPr>
                <w:rFonts w:ascii="宋体" w:hAnsi="宋体" w:cs="宋体"/>
                <w:color w:val="auto"/>
                <w:sz w:val="24"/>
                <w:highlight w:val="none"/>
              </w:rPr>
            </w:pPr>
            <w:r>
              <w:rPr>
                <w:rFonts w:hint="eastAsia" w:ascii="宋体" w:hAnsi="宋体" w:cs="宋体"/>
                <w:color w:val="auto"/>
                <w:sz w:val="24"/>
                <w:highlight w:val="none"/>
              </w:rPr>
              <w:t>产品生产许可证情况（对需获得生产许可证的产品要填写此栏）</w:t>
            </w:r>
          </w:p>
        </w:tc>
        <w:tc>
          <w:tcPr>
            <w:tcW w:w="1333" w:type="dxa"/>
            <w:gridSpan w:val="3"/>
            <w:shd w:val="clear" w:color="auto" w:fill="auto"/>
            <w:vAlign w:val="center"/>
          </w:tcPr>
          <w:p w14:paraId="75AFF981">
            <w:pPr>
              <w:jc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1077" w:type="dxa"/>
            <w:shd w:val="clear" w:color="auto" w:fill="auto"/>
            <w:vAlign w:val="center"/>
          </w:tcPr>
          <w:p w14:paraId="76DCED61">
            <w:pPr>
              <w:jc w:val="center"/>
              <w:rPr>
                <w:rFonts w:ascii="宋体" w:hAnsi="宋体" w:cs="宋体"/>
                <w:color w:val="auto"/>
                <w:sz w:val="24"/>
                <w:highlight w:val="none"/>
              </w:rPr>
            </w:pPr>
            <w:r>
              <w:rPr>
                <w:rFonts w:hint="eastAsia" w:ascii="宋体" w:hAnsi="宋体" w:cs="宋体"/>
                <w:color w:val="auto"/>
                <w:sz w:val="24"/>
                <w:highlight w:val="none"/>
              </w:rPr>
              <w:t>发证机关</w:t>
            </w:r>
          </w:p>
        </w:tc>
        <w:tc>
          <w:tcPr>
            <w:tcW w:w="1617" w:type="dxa"/>
            <w:gridSpan w:val="2"/>
            <w:shd w:val="clear" w:color="auto" w:fill="auto"/>
            <w:vAlign w:val="center"/>
          </w:tcPr>
          <w:p w14:paraId="5BAD809C">
            <w:pPr>
              <w:jc w:val="center"/>
              <w:rPr>
                <w:rFonts w:ascii="宋体" w:hAnsi="宋体" w:cs="宋体"/>
                <w:color w:val="auto"/>
                <w:sz w:val="24"/>
                <w:highlight w:val="none"/>
              </w:rPr>
            </w:pPr>
            <w:r>
              <w:rPr>
                <w:rFonts w:hint="eastAsia" w:ascii="宋体" w:hAnsi="宋体" w:cs="宋体"/>
                <w:color w:val="auto"/>
                <w:sz w:val="24"/>
                <w:highlight w:val="none"/>
              </w:rPr>
              <w:t>编号</w:t>
            </w:r>
          </w:p>
        </w:tc>
        <w:tc>
          <w:tcPr>
            <w:tcW w:w="1618" w:type="dxa"/>
            <w:shd w:val="clear" w:color="auto" w:fill="auto"/>
            <w:vAlign w:val="center"/>
          </w:tcPr>
          <w:p w14:paraId="7D43A6AE">
            <w:pPr>
              <w:jc w:val="center"/>
              <w:rPr>
                <w:rFonts w:ascii="宋体" w:hAnsi="宋体" w:cs="宋体"/>
                <w:color w:val="auto"/>
                <w:sz w:val="24"/>
                <w:highlight w:val="none"/>
              </w:rPr>
            </w:pPr>
            <w:r>
              <w:rPr>
                <w:rFonts w:hint="eastAsia" w:ascii="宋体" w:hAnsi="宋体" w:cs="宋体"/>
                <w:color w:val="auto"/>
                <w:sz w:val="24"/>
                <w:highlight w:val="none"/>
              </w:rPr>
              <w:t>发证时间</w:t>
            </w:r>
          </w:p>
        </w:tc>
        <w:tc>
          <w:tcPr>
            <w:tcW w:w="933" w:type="dxa"/>
            <w:shd w:val="clear" w:color="auto" w:fill="auto"/>
            <w:vAlign w:val="center"/>
          </w:tcPr>
          <w:p w14:paraId="76F84C04">
            <w:pPr>
              <w:jc w:val="center"/>
              <w:rPr>
                <w:rFonts w:ascii="宋体" w:hAnsi="宋体" w:cs="宋体"/>
                <w:color w:val="auto"/>
                <w:sz w:val="24"/>
                <w:highlight w:val="none"/>
              </w:rPr>
            </w:pPr>
            <w:r>
              <w:rPr>
                <w:rFonts w:hint="eastAsia" w:ascii="宋体" w:hAnsi="宋体" w:cs="宋体"/>
                <w:color w:val="auto"/>
                <w:sz w:val="24"/>
                <w:highlight w:val="none"/>
              </w:rPr>
              <w:t>期限</w:t>
            </w:r>
          </w:p>
        </w:tc>
      </w:tr>
      <w:tr w14:paraId="0701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880" w:type="dxa"/>
            <w:vMerge w:val="continue"/>
            <w:shd w:val="clear" w:color="auto" w:fill="auto"/>
            <w:vAlign w:val="center"/>
          </w:tcPr>
          <w:p w14:paraId="5F06E10D">
            <w:pPr>
              <w:jc w:val="center"/>
              <w:rPr>
                <w:rFonts w:ascii="宋体" w:hAnsi="宋体" w:cs="宋体"/>
                <w:color w:val="auto"/>
                <w:sz w:val="24"/>
                <w:highlight w:val="none"/>
              </w:rPr>
            </w:pPr>
          </w:p>
        </w:tc>
        <w:tc>
          <w:tcPr>
            <w:tcW w:w="1355" w:type="dxa"/>
            <w:gridSpan w:val="2"/>
            <w:vMerge w:val="continue"/>
            <w:shd w:val="clear" w:color="auto" w:fill="auto"/>
            <w:vAlign w:val="center"/>
          </w:tcPr>
          <w:p w14:paraId="2FF6C2A5">
            <w:pPr>
              <w:jc w:val="center"/>
              <w:rPr>
                <w:rFonts w:ascii="宋体" w:hAnsi="宋体" w:cs="宋体"/>
                <w:color w:val="auto"/>
                <w:sz w:val="24"/>
                <w:highlight w:val="none"/>
              </w:rPr>
            </w:pPr>
          </w:p>
        </w:tc>
        <w:tc>
          <w:tcPr>
            <w:tcW w:w="1333" w:type="dxa"/>
            <w:gridSpan w:val="3"/>
            <w:shd w:val="clear" w:color="auto" w:fill="auto"/>
            <w:vAlign w:val="center"/>
          </w:tcPr>
          <w:p w14:paraId="5D1A01A9">
            <w:pPr>
              <w:jc w:val="center"/>
              <w:rPr>
                <w:rFonts w:ascii="宋体" w:hAnsi="宋体" w:cs="宋体"/>
                <w:color w:val="auto"/>
                <w:sz w:val="24"/>
                <w:highlight w:val="none"/>
              </w:rPr>
            </w:pPr>
          </w:p>
        </w:tc>
        <w:tc>
          <w:tcPr>
            <w:tcW w:w="1077" w:type="dxa"/>
            <w:shd w:val="clear" w:color="auto" w:fill="auto"/>
            <w:vAlign w:val="center"/>
          </w:tcPr>
          <w:p w14:paraId="3A105871">
            <w:pPr>
              <w:jc w:val="center"/>
              <w:rPr>
                <w:rFonts w:ascii="宋体" w:hAnsi="宋体" w:cs="宋体"/>
                <w:color w:val="auto"/>
                <w:sz w:val="24"/>
                <w:highlight w:val="none"/>
              </w:rPr>
            </w:pPr>
          </w:p>
        </w:tc>
        <w:tc>
          <w:tcPr>
            <w:tcW w:w="1617" w:type="dxa"/>
            <w:gridSpan w:val="2"/>
            <w:shd w:val="clear" w:color="auto" w:fill="auto"/>
            <w:vAlign w:val="center"/>
          </w:tcPr>
          <w:p w14:paraId="0423B3A9">
            <w:pPr>
              <w:jc w:val="center"/>
              <w:rPr>
                <w:rFonts w:ascii="宋体" w:hAnsi="宋体" w:cs="宋体"/>
                <w:color w:val="auto"/>
                <w:sz w:val="24"/>
                <w:highlight w:val="none"/>
              </w:rPr>
            </w:pPr>
          </w:p>
        </w:tc>
        <w:tc>
          <w:tcPr>
            <w:tcW w:w="2551" w:type="dxa"/>
            <w:gridSpan w:val="2"/>
            <w:shd w:val="clear" w:color="auto" w:fill="auto"/>
            <w:vAlign w:val="center"/>
          </w:tcPr>
          <w:p w14:paraId="0E96AAEE">
            <w:pPr>
              <w:jc w:val="center"/>
              <w:rPr>
                <w:rFonts w:ascii="宋体" w:hAnsi="宋体" w:cs="宋体"/>
                <w:color w:val="auto"/>
                <w:sz w:val="24"/>
                <w:highlight w:val="none"/>
              </w:rPr>
            </w:pPr>
          </w:p>
        </w:tc>
      </w:tr>
      <w:tr w14:paraId="4885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80" w:type="dxa"/>
            <w:vMerge w:val="continue"/>
            <w:shd w:val="clear" w:color="auto" w:fill="auto"/>
            <w:vAlign w:val="center"/>
          </w:tcPr>
          <w:p w14:paraId="16A71B85">
            <w:pPr>
              <w:jc w:val="center"/>
              <w:rPr>
                <w:rFonts w:ascii="宋体" w:hAnsi="宋体" w:cs="宋体"/>
                <w:color w:val="auto"/>
                <w:sz w:val="24"/>
                <w:highlight w:val="none"/>
              </w:rPr>
            </w:pPr>
          </w:p>
        </w:tc>
        <w:tc>
          <w:tcPr>
            <w:tcW w:w="1355" w:type="dxa"/>
            <w:gridSpan w:val="2"/>
            <w:shd w:val="clear" w:color="auto" w:fill="auto"/>
            <w:vAlign w:val="center"/>
          </w:tcPr>
          <w:p w14:paraId="0D1ABD87">
            <w:pPr>
              <w:jc w:val="center"/>
              <w:rPr>
                <w:rFonts w:ascii="宋体" w:hAnsi="宋体" w:cs="宋体"/>
                <w:color w:val="auto"/>
                <w:sz w:val="24"/>
                <w:highlight w:val="none"/>
              </w:rPr>
            </w:pPr>
            <w:r>
              <w:rPr>
                <w:rFonts w:hint="eastAsia" w:ascii="宋体" w:hAnsi="宋体" w:cs="宋体"/>
                <w:color w:val="auto"/>
                <w:sz w:val="24"/>
                <w:highlight w:val="none"/>
              </w:rPr>
              <w:t>企业通过质量体系、环保体系、计量等认证情况</w:t>
            </w:r>
          </w:p>
        </w:tc>
        <w:tc>
          <w:tcPr>
            <w:tcW w:w="6578" w:type="dxa"/>
            <w:gridSpan w:val="8"/>
            <w:shd w:val="clear" w:color="auto" w:fill="auto"/>
            <w:vAlign w:val="center"/>
          </w:tcPr>
          <w:p w14:paraId="7C56BA92">
            <w:pPr>
              <w:jc w:val="center"/>
              <w:rPr>
                <w:rFonts w:ascii="宋体" w:hAnsi="宋体" w:cs="宋体"/>
                <w:color w:val="auto"/>
                <w:sz w:val="24"/>
                <w:highlight w:val="none"/>
              </w:rPr>
            </w:pPr>
          </w:p>
        </w:tc>
      </w:tr>
      <w:tr w14:paraId="17DE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80" w:type="dxa"/>
            <w:vMerge w:val="continue"/>
            <w:shd w:val="clear" w:color="auto" w:fill="auto"/>
            <w:vAlign w:val="center"/>
          </w:tcPr>
          <w:p w14:paraId="2AC52AD6">
            <w:pPr>
              <w:jc w:val="center"/>
              <w:rPr>
                <w:rFonts w:ascii="宋体" w:hAnsi="宋体" w:cs="宋体"/>
                <w:color w:val="auto"/>
                <w:sz w:val="24"/>
                <w:highlight w:val="none"/>
              </w:rPr>
            </w:pPr>
          </w:p>
        </w:tc>
        <w:tc>
          <w:tcPr>
            <w:tcW w:w="1355" w:type="dxa"/>
            <w:gridSpan w:val="2"/>
            <w:shd w:val="clear" w:color="auto" w:fill="auto"/>
            <w:vAlign w:val="center"/>
          </w:tcPr>
          <w:p w14:paraId="560AF99C">
            <w:pPr>
              <w:jc w:val="center"/>
              <w:rPr>
                <w:rFonts w:ascii="宋体" w:hAnsi="宋体" w:cs="宋体"/>
                <w:color w:val="auto"/>
                <w:sz w:val="24"/>
                <w:highlight w:val="none"/>
              </w:rPr>
            </w:pPr>
            <w:r>
              <w:rPr>
                <w:rFonts w:hint="eastAsia" w:ascii="宋体" w:hAnsi="宋体" w:cs="宋体"/>
                <w:color w:val="auto"/>
                <w:sz w:val="24"/>
                <w:highlight w:val="none"/>
              </w:rPr>
              <w:t>企业获得专利情况</w:t>
            </w:r>
          </w:p>
        </w:tc>
        <w:tc>
          <w:tcPr>
            <w:tcW w:w="6578" w:type="dxa"/>
            <w:gridSpan w:val="8"/>
            <w:shd w:val="clear" w:color="auto" w:fill="auto"/>
            <w:vAlign w:val="center"/>
          </w:tcPr>
          <w:p w14:paraId="78204948">
            <w:pPr>
              <w:jc w:val="center"/>
              <w:rPr>
                <w:rFonts w:ascii="宋体" w:hAnsi="宋体" w:cs="宋体"/>
                <w:color w:val="auto"/>
                <w:sz w:val="24"/>
                <w:highlight w:val="none"/>
              </w:rPr>
            </w:pPr>
          </w:p>
        </w:tc>
      </w:tr>
    </w:tbl>
    <w:p w14:paraId="4803C028">
      <w:pPr>
        <w:spacing w:line="360" w:lineRule="auto"/>
        <w:rPr>
          <w:rFonts w:ascii="宋体" w:hAnsi="宋体" w:cs="宋体"/>
          <w:color w:val="auto"/>
          <w:sz w:val="24"/>
          <w:szCs w:val="32"/>
          <w:highlight w:val="none"/>
        </w:rPr>
      </w:pPr>
    </w:p>
    <w:p w14:paraId="43A68738">
      <w:pPr>
        <w:spacing w:line="360" w:lineRule="auto"/>
        <w:rPr>
          <w:rFonts w:ascii="宋体" w:hAnsi="宋体" w:cs="宋体"/>
          <w:color w:val="auto"/>
          <w:sz w:val="24"/>
          <w:szCs w:val="32"/>
          <w:highlight w:val="none"/>
        </w:rPr>
      </w:pPr>
      <w:r>
        <w:rPr>
          <w:rFonts w:hint="eastAsia" w:ascii="宋体" w:hAnsi="宋体" w:cs="宋体"/>
          <w:b/>
          <w:bCs/>
          <w:color w:val="auto"/>
          <w:sz w:val="24"/>
          <w:szCs w:val="32"/>
          <w:highlight w:val="none"/>
        </w:rPr>
        <w:t>要求：</w:t>
      </w:r>
      <w:r>
        <w:rPr>
          <w:rFonts w:hint="eastAsia" w:ascii="宋体" w:hAnsi="宋体" w:cs="宋体"/>
          <w:color w:val="auto"/>
          <w:sz w:val="24"/>
          <w:szCs w:val="32"/>
          <w:highlight w:val="none"/>
        </w:rPr>
        <w:t>1.姓名栏必须将所有股东都统计在内，若非股份公司此行（第三行）无需填写；</w:t>
      </w:r>
    </w:p>
    <w:p w14:paraId="2D486E96">
      <w:pPr>
        <w:spacing w:line="360" w:lineRule="auto"/>
        <w:rPr>
          <w:rFonts w:ascii="宋体" w:hAnsi="宋体" w:cs="宋体"/>
          <w:color w:val="auto"/>
          <w:sz w:val="24"/>
          <w:szCs w:val="32"/>
          <w:highlight w:val="none"/>
        </w:rPr>
      </w:pPr>
    </w:p>
    <w:p w14:paraId="0507D2CE">
      <w:pPr>
        <w:spacing w:line="480" w:lineRule="auto"/>
        <w:rPr>
          <w:rFonts w:ascii="宋体" w:hAnsi="宋体" w:cs="宋体"/>
          <w:color w:val="auto"/>
          <w:sz w:val="24"/>
          <w:highlight w:val="none"/>
        </w:rPr>
      </w:pPr>
      <w:r>
        <w:rPr>
          <w:rFonts w:hint="eastAsia" w:ascii="宋体" w:hAnsi="宋体" w:cs="宋体"/>
          <w:color w:val="auto"/>
          <w:sz w:val="24"/>
          <w:highlight w:val="none"/>
          <w:lang w:eastAsia="zh-CN"/>
        </w:rPr>
        <w:t>投标人名称（盖章）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8C1597E">
      <w:pPr>
        <w:spacing w:line="48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法定代表人或授权委托代理人（签字或盖章）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E38503E">
      <w:pPr>
        <w:spacing w:line="480" w:lineRule="auto"/>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14:paraId="6FD89F3F">
      <w:pPr>
        <w:spacing w:line="360" w:lineRule="auto"/>
        <w:rPr>
          <w:rFonts w:ascii="宋体" w:hAnsi="宋体" w:cs="宋体"/>
          <w:color w:val="auto"/>
          <w:sz w:val="24"/>
          <w:szCs w:val="32"/>
          <w:highlight w:val="none"/>
        </w:rPr>
      </w:pPr>
    </w:p>
    <w:p w14:paraId="4F031705">
      <w:pPr>
        <w:spacing w:line="360" w:lineRule="auto"/>
        <w:rPr>
          <w:rFonts w:ascii="宋体" w:hAnsi="宋体" w:cs="宋体"/>
          <w:color w:val="auto"/>
          <w:sz w:val="24"/>
          <w:szCs w:val="32"/>
          <w:highlight w:val="none"/>
        </w:rPr>
      </w:pPr>
    </w:p>
    <w:p w14:paraId="71507B9C">
      <w:pPr>
        <w:spacing w:line="360" w:lineRule="auto"/>
        <w:rPr>
          <w:rFonts w:ascii="宋体" w:hAnsi="宋体" w:cs="宋体"/>
          <w:color w:val="auto"/>
          <w:sz w:val="24"/>
          <w:szCs w:val="32"/>
          <w:highlight w:val="none"/>
        </w:rPr>
      </w:pPr>
    </w:p>
    <w:p w14:paraId="30C0874A">
      <w:pPr>
        <w:spacing w:line="360" w:lineRule="auto"/>
        <w:rPr>
          <w:rFonts w:ascii="宋体" w:hAnsi="宋体" w:cs="宋体"/>
          <w:color w:val="auto"/>
          <w:sz w:val="24"/>
          <w:szCs w:val="32"/>
          <w:highlight w:val="none"/>
        </w:rPr>
      </w:pPr>
    </w:p>
    <w:p w14:paraId="76CEF5B4">
      <w:pPr>
        <w:spacing w:line="360" w:lineRule="auto"/>
        <w:rPr>
          <w:rFonts w:ascii="宋体" w:hAnsi="宋体" w:cs="宋体"/>
          <w:color w:val="auto"/>
          <w:sz w:val="24"/>
          <w:szCs w:val="32"/>
          <w:highlight w:val="none"/>
        </w:rPr>
      </w:pPr>
    </w:p>
    <w:p w14:paraId="3D393348">
      <w:pPr>
        <w:spacing w:line="360" w:lineRule="auto"/>
        <w:rPr>
          <w:rFonts w:ascii="宋体" w:hAnsi="宋体" w:cs="宋体"/>
          <w:color w:val="auto"/>
          <w:sz w:val="24"/>
          <w:szCs w:val="32"/>
          <w:highlight w:val="none"/>
        </w:rPr>
      </w:pPr>
    </w:p>
    <w:p w14:paraId="6DBE391B">
      <w:pPr>
        <w:spacing w:line="360" w:lineRule="auto"/>
        <w:rPr>
          <w:rFonts w:ascii="宋体" w:hAnsi="宋体" w:cs="宋体"/>
          <w:color w:val="auto"/>
          <w:sz w:val="24"/>
          <w:szCs w:val="32"/>
          <w:highlight w:val="none"/>
        </w:rPr>
      </w:pPr>
    </w:p>
    <w:p w14:paraId="51D3E494">
      <w:pPr>
        <w:spacing w:line="360" w:lineRule="auto"/>
        <w:rPr>
          <w:rFonts w:ascii="宋体" w:hAnsi="宋体" w:cs="宋体"/>
          <w:color w:val="auto"/>
          <w:sz w:val="24"/>
          <w:szCs w:val="32"/>
          <w:highlight w:val="none"/>
        </w:rPr>
      </w:pPr>
    </w:p>
    <w:p w14:paraId="68F0476F">
      <w:pPr>
        <w:spacing w:line="360" w:lineRule="auto"/>
        <w:rPr>
          <w:rFonts w:ascii="宋体" w:hAnsi="宋体" w:cs="宋体"/>
          <w:color w:val="auto"/>
          <w:sz w:val="24"/>
          <w:szCs w:val="32"/>
          <w:highlight w:val="none"/>
        </w:rPr>
      </w:pPr>
    </w:p>
    <w:p w14:paraId="3537F803">
      <w:pPr>
        <w:rPr>
          <w:rFonts w:hint="eastAsia" w:ascii="宋体" w:hAnsi="宋体" w:cs="宋体"/>
          <w:b/>
          <w:color w:val="auto"/>
          <w:sz w:val="28"/>
          <w:highlight w:val="none"/>
        </w:rPr>
      </w:pPr>
      <w:bookmarkStart w:id="51" w:name="_Toc31215"/>
      <w:bookmarkStart w:id="52" w:name="_Toc19940"/>
      <w:r>
        <w:rPr>
          <w:rFonts w:hint="eastAsia" w:ascii="宋体" w:hAnsi="宋体" w:cs="宋体"/>
          <w:b/>
          <w:color w:val="auto"/>
          <w:sz w:val="28"/>
          <w:highlight w:val="none"/>
        </w:rPr>
        <w:br w:type="page"/>
      </w:r>
    </w:p>
    <w:p w14:paraId="766C40B0">
      <w:pPr>
        <w:spacing w:line="360" w:lineRule="auto"/>
        <w:outlineLvl w:val="0"/>
        <w:rPr>
          <w:rFonts w:hint="eastAsia" w:ascii="宋体" w:hAnsi="宋体" w:eastAsia="宋体" w:cs="宋体"/>
          <w:color w:val="auto"/>
          <w:sz w:val="24"/>
          <w:highlight w:val="none"/>
          <w:lang w:eastAsia="zh-CN"/>
        </w:rPr>
      </w:pPr>
      <w:r>
        <w:rPr>
          <w:rFonts w:hint="eastAsia" w:ascii="宋体" w:hAnsi="宋体" w:cs="宋体"/>
          <w:b/>
          <w:color w:val="auto"/>
          <w:sz w:val="28"/>
          <w:highlight w:val="none"/>
        </w:rPr>
        <w:t>附件</w:t>
      </w:r>
      <w:bookmarkEnd w:id="51"/>
      <w:bookmarkEnd w:id="52"/>
      <w:r>
        <w:rPr>
          <w:rFonts w:hint="eastAsia" w:ascii="宋体" w:hAnsi="宋体" w:cs="宋体"/>
          <w:b/>
          <w:color w:val="auto"/>
          <w:sz w:val="28"/>
          <w:highlight w:val="none"/>
          <w:lang w:val="en-US" w:eastAsia="zh-CN"/>
        </w:rPr>
        <w:t>9</w:t>
      </w:r>
    </w:p>
    <w:p w14:paraId="6883C4F9">
      <w:pPr>
        <w:spacing w:line="360" w:lineRule="auto"/>
        <w:jc w:val="center"/>
        <w:rPr>
          <w:rFonts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项目实施人员一览表</w:t>
      </w:r>
    </w:p>
    <w:p w14:paraId="0C10075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（主要从业人员及其技术资格）</w:t>
      </w:r>
    </w:p>
    <w:tbl>
      <w:tblPr>
        <w:tblStyle w:val="27"/>
        <w:tblW w:w="8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821"/>
        <w:gridCol w:w="1519"/>
        <w:gridCol w:w="1203"/>
        <w:gridCol w:w="1931"/>
        <w:gridCol w:w="2146"/>
      </w:tblGrid>
      <w:tr w14:paraId="10B98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444C3E">
            <w:pPr>
              <w:snapToGrid w:val="0"/>
              <w:spacing w:before="158" w:beforeLines="50" w:after="50" w:line="360" w:lineRule="auto"/>
              <w:jc w:val="center"/>
              <w:rPr>
                <w:rFonts w:ascii="宋体" w:hAnsi="宋体" w:cs="宋体"/>
                <w:b/>
                <w:color w:val="auto"/>
                <w:sz w:val="24"/>
                <w:szCs w:val="20"/>
                <w:highlight w:val="none"/>
              </w:rPr>
            </w:pPr>
            <w:r>
              <w:rPr>
                <w:rFonts w:hint="eastAsia" w:ascii="宋体" w:hAnsi="宋体" w:cs="宋体"/>
                <w:b/>
                <w:color w:val="auto"/>
                <w:sz w:val="24"/>
                <w:szCs w:val="20"/>
                <w:highlight w:val="none"/>
              </w:rPr>
              <w:t>序号</w:t>
            </w:r>
          </w:p>
        </w:tc>
        <w:tc>
          <w:tcPr>
            <w:tcW w:w="821" w:type="dxa"/>
            <w:tcBorders>
              <w:top w:val="single" w:color="auto" w:sz="4" w:space="0"/>
              <w:left w:val="single" w:color="auto" w:sz="4" w:space="0"/>
              <w:bottom w:val="single" w:color="auto" w:sz="4" w:space="0"/>
              <w:right w:val="single" w:color="auto" w:sz="4" w:space="0"/>
            </w:tcBorders>
            <w:vAlign w:val="center"/>
          </w:tcPr>
          <w:p w14:paraId="685F00DA">
            <w:pPr>
              <w:snapToGrid w:val="0"/>
              <w:spacing w:before="158" w:beforeLines="50" w:after="50" w:line="360" w:lineRule="auto"/>
              <w:jc w:val="center"/>
              <w:rPr>
                <w:rFonts w:ascii="宋体" w:hAnsi="宋体" w:cs="宋体"/>
                <w:b/>
                <w:color w:val="auto"/>
                <w:sz w:val="24"/>
                <w:szCs w:val="20"/>
                <w:highlight w:val="none"/>
              </w:rPr>
            </w:pPr>
            <w:r>
              <w:rPr>
                <w:rFonts w:hint="eastAsia" w:ascii="宋体" w:hAnsi="宋体" w:cs="宋体"/>
                <w:b/>
                <w:color w:val="auto"/>
                <w:sz w:val="24"/>
                <w:highlight w:val="none"/>
              </w:rPr>
              <w:t>姓名</w:t>
            </w:r>
          </w:p>
        </w:tc>
        <w:tc>
          <w:tcPr>
            <w:tcW w:w="1519" w:type="dxa"/>
            <w:tcBorders>
              <w:top w:val="single" w:color="auto" w:sz="4" w:space="0"/>
              <w:left w:val="single" w:color="auto" w:sz="4" w:space="0"/>
              <w:bottom w:val="single" w:color="auto" w:sz="4" w:space="0"/>
              <w:right w:val="single" w:color="auto" w:sz="4" w:space="0"/>
            </w:tcBorders>
            <w:vAlign w:val="center"/>
          </w:tcPr>
          <w:p w14:paraId="26F279C9">
            <w:pPr>
              <w:snapToGrid w:val="0"/>
              <w:spacing w:before="158" w:beforeLines="50" w:after="50" w:line="360" w:lineRule="auto"/>
              <w:jc w:val="center"/>
              <w:rPr>
                <w:rFonts w:ascii="宋体" w:hAnsi="宋体" w:cs="宋体"/>
                <w:b/>
                <w:color w:val="auto"/>
                <w:sz w:val="24"/>
                <w:szCs w:val="20"/>
                <w:highlight w:val="none"/>
              </w:rPr>
            </w:pPr>
            <w:r>
              <w:rPr>
                <w:rFonts w:hint="eastAsia" w:ascii="宋体" w:hAnsi="宋体" w:cs="宋体"/>
                <w:b/>
                <w:color w:val="auto"/>
                <w:sz w:val="24"/>
                <w:highlight w:val="none"/>
              </w:rPr>
              <w:t>职务</w:t>
            </w:r>
          </w:p>
        </w:tc>
        <w:tc>
          <w:tcPr>
            <w:tcW w:w="1203" w:type="dxa"/>
            <w:tcBorders>
              <w:top w:val="single" w:color="auto" w:sz="4" w:space="0"/>
              <w:left w:val="single" w:color="auto" w:sz="4" w:space="0"/>
              <w:bottom w:val="single" w:color="auto" w:sz="4" w:space="0"/>
              <w:right w:val="single" w:color="auto" w:sz="4" w:space="0"/>
            </w:tcBorders>
            <w:vAlign w:val="center"/>
          </w:tcPr>
          <w:p w14:paraId="79BF58CD">
            <w:pPr>
              <w:snapToGrid w:val="0"/>
              <w:spacing w:before="158" w:beforeLines="50" w:after="50" w:line="360" w:lineRule="auto"/>
              <w:jc w:val="center"/>
              <w:rPr>
                <w:rFonts w:ascii="宋体" w:hAnsi="宋体" w:cs="宋体"/>
                <w:b/>
                <w:color w:val="auto"/>
                <w:sz w:val="24"/>
                <w:szCs w:val="20"/>
                <w:highlight w:val="none"/>
              </w:rPr>
            </w:pPr>
            <w:r>
              <w:rPr>
                <w:rFonts w:hint="eastAsia" w:ascii="宋体" w:hAnsi="宋体" w:cs="宋体"/>
                <w:b/>
                <w:color w:val="auto"/>
                <w:sz w:val="24"/>
                <w:szCs w:val="20"/>
                <w:highlight w:val="none"/>
              </w:rPr>
              <w:t>职责</w:t>
            </w:r>
          </w:p>
        </w:tc>
        <w:tc>
          <w:tcPr>
            <w:tcW w:w="1931" w:type="dxa"/>
            <w:tcBorders>
              <w:top w:val="single" w:color="auto" w:sz="4" w:space="0"/>
              <w:left w:val="single" w:color="auto" w:sz="4" w:space="0"/>
              <w:bottom w:val="single" w:color="auto" w:sz="4" w:space="0"/>
              <w:right w:val="single" w:color="auto" w:sz="4" w:space="0"/>
            </w:tcBorders>
            <w:vAlign w:val="center"/>
          </w:tcPr>
          <w:p w14:paraId="091089EF">
            <w:pPr>
              <w:snapToGrid w:val="0"/>
              <w:spacing w:before="158" w:beforeLines="50" w:after="50" w:line="360" w:lineRule="auto"/>
              <w:jc w:val="center"/>
              <w:rPr>
                <w:rFonts w:ascii="宋体" w:hAnsi="宋体" w:cs="宋体"/>
                <w:b/>
                <w:color w:val="auto"/>
                <w:sz w:val="24"/>
                <w:szCs w:val="20"/>
                <w:highlight w:val="none"/>
              </w:rPr>
            </w:pPr>
            <w:r>
              <w:rPr>
                <w:rFonts w:hint="eastAsia" w:ascii="宋体" w:hAnsi="宋体" w:cs="宋体"/>
                <w:b/>
                <w:color w:val="auto"/>
                <w:sz w:val="24"/>
                <w:highlight w:val="none"/>
              </w:rPr>
              <w:t>从事的技术岗位</w:t>
            </w:r>
          </w:p>
        </w:tc>
        <w:tc>
          <w:tcPr>
            <w:tcW w:w="2146" w:type="dxa"/>
            <w:tcBorders>
              <w:top w:val="single" w:color="auto" w:sz="4" w:space="0"/>
              <w:left w:val="single" w:color="auto" w:sz="4" w:space="0"/>
              <w:bottom w:val="single" w:color="auto" w:sz="4" w:space="0"/>
              <w:right w:val="single" w:color="auto" w:sz="4" w:space="0"/>
            </w:tcBorders>
            <w:vAlign w:val="center"/>
          </w:tcPr>
          <w:p w14:paraId="2A945019">
            <w:pPr>
              <w:snapToGrid w:val="0"/>
              <w:spacing w:before="158" w:beforeLines="50" w:after="50" w:line="360" w:lineRule="auto"/>
              <w:jc w:val="center"/>
              <w:rPr>
                <w:rFonts w:ascii="宋体" w:hAnsi="宋体" w:cs="宋体"/>
                <w:b/>
                <w:bCs/>
                <w:color w:val="auto"/>
                <w:sz w:val="24"/>
                <w:szCs w:val="20"/>
                <w:highlight w:val="none"/>
              </w:rPr>
            </w:pPr>
            <w:r>
              <w:rPr>
                <w:rFonts w:hint="eastAsia" w:ascii="宋体" w:hAnsi="宋体" w:cs="宋体"/>
                <w:b/>
                <w:bCs/>
                <w:color w:val="auto"/>
                <w:sz w:val="24"/>
                <w:highlight w:val="none"/>
              </w:rPr>
              <w:t>参加本单位工作时间</w:t>
            </w:r>
          </w:p>
        </w:tc>
      </w:tr>
      <w:tr w14:paraId="57BC9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0030C2D4">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1941E3F9">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77BA6773">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11A94777">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06602037">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2BC5A555">
            <w:pPr>
              <w:snapToGrid w:val="0"/>
              <w:spacing w:before="158" w:beforeLines="50" w:after="50" w:line="360" w:lineRule="auto"/>
              <w:rPr>
                <w:rFonts w:ascii="宋体" w:hAnsi="宋体" w:cs="宋体"/>
                <w:b/>
                <w:color w:val="auto"/>
                <w:kern w:val="44"/>
                <w:sz w:val="24"/>
                <w:szCs w:val="20"/>
                <w:highlight w:val="none"/>
              </w:rPr>
            </w:pPr>
          </w:p>
        </w:tc>
      </w:tr>
      <w:tr w14:paraId="1DAFD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12B1135F">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67B8B58B">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698B6C04">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277C36D2">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571D5965">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2EB9CA8C">
            <w:pPr>
              <w:snapToGrid w:val="0"/>
              <w:spacing w:before="158" w:beforeLines="50" w:after="50" w:line="360" w:lineRule="auto"/>
              <w:rPr>
                <w:rFonts w:ascii="宋体" w:hAnsi="宋体" w:cs="宋体"/>
                <w:b/>
                <w:color w:val="auto"/>
                <w:kern w:val="44"/>
                <w:sz w:val="24"/>
                <w:szCs w:val="20"/>
                <w:highlight w:val="none"/>
              </w:rPr>
            </w:pPr>
          </w:p>
        </w:tc>
      </w:tr>
      <w:tr w14:paraId="0CB08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380EF4D4">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16E9F00D">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231C24B9">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2F8AEA15">
            <w:pPr>
              <w:pStyle w:val="14"/>
              <w:snapToGrid w:val="0"/>
              <w:spacing w:before="158" w:beforeLines="50" w:after="50" w:line="360" w:lineRule="auto"/>
              <w:ind w:left="5250"/>
              <w:rPr>
                <w:rFonts w:ascii="宋体" w:hAnsi="宋体" w:eastAsia="宋体" w:cs="宋体"/>
                <w:b/>
                <w:color w:val="auto"/>
                <w:kern w:val="44"/>
                <w:sz w:val="24"/>
                <w:szCs w:val="24"/>
                <w:highlight w:val="none"/>
              </w:rPr>
            </w:pPr>
          </w:p>
        </w:tc>
        <w:tc>
          <w:tcPr>
            <w:tcW w:w="1931" w:type="dxa"/>
            <w:tcBorders>
              <w:top w:val="single" w:color="auto" w:sz="4" w:space="0"/>
              <w:left w:val="single" w:color="auto" w:sz="4" w:space="0"/>
              <w:bottom w:val="single" w:color="auto" w:sz="4" w:space="0"/>
              <w:right w:val="single" w:color="auto" w:sz="4" w:space="0"/>
            </w:tcBorders>
          </w:tcPr>
          <w:p w14:paraId="261124F4">
            <w:pPr>
              <w:pStyle w:val="14"/>
              <w:snapToGrid w:val="0"/>
              <w:spacing w:before="158" w:beforeLines="50" w:after="50" w:line="360" w:lineRule="auto"/>
              <w:ind w:left="5250"/>
              <w:rPr>
                <w:rFonts w:ascii="宋体" w:hAnsi="宋体" w:eastAsia="宋体" w:cs="宋体"/>
                <w:b/>
                <w:color w:val="auto"/>
                <w:kern w:val="44"/>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tcPr>
          <w:p w14:paraId="0DBB980A">
            <w:pPr>
              <w:snapToGrid w:val="0"/>
              <w:spacing w:before="158" w:beforeLines="50" w:after="50" w:line="360" w:lineRule="auto"/>
              <w:rPr>
                <w:rFonts w:ascii="宋体" w:hAnsi="宋体" w:cs="宋体"/>
                <w:color w:val="auto"/>
                <w:sz w:val="24"/>
                <w:szCs w:val="20"/>
                <w:highlight w:val="none"/>
              </w:rPr>
            </w:pPr>
          </w:p>
        </w:tc>
      </w:tr>
      <w:tr w14:paraId="19DE2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2BAC3E23">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7E57F8D9">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1CA12EE8">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41E2C190">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0302DC19">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32FE1036">
            <w:pPr>
              <w:snapToGrid w:val="0"/>
              <w:spacing w:before="158" w:beforeLines="50" w:after="50" w:line="360" w:lineRule="auto"/>
              <w:rPr>
                <w:rFonts w:ascii="宋体" w:hAnsi="宋体" w:cs="宋体"/>
                <w:b/>
                <w:color w:val="auto"/>
                <w:kern w:val="44"/>
                <w:sz w:val="24"/>
                <w:szCs w:val="20"/>
                <w:highlight w:val="none"/>
              </w:rPr>
            </w:pPr>
          </w:p>
        </w:tc>
      </w:tr>
      <w:tr w14:paraId="4D78C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0A1BBB93">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67475A35">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40DF95E0">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1DE5839B">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6B65E7A7">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32200246">
            <w:pPr>
              <w:snapToGrid w:val="0"/>
              <w:spacing w:before="158" w:beforeLines="50" w:after="50" w:line="360" w:lineRule="auto"/>
              <w:rPr>
                <w:rFonts w:ascii="宋体" w:hAnsi="宋体" w:cs="宋体"/>
                <w:b/>
                <w:color w:val="auto"/>
                <w:kern w:val="44"/>
                <w:sz w:val="24"/>
                <w:szCs w:val="20"/>
                <w:highlight w:val="none"/>
              </w:rPr>
            </w:pPr>
          </w:p>
        </w:tc>
      </w:tr>
      <w:tr w14:paraId="768E2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1FD8DEDF">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58901BA1">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3A1F9366">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3CC18DCC">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300B81F8">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287E0D86">
            <w:pPr>
              <w:snapToGrid w:val="0"/>
              <w:spacing w:before="158" w:beforeLines="50" w:after="50" w:line="360" w:lineRule="auto"/>
              <w:rPr>
                <w:rFonts w:ascii="宋体" w:hAnsi="宋体" w:cs="宋体"/>
                <w:b/>
                <w:color w:val="auto"/>
                <w:kern w:val="44"/>
                <w:sz w:val="24"/>
                <w:szCs w:val="20"/>
                <w:highlight w:val="none"/>
              </w:rPr>
            </w:pPr>
          </w:p>
        </w:tc>
      </w:tr>
      <w:tr w14:paraId="53F28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97" w:type="dxa"/>
            <w:tcBorders>
              <w:top w:val="single" w:color="auto" w:sz="4" w:space="0"/>
              <w:left w:val="single" w:color="auto" w:sz="4" w:space="0"/>
              <w:bottom w:val="single" w:color="auto" w:sz="4" w:space="0"/>
              <w:right w:val="single" w:color="auto" w:sz="4" w:space="0"/>
            </w:tcBorders>
          </w:tcPr>
          <w:p w14:paraId="0694110E">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27E7BF51">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6010672A">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3A78106E">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7B065028">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3C993701">
            <w:pPr>
              <w:snapToGrid w:val="0"/>
              <w:spacing w:before="158" w:beforeLines="50" w:after="50" w:line="360" w:lineRule="auto"/>
              <w:rPr>
                <w:rFonts w:ascii="宋体" w:hAnsi="宋体" w:cs="宋体"/>
                <w:b/>
                <w:color w:val="auto"/>
                <w:kern w:val="44"/>
                <w:sz w:val="24"/>
                <w:szCs w:val="20"/>
                <w:highlight w:val="none"/>
              </w:rPr>
            </w:pPr>
          </w:p>
        </w:tc>
      </w:tr>
      <w:tr w14:paraId="46687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97" w:type="dxa"/>
            <w:tcBorders>
              <w:top w:val="single" w:color="auto" w:sz="4" w:space="0"/>
              <w:left w:val="single" w:color="auto" w:sz="4" w:space="0"/>
              <w:bottom w:val="single" w:color="auto" w:sz="4" w:space="0"/>
              <w:right w:val="single" w:color="auto" w:sz="4" w:space="0"/>
            </w:tcBorders>
          </w:tcPr>
          <w:p w14:paraId="7D7B863F">
            <w:pPr>
              <w:snapToGrid w:val="0"/>
              <w:spacing w:before="158" w:beforeLines="50" w:after="50" w:line="360" w:lineRule="auto"/>
              <w:rPr>
                <w:rFonts w:ascii="宋体" w:hAnsi="宋体" w:cs="宋体"/>
                <w:color w:val="auto"/>
                <w:sz w:val="24"/>
                <w:szCs w:val="20"/>
                <w:highlight w:val="none"/>
              </w:rPr>
            </w:pPr>
          </w:p>
        </w:tc>
        <w:tc>
          <w:tcPr>
            <w:tcW w:w="821" w:type="dxa"/>
            <w:tcBorders>
              <w:top w:val="single" w:color="auto" w:sz="4" w:space="0"/>
              <w:left w:val="single" w:color="auto" w:sz="4" w:space="0"/>
              <w:bottom w:val="single" w:color="auto" w:sz="4" w:space="0"/>
              <w:right w:val="single" w:color="auto" w:sz="4" w:space="0"/>
            </w:tcBorders>
          </w:tcPr>
          <w:p w14:paraId="264E99F0">
            <w:pPr>
              <w:snapToGrid w:val="0"/>
              <w:spacing w:before="158" w:beforeLines="50" w:after="50" w:line="360" w:lineRule="auto"/>
              <w:rPr>
                <w:rFonts w:ascii="宋体" w:hAnsi="宋体" w:cs="宋体"/>
                <w:b/>
                <w:color w:val="auto"/>
                <w:kern w:val="44"/>
                <w:sz w:val="24"/>
                <w:szCs w:val="20"/>
                <w:highlight w:val="none"/>
              </w:rPr>
            </w:pPr>
          </w:p>
        </w:tc>
        <w:tc>
          <w:tcPr>
            <w:tcW w:w="1519" w:type="dxa"/>
            <w:tcBorders>
              <w:top w:val="single" w:color="auto" w:sz="4" w:space="0"/>
              <w:left w:val="single" w:color="auto" w:sz="4" w:space="0"/>
              <w:bottom w:val="single" w:color="auto" w:sz="4" w:space="0"/>
              <w:right w:val="single" w:color="auto" w:sz="4" w:space="0"/>
            </w:tcBorders>
          </w:tcPr>
          <w:p w14:paraId="68E1B024">
            <w:pPr>
              <w:snapToGrid w:val="0"/>
              <w:spacing w:before="158" w:beforeLines="50" w:after="50" w:line="360" w:lineRule="auto"/>
              <w:rPr>
                <w:rFonts w:ascii="宋体" w:hAnsi="宋体" w:cs="宋体"/>
                <w:b/>
                <w:color w:val="auto"/>
                <w:kern w:val="44"/>
                <w:sz w:val="24"/>
                <w:szCs w:val="20"/>
                <w:highlight w:val="none"/>
              </w:rPr>
            </w:pPr>
          </w:p>
        </w:tc>
        <w:tc>
          <w:tcPr>
            <w:tcW w:w="1203" w:type="dxa"/>
            <w:tcBorders>
              <w:top w:val="single" w:color="auto" w:sz="4" w:space="0"/>
              <w:left w:val="single" w:color="auto" w:sz="4" w:space="0"/>
              <w:bottom w:val="single" w:color="auto" w:sz="4" w:space="0"/>
              <w:right w:val="single" w:color="auto" w:sz="4" w:space="0"/>
            </w:tcBorders>
          </w:tcPr>
          <w:p w14:paraId="0FE1B8E8">
            <w:pPr>
              <w:snapToGrid w:val="0"/>
              <w:spacing w:before="158" w:beforeLines="50" w:after="50" w:line="360" w:lineRule="auto"/>
              <w:rPr>
                <w:rFonts w:ascii="宋体" w:hAnsi="宋体" w:cs="宋体"/>
                <w:b/>
                <w:color w:val="auto"/>
                <w:kern w:val="44"/>
                <w:sz w:val="24"/>
                <w:szCs w:val="20"/>
                <w:highlight w:val="none"/>
              </w:rPr>
            </w:pPr>
          </w:p>
        </w:tc>
        <w:tc>
          <w:tcPr>
            <w:tcW w:w="1931" w:type="dxa"/>
            <w:tcBorders>
              <w:top w:val="single" w:color="auto" w:sz="4" w:space="0"/>
              <w:left w:val="single" w:color="auto" w:sz="4" w:space="0"/>
              <w:bottom w:val="single" w:color="auto" w:sz="4" w:space="0"/>
              <w:right w:val="single" w:color="auto" w:sz="4" w:space="0"/>
            </w:tcBorders>
          </w:tcPr>
          <w:p w14:paraId="11A149DE">
            <w:pPr>
              <w:snapToGrid w:val="0"/>
              <w:spacing w:before="158" w:beforeLines="50" w:after="50" w:line="360" w:lineRule="auto"/>
              <w:rPr>
                <w:rFonts w:ascii="宋体" w:hAnsi="宋体" w:cs="宋体"/>
                <w:b/>
                <w:color w:val="auto"/>
                <w:kern w:val="44"/>
                <w:sz w:val="24"/>
                <w:szCs w:val="20"/>
                <w:highlight w:val="none"/>
              </w:rPr>
            </w:pPr>
          </w:p>
        </w:tc>
        <w:tc>
          <w:tcPr>
            <w:tcW w:w="2146" w:type="dxa"/>
            <w:tcBorders>
              <w:top w:val="single" w:color="auto" w:sz="4" w:space="0"/>
              <w:left w:val="single" w:color="auto" w:sz="4" w:space="0"/>
              <w:bottom w:val="single" w:color="auto" w:sz="4" w:space="0"/>
              <w:right w:val="single" w:color="auto" w:sz="4" w:space="0"/>
            </w:tcBorders>
          </w:tcPr>
          <w:p w14:paraId="10633177">
            <w:pPr>
              <w:snapToGrid w:val="0"/>
              <w:spacing w:before="158" w:beforeLines="50" w:after="50" w:line="360" w:lineRule="auto"/>
              <w:rPr>
                <w:rFonts w:ascii="宋体" w:hAnsi="宋体" w:cs="宋体"/>
                <w:b/>
                <w:color w:val="auto"/>
                <w:kern w:val="44"/>
                <w:sz w:val="24"/>
                <w:szCs w:val="20"/>
                <w:highlight w:val="none"/>
              </w:rPr>
            </w:pPr>
          </w:p>
        </w:tc>
      </w:tr>
    </w:tbl>
    <w:p w14:paraId="18A831B3">
      <w:pPr>
        <w:spacing w:line="360" w:lineRule="auto"/>
        <w:jc w:val="left"/>
        <w:rPr>
          <w:rFonts w:ascii="宋体" w:hAnsi="宋体" w:cs="宋体"/>
          <w:b/>
          <w:bCs/>
          <w:color w:val="auto"/>
          <w:sz w:val="24"/>
          <w:szCs w:val="32"/>
          <w:highlight w:val="none"/>
        </w:rPr>
      </w:pPr>
      <w:r>
        <w:rPr>
          <w:rFonts w:hint="eastAsia" w:ascii="宋体" w:hAnsi="宋体" w:cs="宋体"/>
          <w:b/>
          <w:bCs/>
          <w:color w:val="auto"/>
          <w:sz w:val="24"/>
          <w:szCs w:val="32"/>
          <w:highlight w:val="none"/>
        </w:rPr>
        <w:t>要求：</w:t>
      </w:r>
    </w:p>
    <w:p w14:paraId="08B59721">
      <w:pPr>
        <w:spacing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1.在填写时，如本表格不适合投标单位的实际情况，可根据本表格式自行划表填写。</w:t>
      </w:r>
    </w:p>
    <w:p w14:paraId="0349B794">
      <w:pPr>
        <w:spacing w:line="360" w:lineRule="auto"/>
        <w:jc w:val="left"/>
        <w:rPr>
          <w:rFonts w:ascii="宋体" w:hAnsi="宋体" w:cs="宋体"/>
          <w:color w:val="auto"/>
          <w:sz w:val="24"/>
          <w:szCs w:val="32"/>
          <w:highlight w:val="none"/>
        </w:rPr>
      </w:pPr>
      <w:r>
        <w:rPr>
          <w:rFonts w:hint="eastAsia" w:ascii="宋体" w:hAnsi="宋体" w:cs="宋体"/>
          <w:color w:val="auto"/>
          <w:sz w:val="24"/>
          <w:szCs w:val="32"/>
          <w:highlight w:val="none"/>
        </w:rPr>
        <w:t>　　</w:t>
      </w:r>
    </w:p>
    <w:p w14:paraId="44AF074F">
      <w:pPr>
        <w:spacing w:line="360" w:lineRule="auto"/>
        <w:rPr>
          <w:rFonts w:ascii="宋体" w:hAnsi="宋体" w:cs="宋体"/>
          <w:color w:val="auto"/>
          <w:sz w:val="24"/>
          <w:szCs w:val="32"/>
          <w:highlight w:val="none"/>
        </w:rPr>
      </w:pPr>
    </w:p>
    <w:p w14:paraId="2465742F">
      <w:pPr>
        <w:spacing w:line="360" w:lineRule="auto"/>
        <w:rPr>
          <w:rFonts w:ascii="宋体" w:hAnsi="宋体" w:cs="宋体"/>
          <w:color w:val="auto"/>
          <w:sz w:val="24"/>
          <w:highlight w:val="none"/>
        </w:rPr>
      </w:pPr>
      <w:r>
        <w:rPr>
          <w:rFonts w:hint="eastAsia" w:ascii="宋体" w:hAnsi="宋体" w:cs="宋体"/>
          <w:color w:val="auto"/>
          <w:sz w:val="24"/>
          <w:highlight w:val="none"/>
        </w:rPr>
        <w:t>投标人名称（盖章）：</w:t>
      </w:r>
      <w:r>
        <w:rPr>
          <w:rFonts w:hint="eastAsia" w:ascii="宋体" w:hAnsi="宋体" w:cs="宋体"/>
          <w:color w:val="auto"/>
          <w:sz w:val="24"/>
          <w:highlight w:val="none"/>
          <w:u w:val="single"/>
        </w:rPr>
        <w:t xml:space="preserve">                         </w:t>
      </w:r>
    </w:p>
    <w:p w14:paraId="6D4D7201">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法定代表人或授权委托代理人（签字或盖章）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ED4836A">
      <w:pPr>
        <w:spacing w:line="360" w:lineRule="auto"/>
        <w:rPr>
          <w:rFonts w:ascii="宋体" w:hAnsi="宋体" w:cs="宋体"/>
          <w:b/>
          <w:color w:val="auto"/>
          <w:sz w:val="28"/>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bookmarkStart w:id="53" w:name="_Toc22076"/>
      <w:bookmarkStart w:id="54" w:name="_Toc15412"/>
    </w:p>
    <w:p w14:paraId="300D00E9">
      <w:pPr>
        <w:rPr>
          <w:rFonts w:ascii="宋体" w:hAnsi="宋体" w:cs="宋体"/>
          <w:b/>
          <w:color w:val="auto"/>
          <w:sz w:val="28"/>
          <w:highlight w:val="none"/>
        </w:rPr>
      </w:pPr>
      <w:r>
        <w:rPr>
          <w:rFonts w:hint="eastAsia" w:ascii="宋体" w:hAnsi="宋体" w:cs="宋体"/>
          <w:b/>
          <w:color w:val="auto"/>
          <w:sz w:val="28"/>
          <w:highlight w:val="none"/>
        </w:rPr>
        <w:br w:type="page"/>
      </w:r>
    </w:p>
    <w:p w14:paraId="4F72DBF5">
      <w:pPr>
        <w:spacing w:line="360" w:lineRule="auto"/>
        <w:outlineLvl w:val="0"/>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rPr>
        <w:t>附件</w:t>
      </w:r>
      <w:bookmarkEnd w:id="53"/>
      <w:bookmarkEnd w:id="54"/>
      <w:r>
        <w:rPr>
          <w:rFonts w:hint="eastAsia" w:ascii="宋体" w:hAnsi="宋体" w:cs="宋体"/>
          <w:b/>
          <w:color w:val="auto"/>
          <w:sz w:val="28"/>
          <w:highlight w:val="none"/>
          <w:lang w:val="en-US" w:eastAsia="zh-CN"/>
        </w:rPr>
        <w:t>10</w:t>
      </w:r>
    </w:p>
    <w:p w14:paraId="55C15561">
      <w:pPr>
        <w:spacing w:before="158" w:beforeLines="50" w:after="158" w:afterLines="50" w:line="360" w:lineRule="auto"/>
        <w:ind w:right="-1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项目负责人资格情况表</w:t>
      </w:r>
    </w:p>
    <w:p w14:paraId="44D43F5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采购项目：                                        采购编号：</w:t>
      </w:r>
    </w:p>
    <w:tbl>
      <w:tblPr>
        <w:tblStyle w:val="27"/>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14:paraId="3443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top w:val="single" w:color="auto" w:sz="12" w:space="0"/>
              <w:left w:val="single" w:color="auto" w:sz="12" w:space="0"/>
              <w:bottom w:val="single" w:color="auto" w:sz="4" w:space="0"/>
              <w:right w:val="single" w:color="auto" w:sz="4" w:space="0"/>
            </w:tcBorders>
            <w:vAlign w:val="center"/>
          </w:tcPr>
          <w:p w14:paraId="7EBB638A">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2967" w:type="dxa"/>
            <w:tcBorders>
              <w:top w:val="single" w:color="auto" w:sz="12" w:space="0"/>
              <w:left w:val="single" w:color="auto" w:sz="4" w:space="0"/>
              <w:bottom w:val="single" w:color="auto" w:sz="4" w:space="0"/>
              <w:right w:val="single" w:color="auto" w:sz="4" w:space="0"/>
            </w:tcBorders>
            <w:vAlign w:val="center"/>
          </w:tcPr>
          <w:p w14:paraId="4B66D020">
            <w:pPr>
              <w:jc w:val="center"/>
              <w:rPr>
                <w:rFonts w:ascii="宋体" w:hAnsi="宋体" w:cs="宋体"/>
                <w:b/>
                <w:bCs/>
                <w:color w:val="auto"/>
                <w:sz w:val="24"/>
                <w:highlight w:val="none"/>
                <w:lang w:val="zh-CN"/>
              </w:rPr>
            </w:pPr>
          </w:p>
        </w:tc>
        <w:tc>
          <w:tcPr>
            <w:tcW w:w="3685" w:type="dxa"/>
            <w:tcBorders>
              <w:top w:val="single" w:color="auto" w:sz="12" w:space="0"/>
              <w:left w:val="single" w:color="auto" w:sz="4" w:space="0"/>
              <w:bottom w:val="single" w:color="auto" w:sz="4" w:space="0"/>
              <w:right w:val="single" w:color="auto" w:sz="12" w:space="0"/>
            </w:tcBorders>
            <w:vAlign w:val="center"/>
          </w:tcPr>
          <w:p w14:paraId="7FF726C6">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近年来主要工作业绩</w:t>
            </w:r>
          </w:p>
        </w:tc>
      </w:tr>
      <w:tr w14:paraId="586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634FCF37">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2967" w:type="dxa"/>
            <w:tcBorders>
              <w:top w:val="single" w:color="auto" w:sz="4" w:space="0"/>
              <w:left w:val="single" w:color="auto" w:sz="4" w:space="0"/>
              <w:bottom w:val="single" w:color="auto" w:sz="4" w:space="0"/>
              <w:right w:val="single" w:color="auto" w:sz="4" w:space="0"/>
            </w:tcBorders>
            <w:vAlign w:val="center"/>
          </w:tcPr>
          <w:p w14:paraId="02B75DC5">
            <w:pPr>
              <w:jc w:val="center"/>
              <w:rPr>
                <w:rFonts w:ascii="宋体" w:hAnsi="宋体" w:cs="宋体"/>
                <w:b/>
                <w:bCs/>
                <w:color w:val="auto"/>
                <w:sz w:val="24"/>
                <w:highlight w:val="none"/>
                <w:lang w:val="zh-CN"/>
              </w:rPr>
            </w:pPr>
          </w:p>
        </w:tc>
        <w:tc>
          <w:tcPr>
            <w:tcW w:w="3685" w:type="dxa"/>
            <w:vMerge w:val="restart"/>
            <w:tcBorders>
              <w:top w:val="single" w:color="auto" w:sz="4" w:space="0"/>
              <w:left w:val="single" w:color="auto" w:sz="4" w:space="0"/>
              <w:bottom w:val="single" w:color="auto" w:sz="4" w:space="0"/>
              <w:right w:val="single" w:color="auto" w:sz="12" w:space="0"/>
            </w:tcBorders>
            <w:vAlign w:val="center"/>
          </w:tcPr>
          <w:p w14:paraId="3C5033E6">
            <w:pPr>
              <w:jc w:val="center"/>
              <w:rPr>
                <w:rFonts w:ascii="宋体" w:hAnsi="宋体" w:cs="宋体"/>
                <w:b/>
                <w:bCs/>
                <w:color w:val="auto"/>
                <w:sz w:val="24"/>
                <w:highlight w:val="none"/>
              </w:rPr>
            </w:pPr>
            <w:r>
              <w:rPr>
                <w:rFonts w:hint="eastAsia" w:ascii="宋体" w:hAnsi="宋体" w:cs="宋体"/>
                <w:b/>
                <w:bCs/>
                <w:color w:val="auto"/>
                <w:sz w:val="24"/>
                <w:highlight w:val="none"/>
              </w:rPr>
              <w:t>注：业绩证明应提供旁证材料</w:t>
            </w:r>
          </w:p>
          <w:p w14:paraId="365257AC">
            <w:pPr>
              <w:jc w:val="center"/>
              <w:rPr>
                <w:rFonts w:ascii="宋体" w:hAnsi="宋体" w:cs="宋体"/>
                <w:b/>
                <w:bCs/>
                <w:color w:val="auto"/>
                <w:sz w:val="24"/>
                <w:highlight w:val="none"/>
                <w:lang w:val="zh-CN"/>
              </w:rPr>
            </w:pPr>
            <w:r>
              <w:rPr>
                <w:rFonts w:hint="eastAsia" w:ascii="宋体" w:hAnsi="宋体" w:cs="宋体"/>
                <w:b/>
                <w:bCs/>
                <w:color w:val="auto"/>
                <w:sz w:val="24"/>
                <w:highlight w:val="none"/>
              </w:rPr>
              <w:t>（供货合同或中标通知书）。</w:t>
            </w:r>
          </w:p>
        </w:tc>
      </w:tr>
      <w:tr w14:paraId="495A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7C77FDD3">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年龄</w:t>
            </w:r>
          </w:p>
        </w:tc>
        <w:tc>
          <w:tcPr>
            <w:tcW w:w="2967" w:type="dxa"/>
            <w:tcBorders>
              <w:top w:val="single" w:color="auto" w:sz="4" w:space="0"/>
              <w:left w:val="single" w:color="auto" w:sz="4" w:space="0"/>
              <w:bottom w:val="single" w:color="auto" w:sz="4" w:space="0"/>
              <w:right w:val="single" w:color="auto" w:sz="4" w:space="0"/>
            </w:tcBorders>
            <w:vAlign w:val="center"/>
          </w:tcPr>
          <w:p w14:paraId="272558BC">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3382FF53">
            <w:pPr>
              <w:jc w:val="center"/>
              <w:rPr>
                <w:rFonts w:ascii="宋体" w:hAnsi="宋体" w:cs="宋体"/>
                <w:b/>
                <w:bCs/>
                <w:color w:val="auto"/>
                <w:sz w:val="24"/>
                <w:highlight w:val="none"/>
                <w:lang w:val="zh-CN"/>
              </w:rPr>
            </w:pPr>
          </w:p>
        </w:tc>
      </w:tr>
      <w:tr w14:paraId="5D08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2999E8F9">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职称</w:t>
            </w:r>
          </w:p>
        </w:tc>
        <w:tc>
          <w:tcPr>
            <w:tcW w:w="2967" w:type="dxa"/>
            <w:tcBorders>
              <w:top w:val="single" w:color="auto" w:sz="4" w:space="0"/>
              <w:left w:val="single" w:color="auto" w:sz="4" w:space="0"/>
              <w:bottom w:val="single" w:color="auto" w:sz="4" w:space="0"/>
              <w:right w:val="single" w:color="auto" w:sz="4" w:space="0"/>
            </w:tcBorders>
            <w:vAlign w:val="center"/>
          </w:tcPr>
          <w:p w14:paraId="3F1D2239">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15F4317B">
            <w:pPr>
              <w:jc w:val="center"/>
              <w:rPr>
                <w:rFonts w:ascii="宋体" w:hAnsi="宋体" w:cs="宋体"/>
                <w:b/>
                <w:bCs/>
                <w:color w:val="auto"/>
                <w:sz w:val="24"/>
                <w:highlight w:val="none"/>
                <w:lang w:val="zh-CN"/>
              </w:rPr>
            </w:pPr>
          </w:p>
        </w:tc>
      </w:tr>
      <w:tr w14:paraId="026C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C7B077D">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毕业时间</w:t>
            </w:r>
          </w:p>
        </w:tc>
        <w:tc>
          <w:tcPr>
            <w:tcW w:w="2967" w:type="dxa"/>
            <w:tcBorders>
              <w:top w:val="single" w:color="auto" w:sz="4" w:space="0"/>
              <w:left w:val="single" w:color="auto" w:sz="4" w:space="0"/>
              <w:bottom w:val="single" w:color="auto" w:sz="4" w:space="0"/>
              <w:right w:val="single" w:color="auto" w:sz="4" w:space="0"/>
            </w:tcBorders>
            <w:vAlign w:val="center"/>
          </w:tcPr>
          <w:p w14:paraId="6FC7372D">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4507BB8A">
            <w:pPr>
              <w:jc w:val="center"/>
              <w:rPr>
                <w:rFonts w:ascii="宋体" w:hAnsi="宋体" w:cs="宋体"/>
                <w:b/>
                <w:bCs/>
                <w:color w:val="auto"/>
                <w:sz w:val="24"/>
                <w:highlight w:val="none"/>
                <w:lang w:val="zh-CN"/>
              </w:rPr>
            </w:pPr>
          </w:p>
        </w:tc>
      </w:tr>
      <w:tr w14:paraId="2FE6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00176B6">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学校专业</w:t>
            </w:r>
          </w:p>
        </w:tc>
        <w:tc>
          <w:tcPr>
            <w:tcW w:w="2967" w:type="dxa"/>
            <w:tcBorders>
              <w:top w:val="single" w:color="auto" w:sz="4" w:space="0"/>
              <w:left w:val="single" w:color="auto" w:sz="4" w:space="0"/>
              <w:bottom w:val="single" w:color="auto" w:sz="4" w:space="0"/>
              <w:right w:val="single" w:color="auto" w:sz="4" w:space="0"/>
            </w:tcBorders>
            <w:vAlign w:val="center"/>
          </w:tcPr>
          <w:p w14:paraId="784BE526">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74EAF5D3">
            <w:pPr>
              <w:jc w:val="center"/>
              <w:rPr>
                <w:rFonts w:ascii="宋体" w:hAnsi="宋体" w:cs="宋体"/>
                <w:b/>
                <w:bCs/>
                <w:color w:val="auto"/>
                <w:sz w:val="24"/>
                <w:highlight w:val="none"/>
                <w:lang w:val="zh-CN"/>
              </w:rPr>
            </w:pPr>
          </w:p>
        </w:tc>
      </w:tr>
      <w:tr w14:paraId="24B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7731485B">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联系电话</w:t>
            </w:r>
          </w:p>
        </w:tc>
        <w:tc>
          <w:tcPr>
            <w:tcW w:w="2967" w:type="dxa"/>
            <w:tcBorders>
              <w:top w:val="single" w:color="auto" w:sz="4" w:space="0"/>
              <w:left w:val="single" w:color="auto" w:sz="4" w:space="0"/>
              <w:bottom w:val="single" w:color="auto" w:sz="4" w:space="0"/>
              <w:right w:val="single" w:color="auto" w:sz="4" w:space="0"/>
            </w:tcBorders>
            <w:vAlign w:val="center"/>
          </w:tcPr>
          <w:p w14:paraId="6663825B">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079F7EAE">
            <w:pPr>
              <w:jc w:val="center"/>
              <w:rPr>
                <w:rFonts w:ascii="宋体" w:hAnsi="宋体" w:cs="宋体"/>
                <w:b/>
                <w:bCs/>
                <w:color w:val="auto"/>
                <w:sz w:val="24"/>
                <w:highlight w:val="none"/>
                <w:lang w:val="zh-CN"/>
              </w:rPr>
            </w:pPr>
          </w:p>
        </w:tc>
      </w:tr>
      <w:tr w14:paraId="68B7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23544AD1">
            <w:pPr>
              <w:jc w:val="center"/>
              <w:rPr>
                <w:rFonts w:ascii="宋体" w:hAnsi="宋体" w:cs="宋体"/>
                <w:b/>
                <w:bCs/>
                <w:color w:val="auto"/>
                <w:sz w:val="24"/>
                <w:highlight w:val="none"/>
                <w:lang w:val="zh-CN"/>
              </w:rPr>
            </w:pPr>
            <w:r>
              <w:rPr>
                <w:rFonts w:hint="eastAsia" w:ascii="宋体" w:hAnsi="宋体" w:cs="宋体"/>
                <w:b/>
                <w:bCs/>
                <w:color w:val="auto"/>
                <w:sz w:val="24"/>
                <w:highlight w:val="none"/>
              </w:rPr>
              <w:t>最近一年工作状况</w:t>
            </w:r>
          </w:p>
        </w:tc>
        <w:tc>
          <w:tcPr>
            <w:tcW w:w="2967" w:type="dxa"/>
            <w:tcBorders>
              <w:top w:val="single" w:color="auto" w:sz="4" w:space="0"/>
              <w:left w:val="single" w:color="auto" w:sz="4" w:space="0"/>
              <w:bottom w:val="single" w:color="auto" w:sz="4" w:space="0"/>
              <w:right w:val="single" w:color="auto" w:sz="4" w:space="0"/>
            </w:tcBorders>
            <w:vAlign w:val="center"/>
          </w:tcPr>
          <w:p w14:paraId="5D42A6EE">
            <w:pPr>
              <w:jc w:val="center"/>
              <w:rPr>
                <w:rFonts w:ascii="宋体" w:hAnsi="宋体" w:cs="宋体"/>
                <w:b/>
                <w:bCs/>
                <w:color w:val="auto"/>
                <w:sz w:val="24"/>
                <w:highlight w:val="none"/>
                <w:lang w:val="zh-CN"/>
              </w:rPr>
            </w:pPr>
          </w:p>
        </w:tc>
        <w:tc>
          <w:tcPr>
            <w:tcW w:w="3685" w:type="dxa"/>
            <w:vMerge w:val="continue"/>
            <w:tcBorders>
              <w:top w:val="single" w:color="auto" w:sz="4" w:space="0"/>
              <w:left w:val="single" w:color="auto" w:sz="4" w:space="0"/>
              <w:bottom w:val="single" w:color="auto" w:sz="4" w:space="0"/>
              <w:right w:val="single" w:color="auto" w:sz="12" w:space="0"/>
            </w:tcBorders>
            <w:vAlign w:val="center"/>
          </w:tcPr>
          <w:p w14:paraId="0EEAC0B3">
            <w:pPr>
              <w:jc w:val="center"/>
              <w:rPr>
                <w:rFonts w:ascii="宋体" w:hAnsi="宋体" w:cs="宋体"/>
                <w:b/>
                <w:bCs/>
                <w:color w:val="auto"/>
                <w:sz w:val="24"/>
                <w:highlight w:val="none"/>
                <w:lang w:val="zh-CN"/>
              </w:rPr>
            </w:pPr>
          </w:p>
        </w:tc>
      </w:tr>
      <w:tr w14:paraId="3D8B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74" w:type="dxa"/>
            <w:tcBorders>
              <w:top w:val="single" w:color="auto" w:sz="4" w:space="0"/>
              <w:left w:val="single" w:color="auto" w:sz="12" w:space="0"/>
              <w:bottom w:val="single" w:color="auto" w:sz="12" w:space="0"/>
              <w:right w:val="single" w:color="auto" w:sz="4" w:space="0"/>
            </w:tcBorders>
            <w:vAlign w:val="center"/>
          </w:tcPr>
          <w:p w14:paraId="46583464">
            <w:pPr>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拟在本项目中担任主要工作</w:t>
            </w:r>
          </w:p>
        </w:tc>
        <w:tc>
          <w:tcPr>
            <w:tcW w:w="6652" w:type="dxa"/>
            <w:gridSpan w:val="2"/>
            <w:tcBorders>
              <w:top w:val="single" w:color="auto" w:sz="4" w:space="0"/>
              <w:left w:val="single" w:color="auto" w:sz="4" w:space="0"/>
              <w:bottom w:val="single" w:color="auto" w:sz="12" w:space="0"/>
              <w:right w:val="single" w:color="auto" w:sz="12" w:space="0"/>
            </w:tcBorders>
            <w:vAlign w:val="center"/>
          </w:tcPr>
          <w:p w14:paraId="20BAEE6A">
            <w:pPr>
              <w:jc w:val="center"/>
              <w:rPr>
                <w:rFonts w:ascii="宋体" w:hAnsi="宋体" w:cs="宋体"/>
                <w:b/>
                <w:bCs/>
                <w:color w:val="auto"/>
                <w:sz w:val="24"/>
                <w:highlight w:val="none"/>
                <w:lang w:val="zh-CN"/>
              </w:rPr>
            </w:pPr>
          </w:p>
        </w:tc>
      </w:tr>
    </w:tbl>
    <w:p w14:paraId="5D987DE6">
      <w:pPr>
        <w:spacing w:line="360" w:lineRule="auto"/>
        <w:rPr>
          <w:rFonts w:ascii="宋体" w:hAnsi="宋体" w:cs="宋体"/>
          <w:color w:val="auto"/>
          <w:sz w:val="24"/>
          <w:highlight w:val="none"/>
        </w:rPr>
      </w:pPr>
    </w:p>
    <w:p w14:paraId="444E36E8">
      <w:pPr>
        <w:spacing w:line="480" w:lineRule="auto"/>
        <w:rPr>
          <w:rFonts w:ascii="宋体" w:hAnsi="宋体" w:cs="宋体"/>
          <w:color w:val="auto"/>
          <w:sz w:val="24"/>
          <w:highlight w:val="none"/>
        </w:rPr>
      </w:pPr>
      <w:r>
        <w:rPr>
          <w:rFonts w:hint="eastAsia" w:ascii="宋体" w:hAnsi="宋体" w:cs="宋体"/>
          <w:color w:val="auto"/>
          <w:sz w:val="24"/>
          <w:highlight w:val="none"/>
        </w:rPr>
        <w:t>投标人名称（盖章）：</w:t>
      </w:r>
      <w:r>
        <w:rPr>
          <w:rFonts w:hint="eastAsia" w:ascii="宋体" w:hAnsi="宋体" w:cs="宋体"/>
          <w:color w:val="auto"/>
          <w:sz w:val="24"/>
          <w:highlight w:val="none"/>
          <w:u w:val="single"/>
        </w:rPr>
        <w:t xml:space="preserve">                         </w:t>
      </w:r>
    </w:p>
    <w:p w14:paraId="05DBF217">
      <w:pPr>
        <w:spacing w:line="48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法定代表人或授权委托代理人（签字或盖章）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99C0484">
      <w:pPr>
        <w:spacing w:line="480" w:lineRule="auto"/>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14:paraId="6DA2CF1A">
      <w:pPr>
        <w:spacing w:line="360" w:lineRule="auto"/>
        <w:rPr>
          <w:rFonts w:ascii="宋体" w:hAnsi="宋体" w:cs="宋体"/>
          <w:color w:val="auto"/>
          <w:sz w:val="24"/>
          <w:szCs w:val="32"/>
          <w:highlight w:val="none"/>
        </w:rPr>
      </w:pPr>
    </w:p>
    <w:p w14:paraId="1D663B2B">
      <w:pPr>
        <w:spacing w:line="360" w:lineRule="auto"/>
        <w:rPr>
          <w:rFonts w:ascii="宋体" w:hAnsi="宋体" w:cs="宋体"/>
          <w:color w:val="auto"/>
          <w:sz w:val="24"/>
          <w:szCs w:val="32"/>
          <w:highlight w:val="none"/>
        </w:rPr>
      </w:pPr>
    </w:p>
    <w:p w14:paraId="753162BF">
      <w:pPr>
        <w:spacing w:line="360" w:lineRule="auto"/>
        <w:rPr>
          <w:rFonts w:ascii="宋体" w:hAnsi="宋体" w:cs="宋体"/>
          <w:color w:val="auto"/>
          <w:sz w:val="24"/>
          <w:szCs w:val="32"/>
          <w:highlight w:val="none"/>
        </w:rPr>
      </w:pPr>
    </w:p>
    <w:p w14:paraId="66C87066">
      <w:pPr>
        <w:spacing w:line="360" w:lineRule="auto"/>
        <w:rPr>
          <w:rFonts w:hint="default" w:ascii="宋体" w:hAnsi="宋体" w:eastAsia="宋体" w:cs="宋体"/>
          <w:b/>
          <w:bCs/>
          <w:color w:val="auto"/>
          <w:sz w:val="28"/>
          <w:szCs w:val="36"/>
          <w:highlight w:val="none"/>
          <w:lang w:val="en-US" w:eastAsia="zh-CN"/>
        </w:rPr>
      </w:pPr>
      <w:bookmarkStart w:id="55" w:name="_Toc2015"/>
      <w:bookmarkStart w:id="56" w:name="_Toc5432"/>
      <w:r>
        <w:rPr>
          <w:rFonts w:hint="eastAsia" w:ascii="宋体" w:hAnsi="宋体" w:eastAsia="宋体" w:cs="宋体"/>
          <w:b/>
          <w:bCs/>
          <w:color w:val="auto"/>
          <w:sz w:val="28"/>
          <w:szCs w:val="36"/>
          <w:highlight w:val="none"/>
          <w:lang w:val="zh-CN"/>
        </w:rPr>
        <w:t>附件</w:t>
      </w:r>
      <w:r>
        <w:rPr>
          <w:rFonts w:hint="eastAsia" w:ascii="宋体" w:hAnsi="宋体" w:eastAsia="宋体" w:cs="宋体"/>
          <w:b/>
          <w:bCs/>
          <w:color w:val="auto"/>
          <w:sz w:val="28"/>
          <w:szCs w:val="36"/>
          <w:highlight w:val="none"/>
          <w:lang w:val="en-US" w:eastAsia="zh-CN"/>
        </w:rPr>
        <w:t>11</w:t>
      </w:r>
    </w:p>
    <w:p w14:paraId="5E4A943C">
      <w:pPr>
        <w:spacing w:line="480" w:lineRule="exact"/>
        <w:jc w:val="center"/>
        <w:rPr>
          <w:rFonts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t>供货清单</w:t>
      </w:r>
    </w:p>
    <w:p w14:paraId="107E3BB7">
      <w:pPr>
        <w:spacing w:line="480" w:lineRule="auto"/>
        <w:rPr>
          <w:rFonts w:ascii="宋体" w:hAnsi="宋体"/>
          <w:color w:val="auto"/>
          <w:sz w:val="24"/>
          <w:highlight w:val="none"/>
        </w:rPr>
      </w:pPr>
      <w:r>
        <w:rPr>
          <w:rFonts w:hint="eastAsia" w:ascii="宋体" w:hAnsi="宋体"/>
          <w:color w:val="auto"/>
          <w:sz w:val="24"/>
          <w:highlight w:val="none"/>
        </w:rPr>
        <w:t>项目编号：</w:t>
      </w:r>
    </w:p>
    <w:tbl>
      <w:tblPr>
        <w:tblStyle w:val="27"/>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69"/>
        <w:gridCol w:w="1134"/>
        <w:gridCol w:w="1842"/>
        <w:gridCol w:w="993"/>
        <w:gridCol w:w="1559"/>
      </w:tblGrid>
      <w:tr w14:paraId="75B8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689E78BB">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69" w:type="dxa"/>
            <w:vAlign w:val="center"/>
          </w:tcPr>
          <w:p w14:paraId="490B31D2">
            <w:pPr>
              <w:tabs>
                <w:tab w:val="left" w:pos="8280"/>
              </w:tabs>
              <w:autoSpaceDE w:val="0"/>
              <w:autoSpaceDN w:val="0"/>
              <w:adjustRightInd w:val="0"/>
              <w:ind w:right="25"/>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34" w:type="dxa"/>
            <w:vAlign w:val="center"/>
          </w:tcPr>
          <w:p w14:paraId="51E4A988">
            <w:pPr>
              <w:tabs>
                <w:tab w:val="left" w:pos="8280"/>
              </w:tabs>
              <w:autoSpaceDE w:val="0"/>
              <w:autoSpaceDN w:val="0"/>
              <w:adjustRightInd w:val="0"/>
              <w:ind w:right="25"/>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1842" w:type="dxa"/>
            <w:vAlign w:val="center"/>
          </w:tcPr>
          <w:p w14:paraId="14A3A449">
            <w:pPr>
              <w:tabs>
                <w:tab w:val="left" w:pos="8280"/>
              </w:tabs>
              <w:autoSpaceDE w:val="0"/>
              <w:autoSpaceDN w:val="0"/>
              <w:adjustRightInd w:val="0"/>
              <w:ind w:right="25"/>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0648F386">
            <w:pPr>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1559" w:type="dxa"/>
            <w:vAlign w:val="center"/>
          </w:tcPr>
          <w:p w14:paraId="59C3F151">
            <w:pPr>
              <w:jc w:val="center"/>
              <w:rPr>
                <w:rFonts w:ascii="宋体" w:hAnsi="宋体" w:cs="宋体"/>
                <w:b/>
                <w:color w:val="auto"/>
                <w:sz w:val="24"/>
                <w:highlight w:val="none"/>
              </w:rPr>
            </w:pPr>
            <w:r>
              <w:rPr>
                <w:rFonts w:hint="eastAsia" w:ascii="宋体" w:hAnsi="宋体" w:cs="宋体"/>
                <w:b/>
                <w:color w:val="auto"/>
                <w:sz w:val="24"/>
                <w:highlight w:val="none"/>
              </w:rPr>
              <w:t>数量</w:t>
            </w:r>
          </w:p>
        </w:tc>
      </w:tr>
      <w:tr w14:paraId="2864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7AF7F0F9">
            <w:pPr>
              <w:jc w:val="center"/>
              <w:rPr>
                <w:rFonts w:ascii="宋体" w:hAnsi="宋体" w:cs="宋体"/>
                <w:color w:val="auto"/>
                <w:sz w:val="24"/>
                <w:highlight w:val="none"/>
              </w:rPr>
            </w:pPr>
          </w:p>
        </w:tc>
        <w:tc>
          <w:tcPr>
            <w:tcW w:w="2169" w:type="dxa"/>
            <w:vAlign w:val="center"/>
          </w:tcPr>
          <w:p w14:paraId="34D036BB">
            <w:pPr>
              <w:jc w:val="center"/>
              <w:rPr>
                <w:rFonts w:ascii="宋体" w:hAnsi="宋体" w:cs="宋体"/>
                <w:color w:val="auto"/>
                <w:sz w:val="24"/>
                <w:highlight w:val="none"/>
              </w:rPr>
            </w:pPr>
          </w:p>
        </w:tc>
        <w:tc>
          <w:tcPr>
            <w:tcW w:w="1134" w:type="dxa"/>
            <w:vAlign w:val="center"/>
          </w:tcPr>
          <w:p w14:paraId="70C27F96">
            <w:pPr>
              <w:jc w:val="center"/>
              <w:rPr>
                <w:rFonts w:ascii="宋体" w:hAnsi="宋体" w:cs="宋体"/>
                <w:color w:val="auto"/>
                <w:sz w:val="24"/>
                <w:highlight w:val="none"/>
              </w:rPr>
            </w:pPr>
          </w:p>
        </w:tc>
        <w:tc>
          <w:tcPr>
            <w:tcW w:w="1842" w:type="dxa"/>
            <w:vAlign w:val="center"/>
          </w:tcPr>
          <w:p w14:paraId="3513ED9E">
            <w:pPr>
              <w:jc w:val="center"/>
              <w:rPr>
                <w:rFonts w:ascii="宋体" w:hAnsi="宋体" w:cs="宋体"/>
                <w:color w:val="auto"/>
                <w:sz w:val="24"/>
                <w:highlight w:val="none"/>
              </w:rPr>
            </w:pPr>
          </w:p>
        </w:tc>
        <w:tc>
          <w:tcPr>
            <w:tcW w:w="993" w:type="dxa"/>
            <w:vAlign w:val="center"/>
          </w:tcPr>
          <w:p w14:paraId="4A507A3E">
            <w:pPr>
              <w:jc w:val="center"/>
              <w:rPr>
                <w:rFonts w:ascii="宋体" w:hAnsi="宋体" w:cs="宋体"/>
                <w:color w:val="auto"/>
                <w:sz w:val="24"/>
                <w:highlight w:val="none"/>
              </w:rPr>
            </w:pPr>
          </w:p>
        </w:tc>
        <w:tc>
          <w:tcPr>
            <w:tcW w:w="1559" w:type="dxa"/>
            <w:vAlign w:val="center"/>
          </w:tcPr>
          <w:p w14:paraId="429F8B1A">
            <w:pPr>
              <w:jc w:val="center"/>
              <w:rPr>
                <w:rFonts w:ascii="宋体" w:hAnsi="宋体" w:cs="宋体"/>
                <w:color w:val="auto"/>
                <w:sz w:val="24"/>
                <w:highlight w:val="none"/>
              </w:rPr>
            </w:pPr>
          </w:p>
        </w:tc>
      </w:tr>
      <w:tr w14:paraId="1DC3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54DEF92C">
            <w:pPr>
              <w:jc w:val="center"/>
              <w:rPr>
                <w:rFonts w:ascii="宋体" w:hAnsi="宋体" w:cs="宋体"/>
                <w:color w:val="auto"/>
                <w:sz w:val="24"/>
                <w:highlight w:val="none"/>
              </w:rPr>
            </w:pPr>
          </w:p>
        </w:tc>
        <w:tc>
          <w:tcPr>
            <w:tcW w:w="2169" w:type="dxa"/>
            <w:vAlign w:val="center"/>
          </w:tcPr>
          <w:p w14:paraId="0C86FB88">
            <w:pPr>
              <w:jc w:val="center"/>
              <w:rPr>
                <w:rFonts w:ascii="宋体" w:hAnsi="宋体" w:cs="宋体"/>
                <w:color w:val="auto"/>
                <w:sz w:val="24"/>
                <w:highlight w:val="none"/>
              </w:rPr>
            </w:pPr>
          </w:p>
        </w:tc>
        <w:tc>
          <w:tcPr>
            <w:tcW w:w="1134" w:type="dxa"/>
            <w:vAlign w:val="center"/>
          </w:tcPr>
          <w:p w14:paraId="19EB7933">
            <w:pPr>
              <w:jc w:val="center"/>
              <w:rPr>
                <w:rFonts w:ascii="宋体" w:hAnsi="宋体" w:cs="宋体"/>
                <w:color w:val="auto"/>
                <w:sz w:val="24"/>
                <w:highlight w:val="none"/>
              </w:rPr>
            </w:pPr>
          </w:p>
        </w:tc>
        <w:tc>
          <w:tcPr>
            <w:tcW w:w="1842" w:type="dxa"/>
            <w:vAlign w:val="center"/>
          </w:tcPr>
          <w:p w14:paraId="336F22D9">
            <w:pPr>
              <w:jc w:val="center"/>
              <w:rPr>
                <w:rFonts w:ascii="宋体" w:hAnsi="宋体" w:cs="宋体"/>
                <w:color w:val="auto"/>
                <w:sz w:val="24"/>
                <w:highlight w:val="none"/>
              </w:rPr>
            </w:pPr>
          </w:p>
        </w:tc>
        <w:tc>
          <w:tcPr>
            <w:tcW w:w="993" w:type="dxa"/>
            <w:vAlign w:val="center"/>
          </w:tcPr>
          <w:p w14:paraId="641E3E89">
            <w:pPr>
              <w:jc w:val="center"/>
              <w:rPr>
                <w:rFonts w:ascii="宋体" w:hAnsi="宋体" w:cs="宋体"/>
                <w:color w:val="auto"/>
                <w:sz w:val="24"/>
                <w:highlight w:val="none"/>
              </w:rPr>
            </w:pPr>
          </w:p>
        </w:tc>
        <w:tc>
          <w:tcPr>
            <w:tcW w:w="1559" w:type="dxa"/>
            <w:vAlign w:val="center"/>
          </w:tcPr>
          <w:p w14:paraId="29EA30A6">
            <w:pPr>
              <w:jc w:val="center"/>
              <w:rPr>
                <w:rFonts w:ascii="宋体" w:hAnsi="宋体" w:cs="宋体"/>
                <w:color w:val="auto"/>
                <w:sz w:val="24"/>
                <w:highlight w:val="none"/>
              </w:rPr>
            </w:pPr>
          </w:p>
        </w:tc>
      </w:tr>
      <w:tr w14:paraId="6E13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230CEE50">
            <w:pPr>
              <w:jc w:val="center"/>
              <w:rPr>
                <w:rFonts w:ascii="宋体" w:hAnsi="宋体" w:cs="宋体"/>
                <w:color w:val="auto"/>
                <w:sz w:val="24"/>
                <w:highlight w:val="none"/>
              </w:rPr>
            </w:pPr>
          </w:p>
        </w:tc>
        <w:tc>
          <w:tcPr>
            <w:tcW w:w="2169" w:type="dxa"/>
            <w:vAlign w:val="center"/>
          </w:tcPr>
          <w:p w14:paraId="2A422820">
            <w:pPr>
              <w:jc w:val="center"/>
              <w:rPr>
                <w:rFonts w:ascii="宋体" w:hAnsi="宋体" w:cs="宋体"/>
                <w:color w:val="auto"/>
                <w:sz w:val="24"/>
                <w:highlight w:val="none"/>
              </w:rPr>
            </w:pPr>
          </w:p>
        </w:tc>
        <w:tc>
          <w:tcPr>
            <w:tcW w:w="1134" w:type="dxa"/>
            <w:vAlign w:val="center"/>
          </w:tcPr>
          <w:p w14:paraId="512E4EA4">
            <w:pPr>
              <w:jc w:val="center"/>
              <w:rPr>
                <w:rFonts w:ascii="宋体" w:hAnsi="宋体" w:cs="宋体"/>
                <w:color w:val="auto"/>
                <w:sz w:val="24"/>
                <w:highlight w:val="none"/>
              </w:rPr>
            </w:pPr>
          </w:p>
        </w:tc>
        <w:tc>
          <w:tcPr>
            <w:tcW w:w="1842" w:type="dxa"/>
            <w:vAlign w:val="center"/>
          </w:tcPr>
          <w:p w14:paraId="442F8D24">
            <w:pPr>
              <w:jc w:val="center"/>
              <w:rPr>
                <w:rFonts w:ascii="宋体" w:hAnsi="宋体" w:cs="宋体"/>
                <w:color w:val="auto"/>
                <w:sz w:val="24"/>
                <w:highlight w:val="none"/>
              </w:rPr>
            </w:pPr>
          </w:p>
        </w:tc>
        <w:tc>
          <w:tcPr>
            <w:tcW w:w="993" w:type="dxa"/>
            <w:vAlign w:val="center"/>
          </w:tcPr>
          <w:p w14:paraId="761995D7">
            <w:pPr>
              <w:jc w:val="center"/>
              <w:rPr>
                <w:rFonts w:ascii="宋体" w:hAnsi="宋体" w:cs="宋体"/>
                <w:color w:val="auto"/>
                <w:sz w:val="24"/>
                <w:highlight w:val="none"/>
              </w:rPr>
            </w:pPr>
          </w:p>
        </w:tc>
        <w:tc>
          <w:tcPr>
            <w:tcW w:w="1559" w:type="dxa"/>
            <w:vAlign w:val="center"/>
          </w:tcPr>
          <w:p w14:paraId="1C6E1853">
            <w:pPr>
              <w:jc w:val="center"/>
              <w:rPr>
                <w:rFonts w:ascii="宋体" w:hAnsi="宋体" w:cs="宋体"/>
                <w:color w:val="auto"/>
                <w:sz w:val="24"/>
                <w:highlight w:val="none"/>
              </w:rPr>
            </w:pPr>
          </w:p>
        </w:tc>
      </w:tr>
      <w:tr w14:paraId="7114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092CC4AB">
            <w:pPr>
              <w:jc w:val="center"/>
              <w:rPr>
                <w:rFonts w:ascii="宋体" w:hAnsi="宋体" w:cs="宋体"/>
                <w:color w:val="auto"/>
                <w:sz w:val="24"/>
                <w:highlight w:val="none"/>
              </w:rPr>
            </w:pPr>
          </w:p>
        </w:tc>
        <w:tc>
          <w:tcPr>
            <w:tcW w:w="2169" w:type="dxa"/>
            <w:vAlign w:val="center"/>
          </w:tcPr>
          <w:p w14:paraId="60834DE8">
            <w:pPr>
              <w:jc w:val="center"/>
              <w:rPr>
                <w:rFonts w:ascii="宋体" w:hAnsi="宋体" w:cs="宋体"/>
                <w:color w:val="auto"/>
                <w:sz w:val="24"/>
                <w:highlight w:val="none"/>
              </w:rPr>
            </w:pPr>
          </w:p>
        </w:tc>
        <w:tc>
          <w:tcPr>
            <w:tcW w:w="1134" w:type="dxa"/>
            <w:vAlign w:val="center"/>
          </w:tcPr>
          <w:p w14:paraId="63A047B3">
            <w:pPr>
              <w:jc w:val="center"/>
              <w:rPr>
                <w:rFonts w:ascii="宋体" w:hAnsi="宋体" w:cs="宋体"/>
                <w:color w:val="auto"/>
                <w:sz w:val="24"/>
                <w:highlight w:val="none"/>
              </w:rPr>
            </w:pPr>
          </w:p>
        </w:tc>
        <w:tc>
          <w:tcPr>
            <w:tcW w:w="1842" w:type="dxa"/>
            <w:vAlign w:val="center"/>
          </w:tcPr>
          <w:p w14:paraId="55F3EE74">
            <w:pPr>
              <w:jc w:val="center"/>
              <w:rPr>
                <w:rFonts w:ascii="宋体" w:hAnsi="宋体" w:cs="宋体"/>
                <w:color w:val="auto"/>
                <w:sz w:val="24"/>
                <w:highlight w:val="none"/>
              </w:rPr>
            </w:pPr>
          </w:p>
        </w:tc>
        <w:tc>
          <w:tcPr>
            <w:tcW w:w="993" w:type="dxa"/>
            <w:vAlign w:val="center"/>
          </w:tcPr>
          <w:p w14:paraId="7B0B7152">
            <w:pPr>
              <w:jc w:val="center"/>
              <w:rPr>
                <w:rFonts w:ascii="宋体" w:hAnsi="宋体" w:cs="宋体"/>
                <w:color w:val="auto"/>
                <w:sz w:val="24"/>
                <w:highlight w:val="none"/>
              </w:rPr>
            </w:pPr>
          </w:p>
        </w:tc>
        <w:tc>
          <w:tcPr>
            <w:tcW w:w="1559" w:type="dxa"/>
            <w:vAlign w:val="center"/>
          </w:tcPr>
          <w:p w14:paraId="0613D9F3">
            <w:pPr>
              <w:jc w:val="center"/>
              <w:rPr>
                <w:rFonts w:ascii="宋体" w:hAnsi="宋体" w:cs="宋体"/>
                <w:color w:val="auto"/>
                <w:sz w:val="24"/>
                <w:highlight w:val="none"/>
              </w:rPr>
            </w:pPr>
          </w:p>
        </w:tc>
      </w:tr>
      <w:tr w14:paraId="729B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799257E8">
            <w:pPr>
              <w:jc w:val="center"/>
              <w:rPr>
                <w:rFonts w:ascii="宋体" w:hAnsi="宋体" w:cs="宋体"/>
                <w:color w:val="auto"/>
                <w:sz w:val="24"/>
                <w:highlight w:val="none"/>
              </w:rPr>
            </w:pPr>
          </w:p>
        </w:tc>
        <w:tc>
          <w:tcPr>
            <w:tcW w:w="2169" w:type="dxa"/>
            <w:vAlign w:val="center"/>
          </w:tcPr>
          <w:p w14:paraId="4FFB04A4">
            <w:pPr>
              <w:jc w:val="center"/>
              <w:rPr>
                <w:rFonts w:ascii="宋体" w:hAnsi="宋体" w:cs="宋体"/>
                <w:color w:val="auto"/>
                <w:sz w:val="24"/>
                <w:highlight w:val="none"/>
              </w:rPr>
            </w:pPr>
          </w:p>
        </w:tc>
        <w:tc>
          <w:tcPr>
            <w:tcW w:w="1134" w:type="dxa"/>
            <w:vAlign w:val="center"/>
          </w:tcPr>
          <w:p w14:paraId="4CE0EE6E">
            <w:pPr>
              <w:jc w:val="center"/>
              <w:rPr>
                <w:rFonts w:ascii="宋体" w:hAnsi="宋体" w:cs="宋体"/>
                <w:color w:val="auto"/>
                <w:sz w:val="24"/>
                <w:highlight w:val="none"/>
              </w:rPr>
            </w:pPr>
          </w:p>
        </w:tc>
        <w:tc>
          <w:tcPr>
            <w:tcW w:w="1842" w:type="dxa"/>
            <w:vAlign w:val="center"/>
          </w:tcPr>
          <w:p w14:paraId="712D2ACF">
            <w:pPr>
              <w:jc w:val="center"/>
              <w:rPr>
                <w:rFonts w:ascii="宋体" w:hAnsi="宋体" w:cs="宋体"/>
                <w:color w:val="auto"/>
                <w:sz w:val="24"/>
                <w:highlight w:val="none"/>
              </w:rPr>
            </w:pPr>
          </w:p>
        </w:tc>
        <w:tc>
          <w:tcPr>
            <w:tcW w:w="993" w:type="dxa"/>
            <w:vAlign w:val="center"/>
          </w:tcPr>
          <w:p w14:paraId="00DC9D84">
            <w:pPr>
              <w:jc w:val="center"/>
              <w:rPr>
                <w:rFonts w:ascii="宋体" w:hAnsi="宋体" w:cs="宋体"/>
                <w:color w:val="auto"/>
                <w:sz w:val="24"/>
                <w:highlight w:val="none"/>
              </w:rPr>
            </w:pPr>
          </w:p>
        </w:tc>
        <w:tc>
          <w:tcPr>
            <w:tcW w:w="1559" w:type="dxa"/>
            <w:vAlign w:val="center"/>
          </w:tcPr>
          <w:p w14:paraId="73312964">
            <w:pPr>
              <w:jc w:val="center"/>
              <w:rPr>
                <w:rFonts w:ascii="宋体" w:hAnsi="宋体" w:cs="宋体"/>
                <w:color w:val="auto"/>
                <w:sz w:val="24"/>
                <w:highlight w:val="none"/>
              </w:rPr>
            </w:pPr>
          </w:p>
        </w:tc>
      </w:tr>
      <w:tr w14:paraId="45A1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383ABD5A">
            <w:pPr>
              <w:jc w:val="center"/>
              <w:rPr>
                <w:rFonts w:ascii="宋体" w:hAnsi="宋体" w:cs="宋体"/>
                <w:color w:val="auto"/>
                <w:sz w:val="24"/>
                <w:highlight w:val="none"/>
              </w:rPr>
            </w:pPr>
          </w:p>
        </w:tc>
        <w:tc>
          <w:tcPr>
            <w:tcW w:w="2169" w:type="dxa"/>
            <w:vAlign w:val="center"/>
          </w:tcPr>
          <w:p w14:paraId="70C4F130">
            <w:pPr>
              <w:jc w:val="center"/>
              <w:rPr>
                <w:rFonts w:ascii="宋体" w:hAnsi="宋体" w:cs="宋体"/>
                <w:color w:val="auto"/>
                <w:sz w:val="24"/>
                <w:highlight w:val="none"/>
              </w:rPr>
            </w:pPr>
          </w:p>
        </w:tc>
        <w:tc>
          <w:tcPr>
            <w:tcW w:w="1134" w:type="dxa"/>
            <w:vAlign w:val="center"/>
          </w:tcPr>
          <w:p w14:paraId="1C801C1A">
            <w:pPr>
              <w:jc w:val="center"/>
              <w:rPr>
                <w:rFonts w:ascii="宋体" w:hAnsi="宋体" w:cs="宋体"/>
                <w:color w:val="auto"/>
                <w:sz w:val="24"/>
                <w:highlight w:val="none"/>
              </w:rPr>
            </w:pPr>
          </w:p>
        </w:tc>
        <w:tc>
          <w:tcPr>
            <w:tcW w:w="1842" w:type="dxa"/>
            <w:vAlign w:val="center"/>
          </w:tcPr>
          <w:p w14:paraId="30C5FB2A">
            <w:pPr>
              <w:jc w:val="center"/>
              <w:rPr>
                <w:rFonts w:ascii="宋体" w:hAnsi="宋体" w:cs="宋体"/>
                <w:color w:val="auto"/>
                <w:sz w:val="24"/>
                <w:highlight w:val="none"/>
              </w:rPr>
            </w:pPr>
          </w:p>
        </w:tc>
        <w:tc>
          <w:tcPr>
            <w:tcW w:w="993" w:type="dxa"/>
            <w:vAlign w:val="center"/>
          </w:tcPr>
          <w:p w14:paraId="375D0ED6">
            <w:pPr>
              <w:jc w:val="center"/>
              <w:rPr>
                <w:rFonts w:ascii="宋体" w:hAnsi="宋体" w:cs="宋体"/>
                <w:color w:val="auto"/>
                <w:sz w:val="24"/>
                <w:highlight w:val="none"/>
              </w:rPr>
            </w:pPr>
          </w:p>
        </w:tc>
        <w:tc>
          <w:tcPr>
            <w:tcW w:w="1559" w:type="dxa"/>
            <w:vAlign w:val="center"/>
          </w:tcPr>
          <w:p w14:paraId="5CC88FB0">
            <w:pPr>
              <w:jc w:val="center"/>
              <w:rPr>
                <w:rFonts w:ascii="宋体" w:hAnsi="宋体" w:cs="宋体"/>
                <w:color w:val="auto"/>
                <w:sz w:val="24"/>
                <w:highlight w:val="none"/>
              </w:rPr>
            </w:pPr>
          </w:p>
        </w:tc>
      </w:tr>
      <w:tr w14:paraId="487E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91" w:type="dxa"/>
            <w:vAlign w:val="center"/>
          </w:tcPr>
          <w:p w14:paraId="6209E0DD">
            <w:pPr>
              <w:jc w:val="center"/>
              <w:rPr>
                <w:rFonts w:ascii="宋体" w:hAnsi="宋体" w:cs="宋体"/>
                <w:color w:val="auto"/>
                <w:sz w:val="24"/>
                <w:highlight w:val="none"/>
              </w:rPr>
            </w:pPr>
          </w:p>
        </w:tc>
        <w:tc>
          <w:tcPr>
            <w:tcW w:w="2169" w:type="dxa"/>
            <w:vAlign w:val="center"/>
          </w:tcPr>
          <w:p w14:paraId="2B0A27B9">
            <w:pPr>
              <w:jc w:val="center"/>
              <w:rPr>
                <w:rFonts w:ascii="宋体" w:hAnsi="宋体" w:cs="宋体"/>
                <w:color w:val="auto"/>
                <w:sz w:val="24"/>
                <w:highlight w:val="none"/>
              </w:rPr>
            </w:pPr>
          </w:p>
        </w:tc>
        <w:tc>
          <w:tcPr>
            <w:tcW w:w="1134" w:type="dxa"/>
            <w:vAlign w:val="center"/>
          </w:tcPr>
          <w:p w14:paraId="226406FB">
            <w:pPr>
              <w:jc w:val="center"/>
              <w:rPr>
                <w:rFonts w:ascii="宋体" w:hAnsi="宋体" w:cs="宋体"/>
                <w:color w:val="auto"/>
                <w:sz w:val="24"/>
                <w:highlight w:val="none"/>
              </w:rPr>
            </w:pPr>
          </w:p>
        </w:tc>
        <w:tc>
          <w:tcPr>
            <w:tcW w:w="1842" w:type="dxa"/>
            <w:vAlign w:val="center"/>
          </w:tcPr>
          <w:p w14:paraId="1B133801">
            <w:pPr>
              <w:jc w:val="center"/>
              <w:rPr>
                <w:rFonts w:ascii="宋体" w:hAnsi="宋体" w:cs="宋体"/>
                <w:color w:val="auto"/>
                <w:sz w:val="24"/>
                <w:highlight w:val="none"/>
              </w:rPr>
            </w:pPr>
          </w:p>
        </w:tc>
        <w:tc>
          <w:tcPr>
            <w:tcW w:w="993" w:type="dxa"/>
            <w:vAlign w:val="center"/>
          </w:tcPr>
          <w:p w14:paraId="5199F7B6">
            <w:pPr>
              <w:jc w:val="center"/>
              <w:rPr>
                <w:rFonts w:ascii="宋体" w:hAnsi="宋体" w:cs="宋体"/>
                <w:color w:val="auto"/>
                <w:sz w:val="24"/>
                <w:highlight w:val="none"/>
              </w:rPr>
            </w:pPr>
          </w:p>
        </w:tc>
        <w:tc>
          <w:tcPr>
            <w:tcW w:w="1559" w:type="dxa"/>
            <w:vAlign w:val="center"/>
          </w:tcPr>
          <w:p w14:paraId="4B69452E">
            <w:pPr>
              <w:jc w:val="center"/>
              <w:rPr>
                <w:rFonts w:ascii="宋体" w:hAnsi="宋体" w:cs="宋体"/>
                <w:color w:val="auto"/>
                <w:sz w:val="24"/>
                <w:highlight w:val="none"/>
              </w:rPr>
            </w:pPr>
          </w:p>
        </w:tc>
      </w:tr>
    </w:tbl>
    <w:p w14:paraId="4B05514E">
      <w:pPr>
        <w:spacing w:line="360" w:lineRule="auto"/>
        <w:rPr>
          <w:rFonts w:ascii="宋体" w:hAnsi="宋体"/>
          <w:color w:val="auto"/>
          <w:sz w:val="24"/>
          <w:highlight w:val="none"/>
        </w:rPr>
      </w:pPr>
    </w:p>
    <w:p w14:paraId="4EB5048B">
      <w:pPr>
        <w:spacing w:line="360" w:lineRule="auto"/>
        <w:rPr>
          <w:rFonts w:ascii="宋体" w:hAnsi="宋体"/>
          <w:b/>
          <w:bCs/>
          <w:color w:val="auto"/>
          <w:sz w:val="24"/>
          <w:highlight w:val="none"/>
        </w:rPr>
      </w:pPr>
      <w:r>
        <w:rPr>
          <w:rFonts w:hint="eastAsia" w:ascii="宋体" w:hAnsi="宋体"/>
          <w:b/>
          <w:bCs/>
          <w:color w:val="auto"/>
          <w:sz w:val="24"/>
          <w:highlight w:val="none"/>
        </w:rPr>
        <w:t>要求：</w:t>
      </w:r>
    </w:p>
    <w:p w14:paraId="303BD8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1.本表中的名称、数量应与报价明细表中相对应的报价名称、数量一致。</w:t>
      </w:r>
    </w:p>
    <w:p w14:paraId="7DB9A0F7">
      <w:pPr>
        <w:spacing w:line="360" w:lineRule="auto"/>
        <w:rPr>
          <w:rFonts w:ascii="宋体" w:hAnsi="宋体"/>
          <w:color w:val="auto"/>
          <w:sz w:val="24"/>
          <w:highlight w:val="none"/>
        </w:rPr>
      </w:pPr>
    </w:p>
    <w:p w14:paraId="5A2C4CEE">
      <w:pPr>
        <w:spacing w:line="480" w:lineRule="auto"/>
        <w:rPr>
          <w:rFonts w:ascii="宋体" w:hAnsi="宋体"/>
          <w:color w:val="auto"/>
          <w:sz w:val="24"/>
          <w:highlight w:val="none"/>
        </w:rPr>
      </w:pPr>
      <w:r>
        <w:rPr>
          <w:rFonts w:hint="eastAsia" w:ascii="宋体" w:hAnsi="宋体"/>
          <w:color w:val="auto"/>
          <w:sz w:val="24"/>
          <w:highlight w:val="none"/>
        </w:rPr>
        <w:t>投标人名称（盖章</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3050724">
      <w:pPr>
        <w:spacing w:line="480" w:lineRule="auto"/>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383CB9DA">
      <w:pPr>
        <w:spacing w:line="48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p>
    <w:p w14:paraId="4AD41DFD">
      <w:pPr>
        <w:spacing w:line="360" w:lineRule="auto"/>
        <w:rPr>
          <w:rFonts w:ascii="宋体" w:hAnsi="宋体"/>
          <w:color w:val="auto"/>
          <w:sz w:val="24"/>
          <w:highlight w:val="none"/>
        </w:rPr>
      </w:pPr>
    </w:p>
    <w:p w14:paraId="4EEAF05A">
      <w:pPr>
        <w:rPr>
          <w:rFonts w:hint="eastAsia" w:ascii="宋体" w:hAnsi="宋体" w:cs="宋体"/>
          <w:b/>
          <w:bCs/>
          <w:color w:val="auto"/>
          <w:sz w:val="28"/>
          <w:szCs w:val="36"/>
          <w:highlight w:val="none"/>
          <w:lang w:val="zh-CN"/>
        </w:rPr>
      </w:pPr>
      <w:r>
        <w:rPr>
          <w:rFonts w:hint="eastAsia" w:ascii="宋体" w:hAnsi="宋体" w:cs="宋体"/>
          <w:b/>
          <w:bCs/>
          <w:color w:val="auto"/>
          <w:sz w:val="28"/>
          <w:szCs w:val="36"/>
          <w:highlight w:val="none"/>
          <w:lang w:val="zh-CN"/>
        </w:rPr>
        <w:br w:type="page"/>
      </w:r>
    </w:p>
    <w:bookmarkEnd w:id="55"/>
    <w:bookmarkEnd w:id="56"/>
    <w:p w14:paraId="63D2D674">
      <w:pPr>
        <w:spacing w:line="360" w:lineRule="auto"/>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zh-CN"/>
        </w:rPr>
        <w:t>附件</w:t>
      </w:r>
      <w:r>
        <w:rPr>
          <w:rFonts w:hint="eastAsia" w:ascii="宋体" w:hAnsi="宋体" w:eastAsia="宋体" w:cs="宋体"/>
          <w:b/>
          <w:bCs/>
          <w:color w:val="auto"/>
          <w:sz w:val="28"/>
          <w:szCs w:val="36"/>
          <w:highlight w:val="none"/>
          <w:lang w:val="en-US" w:eastAsia="zh-CN"/>
        </w:rPr>
        <w:t>12</w:t>
      </w:r>
    </w:p>
    <w:p w14:paraId="2230A1EF">
      <w:pPr>
        <w:spacing w:line="360" w:lineRule="auto"/>
        <w:jc w:val="center"/>
        <w:rPr>
          <w:rFonts w:ascii="宋体"/>
          <w:b/>
          <w:bCs/>
          <w:color w:val="auto"/>
          <w:sz w:val="32"/>
          <w:szCs w:val="32"/>
          <w:highlight w:val="none"/>
        </w:rPr>
      </w:pPr>
      <w:r>
        <w:rPr>
          <w:rFonts w:hint="eastAsia" w:ascii="宋体" w:hAnsi="宋体"/>
          <w:b/>
          <w:bCs/>
          <w:color w:val="auto"/>
          <w:kern w:val="0"/>
          <w:sz w:val="32"/>
          <w:szCs w:val="32"/>
          <w:highlight w:val="none"/>
        </w:rPr>
        <w:t>技术需求响应表</w:t>
      </w:r>
    </w:p>
    <w:p w14:paraId="6852FB1C">
      <w:pPr>
        <w:spacing w:line="360" w:lineRule="auto"/>
        <w:rPr>
          <w:rFonts w:ascii="宋体"/>
          <w:color w:val="auto"/>
          <w:sz w:val="24"/>
          <w:highlight w:val="none"/>
        </w:rPr>
      </w:pPr>
    </w:p>
    <w:tbl>
      <w:tblPr>
        <w:tblStyle w:val="2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449"/>
        <w:gridCol w:w="1560"/>
        <w:gridCol w:w="1401"/>
        <w:gridCol w:w="1365"/>
      </w:tblGrid>
      <w:tr w14:paraId="7149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14:paraId="3DAC2EC8">
            <w:pPr>
              <w:spacing w:line="360" w:lineRule="auto"/>
              <w:rPr>
                <w:rFonts w:ascii="宋体"/>
                <w:b/>
                <w:color w:val="auto"/>
                <w:sz w:val="24"/>
                <w:highlight w:val="none"/>
              </w:rPr>
            </w:pPr>
            <w:r>
              <w:rPr>
                <w:rFonts w:hint="eastAsia" w:ascii="宋体" w:hAnsi="宋体"/>
                <w:b/>
                <w:color w:val="auto"/>
                <w:sz w:val="24"/>
                <w:highlight w:val="none"/>
              </w:rPr>
              <w:t>序号</w:t>
            </w:r>
          </w:p>
        </w:tc>
        <w:tc>
          <w:tcPr>
            <w:tcW w:w="1785" w:type="dxa"/>
            <w:vAlign w:val="center"/>
          </w:tcPr>
          <w:p w14:paraId="10CCC918">
            <w:pPr>
              <w:spacing w:line="360" w:lineRule="auto"/>
              <w:ind w:left="13" w:leftChars="6" w:firstLine="482" w:firstLineChars="200"/>
              <w:rPr>
                <w:rFonts w:ascii="宋体"/>
                <w:b/>
                <w:color w:val="auto"/>
                <w:sz w:val="24"/>
                <w:highlight w:val="none"/>
              </w:rPr>
            </w:pPr>
            <w:r>
              <w:rPr>
                <w:rFonts w:hint="eastAsia" w:ascii="宋体" w:hAnsi="宋体"/>
                <w:b/>
                <w:color w:val="auto"/>
                <w:sz w:val="24"/>
                <w:highlight w:val="none"/>
              </w:rPr>
              <w:t>名称</w:t>
            </w:r>
          </w:p>
        </w:tc>
        <w:tc>
          <w:tcPr>
            <w:tcW w:w="1449" w:type="dxa"/>
            <w:vAlign w:val="center"/>
          </w:tcPr>
          <w:p w14:paraId="53968956">
            <w:pPr>
              <w:spacing w:line="360" w:lineRule="auto"/>
              <w:ind w:left="52"/>
              <w:rPr>
                <w:rFonts w:ascii="宋体"/>
                <w:b/>
                <w:color w:val="auto"/>
                <w:sz w:val="24"/>
                <w:highlight w:val="none"/>
              </w:rPr>
            </w:pPr>
            <w:r>
              <w:rPr>
                <w:rFonts w:hint="eastAsia" w:ascii="宋体" w:hAnsi="宋体"/>
                <w:b/>
                <w:color w:val="auto"/>
                <w:sz w:val="24"/>
                <w:highlight w:val="none"/>
              </w:rPr>
              <w:t>规格型号</w:t>
            </w:r>
          </w:p>
        </w:tc>
        <w:tc>
          <w:tcPr>
            <w:tcW w:w="1560" w:type="dxa"/>
            <w:vAlign w:val="center"/>
          </w:tcPr>
          <w:p w14:paraId="04A67359">
            <w:pPr>
              <w:spacing w:line="360" w:lineRule="auto"/>
              <w:ind w:left="152"/>
              <w:rPr>
                <w:rFonts w:ascii="宋体"/>
                <w:b/>
                <w:color w:val="auto"/>
                <w:sz w:val="24"/>
                <w:highlight w:val="none"/>
              </w:rPr>
            </w:pPr>
            <w:r>
              <w:rPr>
                <w:rFonts w:hint="eastAsia" w:ascii="宋体" w:hAnsi="宋体"/>
                <w:b/>
                <w:color w:val="auto"/>
                <w:sz w:val="24"/>
                <w:highlight w:val="none"/>
              </w:rPr>
              <w:t>招标参数</w:t>
            </w:r>
          </w:p>
        </w:tc>
        <w:tc>
          <w:tcPr>
            <w:tcW w:w="1401" w:type="dxa"/>
            <w:vAlign w:val="center"/>
          </w:tcPr>
          <w:p w14:paraId="64A45920">
            <w:pPr>
              <w:spacing w:line="360" w:lineRule="auto"/>
              <w:rPr>
                <w:rFonts w:ascii="宋体"/>
                <w:b/>
                <w:color w:val="auto"/>
                <w:sz w:val="24"/>
                <w:highlight w:val="none"/>
              </w:rPr>
            </w:pPr>
            <w:r>
              <w:rPr>
                <w:rFonts w:hint="eastAsia" w:ascii="宋体" w:hAnsi="宋体"/>
                <w:b/>
                <w:color w:val="auto"/>
                <w:sz w:val="24"/>
                <w:highlight w:val="none"/>
              </w:rPr>
              <w:t>投标参数</w:t>
            </w:r>
          </w:p>
        </w:tc>
        <w:tc>
          <w:tcPr>
            <w:tcW w:w="1365" w:type="dxa"/>
            <w:vAlign w:val="center"/>
          </w:tcPr>
          <w:p w14:paraId="687CAA8A">
            <w:pPr>
              <w:spacing w:line="360" w:lineRule="auto"/>
              <w:rPr>
                <w:rFonts w:ascii="宋体"/>
                <w:b/>
                <w:color w:val="auto"/>
                <w:sz w:val="24"/>
                <w:highlight w:val="none"/>
              </w:rPr>
            </w:pPr>
            <w:r>
              <w:rPr>
                <w:rFonts w:hint="eastAsia" w:ascii="宋体" w:hAnsi="宋体"/>
                <w:b/>
                <w:color w:val="auto"/>
                <w:sz w:val="24"/>
                <w:highlight w:val="none"/>
              </w:rPr>
              <w:t>偏离说明</w:t>
            </w:r>
          </w:p>
        </w:tc>
      </w:tr>
      <w:tr w14:paraId="208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712B658F">
            <w:pPr>
              <w:spacing w:line="360" w:lineRule="auto"/>
              <w:rPr>
                <w:rFonts w:ascii="宋体"/>
                <w:color w:val="auto"/>
                <w:sz w:val="24"/>
                <w:highlight w:val="none"/>
              </w:rPr>
            </w:pPr>
          </w:p>
        </w:tc>
        <w:tc>
          <w:tcPr>
            <w:tcW w:w="1785" w:type="dxa"/>
            <w:vAlign w:val="center"/>
          </w:tcPr>
          <w:p w14:paraId="1EBF41CE">
            <w:pPr>
              <w:spacing w:line="360" w:lineRule="auto"/>
              <w:rPr>
                <w:rFonts w:ascii="宋体"/>
                <w:color w:val="auto"/>
                <w:sz w:val="24"/>
                <w:highlight w:val="none"/>
              </w:rPr>
            </w:pPr>
          </w:p>
        </w:tc>
        <w:tc>
          <w:tcPr>
            <w:tcW w:w="1449" w:type="dxa"/>
            <w:vAlign w:val="center"/>
          </w:tcPr>
          <w:p w14:paraId="263F1817">
            <w:pPr>
              <w:spacing w:line="360" w:lineRule="auto"/>
              <w:rPr>
                <w:rFonts w:ascii="宋体"/>
                <w:color w:val="auto"/>
                <w:sz w:val="24"/>
                <w:highlight w:val="none"/>
              </w:rPr>
            </w:pPr>
          </w:p>
        </w:tc>
        <w:tc>
          <w:tcPr>
            <w:tcW w:w="1560" w:type="dxa"/>
            <w:vAlign w:val="center"/>
          </w:tcPr>
          <w:p w14:paraId="6D64E004">
            <w:pPr>
              <w:spacing w:line="360" w:lineRule="auto"/>
              <w:rPr>
                <w:rFonts w:ascii="宋体"/>
                <w:color w:val="auto"/>
                <w:sz w:val="24"/>
                <w:highlight w:val="none"/>
              </w:rPr>
            </w:pPr>
          </w:p>
        </w:tc>
        <w:tc>
          <w:tcPr>
            <w:tcW w:w="1401" w:type="dxa"/>
            <w:vAlign w:val="center"/>
          </w:tcPr>
          <w:p w14:paraId="48390DE8">
            <w:pPr>
              <w:spacing w:line="360" w:lineRule="auto"/>
              <w:rPr>
                <w:rFonts w:ascii="宋体"/>
                <w:color w:val="auto"/>
                <w:sz w:val="24"/>
                <w:highlight w:val="none"/>
              </w:rPr>
            </w:pPr>
          </w:p>
        </w:tc>
        <w:tc>
          <w:tcPr>
            <w:tcW w:w="1365" w:type="dxa"/>
            <w:vAlign w:val="center"/>
          </w:tcPr>
          <w:p w14:paraId="5F31E254">
            <w:pPr>
              <w:spacing w:line="360" w:lineRule="auto"/>
              <w:rPr>
                <w:rFonts w:ascii="宋体"/>
                <w:color w:val="auto"/>
                <w:sz w:val="24"/>
                <w:highlight w:val="none"/>
              </w:rPr>
            </w:pPr>
          </w:p>
        </w:tc>
      </w:tr>
      <w:tr w14:paraId="10F0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366853B8">
            <w:pPr>
              <w:spacing w:line="360" w:lineRule="auto"/>
              <w:rPr>
                <w:rFonts w:ascii="宋体"/>
                <w:color w:val="auto"/>
                <w:sz w:val="24"/>
                <w:highlight w:val="none"/>
              </w:rPr>
            </w:pPr>
          </w:p>
        </w:tc>
        <w:tc>
          <w:tcPr>
            <w:tcW w:w="1785" w:type="dxa"/>
            <w:vAlign w:val="center"/>
          </w:tcPr>
          <w:p w14:paraId="2AF0C021">
            <w:pPr>
              <w:spacing w:line="360" w:lineRule="auto"/>
              <w:rPr>
                <w:rFonts w:ascii="宋体"/>
                <w:color w:val="auto"/>
                <w:sz w:val="24"/>
                <w:highlight w:val="none"/>
              </w:rPr>
            </w:pPr>
          </w:p>
        </w:tc>
        <w:tc>
          <w:tcPr>
            <w:tcW w:w="1449" w:type="dxa"/>
            <w:vAlign w:val="center"/>
          </w:tcPr>
          <w:p w14:paraId="70C79ABB">
            <w:pPr>
              <w:spacing w:line="360" w:lineRule="auto"/>
              <w:rPr>
                <w:rFonts w:ascii="宋体"/>
                <w:color w:val="auto"/>
                <w:sz w:val="24"/>
                <w:highlight w:val="none"/>
              </w:rPr>
            </w:pPr>
          </w:p>
        </w:tc>
        <w:tc>
          <w:tcPr>
            <w:tcW w:w="1560" w:type="dxa"/>
            <w:vAlign w:val="center"/>
          </w:tcPr>
          <w:p w14:paraId="495965E6">
            <w:pPr>
              <w:spacing w:line="360" w:lineRule="auto"/>
              <w:rPr>
                <w:rFonts w:ascii="宋体"/>
                <w:color w:val="auto"/>
                <w:sz w:val="24"/>
                <w:highlight w:val="none"/>
              </w:rPr>
            </w:pPr>
          </w:p>
        </w:tc>
        <w:tc>
          <w:tcPr>
            <w:tcW w:w="1401" w:type="dxa"/>
            <w:vAlign w:val="center"/>
          </w:tcPr>
          <w:p w14:paraId="419B5540">
            <w:pPr>
              <w:spacing w:line="360" w:lineRule="auto"/>
              <w:rPr>
                <w:rFonts w:ascii="宋体"/>
                <w:color w:val="auto"/>
                <w:sz w:val="24"/>
                <w:highlight w:val="none"/>
              </w:rPr>
            </w:pPr>
          </w:p>
        </w:tc>
        <w:tc>
          <w:tcPr>
            <w:tcW w:w="1365" w:type="dxa"/>
            <w:vAlign w:val="center"/>
          </w:tcPr>
          <w:p w14:paraId="534AEE98">
            <w:pPr>
              <w:spacing w:line="360" w:lineRule="auto"/>
              <w:rPr>
                <w:rFonts w:ascii="宋体"/>
                <w:color w:val="auto"/>
                <w:sz w:val="24"/>
                <w:highlight w:val="none"/>
              </w:rPr>
            </w:pPr>
          </w:p>
        </w:tc>
      </w:tr>
      <w:tr w14:paraId="320B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924F74E">
            <w:pPr>
              <w:spacing w:line="360" w:lineRule="auto"/>
              <w:rPr>
                <w:rFonts w:ascii="宋体"/>
                <w:color w:val="auto"/>
                <w:sz w:val="24"/>
                <w:highlight w:val="none"/>
              </w:rPr>
            </w:pPr>
          </w:p>
        </w:tc>
        <w:tc>
          <w:tcPr>
            <w:tcW w:w="1785" w:type="dxa"/>
            <w:vAlign w:val="center"/>
          </w:tcPr>
          <w:p w14:paraId="28DF8DA0">
            <w:pPr>
              <w:spacing w:line="360" w:lineRule="auto"/>
              <w:rPr>
                <w:rFonts w:ascii="宋体"/>
                <w:color w:val="auto"/>
                <w:sz w:val="24"/>
                <w:highlight w:val="none"/>
              </w:rPr>
            </w:pPr>
          </w:p>
        </w:tc>
        <w:tc>
          <w:tcPr>
            <w:tcW w:w="1449" w:type="dxa"/>
            <w:vAlign w:val="center"/>
          </w:tcPr>
          <w:p w14:paraId="0C83186C">
            <w:pPr>
              <w:spacing w:line="360" w:lineRule="auto"/>
              <w:rPr>
                <w:rFonts w:ascii="宋体"/>
                <w:color w:val="auto"/>
                <w:sz w:val="24"/>
                <w:highlight w:val="none"/>
              </w:rPr>
            </w:pPr>
          </w:p>
        </w:tc>
        <w:tc>
          <w:tcPr>
            <w:tcW w:w="1560" w:type="dxa"/>
            <w:vAlign w:val="center"/>
          </w:tcPr>
          <w:p w14:paraId="047C1AE4">
            <w:pPr>
              <w:spacing w:line="360" w:lineRule="auto"/>
              <w:rPr>
                <w:rFonts w:ascii="宋体"/>
                <w:color w:val="auto"/>
                <w:sz w:val="24"/>
                <w:highlight w:val="none"/>
              </w:rPr>
            </w:pPr>
          </w:p>
        </w:tc>
        <w:tc>
          <w:tcPr>
            <w:tcW w:w="1401" w:type="dxa"/>
            <w:vAlign w:val="center"/>
          </w:tcPr>
          <w:p w14:paraId="4FD61D82">
            <w:pPr>
              <w:spacing w:line="360" w:lineRule="auto"/>
              <w:rPr>
                <w:rFonts w:ascii="宋体"/>
                <w:color w:val="auto"/>
                <w:sz w:val="24"/>
                <w:highlight w:val="none"/>
              </w:rPr>
            </w:pPr>
          </w:p>
        </w:tc>
        <w:tc>
          <w:tcPr>
            <w:tcW w:w="1365" w:type="dxa"/>
            <w:vAlign w:val="center"/>
          </w:tcPr>
          <w:p w14:paraId="7FC5EB9A">
            <w:pPr>
              <w:spacing w:line="360" w:lineRule="auto"/>
              <w:rPr>
                <w:rFonts w:ascii="宋体"/>
                <w:color w:val="auto"/>
                <w:sz w:val="24"/>
                <w:highlight w:val="none"/>
              </w:rPr>
            </w:pPr>
          </w:p>
        </w:tc>
      </w:tr>
      <w:tr w14:paraId="77D3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3378F31D">
            <w:pPr>
              <w:spacing w:line="360" w:lineRule="auto"/>
              <w:rPr>
                <w:rFonts w:ascii="宋体"/>
                <w:color w:val="auto"/>
                <w:sz w:val="24"/>
                <w:highlight w:val="none"/>
              </w:rPr>
            </w:pPr>
          </w:p>
        </w:tc>
        <w:tc>
          <w:tcPr>
            <w:tcW w:w="1785" w:type="dxa"/>
            <w:vAlign w:val="center"/>
          </w:tcPr>
          <w:p w14:paraId="1801135A">
            <w:pPr>
              <w:spacing w:line="360" w:lineRule="auto"/>
              <w:rPr>
                <w:rFonts w:ascii="宋体"/>
                <w:color w:val="auto"/>
                <w:sz w:val="24"/>
                <w:highlight w:val="none"/>
              </w:rPr>
            </w:pPr>
          </w:p>
        </w:tc>
        <w:tc>
          <w:tcPr>
            <w:tcW w:w="1449" w:type="dxa"/>
            <w:vAlign w:val="center"/>
          </w:tcPr>
          <w:p w14:paraId="351C59E4">
            <w:pPr>
              <w:spacing w:line="360" w:lineRule="auto"/>
              <w:rPr>
                <w:rFonts w:ascii="宋体"/>
                <w:color w:val="auto"/>
                <w:sz w:val="24"/>
                <w:highlight w:val="none"/>
              </w:rPr>
            </w:pPr>
          </w:p>
        </w:tc>
        <w:tc>
          <w:tcPr>
            <w:tcW w:w="1560" w:type="dxa"/>
            <w:vAlign w:val="center"/>
          </w:tcPr>
          <w:p w14:paraId="09C3640A">
            <w:pPr>
              <w:spacing w:line="360" w:lineRule="auto"/>
              <w:rPr>
                <w:rFonts w:ascii="宋体"/>
                <w:color w:val="auto"/>
                <w:sz w:val="24"/>
                <w:highlight w:val="none"/>
              </w:rPr>
            </w:pPr>
          </w:p>
        </w:tc>
        <w:tc>
          <w:tcPr>
            <w:tcW w:w="1401" w:type="dxa"/>
            <w:vAlign w:val="center"/>
          </w:tcPr>
          <w:p w14:paraId="0DAD0B61">
            <w:pPr>
              <w:spacing w:line="360" w:lineRule="auto"/>
              <w:rPr>
                <w:rFonts w:ascii="宋体"/>
                <w:color w:val="auto"/>
                <w:sz w:val="24"/>
                <w:highlight w:val="none"/>
              </w:rPr>
            </w:pPr>
          </w:p>
        </w:tc>
        <w:tc>
          <w:tcPr>
            <w:tcW w:w="1365" w:type="dxa"/>
            <w:vAlign w:val="center"/>
          </w:tcPr>
          <w:p w14:paraId="00F71C58">
            <w:pPr>
              <w:spacing w:line="360" w:lineRule="auto"/>
              <w:rPr>
                <w:rFonts w:ascii="宋体"/>
                <w:color w:val="auto"/>
                <w:sz w:val="24"/>
                <w:highlight w:val="none"/>
              </w:rPr>
            </w:pPr>
          </w:p>
        </w:tc>
      </w:tr>
      <w:tr w14:paraId="1F82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5" w:type="dxa"/>
            <w:vAlign w:val="center"/>
          </w:tcPr>
          <w:p w14:paraId="3D65D92C">
            <w:pPr>
              <w:spacing w:line="360" w:lineRule="auto"/>
              <w:rPr>
                <w:rFonts w:ascii="宋体"/>
                <w:color w:val="auto"/>
                <w:sz w:val="24"/>
                <w:highlight w:val="none"/>
              </w:rPr>
            </w:pPr>
          </w:p>
        </w:tc>
        <w:tc>
          <w:tcPr>
            <w:tcW w:w="1785" w:type="dxa"/>
            <w:vAlign w:val="center"/>
          </w:tcPr>
          <w:p w14:paraId="5F2847CA">
            <w:pPr>
              <w:spacing w:line="360" w:lineRule="auto"/>
              <w:rPr>
                <w:rFonts w:ascii="宋体"/>
                <w:color w:val="auto"/>
                <w:sz w:val="24"/>
                <w:highlight w:val="none"/>
              </w:rPr>
            </w:pPr>
          </w:p>
        </w:tc>
        <w:tc>
          <w:tcPr>
            <w:tcW w:w="1449" w:type="dxa"/>
            <w:vAlign w:val="center"/>
          </w:tcPr>
          <w:p w14:paraId="3ECDB7F2">
            <w:pPr>
              <w:spacing w:line="360" w:lineRule="auto"/>
              <w:rPr>
                <w:rFonts w:ascii="宋体"/>
                <w:color w:val="auto"/>
                <w:sz w:val="24"/>
                <w:highlight w:val="none"/>
              </w:rPr>
            </w:pPr>
          </w:p>
        </w:tc>
        <w:tc>
          <w:tcPr>
            <w:tcW w:w="1560" w:type="dxa"/>
            <w:vAlign w:val="center"/>
          </w:tcPr>
          <w:p w14:paraId="0C48AA7B">
            <w:pPr>
              <w:spacing w:line="360" w:lineRule="auto"/>
              <w:rPr>
                <w:rFonts w:ascii="宋体"/>
                <w:color w:val="auto"/>
                <w:sz w:val="24"/>
                <w:highlight w:val="none"/>
              </w:rPr>
            </w:pPr>
          </w:p>
        </w:tc>
        <w:tc>
          <w:tcPr>
            <w:tcW w:w="1401" w:type="dxa"/>
            <w:vAlign w:val="center"/>
          </w:tcPr>
          <w:p w14:paraId="1E949291">
            <w:pPr>
              <w:spacing w:line="360" w:lineRule="auto"/>
              <w:rPr>
                <w:rFonts w:ascii="宋体"/>
                <w:color w:val="auto"/>
                <w:sz w:val="24"/>
                <w:highlight w:val="none"/>
              </w:rPr>
            </w:pPr>
          </w:p>
        </w:tc>
        <w:tc>
          <w:tcPr>
            <w:tcW w:w="1365" w:type="dxa"/>
            <w:vAlign w:val="center"/>
          </w:tcPr>
          <w:p w14:paraId="20432FAF">
            <w:pPr>
              <w:spacing w:line="360" w:lineRule="auto"/>
              <w:rPr>
                <w:rFonts w:ascii="宋体"/>
                <w:color w:val="auto"/>
                <w:sz w:val="24"/>
                <w:highlight w:val="none"/>
              </w:rPr>
            </w:pPr>
          </w:p>
        </w:tc>
      </w:tr>
      <w:tr w14:paraId="35F6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364FAC37">
            <w:pPr>
              <w:spacing w:line="360" w:lineRule="auto"/>
              <w:rPr>
                <w:rFonts w:ascii="宋体"/>
                <w:color w:val="auto"/>
                <w:sz w:val="24"/>
                <w:highlight w:val="none"/>
              </w:rPr>
            </w:pPr>
          </w:p>
        </w:tc>
        <w:tc>
          <w:tcPr>
            <w:tcW w:w="1785" w:type="dxa"/>
            <w:vAlign w:val="center"/>
          </w:tcPr>
          <w:p w14:paraId="0E48588E">
            <w:pPr>
              <w:spacing w:line="360" w:lineRule="auto"/>
              <w:rPr>
                <w:rFonts w:ascii="宋体"/>
                <w:color w:val="auto"/>
                <w:sz w:val="24"/>
                <w:highlight w:val="none"/>
              </w:rPr>
            </w:pPr>
          </w:p>
        </w:tc>
        <w:tc>
          <w:tcPr>
            <w:tcW w:w="1449" w:type="dxa"/>
            <w:vAlign w:val="center"/>
          </w:tcPr>
          <w:p w14:paraId="5C621EF3">
            <w:pPr>
              <w:spacing w:line="360" w:lineRule="auto"/>
              <w:rPr>
                <w:rFonts w:ascii="宋体"/>
                <w:color w:val="auto"/>
                <w:sz w:val="24"/>
                <w:highlight w:val="none"/>
              </w:rPr>
            </w:pPr>
          </w:p>
        </w:tc>
        <w:tc>
          <w:tcPr>
            <w:tcW w:w="1560" w:type="dxa"/>
            <w:vAlign w:val="center"/>
          </w:tcPr>
          <w:p w14:paraId="253EFC25">
            <w:pPr>
              <w:spacing w:line="360" w:lineRule="auto"/>
              <w:rPr>
                <w:rFonts w:ascii="宋体"/>
                <w:color w:val="auto"/>
                <w:sz w:val="24"/>
                <w:highlight w:val="none"/>
              </w:rPr>
            </w:pPr>
          </w:p>
        </w:tc>
        <w:tc>
          <w:tcPr>
            <w:tcW w:w="1401" w:type="dxa"/>
            <w:vAlign w:val="center"/>
          </w:tcPr>
          <w:p w14:paraId="609D7DD7">
            <w:pPr>
              <w:spacing w:line="360" w:lineRule="auto"/>
              <w:rPr>
                <w:rFonts w:ascii="宋体"/>
                <w:color w:val="auto"/>
                <w:sz w:val="24"/>
                <w:highlight w:val="none"/>
              </w:rPr>
            </w:pPr>
          </w:p>
        </w:tc>
        <w:tc>
          <w:tcPr>
            <w:tcW w:w="1365" w:type="dxa"/>
            <w:vAlign w:val="center"/>
          </w:tcPr>
          <w:p w14:paraId="75E69D7C">
            <w:pPr>
              <w:spacing w:line="360" w:lineRule="auto"/>
              <w:rPr>
                <w:rFonts w:ascii="宋体"/>
                <w:color w:val="auto"/>
                <w:sz w:val="24"/>
                <w:highlight w:val="none"/>
              </w:rPr>
            </w:pPr>
          </w:p>
        </w:tc>
      </w:tr>
      <w:tr w14:paraId="2244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1F4B9527">
            <w:pPr>
              <w:spacing w:line="360" w:lineRule="auto"/>
              <w:rPr>
                <w:rFonts w:ascii="宋体"/>
                <w:color w:val="auto"/>
                <w:sz w:val="24"/>
                <w:highlight w:val="none"/>
              </w:rPr>
            </w:pPr>
          </w:p>
        </w:tc>
        <w:tc>
          <w:tcPr>
            <w:tcW w:w="1785" w:type="dxa"/>
            <w:vAlign w:val="center"/>
          </w:tcPr>
          <w:p w14:paraId="10E76FFB">
            <w:pPr>
              <w:spacing w:line="360" w:lineRule="auto"/>
              <w:rPr>
                <w:rFonts w:ascii="宋体"/>
                <w:color w:val="auto"/>
                <w:sz w:val="24"/>
                <w:highlight w:val="none"/>
              </w:rPr>
            </w:pPr>
          </w:p>
        </w:tc>
        <w:tc>
          <w:tcPr>
            <w:tcW w:w="1449" w:type="dxa"/>
            <w:vAlign w:val="center"/>
          </w:tcPr>
          <w:p w14:paraId="6EFCC18C">
            <w:pPr>
              <w:spacing w:line="360" w:lineRule="auto"/>
              <w:rPr>
                <w:rFonts w:ascii="宋体"/>
                <w:color w:val="auto"/>
                <w:sz w:val="24"/>
                <w:highlight w:val="none"/>
              </w:rPr>
            </w:pPr>
          </w:p>
        </w:tc>
        <w:tc>
          <w:tcPr>
            <w:tcW w:w="1560" w:type="dxa"/>
            <w:vAlign w:val="center"/>
          </w:tcPr>
          <w:p w14:paraId="2F43296B">
            <w:pPr>
              <w:spacing w:line="360" w:lineRule="auto"/>
              <w:rPr>
                <w:rFonts w:ascii="宋体"/>
                <w:color w:val="auto"/>
                <w:sz w:val="24"/>
                <w:highlight w:val="none"/>
              </w:rPr>
            </w:pPr>
          </w:p>
        </w:tc>
        <w:tc>
          <w:tcPr>
            <w:tcW w:w="1401" w:type="dxa"/>
            <w:vAlign w:val="center"/>
          </w:tcPr>
          <w:p w14:paraId="260C6AF7">
            <w:pPr>
              <w:spacing w:line="360" w:lineRule="auto"/>
              <w:rPr>
                <w:rFonts w:ascii="宋体"/>
                <w:color w:val="auto"/>
                <w:sz w:val="24"/>
                <w:highlight w:val="none"/>
              </w:rPr>
            </w:pPr>
          </w:p>
        </w:tc>
        <w:tc>
          <w:tcPr>
            <w:tcW w:w="1365" w:type="dxa"/>
            <w:vAlign w:val="center"/>
          </w:tcPr>
          <w:p w14:paraId="24F14144">
            <w:pPr>
              <w:spacing w:line="360" w:lineRule="auto"/>
              <w:rPr>
                <w:rFonts w:ascii="宋体"/>
                <w:color w:val="auto"/>
                <w:sz w:val="24"/>
                <w:highlight w:val="none"/>
              </w:rPr>
            </w:pPr>
          </w:p>
        </w:tc>
      </w:tr>
    </w:tbl>
    <w:p w14:paraId="27535847">
      <w:pPr>
        <w:spacing w:line="360" w:lineRule="auto"/>
        <w:rPr>
          <w:rFonts w:hint="eastAsia" w:ascii="宋体" w:hAnsi="宋体"/>
          <w:b/>
          <w:bCs/>
          <w:color w:val="auto"/>
          <w:sz w:val="24"/>
          <w:highlight w:val="none"/>
        </w:rPr>
      </w:pPr>
      <w:r>
        <w:rPr>
          <w:rFonts w:hint="eastAsia" w:ascii="宋体" w:hAnsi="宋体"/>
          <w:b/>
          <w:bCs/>
          <w:color w:val="auto"/>
          <w:sz w:val="24"/>
          <w:highlight w:val="none"/>
        </w:rPr>
        <w:t>要求：</w:t>
      </w:r>
    </w:p>
    <w:p w14:paraId="01A8A85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1.本表的名称须与《报价明细表》一致。</w:t>
      </w:r>
    </w:p>
    <w:p w14:paraId="71F742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2.本表参照本招标文件第</w:t>
      </w:r>
      <w:r>
        <w:rPr>
          <w:rFonts w:hint="eastAsia" w:ascii="宋体" w:hAnsi="宋体"/>
          <w:color w:val="auto"/>
          <w:sz w:val="24"/>
          <w:highlight w:val="none"/>
          <w:lang w:eastAsia="zh-CN"/>
        </w:rPr>
        <w:t>四章</w:t>
      </w:r>
      <w:r>
        <w:rPr>
          <w:rFonts w:hint="eastAsia" w:ascii="宋体" w:hAnsi="宋体"/>
          <w:color w:val="auto"/>
          <w:sz w:val="24"/>
          <w:highlight w:val="none"/>
        </w:rPr>
        <w:t>“公开招标需求”</w:t>
      </w:r>
      <w:r>
        <w:rPr>
          <w:rFonts w:hint="eastAsia" w:ascii="宋体" w:hAnsi="宋体"/>
          <w:color w:val="auto"/>
          <w:sz w:val="24"/>
          <w:highlight w:val="none"/>
          <w:lang w:eastAsia="zh-CN"/>
        </w:rPr>
        <w:t>内容</w:t>
      </w:r>
      <w:r>
        <w:rPr>
          <w:rFonts w:hint="eastAsia" w:ascii="宋体" w:hAnsi="宋体"/>
          <w:color w:val="auto"/>
          <w:sz w:val="24"/>
          <w:highlight w:val="none"/>
        </w:rPr>
        <w:t>填制，投标人应根据投标设备的性能指标、服务指标，对照招标文件要求在“偏离情况”栏注明“正偏离”、“负偏离”或“无偏离”。</w:t>
      </w:r>
    </w:p>
    <w:p w14:paraId="75DF24D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审小组将视偏离程度给予扣分或认定为虚假应标。</w:t>
      </w:r>
    </w:p>
    <w:p w14:paraId="48BA64AD">
      <w:pPr>
        <w:spacing w:line="360" w:lineRule="auto"/>
        <w:rPr>
          <w:rFonts w:hint="eastAsia" w:ascii="宋体" w:hAnsi="宋体"/>
          <w:color w:val="auto"/>
          <w:sz w:val="24"/>
          <w:highlight w:val="none"/>
        </w:rPr>
      </w:pPr>
    </w:p>
    <w:p w14:paraId="24B3E06C">
      <w:pPr>
        <w:spacing w:line="48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投标人名称（盖章</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05B36800">
      <w:pPr>
        <w:spacing w:line="480" w:lineRule="auto"/>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5724031E">
      <w:pPr>
        <w:spacing w:line="480" w:lineRule="auto"/>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lang w:val="en-US" w:eastAsia="zh-CN"/>
        </w:rPr>
        <w:t xml:space="preserve">                         </w:t>
      </w:r>
    </w:p>
    <w:p w14:paraId="01FBC494">
      <w:pPr>
        <w:spacing w:line="360" w:lineRule="auto"/>
        <w:rPr>
          <w:rFonts w:hint="eastAsia" w:ascii="宋体" w:hAnsi="宋体"/>
          <w:color w:val="auto"/>
          <w:sz w:val="24"/>
          <w:highlight w:val="none"/>
        </w:rPr>
      </w:pPr>
    </w:p>
    <w:p w14:paraId="7AC2EE84">
      <w:pPr>
        <w:spacing w:line="360" w:lineRule="auto"/>
        <w:rPr>
          <w:rFonts w:hint="eastAsia" w:ascii="宋体" w:hAnsi="宋体"/>
          <w:color w:val="auto"/>
          <w:sz w:val="24"/>
          <w:highlight w:val="none"/>
        </w:rPr>
      </w:pPr>
    </w:p>
    <w:p w14:paraId="5DF96477">
      <w:pPr>
        <w:pStyle w:val="7"/>
        <w:rPr>
          <w:rFonts w:hint="eastAsia"/>
          <w:color w:val="auto"/>
          <w:highlight w:val="none"/>
        </w:rPr>
      </w:pPr>
    </w:p>
    <w:p w14:paraId="640A3D40">
      <w:pPr>
        <w:spacing w:line="360" w:lineRule="auto"/>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zh-CN"/>
        </w:rPr>
        <w:t>附件</w:t>
      </w:r>
      <w:r>
        <w:rPr>
          <w:rFonts w:hint="eastAsia" w:ascii="宋体" w:hAnsi="宋体" w:eastAsia="宋体" w:cs="宋体"/>
          <w:b/>
          <w:bCs/>
          <w:color w:val="auto"/>
          <w:sz w:val="28"/>
          <w:szCs w:val="36"/>
          <w:highlight w:val="none"/>
          <w:lang w:val="en-US" w:eastAsia="zh-CN"/>
        </w:rPr>
        <w:t>13</w:t>
      </w:r>
    </w:p>
    <w:p w14:paraId="10E1FE29">
      <w:pPr>
        <w:bidi w:val="0"/>
        <w:spacing w:line="360" w:lineRule="auto"/>
        <w:jc w:val="center"/>
        <w:rPr>
          <w:rFonts w:hint="eastAsia" w:ascii="宋体" w:hAnsi="宋体" w:eastAsia="宋体" w:cs="宋体"/>
          <w:b/>
          <w:bCs/>
          <w:color w:val="auto"/>
          <w:sz w:val="32"/>
          <w:szCs w:val="40"/>
          <w:highlight w:val="none"/>
          <w:lang w:val="zh-CN"/>
        </w:rPr>
      </w:pPr>
      <w:r>
        <w:rPr>
          <w:rFonts w:hint="eastAsia" w:ascii="宋体" w:hAnsi="宋体" w:eastAsia="宋体" w:cs="宋体"/>
          <w:b/>
          <w:bCs/>
          <w:color w:val="auto"/>
          <w:sz w:val="32"/>
          <w:szCs w:val="40"/>
          <w:highlight w:val="none"/>
          <w:lang w:val="zh-CN"/>
        </w:rPr>
        <w:t>投标人类似项目实施情况一览表</w:t>
      </w:r>
    </w:p>
    <w:p w14:paraId="64D91FC8">
      <w:pPr>
        <w:spacing w:line="360" w:lineRule="auto"/>
        <w:rPr>
          <w:rFonts w:hint="eastAsia" w:ascii="宋体" w:hAnsi="宋体" w:eastAsia="宋体" w:cs="Times New Roman"/>
          <w:b/>
          <w:bCs/>
          <w:color w:val="auto"/>
          <w:sz w:val="24"/>
          <w:highlight w:val="none"/>
        </w:rPr>
      </w:pPr>
    </w:p>
    <w:tbl>
      <w:tblPr>
        <w:tblStyle w:val="27"/>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00563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39D2BD33">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0E44EA4E">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09209AEF">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67842505">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66F8021D">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68665743">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71064740">
            <w:pPr>
              <w:pStyle w:val="36"/>
              <w:spacing w:line="360" w:lineRule="auto"/>
              <w:jc w:val="center"/>
              <w:rPr>
                <w:rFonts w:ascii="宋体" w:cs="Arial"/>
                <w:b/>
                <w:bCs/>
                <w:color w:val="auto"/>
                <w:sz w:val="24"/>
                <w:highlight w:val="none"/>
              </w:rPr>
            </w:pPr>
            <w:r>
              <w:rPr>
                <w:rFonts w:hint="eastAsia" w:ascii="宋体" w:hAnsi="宋体" w:cs="Arial"/>
                <w:b/>
                <w:bCs/>
                <w:color w:val="auto"/>
                <w:sz w:val="24"/>
                <w:highlight w:val="none"/>
              </w:rPr>
              <w:t>项目单位名称及其联系人电话</w:t>
            </w:r>
          </w:p>
        </w:tc>
      </w:tr>
      <w:tr w14:paraId="1DE2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14:paraId="446112D6">
            <w:pPr>
              <w:pStyle w:val="36"/>
              <w:spacing w:line="360" w:lineRule="auto"/>
              <w:jc w:val="center"/>
              <w:rPr>
                <w:rFonts w:ascii="宋体" w:cs="Arial"/>
                <w:color w:val="auto"/>
                <w:sz w:val="24"/>
                <w:highlight w:val="none"/>
              </w:rPr>
            </w:pPr>
            <w:r>
              <w:rPr>
                <w:rFonts w:ascii="宋体" w:hAnsi="宋体" w:cs="Arial"/>
                <w:color w:val="auto"/>
                <w:sz w:val="24"/>
                <w:highlight w:val="none"/>
              </w:rPr>
              <w:t>1</w:t>
            </w:r>
          </w:p>
        </w:tc>
        <w:tc>
          <w:tcPr>
            <w:tcW w:w="1293" w:type="dxa"/>
            <w:tcBorders>
              <w:top w:val="single" w:color="auto" w:sz="6" w:space="0"/>
              <w:left w:val="single" w:color="auto" w:sz="6" w:space="0"/>
              <w:bottom w:val="single" w:color="auto" w:sz="6" w:space="0"/>
              <w:right w:val="single" w:color="auto" w:sz="6" w:space="0"/>
            </w:tcBorders>
          </w:tcPr>
          <w:p w14:paraId="509C5EC0">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588D6B5F">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AA5182">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206E7255">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5A82E10F">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0F4B2FE3">
            <w:pPr>
              <w:pStyle w:val="36"/>
              <w:spacing w:line="360" w:lineRule="auto"/>
              <w:rPr>
                <w:rFonts w:ascii="宋体" w:cs="Arial"/>
                <w:color w:val="auto"/>
                <w:sz w:val="24"/>
                <w:highlight w:val="none"/>
              </w:rPr>
            </w:pPr>
          </w:p>
        </w:tc>
      </w:tr>
      <w:tr w14:paraId="50966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14:paraId="46E40666">
            <w:pPr>
              <w:pStyle w:val="36"/>
              <w:spacing w:line="360" w:lineRule="auto"/>
              <w:jc w:val="center"/>
              <w:rPr>
                <w:rFonts w:ascii="宋体" w:cs="Arial"/>
                <w:color w:val="auto"/>
                <w:sz w:val="24"/>
                <w:highlight w:val="none"/>
              </w:rPr>
            </w:pPr>
            <w:r>
              <w:rPr>
                <w:rFonts w:ascii="宋体" w:hAnsi="宋体" w:cs="Arial"/>
                <w:color w:val="auto"/>
                <w:sz w:val="24"/>
                <w:highlight w:val="none"/>
              </w:rPr>
              <w:t>2</w:t>
            </w:r>
          </w:p>
        </w:tc>
        <w:tc>
          <w:tcPr>
            <w:tcW w:w="1293" w:type="dxa"/>
            <w:tcBorders>
              <w:top w:val="single" w:color="auto" w:sz="6" w:space="0"/>
              <w:left w:val="single" w:color="auto" w:sz="6" w:space="0"/>
              <w:bottom w:val="single" w:color="auto" w:sz="6" w:space="0"/>
              <w:right w:val="single" w:color="auto" w:sz="6" w:space="0"/>
            </w:tcBorders>
          </w:tcPr>
          <w:p w14:paraId="71986406">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425092F1">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C9FEEE3">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7729E1E4">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5671CBDC">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083DBE4E">
            <w:pPr>
              <w:pStyle w:val="36"/>
              <w:spacing w:line="360" w:lineRule="auto"/>
              <w:rPr>
                <w:rFonts w:ascii="宋体" w:cs="Arial"/>
                <w:color w:val="auto"/>
                <w:sz w:val="24"/>
                <w:highlight w:val="none"/>
              </w:rPr>
            </w:pPr>
          </w:p>
        </w:tc>
      </w:tr>
      <w:tr w14:paraId="566FD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14:paraId="3C1AD2CC">
            <w:pPr>
              <w:pStyle w:val="36"/>
              <w:spacing w:line="360" w:lineRule="auto"/>
              <w:jc w:val="center"/>
              <w:rPr>
                <w:rFonts w:ascii="宋体" w:cs="Arial"/>
                <w:color w:val="auto"/>
                <w:sz w:val="24"/>
                <w:highlight w:val="none"/>
              </w:rPr>
            </w:pPr>
            <w:r>
              <w:rPr>
                <w:rFonts w:ascii="宋体" w:hAnsi="宋体" w:cs="Arial"/>
                <w:color w:val="auto"/>
                <w:sz w:val="24"/>
                <w:highlight w:val="none"/>
              </w:rPr>
              <w:t>3</w:t>
            </w:r>
          </w:p>
        </w:tc>
        <w:tc>
          <w:tcPr>
            <w:tcW w:w="1293" w:type="dxa"/>
            <w:tcBorders>
              <w:top w:val="single" w:color="auto" w:sz="6" w:space="0"/>
              <w:left w:val="single" w:color="auto" w:sz="6" w:space="0"/>
              <w:bottom w:val="single" w:color="auto" w:sz="6" w:space="0"/>
              <w:right w:val="single" w:color="auto" w:sz="6" w:space="0"/>
            </w:tcBorders>
          </w:tcPr>
          <w:p w14:paraId="01E5D310">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7EA4CCF0">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E4B0769">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0378999E">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41104835">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787C9E0A">
            <w:pPr>
              <w:pStyle w:val="36"/>
              <w:spacing w:line="360" w:lineRule="auto"/>
              <w:rPr>
                <w:rFonts w:ascii="宋体" w:cs="Arial"/>
                <w:color w:val="auto"/>
                <w:sz w:val="24"/>
                <w:highlight w:val="none"/>
              </w:rPr>
            </w:pPr>
          </w:p>
        </w:tc>
      </w:tr>
      <w:tr w14:paraId="5C503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545BC4C6">
            <w:pPr>
              <w:pStyle w:val="36"/>
              <w:spacing w:line="360" w:lineRule="auto"/>
              <w:rPr>
                <w:rFonts w:ascii="宋体" w:cs="Arial"/>
                <w:color w:val="auto"/>
                <w:sz w:val="24"/>
                <w:highlight w:val="none"/>
              </w:rPr>
            </w:pPr>
            <w:r>
              <w:rPr>
                <w:rFonts w:hint="eastAsia" w:ascii="宋体" w:hAnsi="宋体" w:cs="Arial"/>
                <w:color w:val="auto"/>
                <w:sz w:val="24"/>
                <w:highlight w:val="none"/>
              </w:rPr>
              <w:t>…</w:t>
            </w:r>
          </w:p>
        </w:tc>
        <w:tc>
          <w:tcPr>
            <w:tcW w:w="1293" w:type="dxa"/>
            <w:tcBorders>
              <w:top w:val="single" w:color="auto" w:sz="6" w:space="0"/>
              <w:left w:val="single" w:color="auto" w:sz="6" w:space="0"/>
              <w:bottom w:val="single" w:color="auto" w:sz="6" w:space="0"/>
              <w:right w:val="single" w:color="auto" w:sz="6" w:space="0"/>
            </w:tcBorders>
          </w:tcPr>
          <w:p w14:paraId="098E53A8">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0B0637BC">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4CA672A">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3951E7B9">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016AC831">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34D70A1F">
            <w:pPr>
              <w:pStyle w:val="36"/>
              <w:spacing w:line="360" w:lineRule="auto"/>
              <w:rPr>
                <w:rFonts w:ascii="宋体" w:cs="Arial"/>
                <w:color w:val="auto"/>
                <w:sz w:val="24"/>
                <w:highlight w:val="none"/>
              </w:rPr>
            </w:pPr>
          </w:p>
        </w:tc>
      </w:tr>
      <w:tr w14:paraId="21B2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0B006A26">
            <w:pPr>
              <w:pStyle w:val="36"/>
              <w:spacing w:line="360" w:lineRule="auto"/>
              <w:rPr>
                <w:rFonts w:ascii="宋体" w:cs="Arial"/>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02DCE7EB">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60A5B43F">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9F23941">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40447FE8">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093D3B18">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1254D544">
            <w:pPr>
              <w:pStyle w:val="36"/>
              <w:spacing w:line="360" w:lineRule="auto"/>
              <w:rPr>
                <w:rFonts w:ascii="宋体" w:cs="Arial"/>
                <w:color w:val="auto"/>
                <w:sz w:val="24"/>
                <w:highlight w:val="none"/>
              </w:rPr>
            </w:pPr>
          </w:p>
        </w:tc>
      </w:tr>
      <w:tr w14:paraId="16831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0CD478F8">
            <w:pPr>
              <w:pStyle w:val="36"/>
              <w:spacing w:line="360" w:lineRule="auto"/>
              <w:rPr>
                <w:rFonts w:ascii="宋体" w:cs="Arial"/>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1876021E">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3AB0BEDD">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CA0FD1">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0A784780">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5465E6EF">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55304C47">
            <w:pPr>
              <w:pStyle w:val="36"/>
              <w:spacing w:line="360" w:lineRule="auto"/>
              <w:rPr>
                <w:rFonts w:ascii="宋体" w:cs="Arial"/>
                <w:color w:val="auto"/>
                <w:sz w:val="24"/>
                <w:highlight w:val="none"/>
              </w:rPr>
            </w:pPr>
          </w:p>
        </w:tc>
      </w:tr>
      <w:tr w14:paraId="0F171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69A7889A">
            <w:pPr>
              <w:pStyle w:val="36"/>
              <w:spacing w:line="360" w:lineRule="auto"/>
              <w:rPr>
                <w:rFonts w:ascii="宋体" w:cs="Arial"/>
                <w:color w:val="auto"/>
                <w:sz w:val="24"/>
                <w:highlight w:val="none"/>
              </w:rPr>
            </w:pPr>
          </w:p>
        </w:tc>
        <w:tc>
          <w:tcPr>
            <w:tcW w:w="1293" w:type="dxa"/>
            <w:tcBorders>
              <w:top w:val="single" w:color="auto" w:sz="6" w:space="0"/>
              <w:left w:val="single" w:color="auto" w:sz="6" w:space="0"/>
              <w:bottom w:val="single" w:color="auto" w:sz="6" w:space="0"/>
              <w:right w:val="single" w:color="auto" w:sz="6" w:space="0"/>
            </w:tcBorders>
          </w:tcPr>
          <w:p w14:paraId="6EB4E458">
            <w:pPr>
              <w:pStyle w:val="36"/>
              <w:spacing w:line="360" w:lineRule="auto"/>
              <w:rPr>
                <w:rFonts w:ascii="宋体" w:cs="Arial"/>
                <w:color w:val="auto"/>
                <w:sz w:val="24"/>
                <w:highlight w:val="none"/>
              </w:rPr>
            </w:pPr>
          </w:p>
        </w:tc>
        <w:tc>
          <w:tcPr>
            <w:tcW w:w="1575" w:type="dxa"/>
            <w:tcBorders>
              <w:top w:val="single" w:color="auto" w:sz="6" w:space="0"/>
              <w:left w:val="single" w:color="auto" w:sz="6" w:space="0"/>
              <w:bottom w:val="single" w:color="auto" w:sz="6" w:space="0"/>
              <w:right w:val="single" w:color="auto" w:sz="6" w:space="0"/>
            </w:tcBorders>
          </w:tcPr>
          <w:p w14:paraId="2227F44F">
            <w:pPr>
              <w:pStyle w:val="36"/>
              <w:spacing w:line="360" w:lineRule="auto"/>
              <w:rPr>
                <w:rFonts w:ascii="宋体" w:cs="Arial"/>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614AE2C">
            <w:pPr>
              <w:pStyle w:val="36"/>
              <w:spacing w:line="360" w:lineRule="auto"/>
              <w:rPr>
                <w:rFonts w:ascii="宋体" w:cs="Arial"/>
                <w:color w:val="auto"/>
                <w:sz w:val="24"/>
                <w:highlight w:val="none"/>
              </w:rPr>
            </w:pPr>
          </w:p>
        </w:tc>
        <w:tc>
          <w:tcPr>
            <w:tcW w:w="1452" w:type="dxa"/>
            <w:tcBorders>
              <w:top w:val="single" w:color="auto" w:sz="6" w:space="0"/>
              <w:left w:val="single" w:color="auto" w:sz="6" w:space="0"/>
              <w:bottom w:val="single" w:color="auto" w:sz="6" w:space="0"/>
              <w:right w:val="single" w:color="auto" w:sz="6" w:space="0"/>
            </w:tcBorders>
          </w:tcPr>
          <w:p w14:paraId="4E873D76">
            <w:pPr>
              <w:pStyle w:val="36"/>
              <w:spacing w:line="360" w:lineRule="auto"/>
              <w:rPr>
                <w:rFonts w:ascii="宋体" w:cs="Arial"/>
                <w:color w:val="auto"/>
                <w:sz w:val="24"/>
                <w:highlight w:val="none"/>
              </w:rPr>
            </w:pPr>
          </w:p>
        </w:tc>
        <w:tc>
          <w:tcPr>
            <w:tcW w:w="1383" w:type="dxa"/>
            <w:tcBorders>
              <w:top w:val="single" w:color="auto" w:sz="6" w:space="0"/>
              <w:left w:val="single" w:color="auto" w:sz="6" w:space="0"/>
              <w:bottom w:val="single" w:color="auto" w:sz="6" w:space="0"/>
              <w:right w:val="single" w:color="auto" w:sz="6" w:space="0"/>
            </w:tcBorders>
          </w:tcPr>
          <w:p w14:paraId="504EDD98">
            <w:pPr>
              <w:pStyle w:val="36"/>
              <w:spacing w:line="360" w:lineRule="auto"/>
              <w:rPr>
                <w:rFonts w:ascii="宋体" w:cs="Arial"/>
                <w:color w:val="auto"/>
                <w:sz w:val="24"/>
                <w:highlight w:val="none"/>
              </w:rPr>
            </w:pPr>
          </w:p>
        </w:tc>
        <w:tc>
          <w:tcPr>
            <w:tcW w:w="2037" w:type="dxa"/>
            <w:tcBorders>
              <w:top w:val="single" w:color="auto" w:sz="6" w:space="0"/>
              <w:left w:val="single" w:color="auto" w:sz="6" w:space="0"/>
              <w:bottom w:val="single" w:color="auto" w:sz="6" w:space="0"/>
              <w:right w:val="single" w:color="auto" w:sz="6" w:space="0"/>
            </w:tcBorders>
          </w:tcPr>
          <w:p w14:paraId="634A818A">
            <w:pPr>
              <w:pStyle w:val="36"/>
              <w:spacing w:line="360" w:lineRule="auto"/>
              <w:rPr>
                <w:rFonts w:ascii="宋体" w:cs="Arial"/>
                <w:color w:val="auto"/>
                <w:sz w:val="24"/>
                <w:highlight w:val="none"/>
              </w:rPr>
            </w:pPr>
          </w:p>
        </w:tc>
      </w:tr>
    </w:tbl>
    <w:p w14:paraId="1BF4230F">
      <w:pPr>
        <w:spacing w:line="360" w:lineRule="auto"/>
        <w:rPr>
          <w:rFonts w:hint="eastAsia" w:ascii="宋体" w:hAnsi="宋体"/>
          <w:b/>
          <w:bCs/>
          <w:color w:val="auto"/>
          <w:sz w:val="24"/>
          <w:highlight w:val="none"/>
        </w:rPr>
      </w:pPr>
      <w:r>
        <w:rPr>
          <w:rFonts w:hint="eastAsia" w:ascii="宋体" w:hAnsi="宋体"/>
          <w:b/>
          <w:bCs/>
          <w:color w:val="auto"/>
          <w:sz w:val="24"/>
          <w:highlight w:val="none"/>
        </w:rPr>
        <w:t>要求：</w:t>
      </w:r>
    </w:p>
    <w:p w14:paraId="22D33A8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1.业绩证明应提供证明材料（合同复印件可只提供首页、含金额页、盖章页并加盖投标人公章</w:t>
      </w:r>
      <w:r>
        <w:rPr>
          <w:rFonts w:hint="eastAsia" w:ascii="宋体" w:hAnsi="宋体"/>
          <w:color w:val="auto"/>
          <w:sz w:val="24"/>
          <w:highlight w:val="none"/>
          <w:lang w:eastAsia="zh-CN"/>
        </w:rPr>
        <w:t>）</w:t>
      </w:r>
      <w:r>
        <w:rPr>
          <w:rFonts w:hint="eastAsia" w:ascii="宋体" w:hAnsi="宋体"/>
          <w:color w:val="auto"/>
          <w:sz w:val="24"/>
          <w:highlight w:val="none"/>
        </w:rPr>
        <w:t>；</w:t>
      </w:r>
    </w:p>
    <w:p w14:paraId="2A6942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2.报价供应商可按此表格式复制。</w:t>
      </w:r>
    </w:p>
    <w:p w14:paraId="65E71479">
      <w:pPr>
        <w:spacing w:line="360" w:lineRule="auto"/>
        <w:ind w:firstLine="480" w:firstLineChars="200"/>
        <w:rPr>
          <w:rFonts w:hint="eastAsia" w:ascii="宋体" w:hAnsi="宋体"/>
          <w:color w:val="auto"/>
          <w:sz w:val="24"/>
          <w:highlight w:val="none"/>
        </w:rPr>
      </w:pPr>
    </w:p>
    <w:p w14:paraId="1158574B">
      <w:pPr>
        <w:spacing w:line="360" w:lineRule="auto"/>
        <w:ind w:firstLine="480" w:firstLineChars="200"/>
        <w:rPr>
          <w:rFonts w:hint="eastAsia" w:ascii="宋体" w:hAnsi="宋体"/>
          <w:color w:val="auto"/>
          <w:sz w:val="24"/>
          <w:highlight w:val="none"/>
        </w:rPr>
      </w:pPr>
    </w:p>
    <w:p w14:paraId="411D03BA">
      <w:pPr>
        <w:spacing w:line="48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投标人名称（盖章</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6DB9EE39">
      <w:pPr>
        <w:spacing w:line="480" w:lineRule="auto"/>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5DA55527">
      <w:pPr>
        <w:spacing w:line="480" w:lineRule="auto"/>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lang w:val="en-US" w:eastAsia="zh-CN"/>
        </w:rPr>
        <w:t xml:space="preserve">                         </w:t>
      </w:r>
    </w:p>
    <w:p w14:paraId="21D2C8C7">
      <w:pPr>
        <w:spacing w:line="360" w:lineRule="auto"/>
        <w:ind w:firstLine="480" w:firstLineChars="200"/>
        <w:rPr>
          <w:rFonts w:hint="eastAsia" w:ascii="宋体" w:hAnsi="宋体"/>
          <w:color w:val="auto"/>
          <w:sz w:val="24"/>
          <w:highlight w:val="none"/>
        </w:rPr>
      </w:pPr>
    </w:p>
    <w:p w14:paraId="4A7B4537">
      <w:pPr>
        <w:spacing w:line="360" w:lineRule="auto"/>
        <w:ind w:firstLine="480" w:firstLineChars="200"/>
        <w:rPr>
          <w:rFonts w:hint="eastAsia" w:ascii="宋体" w:hAnsi="宋体"/>
          <w:color w:val="auto"/>
          <w:sz w:val="24"/>
          <w:highlight w:val="none"/>
        </w:rPr>
      </w:pPr>
    </w:p>
    <w:p w14:paraId="20B196EF">
      <w:pPr>
        <w:spacing w:line="360" w:lineRule="auto"/>
        <w:ind w:firstLine="480" w:firstLineChars="200"/>
        <w:rPr>
          <w:rFonts w:hint="eastAsia" w:ascii="宋体" w:hAnsi="宋体"/>
          <w:color w:val="auto"/>
          <w:sz w:val="24"/>
          <w:highlight w:val="none"/>
        </w:rPr>
      </w:pPr>
    </w:p>
    <w:p w14:paraId="56268A84">
      <w:pPr>
        <w:spacing w:line="360" w:lineRule="auto"/>
        <w:ind w:firstLine="480" w:firstLineChars="200"/>
        <w:rPr>
          <w:rFonts w:hint="eastAsia" w:ascii="宋体" w:hAnsi="宋体"/>
          <w:color w:val="auto"/>
          <w:sz w:val="24"/>
          <w:highlight w:val="none"/>
        </w:rPr>
      </w:pPr>
    </w:p>
    <w:p w14:paraId="5E172276">
      <w:pPr>
        <w:spacing w:line="360" w:lineRule="auto"/>
        <w:ind w:firstLine="480" w:firstLineChars="200"/>
        <w:rPr>
          <w:rFonts w:hint="eastAsia" w:ascii="宋体" w:hAnsi="宋体"/>
          <w:color w:val="auto"/>
          <w:sz w:val="24"/>
          <w:highlight w:val="none"/>
        </w:rPr>
      </w:pPr>
    </w:p>
    <w:p w14:paraId="5771828B">
      <w:pPr>
        <w:spacing w:line="360" w:lineRule="auto"/>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zh-CN"/>
        </w:rPr>
        <w:t>附件</w:t>
      </w:r>
      <w:r>
        <w:rPr>
          <w:rFonts w:hint="eastAsia" w:ascii="宋体" w:hAnsi="宋体" w:eastAsia="宋体" w:cs="宋体"/>
          <w:b/>
          <w:bCs/>
          <w:color w:val="auto"/>
          <w:sz w:val="28"/>
          <w:szCs w:val="36"/>
          <w:highlight w:val="none"/>
          <w:lang w:val="en-US" w:eastAsia="zh-CN"/>
        </w:rPr>
        <w:t>14</w:t>
      </w:r>
    </w:p>
    <w:p w14:paraId="6F69549C">
      <w:pPr>
        <w:bidi w:val="0"/>
        <w:spacing w:line="360" w:lineRule="auto"/>
        <w:jc w:val="center"/>
        <w:rPr>
          <w:rFonts w:hint="eastAsia" w:ascii="宋体" w:hAnsi="宋体" w:eastAsia="宋体" w:cs="宋体"/>
          <w:b/>
          <w:bCs/>
          <w:color w:val="auto"/>
          <w:sz w:val="32"/>
          <w:szCs w:val="40"/>
          <w:highlight w:val="none"/>
          <w:lang w:val="zh-CN"/>
        </w:rPr>
      </w:pPr>
      <w:r>
        <w:rPr>
          <w:rFonts w:hint="eastAsia" w:ascii="宋体" w:hAnsi="宋体" w:eastAsia="宋体" w:cs="宋体"/>
          <w:b/>
          <w:bCs/>
          <w:color w:val="auto"/>
          <w:sz w:val="32"/>
          <w:szCs w:val="40"/>
          <w:highlight w:val="none"/>
          <w:lang w:val="zh-CN"/>
        </w:rPr>
        <w:t>资信及商务需求响应表</w:t>
      </w:r>
    </w:p>
    <w:p w14:paraId="1787CD75">
      <w:pPr>
        <w:spacing w:line="360" w:lineRule="auto"/>
        <w:rPr>
          <w:rFonts w:ascii="宋体"/>
          <w:b/>
          <w:color w:val="auto"/>
          <w:sz w:val="24"/>
          <w:szCs w:val="24"/>
          <w:highlight w:val="none"/>
        </w:rPr>
      </w:pPr>
    </w:p>
    <w:tbl>
      <w:tblPr>
        <w:tblStyle w:val="27"/>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14:paraId="0A04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735" w:type="dxa"/>
            <w:vAlign w:val="center"/>
          </w:tcPr>
          <w:p w14:paraId="67D6DA5F">
            <w:pPr>
              <w:rPr>
                <w:rFonts w:ascii="宋体"/>
                <w:b/>
                <w:color w:val="auto"/>
                <w:sz w:val="24"/>
                <w:highlight w:val="none"/>
              </w:rPr>
            </w:pPr>
            <w:r>
              <w:rPr>
                <w:rFonts w:hint="eastAsia" w:ascii="宋体" w:hAnsi="宋体"/>
                <w:b/>
                <w:color w:val="auto"/>
                <w:sz w:val="24"/>
                <w:highlight w:val="none"/>
              </w:rPr>
              <w:t>序号</w:t>
            </w:r>
          </w:p>
        </w:tc>
        <w:tc>
          <w:tcPr>
            <w:tcW w:w="1785" w:type="dxa"/>
            <w:vAlign w:val="center"/>
          </w:tcPr>
          <w:p w14:paraId="2C6618F4">
            <w:pPr>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内容</w:t>
            </w:r>
          </w:p>
        </w:tc>
        <w:tc>
          <w:tcPr>
            <w:tcW w:w="1785" w:type="dxa"/>
            <w:vAlign w:val="center"/>
          </w:tcPr>
          <w:p w14:paraId="760C24AD">
            <w:pPr>
              <w:ind w:left="53" w:leftChars="25" w:firstLine="241" w:firstLineChars="100"/>
              <w:rPr>
                <w:rFonts w:ascii="宋体"/>
                <w:b/>
                <w:color w:val="auto"/>
                <w:sz w:val="24"/>
                <w:highlight w:val="none"/>
              </w:rPr>
            </w:pPr>
            <w:r>
              <w:rPr>
                <w:rFonts w:hint="eastAsia" w:ascii="宋体" w:hAnsi="宋体"/>
                <w:b/>
                <w:color w:val="auto"/>
                <w:sz w:val="24"/>
                <w:highlight w:val="none"/>
              </w:rPr>
              <w:t>招标需求</w:t>
            </w:r>
          </w:p>
        </w:tc>
        <w:tc>
          <w:tcPr>
            <w:tcW w:w="1365" w:type="dxa"/>
            <w:vAlign w:val="center"/>
          </w:tcPr>
          <w:p w14:paraId="519F88A8">
            <w:pPr>
              <w:ind w:left="152"/>
              <w:rPr>
                <w:rFonts w:ascii="宋体"/>
                <w:b/>
                <w:color w:val="auto"/>
                <w:sz w:val="24"/>
                <w:highlight w:val="none"/>
              </w:rPr>
            </w:pPr>
            <w:r>
              <w:rPr>
                <w:rFonts w:hint="eastAsia" w:ascii="宋体" w:hAnsi="宋体"/>
                <w:b/>
                <w:color w:val="auto"/>
                <w:sz w:val="24"/>
                <w:highlight w:val="none"/>
              </w:rPr>
              <w:t>是否响应</w:t>
            </w:r>
          </w:p>
        </w:tc>
        <w:tc>
          <w:tcPr>
            <w:tcW w:w="2625" w:type="dxa"/>
            <w:vAlign w:val="center"/>
          </w:tcPr>
          <w:p w14:paraId="5767A1DA">
            <w:pPr>
              <w:jc w:val="center"/>
              <w:rPr>
                <w:rFonts w:ascii="宋体"/>
                <w:b/>
                <w:color w:val="auto"/>
                <w:sz w:val="24"/>
                <w:highlight w:val="none"/>
              </w:rPr>
            </w:pPr>
            <w:r>
              <w:rPr>
                <w:rFonts w:hint="eastAsia" w:ascii="宋体" w:hAnsi="宋体"/>
                <w:b/>
                <w:color w:val="auto"/>
                <w:sz w:val="24"/>
                <w:highlight w:val="none"/>
              </w:rPr>
              <w:t>投标人的承诺或说明</w:t>
            </w:r>
          </w:p>
        </w:tc>
      </w:tr>
      <w:tr w14:paraId="3008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3CE29E35">
            <w:pPr>
              <w:rPr>
                <w:rFonts w:ascii="宋体"/>
                <w:color w:val="auto"/>
                <w:sz w:val="24"/>
                <w:highlight w:val="none"/>
              </w:rPr>
            </w:pPr>
          </w:p>
        </w:tc>
        <w:tc>
          <w:tcPr>
            <w:tcW w:w="1785" w:type="dxa"/>
            <w:vAlign w:val="center"/>
          </w:tcPr>
          <w:p w14:paraId="19B77303">
            <w:pPr>
              <w:snapToGrid w:val="0"/>
              <w:jc w:val="both"/>
              <w:rPr>
                <w:rFonts w:ascii="宋体"/>
                <w:color w:val="auto"/>
                <w:sz w:val="24"/>
                <w:highlight w:val="none"/>
              </w:rPr>
            </w:pPr>
            <w:r>
              <w:rPr>
                <w:rFonts w:hint="eastAsia" w:ascii="宋体" w:hAnsi="宋体"/>
                <w:color w:val="auto"/>
                <w:sz w:val="24"/>
                <w:highlight w:val="none"/>
              </w:rPr>
              <w:t>售后服务保障要求</w:t>
            </w:r>
          </w:p>
        </w:tc>
        <w:tc>
          <w:tcPr>
            <w:tcW w:w="1785" w:type="dxa"/>
            <w:vAlign w:val="center"/>
          </w:tcPr>
          <w:p w14:paraId="5FB7204F">
            <w:pPr>
              <w:rPr>
                <w:rFonts w:ascii="宋体"/>
                <w:color w:val="auto"/>
                <w:sz w:val="24"/>
                <w:highlight w:val="none"/>
              </w:rPr>
            </w:pPr>
          </w:p>
        </w:tc>
        <w:tc>
          <w:tcPr>
            <w:tcW w:w="1365" w:type="dxa"/>
            <w:vAlign w:val="center"/>
          </w:tcPr>
          <w:p w14:paraId="59F2C66F">
            <w:pPr>
              <w:rPr>
                <w:rFonts w:ascii="宋体"/>
                <w:color w:val="auto"/>
                <w:sz w:val="24"/>
                <w:highlight w:val="none"/>
              </w:rPr>
            </w:pPr>
          </w:p>
        </w:tc>
        <w:tc>
          <w:tcPr>
            <w:tcW w:w="2625" w:type="dxa"/>
            <w:vAlign w:val="center"/>
          </w:tcPr>
          <w:p w14:paraId="1F5EF8FE">
            <w:pPr>
              <w:rPr>
                <w:rFonts w:ascii="宋体"/>
                <w:color w:val="auto"/>
                <w:sz w:val="24"/>
                <w:highlight w:val="none"/>
              </w:rPr>
            </w:pPr>
          </w:p>
        </w:tc>
      </w:tr>
      <w:tr w14:paraId="0CA3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688367E6">
            <w:pPr>
              <w:rPr>
                <w:rFonts w:ascii="宋体"/>
                <w:color w:val="auto"/>
                <w:sz w:val="24"/>
                <w:highlight w:val="none"/>
              </w:rPr>
            </w:pPr>
          </w:p>
        </w:tc>
        <w:tc>
          <w:tcPr>
            <w:tcW w:w="1785" w:type="dxa"/>
            <w:vAlign w:val="center"/>
          </w:tcPr>
          <w:p w14:paraId="4E6AB64F">
            <w:pPr>
              <w:snapToGrid w:val="0"/>
              <w:jc w:val="both"/>
              <w:rPr>
                <w:rFonts w:ascii="宋体"/>
                <w:color w:val="auto"/>
                <w:sz w:val="24"/>
                <w:highlight w:val="none"/>
              </w:rPr>
            </w:pPr>
            <w:r>
              <w:rPr>
                <w:rFonts w:hint="eastAsia" w:ascii="宋体" w:hAnsi="宋体"/>
                <w:color w:val="auto"/>
                <w:sz w:val="24"/>
                <w:highlight w:val="none"/>
              </w:rPr>
              <w:t>备品备件及耗材等要求</w:t>
            </w:r>
          </w:p>
        </w:tc>
        <w:tc>
          <w:tcPr>
            <w:tcW w:w="1785" w:type="dxa"/>
            <w:vAlign w:val="center"/>
          </w:tcPr>
          <w:p w14:paraId="25465790">
            <w:pPr>
              <w:rPr>
                <w:rFonts w:ascii="宋体"/>
                <w:color w:val="auto"/>
                <w:sz w:val="24"/>
                <w:highlight w:val="none"/>
              </w:rPr>
            </w:pPr>
          </w:p>
        </w:tc>
        <w:tc>
          <w:tcPr>
            <w:tcW w:w="1365" w:type="dxa"/>
            <w:vAlign w:val="center"/>
          </w:tcPr>
          <w:p w14:paraId="04F15FB3">
            <w:pPr>
              <w:rPr>
                <w:rFonts w:ascii="宋体"/>
                <w:color w:val="auto"/>
                <w:sz w:val="24"/>
                <w:highlight w:val="none"/>
              </w:rPr>
            </w:pPr>
          </w:p>
        </w:tc>
        <w:tc>
          <w:tcPr>
            <w:tcW w:w="2625" w:type="dxa"/>
            <w:vAlign w:val="center"/>
          </w:tcPr>
          <w:p w14:paraId="24F4CA0B">
            <w:pPr>
              <w:rPr>
                <w:rFonts w:ascii="宋体"/>
                <w:color w:val="auto"/>
                <w:sz w:val="24"/>
                <w:highlight w:val="none"/>
              </w:rPr>
            </w:pPr>
          </w:p>
        </w:tc>
      </w:tr>
      <w:tr w14:paraId="660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56170AF4">
            <w:pPr>
              <w:rPr>
                <w:rFonts w:ascii="宋体"/>
                <w:color w:val="auto"/>
                <w:sz w:val="24"/>
                <w:highlight w:val="none"/>
              </w:rPr>
            </w:pPr>
          </w:p>
        </w:tc>
        <w:tc>
          <w:tcPr>
            <w:tcW w:w="1785" w:type="dxa"/>
            <w:vAlign w:val="center"/>
          </w:tcPr>
          <w:p w14:paraId="7DA7F50B">
            <w:pPr>
              <w:snapToGrid w:val="0"/>
              <w:jc w:val="both"/>
              <w:rPr>
                <w:rFonts w:ascii="宋体"/>
                <w:color w:val="auto"/>
                <w:sz w:val="24"/>
                <w:highlight w:val="none"/>
              </w:rPr>
            </w:pPr>
            <w:r>
              <w:rPr>
                <w:rFonts w:hint="eastAsia" w:ascii="宋体" w:hAnsi="宋体"/>
                <w:color w:val="auto"/>
                <w:sz w:val="24"/>
                <w:highlight w:val="none"/>
              </w:rPr>
              <w:t>质保期</w:t>
            </w:r>
          </w:p>
        </w:tc>
        <w:tc>
          <w:tcPr>
            <w:tcW w:w="1785" w:type="dxa"/>
            <w:vAlign w:val="center"/>
          </w:tcPr>
          <w:p w14:paraId="63FED475">
            <w:pPr>
              <w:rPr>
                <w:rFonts w:ascii="宋体"/>
                <w:color w:val="auto"/>
                <w:sz w:val="24"/>
                <w:highlight w:val="none"/>
              </w:rPr>
            </w:pPr>
          </w:p>
        </w:tc>
        <w:tc>
          <w:tcPr>
            <w:tcW w:w="1365" w:type="dxa"/>
            <w:vAlign w:val="center"/>
          </w:tcPr>
          <w:p w14:paraId="224C30B4">
            <w:pPr>
              <w:rPr>
                <w:rFonts w:ascii="宋体"/>
                <w:color w:val="auto"/>
                <w:sz w:val="24"/>
                <w:highlight w:val="none"/>
              </w:rPr>
            </w:pPr>
          </w:p>
        </w:tc>
        <w:tc>
          <w:tcPr>
            <w:tcW w:w="2625" w:type="dxa"/>
            <w:vAlign w:val="center"/>
          </w:tcPr>
          <w:p w14:paraId="498FDFC1">
            <w:pPr>
              <w:rPr>
                <w:rFonts w:ascii="宋体"/>
                <w:color w:val="auto"/>
                <w:sz w:val="24"/>
                <w:highlight w:val="none"/>
              </w:rPr>
            </w:pPr>
          </w:p>
        </w:tc>
      </w:tr>
      <w:tr w14:paraId="0D9B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1180F927">
            <w:pPr>
              <w:rPr>
                <w:rFonts w:ascii="宋体"/>
                <w:color w:val="auto"/>
                <w:sz w:val="24"/>
                <w:highlight w:val="none"/>
              </w:rPr>
            </w:pPr>
          </w:p>
        </w:tc>
        <w:tc>
          <w:tcPr>
            <w:tcW w:w="1785" w:type="dxa"/>
            <w:vAlign w:val="center"/>
          </w:tcPr>
          <w:p w14:paraId="5D2ADD3E">
            <w:pPr>
              <w:snapToGrid w:val="0"/>
              <w:jc w:val="both"/>
              <w:rPr>
                <w:rFonts w:ascii="宋体"/>
                <w:color w:val="auto"/>
                <w:sz w:val="24"/>
                <w:highlight w:val="none"/>
              </w:rPr>
            </w:pPr>
            <w:r>
              <w:rPr>
                <w:rFonts w:hint="eastAsia" w:ascii="宋体" w:hAnsi="宋体"/>
                <w:color w:val="auto"/>
                <w:sz w:val="24"/>
                <w:highlight w:val="none"/>
              </w:rPr>
              <w:t>交货和服务</w:t>
            </w:r>
          </w:p>
          <w:p w14:paraId="65159378">
            <w:pPr>
              <w:snapToGrid w:val="0"/>
              <w:jc w:val="both"/>
              <w:rPr>
                <w:rFonts w:ascii="宋体"/>
                <w:color w:val="auto"/>
                <w:sz w:val="24"/>
                <w:highlight w:val="none"/>
              </w:rPr>
            </w:pPr>
            <w:r>
              <w:rPr>
                <w:rFonts w:hint="eastAsia" w:ascii="宋体" w:hAnsi="宋体"/>
                <w:color w:val="auto"/>
                <w:sz w:val="24"/>
                <w:highlight w:val="none"/>
              </w:rPr>
              <w:t>时间及地点</w:t>
            </w:r>
          </w:p>
        </w:tc>
        <w:tc>
          <w:tcPr>
            <w:tcW w:w="1785" w:type="dxa"/>
            <w:vAlign w:val="center"/>
          </w:tcPr>
          <w:p w14:paraId="3E895A3B">
            <w:pPr>
              <w:rPr>
                <w:rFonts w:ascii="宋体"/>
                <w:color w:val="auto"/>
                <w:sz w:val="24"/>
                <w:highlight w:val="none"/>
              </w:rPr>
            </w:pPr>
          </w:p>
        </w:tc>
        <w:tc>
          <w:tcPr>
            <w:tcW w:w="1365" w:type="dxa"/>
            <w:vAlign w:val="center"/>
          </w:tcPr>
          <w:p w14:paraId="6A26D89E">
            <w:pPr>
              <w:rPr>
                <w:rFonts w:ascii="宋体"/>
                <w:color w:val="auto"/>
                <w:sz w:val="24"/>
                <w:highlight w:val="none"/>
              </w:rPr>
            </w:pPr>
          </w:p>
        </w:tc>
        <w:tc>
          <w:tcPr>
            <w:tcW w:w="2625" w:type="dxa"/>
            <w:vAlign w:val="center"/>
          </w:tcPr>
          <w:p w14:paraId="2CA8136E">
            <w:pPr>
              <w:rPr>
                <w:rFonts w:ascii="宋体"/>
                <w:color w:val="auto"/>
                <w:sz w:val="24"/>
                <w:highlight w:val="none"/>
              </w:rPr>
            </w:pPr>
          </w:p>
        </w:tc>
      </w:tr>
      <w:tr w14:paraId="146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1DDFD219">
            <w:pPr>
              <w:rPr>
                <w:rFonts w:ascii="宋体"/>
                <w:color w:val="auto"/>
                <w:sz w:val="24"/>
                <w:highlight w:val="none"/>
              </w:rPr>
            </w:pPr>
          </w:p>
        </w:tc>
        <w:tc>
          <w:tcPr>
            <w:tcW w:w="1785" w:type="dxa"/>
            <w:vAlign w:val="center"/>
          </w:tcPr>
          <w:p w14:paraId="163C12A9">
            <w:pPr>
              <w:snapToGrid w:val="0"/>
              <w:jc w:val="both"/>
              <w:rPr>
                <w:rFonts w:ascii="宋体"/>
                <w:color w:val="auto"/>
                <w:sz w:val="24"/>
                <w:highlight w:val="none"/>
              </w:rPr>
            </w:pPr>
            <w:r>
              <w:rPr>
                <w:rFonts w:hint="eastAsia" w:ascii="宋体" w:hAnsi="宋体"/>
                <w:color w:val="auto"/>
                <w:sz w:val="24"/>
                <w:highlight w:val="none"/>
              </w:rPr>
              <w:t>付款条件</w:t>
            </w:r>
          </w:p>
        </w:tc>
        <w:tc>
          <w:tcPr>
            <w:tcW w:w="1785" w:type="dxa"/>
            <w:vAlign w:val="center"/>
          </w:tcPr>
          <w:p w14:paraId="5E6DFCCD">
            <w:pPr>
              <w:rPr>
                <w:rFonts w:ascii="宋体"/>
                <w:color w:val="auto"/>
                <w:sz w:val="24"/>
                <w:highlight w:val="none"/>
              </w:rPr>
            </w:pPr>
          </w:p>
        </w:tc>
        <w:tc>
          <w:tcPr>
            <w:tcW w:w="1365" w:type="dxa"/>
            <w:vAlign w:val="center"/>
          </w:tcPr>
          <w:p w14:paraId="164ACC7C">
            <w:pPr>
              <w:rPr>
                <w:rFonts w:ascii="宋体"/>
                <w:color w:val="auto"/>
                <w:sz w:val="24"/>
                <w:highlight w:val="none"/>
              </w:rPr>
            </w:pPr>
          </w:p>
        </w:tc>
        <w:tc>
          <w:tcPr>
            <w:tcW w:w="2625" w:type="dxa"/>
            <w:vAlign w:val="center"/>
          </w:tcPr>
          <w:p w14:paraId="69F2C619">
            <w:pPr>
              <w:rPr>
                <w:rFonts w:ascii="宋体"/>
                <w:color w:val="auto"/>
                <w:sz w:val="24"/>
                <w:highlight w:val="none"/>
              </w:rPr>
            </w:pPr>
          </w:p>
        </w:tc>
      </w:tr>
      <w:tr w14:paraId="0D01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41DA09E3">
            <w:pPr>
              <w:rPr>
                <w:rFonts w:ascii="宋体"/>
                <w:color w:val="auto"/>
                <w:sz w:val="24"/>
                <w:highlight w:val="none"/>
              </w:rPr>
            </w:pPr>
          </w:p>
        </w:tc>
        <w:tc>
          <w:tcPr>
            <w:tcW w:w="1785" w:type="dxa"/>
            <w:vAlign w:val="center"/>
          </w:tcPr>
          <w:p w14:paraId="6E9E2D25">
            <w:pPr>
              <w:snapToGrid w:val="0"/>
              <w:jc w:val="both"/>
              <w:rPr>
                <w:rFonts w:ascii="宋体"/>
                <w:color w:val="auto"/>
                <w:sz w:val="24"/>
                <w:highlight w:val="none"/>
              </w:rPr>
            </w:pPr>
            <w:r>
              <w:rPr>
                <w:rFonts w:hint="eastAsia" w:ascii="宋体" w:hAnsi="宋体"/>
                <w:color w:val="auto"/>
                <w:sz w:val="24"/>
                <w:highlight w:val="none"/>
              </w:rPr>
              <w:t>……</w:t>
            </w:r>
          </w:p>
        </w:tc>
        <w:tc>
          <w:tcPr>
            <w:tcW w:w="1785" w:type="dxa"/>
            <w:vAlign w:val="center"/>
          </w:tcPr>
          <w:p w14:paraId="25951401">
            <w:pPr>
              <w:rPr>
                <w:rFonts w:ascii="宋体"/>
                <w:color w:val="auto"/>
                <w:sz w:val="24"/>
                <w:highlight w:val="none"/>
              </w:rPr>
            </w:pPr>
          </w:p>
        </w:tc>
        <w:tc>
          <w:tcPr>
            <w:tcW w:w="1365" w:type="dxa"/>
            <w:vAlign w:val="center"/>
          </w:tcPr>
          <w:p w14:paraId="72DE824A">
            <w:pPr>
              <w:rPr>
                <w:rFonts w:ascii="宋体"/>
                <w:color w:val="auto"/>
                <w:sz w:val="24"/>
                <w:highlight w:val="none"/>
              </w:rPr>
            </w:pPr>
          </w:p>
        </w:tc>
        <w:tc>
          <w:tcPr>
            <w:tcW w:w="2625" w:type="dxa"/>
            <w:vAlign w:val="center"/>
          </w:tcPr>
          <w:p w14:paraId="25999E28">
            <w:pPr>
              <w:rPr>
                <w:rFonts w:ascii="宋体"/>
                <w:color w:val="auto"/>
                <w:sz w:val="24"/>
                <w:highlight w:val="none"/>
              </w:rPr>
            </w:pPr>
          </w:p>
        </w:tc>
      </w:tr>
      <w:tr w14:paraId="6CD7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5" w:type="dxa"/>
            <w:vAlign w:val="center"/>
          </w:tcPr>
          <w:p w14:paraId="0BEA4721">
            <w:pPr>
              <w:rPr>
                <w:rFonts w:ascii="宋体"/>
                <w:color w:val="auto"/>
                <w:sz w:val="24"/>
                <w:highlight w:val="none"/>
              </w:rPr>
            </w:pPr>
          </w:p>
        </w:tc>
        <w:tc>
          <w:tcPr>
            <w:tcW w:w="1785" w:type="dxa"/>
          </w:tcPr>
          <w:p w14:paraId="12A5D59E">
            <w:pPr>
              <w:snapToGrid w:val="0"/>
              <w:rPr>
                <w:rFonts w:ascii="宋体"/>
                <w:color w:val="auto"/>
                <w:sz w:val="24"/>
                <w:highlight w:val="none"/>
              </w:rPr>
            </w:pPr>
          </w:p>
        </w:tc>
        <w:tc>
          <w:tcPr>
            <w:tcW w:w="1785" w:type="dxa"/>
            <w:vAlign w:val="center"/>
          </w:tcPr>
          <w:p w14:paraId="2513DEC8">
            <w:pPr>
              <w:rPr>
                <w:rFonts w:ascii="宋体"/>
                <w:color w:val="auto"/>
                <w:sz w:val="24"/>
                <w:highlight w:val="none"/>
              </w:rPr>
            </w:pPr>
          </w:p>
        </w:tc>
        <w:tc>
          <w:tcPr>
            <w:tcW w:w="1365" w:type="dxa"/>
            <w:vAlign w:val="center"/>
          </w:tcPr>
          <w:p w14:paraId="358EFB4B">
            <w:pPr>
              <w:rPr>
                <w:rFonts w:ascii="宋体"/>
                <w:color w:val="auto"/>
                <w:sz w:val="24"/>
                <w:highlight w:val="none"/>
              </w:rPr>
            </w:pPr>
          </w:p>
        </w:tc>
        <w:tc>
          <w:tcPr>
            <w:tcW w:w="2625" w:type="dxa"/>
            <w:vAlign w:val="center"/>
          </w:tcPr>
          <w:p w14:paraId="09799D7F">
            <w:pPr>
              <w:rPr>
                <w:rFonts w:ascii="宋体"/>
                <w:color w:val="auto"/>
                <w:sz w:val="24"/>
                <w:highlight w:val="none"/>
              </w:rPr>
            </w:pPr>
          </w:p>
        </w:tc>
      </w:tr>
      <w:tr w14:paraId="2CE2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6F8DB0AE">
            <w:pPr>
              <w:rPr>
                <w:rFonts w:ascii="宋体"/>
                <w:color w:val="auto"/>
                <w:sz w:val="24"/>
                <w:highlight w:val="none"/>
              </w:rPr>
            </w:pPr>
          </w:p>
        </w:tc>
        <w:tc>
          <w:tcPr>
            <w:tcW w:w="1785" w:type="dxa"/>
          </w:tcPr>
          <w:p w14:paraId="2507FC9D">
            <w:pPr>
              <w:snapToGrid w:val="0"/>
              <w:rPr>
                <w:rFonts w:ascii="宋体"/>
                <w:color w:val="auto"/>
                <w:sz w:val="24"/>
                <w:highlight w:val="none"/>
              </w:rPr>
            </w:pPr>
          </w:p>
        </w:tc>
        <w:tc>
          <w:tcPr>
            <w:tcW w:w="1785" w:type="dxa"/>
            <w:vAlign w:val="center"/>
          </w:tcPr>
          <w:p w14:paraId="24861CDC">
            <w:pPr>
              <w:rPr>
                <w:rFonts w:ascii="宋体"/>
                <w:color w:val="auto"/>
                <w:sz w:val="24"/>
                <w:highlight w:val="none"/>
              </w:rPr>
            </w:pPr>
          </w:p>
        </w:tc>
        <w:tc>
          <w:tcPr>
            <w:tcW w:w="1365" w:type="dxa"/>
            <w:vAlign w:val="center"/>
          </w:tcPr>
          <w:p w14:paraId="0E3B1911">
            <w:pPr>
              <w:rPr>
                <w:rFonts w:ascii="宋体"/>
                <w:color w:val="auto"/>
                <w:sz w:val="24"/>
                <w:highlight w:val="none"/>
              </w:rPr>
            </w:pPr>
          </w:p>
        </w:tc>
        <w:tc>
          <w:tcPr>
            <w:tcW w:w="2625" w:type="dxa"/>
            <w:vAlign w:val="center"/>
          </w:tcPr>
          <w:p w14:paraId="572229BC">
            <w:pPr>
              <w:rPr>
                <w:rFonts w:ascii="宋体"/>
                <w:color w:val="auto"/>
                <w:sz w:val="24"/>
                <w:highlight w:val="none"/>
              </w:rPr>
            </w:pPr>
          </w:p>
        </w:tc>
      </w:tr>
    </w:tbl>
    <w:p w14:paraId="377D4497">
      <w:pPr>
        <w:spacing w:line="360" w:lineRule="auto"/>
        <w:rPr>
          <w:rFonts w:ascii="宋体"/>
          <w:b/>
          <w:color w:val="auto"/>
          <w:sz w:val="24"/>
          <w:szCs w:val="24"/>
          <w:highlight w:val="none"/>
        </w:rPr>
      </w:pPr>
    </w:p>
    <w:p w14:paraId="6E2548FE">
      <w:pPr>
        <w:spacing w:line="48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投标人名称（盖章</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7CD97873">
      <w:pPr>
        <w:spacing w:line="480" w:lineRule="auto"/>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3449207A">
      <w:pPr>
        <w:spacing w:line="480" w:lineRule="auto"/>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lang w:val="en-US" w:eastAsia="zh-CN"/>
        </w:rPr>
        <w:t xml:space="preserve">                         </w:t>
      </w:r>
    </w:p>
    <w:p w14:paraId="39EC3832">
      <w:pPr>
        <w:spacing w:line="360" w:lineRule="auto"/>
        <w:rPr>
          <w:rFonts w:ascii="宋体"/>
          <w:b/>
          <w:color w:val="auto"/>
          <w:sz w:val="24"/>
          <w:szCs w:val="24"/>
          <w:highlight w:val="none"/>
        </w:rPr>
      </w:pPr>
    </w:p>
    <w:p w14:paraId="63828C40">
      <w:pPr>
        <w:spacing w:line="360" w:lineRule="auto"/>
        <w:rPr>
          <w:rFonts w:ascii="宋体"/>
          <w:b/>
          <w:color w:val="auto"/>
          <w:sz w:val="24"/>
          <w:szCs w:val="24"/>
          <w:highlight w:val="none"/>
        </w:rPr>
      </w:pPr>
    </w:p>
    <w:p w14:paraId="7D6347A5">
      <w:pPr>
        <w:spacing w:line="360" w:lineRule="auto"/>
        <w:rPr>
          <w:rFonts w:ascii="宋体"/>
          <w:b/>
          <w:color w:val="auto"/>
          <w:sz w:val="24"/>
          <w:szCs w:val="24"/>
          <w:highlight w:val="none"/>
        </w:rPr>
      </w:pPr>
    </w:p>
    <w:p w14:paraId="14FD033E">
      <w:pPr>
        <w:spacing w:line="360" w:lineRule="auto"/>
        <w:rPr>
          <w:rFonts w:ascii="宋体"/>
          <w:b/>
          <w:color w:val="auto"/>
          <w:sz w:val="24"/>
          <w:szCs w:val="24"/>
          <w:highlight w:val="none"/>
        </w:rPr>
      </w:pPr>
    </w:p>
    <w:p w14:paraId="70B8C19B">
      <w:pPr>
        <w:spacing w:line="360" w:lineRule="auto"/>
        <w:rPr>
          <w:rFonts w:ascii="宋体"/>
          <w:b/>
          <w:color w:val="auto"/>
          <w:sz w:val="24"/>
          <w:szCs w:val="24"/>
          <w:highlight w:val="none"/>
        </w:rPr>
      </w:pPr>
    </w:p>
    <w:p w14:paraId="7673477D">
      <w:pPr>
        <w:spacing w:line="360" w:lineRule="auto"/>
        <w:rPr>
          <w:rFonts w:ascii="宋体"/>
          <w:b/>
          <w:color w:val="auto"/>
          <w:sz w:val="24"/>
          <w:szCs w:val="24"/>
          <w:highlight w:val="none"/>
        </w:rPr>
      </w:pPr>
    </w:p>
    <w:p w14:paraId="2DB6D4DC">
      <w:pPr>
        <w:spacing w:line="360" w:lineRule="auto"/>
        <w:rPr>
          <w:rFonts w:ascii="宋体"/>
          <w:b/>
          <w:color w:val="auto"/>
          <w:sz w:val="24"/>
          <w:szCs w:val="24"/>
          <w:highlight w:val="none"/>
        </w:rPr>
      </w:pPr>
    </w:p>
    <w:p w14:paraId="499C7A15">
      <w:pPr>
        <w:pStyle w:val="7"/>
        <w:rPr>
          <w:color w:val="auto"/>
          <w:highlight w:val="none"/>
        </w:rPr>
      </w:pPr>
    </w:p>
    <w:p w14:paraId="03310946">
      <w:pPr>
        <w:spacing w:line="360" w:lineRule="auto"/>
        <w:rPr>
          <w:rFonts w:ascii="宋体"/>
          <w:b/>
          <w:color w:val="auto"/>
          <w:sz w:val="24"/>
          <w:szCs w:val="24"/>
          <w:highlight w:val="none"/>
        </w:rPr>
      </w:pPr>
    </w:p>
    <w:p w14:paraId="1655E0BE">
      <w:pPr>
        <w:spacing w:line="360" w:lineRule="auto"/>
        <w:rPr>
          <w:rFonts w:hint="default"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rPr>
        <w:t>附件</w:t>
      </w:r>
      <w:r>
        <w:rPr>
          <w:rFonts w:hint="eastAsia" w:ascii="宋体" w:hAnsi="宋体" w:eastAsia="宋体" w:cs="宋体"/>
          <w:b/>
          <w:bCs/>
          <w:color w:val="auto"/>
          <w:sz w:val="28"/>
          <w:szCs w:val="36"/>
          <w:highlight w:val="none"/>
          <w:lang w:val="en-US" w:eastAsia="zh-CN"/>
        </w:rPr>
        <w:t>15</w:t>
      </w:r>
    </w:p>
    <w:p w14:paraId="222549E9">
      <w:pPr>
        <w:spacing w:line="480" w:lineRule="exact"/>
        <w:jc w:val="center"/>
        <w:rPr>
          <w:rFonts w:ascii="宋体"/>
          <w:b/>
          <w:color w:val="auto"/>
          <w:sz w:val="32"/>
          <w:szCs w:val="32"/>
          <w:highlight w:val="none"/>
        </w:rPr>
      </w:pPr>
      <w:r>
        <w:rPr>
          <w:rFonts w:hint="eastAsia" w:ascii="宋体" w:hAnsi="宋体"/>
          <w:b/>
          <w:color w:val="auto"/>
          <w:sz w:val="32"/>
          <w:szCs w:val="32"/>
          <w:highlight w:val="none"/>
        </w:rPr>
        <w:t>售后服务情况表</w:t>
      </w:r>
    </w:p>
    <w:p w14:paraId="2F0F3A21">
      <w:pPr>
        <w:spacing w:line="360" w:lineRule="auto"/>
        <w:rPr>
          <w:rFonts w:hint="eastAsia" w:ascii="宋体" w:hAnsi="Times New Roman" w:cs="Times New Roman"/>
          <w:b/>
          <w:color w:val="auto"/>
          <w:sz w:val="24"/>
          <w:szCs w:val="24"/>
          <w:highlight w:val="none"/>
        </w:rPr>
      </w:pPr>
    </w:p>
    <w:tbl>
      <w:tblPr>
        <w:tblStyle w:val="27"/>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281D8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tcBorders>
              <w:top w:val="single" w:color="auto" w:sz="4" w:space="0"/>
            </w:tcBorders>
            <w:vAlign w:val="center"/>
          </w:tcPr>
          <w:p w14:paraId="026590AF">
            <w:pPr>
              <w:pStyle w:val="37"/>
              <w:spacing w:line="360" w:lineRule="auto"/>
              <w:jc w:val="center"/>
              <w:rPr>
                <w:rFonts w:ascii="宋体" w:cs="Arial"/>
                <w:b/>
                <w:color w:val="auto"/>
                <w:sz w:val="24"/>
                <w:highlight w:val="none"/>
              </w:rPr>
            </w:pPr>
            <w:r>
              <w:rPr>
                <w:rFonts w:hint="eastAsia" w:ascii="宋体" w:hAnsi="宋体" w:cs="Arial"/>
                <w:b/>
                <w:color w:val="auto"/>
                <w:sz w:val="24"/>
                <w:highlight w:val="none"/>
              </w:rPr>
              <w:t>序号</w:t>
            </w:r>
          </w:p>
        </w:tc>
        <w:tc>
          <w:tcPr>
            <w:tcW w:w="2355" w:type="dxa"/>
            <w:tcBorders>
              <w:top w:val="single" w:color="auto" w:sz="4" w:space="0"/>
            </w:tcBorders>
            <w:vAlign w:val="center"/>
          </w:tcPr>
          <w:p w14:paraId="3D73E601">
            <w:pPr>
              <w:pStyle w:val="37"/>
              <w:spacing w:line="360" w:lineRule="auto"/>
              <w:jc w:val="center"/>
              <w:rPr>
                <w:rFonts w:ascii="宋体" w:cs="Arial"/>
                <w:b/>
                <w:color w:val="auto"/>
                <w:sz w:val="24"/>
                <w:highlight w:val="none"/>
              </w:rPr>
            </w:pPr>
            <w:r>
              <w:rPr>
                <w:rFonts w:hint="eastAsia" w:ascii="宋体" w:hAnsi="宋体" w:cs="Arial"/>
                <w:b/>
                <w:color w:val="auto"/>
                <w:sz w:val="24"/>
                <w:highlight w:val="none"/>
              </w:rPr>
              <w:t>项目</w:t>
            </w:r>
          </w:p>
        </w:tc>
        <w:tc>
          <w:tcPr>
            <w:tcW w:w="4061" w:type="dxa"/>
            <w:tcBorders>
              <w:top w:val="single" w:color="auto" w:sz="4" w:space="0"/>
            </w:tcBorders>
            <w:vAlign w:val="center"/>
          </w:tcPr>
          <w:p w14:paraId="752E6147">
            <w:pPr>
              <w:pStyle w:val="37"/>
              <w:spacing w:line="360" w:lineRule="auto"/>
              <w:jc w:val="center"/>
              <w:rPr>
                <w:rFonts w:ascii="宋体" w:cs="Arial"/>
                <w:b/>
                <w:color w:val="auto"/>
                <w:sz w:val="24"/>
                <w:highlight w:val="none"/>
              </w:rPr>
            </w:pPr>
            <w:r>
              <w:rPr>
                <w:rFonts w:hint="eastAsia" w:ascii="宋体" w:hAnsi="宋体" w:cs="Arial"/>
                <w:b/>
                <w:color w:val="auto"/>
                <w:sz w:val="24"/>
                <w:highlight w:val="none"/>
              </w:rPr>
              <w:t>投标人情况</w:t>
            </w:r>
          </w:p>
        </w:tc>
        <w:tc>
          <w:tcPr>
            <w:tcW w:w="1373" w:type="dxa"/>
            <w:tcBorders>
              <w:top w:val="single" w:color="auto" w:sz="4" w:space="0"/>
            </w:tcBorders>
            <w:vAlign w:val="center"/>
          </w:tcPr>
          <w:p w14:paraId="0E95B3C0">
            <w:pPr>
              <w:pStyle w:val="37"/>
              <w:spacing w:line="360" w:lineRule="auto"/>
              <w:jc w:val="center"/>
              <w:rPr>
                <w:rFonts w:ascii="宋体" w:cs="Arial"/>
                <w:b/>
                <w:color w:val="auto"/>
                <w:sz w:val="24"/>
                <w:highlight w:val="none"/>
              </w:rPr>
            </w:pPr>
            <w:r>
              <w:rPr>
                <w:rFonts w:hint="eastAsia" w:ascii="宋体" w:hAnsi="宋体" w:cs="Arial"/>
                <w:b/>
                <w:color w:val="auto"/>
                <w:sz w:val="24"/>
                <w:highlight w:val="none"/>
              </w:rPr>
              <w:t>备注</w:t>
            </w:r>
          </w:p>
        </w:tc>
      </w:tr>
      <w:tr w14:paraId="79BFA1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739" w:type="dxa"/>
            <w:vMerge w:val="restart"/>
            <w:vAlign w:val="center"/>
          </w:tcPr>
          <w:p w14:paraId="76DCF08C">
            <w:pPr>
              <w:pStyle w:val="37"/>
              <w:spacing w:line="360" w:lineRule="auto"/>
              <w:jc w:val="center"/>
              <w:rPr>
                <w:rFonts w:ascii="宋体" w:cs="Arial"/>
                <w:bCs/>
                <w:color w:val="auto"/>
                <w:sz w:val="24"/>
                <w:highlight w:val="none"/>
              </w:rPr>
            </w:pPr>
            <w:r>
              <w:rPr>
                <w:rFonts w:ascii="宋体" w:hAnsi="宋体" w:cs="Arial"/>
                <w:bCs/>
                <w:color w:val="auto"/>
                <w:sz w:val="24"/>
                <w:highlight w:val="none"/>
              </w:rPr>
              <w:t>1</w:t>
            </w:r>
          </w:p>
        </w:tc>
        <w:tc>
          <w:tcPr>
            <w:tcW w:w="2355" w:type="dxa"/>
            <w:vMerge w:val="restart"/>
            <w:vAlign w:val="center"/>
          </w:tcPr>
          <w:p w14:paraId="440AB53D">
            <w:pPr>
              <w:pStyle w:val="37"/>
              <w:widowControl/>
              <w:spacing w:line="360" w:lineRule="auto"/>
              <w:jc w:val="left"/>
              <w:rPr>
                <w:rFonts w:hint="eastAsia" w:ascii="宋体" w:eastAsia="宋体" w:cs="Arial"/>
                <w:bCs/>
                <w:color w:val="auto"/>
                <w:sz w:val="24"/>
                <w:highlight w:val="none"/>
                <w:lang w:eastAsia="zh-CN"/>
              </w:rPr>
            </w:pPr>
            <w:r>
              <w:rPr>
                <w:rFonts w:hint="eastAsia" w:ascii="宋体" w:hAnsi="宋体" w:cs="Arial"/>
                <w:bCs/>
                <w:color w:val="auto"/>
                <w:sz w:val="24"/>
                <w:highlight w:val="none"/>
              </w:rPr>
              <w:t>保修期内售后服务情况</w:t>
            </w:r>
            <w:r>
              <w:rPr>
                <w:rFonts w:hint="eastAsia" w:ascii="宋体" w:hAnsi="宋体" w:cs="Arial"/>
                <w:bCs/>
                <w:color w:val="auto"/>
                <w:sz w:val="24"/>
                <w:highlight w:val="none"/>
                <w:lang w:eastAsia="zh-CN"/>
              </w:rPr>
              <w:t>（</w:t>
            </w:r>
            <w:r>
              <w:rPr>
                <w:rFonts w:hint="eastAsia" w:ascii="宋体" w:hAnsi="宋体" w:cs="Arial"/>
                <w:bCs/>
                <w:color w:val="auto"/>
                <w:sz w:val="24"/>
                <w:highlight w:val="none"/>
              </w:rPr>
              <w:t>服务方式、服务网点、售后服务的内容和措施等等，可用附页和宣传材料</w:t>
            </w:r>
            <w:r>
              <w:rPr>
                <w:rFonts w:hint="eastAsia" w:ascii="宋体" w:hAnsi="宋体" w:cs="Arial"/>
                <w:bCs/>
                <w:color w:val="auto"/>
                <w:sz w:val="24"/>
                <w:highlight w:val="none"/>
                <w:lang w:eastAsia="zh-CN"/>
              </w:rPr>
              <w:t>）</w:t>
            </w:r>
          </w:p>
        </w:tc>
        <w:tc>
          <w:tcPr>
            <w:tcW w:w="4061" w:type="dxa"/>
          </w:tcPr>
          <w:p w14:paraId="2022439B">
            <w:pPr>
              <w:pStyle w:val="37"/>
              <w:spacing w:line="360" w:lineRule="auto"/>
              <w:rPr>
                <w:rFonts w:ascii="宋体" w:cs="Arial"/>
                <w:bCs/>
                <w:color w:val="auto"/>
                <w:sz w:val="24"/>
                <w:highlight w:val="none"/>
              </w:rPr>
            </w:pPr>
            <w:r>
              <w:rPr>
                <w:rFonts w:hint="eastAsia" w:ascii="宋体" w:hAnsi="宋体" w:cs="Arial"/>
                <w:bCs/>
                <w:color w:val="auto"/>
                <w:sz w:val="24"/>
                <w:highlight w:val="none"/>
              </w:rPr>
              <w:t>生产厂商售后服务情况：</w:t>
            </w:r>
          </w:p>
        </w:tc>
        <w:tc>
          <w:tcPr>
            <w:tcW w:w="1373" w:type="dxa"/>
          </w:tcPr>
          <w:p w14:paraId="079B7CBC">
            <w:pPr>
              <w:pStyle w:val="37"/>
              <w:spacing w:line="360" w:lineRule="auto"/>
              <w:rPr>
                <w:rFonts w:ascii="宋体" w:cs="Arial"/>
                <w:bCs/>
                <w:color w:val="auto"/>
                <w:sz w:val="24"/>
                <w:highlight w:val="none"/>
              </w:rPr>
            </w:pPr>
          </w:p>
        </w:tc>
      </w:tr>
      <w:tr w14:paraId="55607C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739" w:type="dxa"/>
            <w:vMerge w:val="continue"/>
            <w:vAlign w:val="center"/>
          </w:tcPr>
          <w:p w14:paraId="55525F75">
            <w:pPr>
              <w:pStyle w:val="37"/>
              <w:widowControl/>
              <w:spacing w:line="360" w:lineRule="auto"/>
              <w:jc w:val="left"/>
              <w:rPr>
                <w:rFonts w:ascii="宋体" w:cs="Arial"/>
                <w:bCs/>
                <w:color w:val="auto"/>
                <w:sz w:val="24"/>
                <w:highlight w:val="none"/>
              </w:rPr>
            </w:pPr>
          </w:p>
        </w:tc>
        <w:tc>
          <w:tcPr>
            <w:tcW w:w="2355" w:type="dxa"/>
            <w:vMerge w:val="continue"/>
            <w:vAlign w:val="center"/>
          </w:tcPr>
          <w:p w14:paraId="526BB2C4">
            <w:pPr>
              <w:pStyle w:val="37"/>
              <w:widowControl/>
              <w:spacing w:line="360" w:lineRule="auto"/>
              <w:jc w:val="left"/>
              <w:rPr>
                <w:rFonts w:ascii="宋体" w:cs="Arial"/>
                <w:bCs/>
                <w:color w:val="auto"/>
                <w:sz w:val="24"/>
                <w:highlight w:val="none"/>
              </w:rPr>
            </w:pPr>
          </w:p>
        </w:tc>
        <w:tc>
          <w:tcPr>
            <w:tcW w:w="4061" w:type="dxa"/>
          </w:tcPr>
          <w:p w14:paraId="3D7CAC8C">
            <w:pPr>
              <w:pStyle w:val="37"/>
              <w:spacing w:line="360" w:lineRule="auto"/>
              <w:rPr>
                <w:rFonts w:ascii="宋体" w:cs="Arial"/>
                <w:bCs/>
                <w:color w:val="auto"/>
                <w:sz w:val="24"/>
                <w:highlight w:val="none"/>
              </w:rPr>
            </w:pPr>
            <w:r>
              <w:rPr>
                <w:rFonts w:hint="eastAsia" w:ascii="宋体" w:hAnsi="宋体" w:cs="Arial"/>
                <w:bCs/>
                <w:color w:val="auto"/>
                <w:sz w:val="24"/>
                <w:highlight w:val="none"/>
              </w:rPr>
              <w:t>投标人售后服务情况：</w:t>
            </w:r>
          </w:p>
        </w:tc>
        <w:tc>
          <w:tcPr>
            <w:tcW w:w="1373" w:type="dxa"/>
          </w:tcPr>
          <w:p w14:paraId="2B87A706">
            <w:pPr>
              <w:pStyle w:val="37"/>
              <w:spacing w:line="360" w:lineRule="auto"/>
              <w:jc w:val="left"/>
              <w:rPr>
                <w:rFonts w:ascii="宋体" w:cs="Arial"/>
                <w:bCs/>
                <w:color w:val="auto"/>
                <w:sz w:val="24"/>
                <w:highlight w:val="none"/>
              </w:rPr>
            </w:pPr>
          </w:p>
        </w:tc>
      </w:tr>
      <w:tr w14:paraId="6EEE0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vAlign w:val="center"/>
          </w:tcPr>
          <w:p w14:paraId="17EC2551">
            <w:pPr>
              <w:pStyle w:val="37"/>
              <w:spacing w:line="360" w:lineRule="auto"/>
              <w:jc w:val="center"/>
              <w:rPr>
                <w:rFonts w:ascii="宋体" w:cs="Arial"/>
                <w:bCs/>
                <w:color w:val="auto"/>
                <w:sz w:val="24"/>
                <w:highlight w:val="none"/>
              </w:rPr>
            </w:pPr>
            <w:r>
              <w:rPr>
                <w:rFonts w:ascii="宋体" w:hAnsi="宋体" w:cs="Arial"/>
                <w:bCs/>
                <w:color w:val="auto"/>
                <w:sz w:val="24"/>
                <w:highlight w:val="none"/>
              </w:rPr>
              <w:t>2</w:t>
            </w:r>
          </w:p>
        </w:tc>
        <w:tc>
          <w:tcPr>
            <w:tcW w:w="2355" w:type="dxa"/>
            <w:vAlign w:val="center"/>
          </w:tcPr>
          <w:p w14:paraId="70DB5F46">
            <w:pPr>
              <w:pStyle w:val="37"/>
              <w:spacing w:line="360" w:lineRule="auto"/>
              <w:rPr>
                <w:rFonts w:ascii="宋体" w:cs="Arial"/>
                <w:bCs/>
                <w:color w:val="auto"/>
                <w:sz w:val="24"/>
                <w:highlight w:val="none"/>
              </w:rPr>
            </w:pPr>
            <w:r>
              <w:rPr>
                <w:rFonts w:hint="eastAsia" w:ascii="宋体" w:hAnsi="宋体" w:cs="Arial"/>
                <w:bCs/>
                <w:color w:val="auto"/>
                <w:sz w:val="24"/>
                <w:highlight w:val="none"/>
              </w:rPr>
              <w:t>保修期后售后服务</w:t>
            </w:r>
          </w:p>
        </w:tc>
        <w:tc>
          <w:tcPr>
            <w:tcW w:w="4061" w:type="dxa"/>
          </w:tcPr>
          <w:p w14:paraId="168051D6">
            <w:pPr>
              <w:pStyle w:val="37"/>
              <w:widowControl/>
              <w:spacing w:line="360" w:lineRule="auto"/>
              <w:jc w:val="left"/>
              <w:rPr>
                <w:rFonts w:ascii="宋体" w:cs="Arial"/>
                <w:bCs/>
                <w:color w:val="auto"/>
                <w:sz w:val="24"/>
                <w:highlight w:val="none"/>
              </w:rPr>
            </w:pPr>
          </w:p>
          <w:p w14:paraId="17DC32BC">
            <w:pPr>
              <w:pStyle w:val="37"/>
              <w:widowControl/>
              <w:spacing w:line="360" w:lineRule="auto"/>
              <w:jc w:val="left"/>
              <w:rPr>
                <w:rFonts w:ascii="宋体" w:cs="Arial"/>
                <w:bCs/>
                <w:color w:val="auto"/>
                <w:sz w:val="24"/>
                <w:highlight w:val="none"/>
              </w:rPr>
            </w:pPr>
          </w:p>
          <w:p w14:paraId="18D06126">
            <w:pPr>
              <w:pStyle w:val="37"/>
              <w:spacing w:line="360" w:lineRule="auto"/>
              <w:rPr>
                <w:rFonts w:ascii="宋体" w:cs="Arial"/>
                <w:bCs/>
                <w:color w:val="auto"/>
                <w:sz w:val="24"/>
                <w:highlight w:val="none"/>
              </w:rPr>
            </w:pPr>
          </w:p>
        </w:tc>
        <w:tc>
          <w:tcPr>
            <w:tcW w:w="1373" w:type="dxa"/>
          </w:tcPr>
          <w:p w14:paraId="7643961B">
            <w:pPr>
              <w:pStyle w:val="37"/>
              <w:widowControl/>
              <w:spacing w:line="360" w:lineRule="auto"/>
              <w:jc w:val="left"/>
              <w:rPr>
                <w:rFonts w:ascii="宋体" w:cs="Arial"/>
                <w:bCs/>
                <w:color w:val="auto"/>
                <w:sz w:val="24"/>
                <w:highlight w:val="none"/>
              </w:rPr>
            </w:pPr>
          </w:p>
          <w:p w14:paraId="123B4D76">
            <w:pPr>
              <w:pStyle w:val="37"/>
              <w:widowControl/>
              <w:spacing w:line="360" w:lineRule="auto"/>
              <w:jc w:val="left"/>
              <w:rPr>
                <w:rFonts w:ascii="宋体" w:cs="Arial"/>
                <w:bCs/>
                <w:color w:val="auto"/>
                <w:sz w:val="24"/>
                <w:highlight w:val="none"/>
              </w:rPr>
            </w:pPr>
          </w:p>
          <w:p w14:paraId="2B11FA14">
            <w:pPr>
              <w:pStyle w:val="37"/>
              <w:spacing w:line="360" w:lineRule="auto"/>
              <w:rPr>
                <w:rFonts w:ascii="宋体" w:cs="Arial"/>
                <w:bCs/>
                <w:color w:val="auto"/>
                <w:sz w:val="24"/>
                <w:highlight w:val="none"/>
              </w:rPr>
            </w:pPr>
          </w:p>
        </w:tc>
      </w:tr>
      <w:tr w14:paraId="52871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vAlign w:val="center"/>
          </w:tcPr>
          <w:p w14:paraId="3F113161">
            <w:pPr>
              <w:pStyle w:val="37"/>
              <w:widowControl/>
              <w:spacing w:line="360" w:lineRule="auto"/>
              <w:jc w:val="left"/>
              <w:rPr>
                <w:rFonts w:ascii="宋体" w:cs="Arial"/>
                <w:bCs/>
                <w:color w:val="auto"/>
                <w:sz w:val="24"/>
                <w:highlight w:val="none"/>
              </w:rPr>
            </w:pPr>
            <w:r>
              <w:rPr>
                <w:rFonts w:ascii="宋体" w:hAnsi="宋体" w:cs="Arial"/>
                <w:bCs/>
                <w:color w:val="auto"/>
                <w:sz w:val="24"/>
                <w:highlight w:val="none"/>
              </w:rPr>
              <w:t xml:space="preserve"> 3</w:t>
            </w:r>
          </w:p>
        </w:tc>
        <w:tc>
          <w:tcPr>
            <w:tcW w:w="2355" w:type="dxa"/>
            <w:vAlign w:val="center"/>
          </w:tcPr>
          <w:p w14:paraId="3E8FB15C">
            <w:pPr>
              <w:pStyle w:val="37"/>
              <w:widowControl/>
              <w:spacing w:line="360" w:lineRule="auto"/>
              <w:jc w:val="left"/>
              <w:rPr>
                <w:rFonts w:hint="eastAsia" w:ascii="宋体" w:eastAsia="宋体" w:cs="Arial"/>
                <w:bCs/>
                <w:color w:val="auto"/>
                <w:sz w:val="24"/>
                <w:highlight w:val="none"/>
                <w:lang w:eastAsia="zh-CN"/>
              </w:rPr>
            </w:pPr>
            <w:r>
              <w:rPr>
                <w:rFonts w:hint="eastAsia" w:ascii="宋体" w:hAnsi="宋体" w:cs="Arial"/>
                <w:bCs/>
                <w:color w:val="auto"/>
                <w:sz w:val="24"/>
                <w:highlight w:val="none"/>
              </w:rPr>
              <w:t>培训方案（可用附页</w:t>
            </w:r>
            <w:r>
              <w:rPr>
                <w:rFonts w:hint="eastAsia" w:ascii="宋体" w:hAnsi="宋体" w:cs="Arial"/>
                <w:bCs/>
                <w:color w:val="auto"/>
                <w:sz w:val="24"/>
                <w:highlight w:val="none"/>
                <w:lang w:eastAsia="zh-CN"/>
              </w:rPr>
              <w:t>）</w:t>
            </w:r>
          </w:p>
        </w:tc>
        <w:tc>
          <w:tcPr>
            <w:tcW w:w="4061" w:type="dxa"/>
          </w:tcPr>
          <w:p w14:paraId="000016FD">
            <w:pPr>
              <w:pStyle w:val="37"/>
              <w:widowControl/>
              <w:spacing w:line="360" w:lineRule="auto"/>
              <w:jc w:val="left"/>
              <w:rPr>
                <w:rFonts w:ascii="宋体" w:cs="Arial"/>
                <w:bCs/>
                <w:i/>
                <w:color w:val="auto"/>
                <w:sz w:val="24"/>
                <w:highlight w:val="none"/>
              </w:rPr>
            </w:pPr>
          </w:p>
          <w:p w14:paraId="75ABD26E">
            <w:pPr>
              <w:pStyle w:val="37"/>
              <w:widowControl/>
              <w:spacing w:line="360" w:lineRule="auto"/>
              <w:jc w:val="left"/>
              <w:rPr>
                <w:rFonts w:ascii="宋体" w:cs="Arial"/>
                <w:bCs/>
                <w:i/>
                <w:color w:val="auto"/>
                <w:sz w:val="24"/>
                <w:highlight w:val="none"/>
              </w:rPr>
            </w:pPr>
          </w:p>
        </w:tc>
        <w:tc>
          <w:tcPr>
            <w:tcW w:w="1373" w:type="dxa"/>
          </w:tcPr>
          <w:p w14:paraId="75FBE861">
            <w:pPr>
              <w:pStyle w:val="37"/>
              <w:widowControl/>
              <w:spacing w:line="360" w:lineRule="auto"/>
              <w:jc w:val="left"/>
              <w:rPr>
                <w:rFonts w:ascii="宋体" w:cs="Arial"/>
                <w:bCs/>
                <w:i/>
                <w:color w:val="auto"/>
                <w:sz w:val="24"/>
                <w:highlight w:val="none"/>
              </w:rPr>
            </w:pPr>
          </w:p>
          <w:p w14:paraId="4949CA4A">
            <w:pPr>
              <w:pStyle w:val="37"/>
              <w:widowControl/>
              <w:spacing w:line="360" w:lineRule="auto"/>
              <w:jc w:val="left"/>
              <w:rPr>
                <w:rFonts w:ascii="宋体" w:cs="Arial"/>
                <w:bCs/>
                <w:i/>
                <w:color w:val="auto"/>
                <w:sz w:val="24"/>
                <w:highlight w:val="none"/>
              </w:rPr>
            </w:pPr>
          </w:p>
          <w:p w14:paraId="20B3E95E">
            <w:pPr>
              <w:pStyle w:val="37"/>
              <w:widowControl/>
              <w:spacing w:line="360" w:lineRule="auto"/>
              <w:jc w:val="left"/>
              <w:rPr>
                <w:rFonts w:ascii="宋体" w:cs="Arial"/>
                <w:bCs/>
                <w:i/>
                <w:color w:val="auto"/>
                <w:sz w:val="24"/>
                <w:highlight w:val="none"/>
              </w:rPr>
            </w:pPr>
          </w:p>
        </w:tc>
      </w:tr>
      <w:tr w14:paraId="6F7FF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tcBorders>
              <w:bottom w:val="single" w:color="auto" w:sz="4" w:space="0"/>
            </w:tcBorders>
            <w:vAlign w:val="center"/>
          </w:tcPr>
          <w:p w14:paraId="018A4744">
            <w:pPr>
              <w:pStyle w:val="37"/>
              <w:widowControl/>
              <w:spacing w:line="360" w:lineRule="auto"/>
              <w:jc w:val="left"/>
              <w:rPr>
                <w:rFonts w:ascii="宋体" w:cs="Arial"/>
                <w:bCs/>
                <w:color w:val="auto"/>
                <w:sz w:val="24"/>
                <w:highlight w:val="none"/>
              </w:rPr>
            </w:pPr>
            <w:r>
              <w:rPr>
                <w:rFonts w:hint="eastAsia" w:ascii="宋体" w:cs="Arial"/>
                <w:bCs/>
                <w:color w:val="auto"/>
                <w:sz w:val="24"/>
                <w:highlight w:val="none"/>
              </w:rPr>
              <w:t>……</w:t>
            </w:r>
          </w:p>
        </w:tc>
        <w:tc>
          <w:tcPr>
            <w:tcW w:w="2355" w:type="dxa"/>
            <w:tcBorders>
              <w:bottom w:val="single" w:color="auto" w:sz="4" w:space="0"/>
            </w:tcBorders>
            <w:vAlign w:val="center"/>
          </w:tcPr>
          <w:p w14:paraId="0B8373BA">
            <w:pPr>
              <w:pStyle w:val="37"/>
              <w:widowControl/>
              <w:spacing w:line="360" w:lineRule="auto"/>
              <w:jc w:val="left"/>
              <w:rPr>
                <w:rFonts w:ascii="宋体" w:cs="Arial"/>
                <w:bCs/>
                <w:color w:val="auto"/>
                <w:sz w:val="24"/>
                <w:highlight w:val="none"/>
              </w:rPr>
            </w:pPr>
            <w:r>
              <w:rPr>
                <w:rFonts w:hint="eastAsia" w:ascii="宋体" w:cs="Arial"/>
                <w:bCs/>
                <w:color w:val="auto"/>
                <w:sz w:val="24"/>
                <w:highlight w:val="none"/>
              </w:rPr>
              <w:t>……</w:t>
            </w:r>
          </w:p>
        </w:tc>
        <w:tc>
          <w:tcPr>
            <w:tcW w:w="4061" w:type="dxa"/>
            <w:tcBorders>
              <w:bottom w:val="single" w:color="auto" w:sz="4" w:space="0"/>
            </w:tcBorders>
          </w:tcPr>
          <w:p w14:paraId="217D29EF">
            <w:pPr>
              <w:pStyle w:val="37"/>
              <w:widowControl/>
              <w:spacing w:line="360" w:lineRule="auto"/>
              <w:jc w:val="left"/>
              <w:rPr>
                <w:rFonts w:ascii="宋体" w:cs="Arial"/>
                <w:bCs/>
                <w:color w:val="auto"/>
                <w:sz w:val="24"/>
                <w:highlight w:val="none"/>
              </w:rPr>
            </w:pPr>
          </w:p>
        </w:tc>
        <w:tc>
          <w:tcPr>
            <w:tcW w:w="1373" w:type="dxa"/>
            <w:tcBorders>
              <w:bottom w:val="single" w:color="auto" w:sz="4" w:space="0"/>
            </w:tcBorders>
          </w:tcPr>
          <w:p w14:paraId="40247A53">
            <w:pPr>
              <w:pStyle w:val="37"/>
              <w:widowControl/>
              <w:spacing w:line="360" w:lineRule="auto"/>
              <w:jc w:val="left"/>
              <w:rPr>
                <w:rFonts w:ascii="宋体" w:cs="Arial"/>
                <w:bCs/>
                <w:color w:val="auto"/>
                <w:sz w:val="24"/>
                <w:highlight w:val="none"/>
              </w:rPr>
            </w:pPr>
          </w:p>
        </w:tc>
      </w:tr>
    </w:tbl>
    <w:p w14:paraId="4945BE5C">
      <w:pPr>
        <w:spacing w:line="360" w:lineRule="auto"/>
        <w:ind w:left="549" w:hanging="549" w:hangingChars="171"/>
        <w:jc w:val="center"/>
        <w:rPr>
          <w:rFonts w:hint="eastAsia" w:ascii="宋体" w:hAnsi="宋体"/>
          <w:b/>
          <w:color w:val="auto"/>
          <w:sz w:val="32"/>
          <w:szCs w:val="32"/>
          <w:highlight w:val="none"/>
        </w:rPr>
      </w:pPr>
    </w:p>
    <w:p w14:paraId="072076B9">
      <w:pPr>
        <w:spacing w:line="360" w:lineRule="auto"/>
        <w:rPr>
          <w:rFonts w:ascii="宋体" w:hAnsi="宋体"/>
          <w:color w:val="auto"/>
          <w:sz w:val="24"/>
          <w:highlight w:val="none"/>
        </w:rPr>
      </w:pPr>
    </w:p>
    <w:p w14:paraId="61080F5C">
      <w:pPr>
        <w:spacing w:line="48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投标人名称（盖章</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04F52C2F">
      <w:pPr>
        <w:spacing w:line="480" w:lineRule="auto"/>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2D92EC2B">
      <w:pPr>
        <w:spacing w:line="480" w:lineRule="auto"/>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lang w:val="en-US" w:eastAsia="zh-CN"/>
        </w:rPr>
        <w:t xml:space="preserve">                         </w:t>
      </w:r>
    </w:p>
    <w:p w14:paraId="598FAAF2">
      <w:pPr>
        <w:bidi w:val="0"/>
        <w:spacing w:line="360" w:lineRule="auto"/>
        <w:rPr>
          <w:rFonts w:hint="eastAsia" w:ascii="宋体" w:hAnsi="宋体" w:eastAsia="宋体" w:cs="宋体"/>
          <w:b w:val="0"/>
          <w:bCs w:val="0"/>
          <w:color w:val="auto"/>
          <w:sz w:val="24"/>
          <w:szCs w:val="32"/>
          <w:highlight w:val="none"/>
        </w:rPr>
      </w:pPr>
    </w:p>
    <w:p w14:paraId="3906BF3A">
      <w:pPr>
        <w:spacing w:line="360" w:lineRule="auto"/>
        <w:jc w:val="both"/>
        <w:rPr>
          <w:rFonts w:ascii="宋体"/>
          <w:b/>
          <w:color w:val="auto"/>
          <w:sz w:val="24"/>
          <w:szCs w:val="24"/>
          <w:highlight w:val="none"/>
        </w:rPr>
      </w:pPr>
    </w:p>
    <w:p w14:paraId="160A52EE">
      <w:pPr>
        <w:spacing w:line="360" w:lineRule="auto"/>
        <w:jc w:val="both"/>
        <w:rPr>
          <w:rFonts w:ascii="宋体"/>
          <w:b/>
          <w:color w:val="auto"/>
          <w:sz w:val="24"/>
          <w:szCs w:val="24"/>
          <w:highlight w:val="none"/>
        </w:rPr>
      </w:pPr>
    </w:p>
    <w:p w14:paraId="05D2D36E">
      <w:pPr>
        <w:spacing w:line="360" w:lineRule="auto"/>
        <w:jc w:val="both"/>
        <w:rPr>
          <w:rFonts w:ascii="宋体"/>
          <w:b/>
          <w:color w:val="auto"/>
          <w:sz w:val="24"/>
          <w:szCs w:val="24"/>
          <w:highlight w:val="none"/>
        </w:rPr>
      </w:pPr>
    </w:p>
    <w:p w14:paraId="49A7F5F0">
      <w:pPr>
        <w:spacing w:line="360" w:lineRule="auto"/>
        <w:jc w:val="both"/>
        <w:rPr>
          <w:rFonts w:ascii="宋体"/>
          <w:b/>
          <w:color w:val="auto"/>
          <w:sz w:val="24"/>
          <w:szCs w:val="24"/>
          <w:highlight w:val="none"/>
        </w:rPr>
      </w:pPr>
    </w:p>
    <w:p w14:paraId="628EC2D6">
      <w:pPr>
        <w:spacing w:line="360" w:lineRule="auto"/>
        <w:ind w:firstLine="480" w:firstLineChars="200"/>
        <w:rPr>
          <w:rFonts w:ascii="宋体" w:hAnsi="宋体" w:cs="宋体"/>
          <w:color w:val="auto"/>
          <w:sz w:val="24"/>
          <w:highlight w:val="none"/>
        </w:rPr>
      </w:pPr>
    </w:p>
    <w:p w14:paraId="07B95642">
      <w:pPr>
        <w:spacing w:line="360" w:lineRule="auto"/>
        <w:jc w:val="both"/>
        <w:rPr>
          <w:rFonts w:ascii="宋体" w:hAnsi="宋体"/>
          <w:color w:val="auto"/>
          <w:spacing w:val="40"/>
          <w:sz w:val="28"/>
          <w:szCs w:val="28"/>
          <w:highlight w:val="none"/>
        </w:rPr>
      </w:pPr>
      <w:bookmarkStart w:id="57" w:name="_Toc18363"/>
      <w:bookmarkStart w:id="58" w:name="_Toc17132"/>
      <w:r>
        <w:rPr>
          <w:rFonts w:hint="eastAsia" w:ascii="宋体" w:hAnsi="宋体" w:cs="宋体"/>
          <w:b/>
          <w:bCs/>
          <w:color w:val="auto"/>
          <w:sz w:val="28"/>
          <w:szCs w:val="36"/>
          <w:highlight w:val="none"/>
        </w:rPr>
        <w:t>附件</w:t>
      </w:r>
      <w:r>
        <w:rPr>
          <w:rFonts w:hint="eastAsia" w:ascii="宋体" w:hAnsi="宋体" w:cs="宋体"/>
          <w:b/>
          <w:bCs/>
          <w:color w:val="auto"/>
          <w:sz w:val="28"/>
          <w:szCs w:val="36"/>
          <w:highlight w:val="none"/>
          <w:lang w:val="en-US" w:eastAsia="zh-CN"/>
        </w:rPr>
        <w:t>16</w:t>
      </w:r>
      <w:r>
        <w:rPr>
          <w:rFonts w:hint="eastAsia" w:ascii="宋体" w:hAnsi="宋体" w:cs="宋体"/>
          <w:color w:val="auto"/>
          <w:sz w:val="30"/>
          <w:szCs w:val="30"/>
          <w:highlight w:val="none"/>
        </w:rPr>
        <w:t xml:space="preserve">　                                  </w:t>
      </w:r>
      <w:bookmarkEnd w:id="57"/>
      <w:bookmarkEnd w:id="58"/>
    </w:p>
    <w:p w14:paraId="378E1D9F">
      <w:pPr>
        <w:outlineLvl w:val="0"/>
        <w:rPr>
          <w:rFonts w:ascii="宋体" w:hAnsi="宋体" w:cs="宋体"/>
          <w:b/>
          <w:bCs/>
          <w:color w:val="auto"/>
          <w:sz w:val="28"/>
          <w:szCs w:val="36"/>
          <w:highlight w:val="none"/>
        </w:rPr>
      </w:pPr>
    </w:p>
    <w:p w14:paraId="12F8E1BF">
      <w:pPr>
        <w:jc w:val="center"/>
        <w:rPr>
          <w:rFonts w:ascii="宋体" w:hAnsi="宋体" w:cs="宋体"/>
          <w:color w:val="auto"/>
          <w:spacing w:val="40"/>
          <w:sz w:val="52"/>
          <w:szCs w:val="52"/>
          <w:highlight w:val="none"/>
        </w:rPr>
      </w:pPr>
    </w:p>
    <w:p w14:paraId="2D33EF3F">
      <w:pPr>
        <w:jc w:val="center"/>
        <w:rPr>
          <w:rFonts w:ascii="宋体" w:hAnsi="宋体" w:cs="宋体"/>
          <w:color w:val="auto"/>
          <w:spacing w:val="40"/>
          <w:sz w:val="52"/>
          <w:szCs w:val="52"/>
          <w:highlight w:val="none"/>
        </w:rPr>
      </w:pPr>
      <w:r>
        <w:rPr>
          <w:rFonts w:hint="eastAsia" w:ascii="宋体" w:hAnsi="宋体" w:cs="宋体"/>
          <w:color w:val="auto"/>
          <w:spacing w:val="40"/>
          <w:sz w:val="52"/>
          <w:szCs w:val="52"/>
          <w:highlight w:val="none"/>
        </w:rPr>
        <w:t>项目名称</w:t>
      </w:r>
    </w:p>
    <w:p w14:paraId="6084487C">
      <w:pPr>
        <w:jc w:val="center"/>
        <w:rPr>
          <w:rFonts w:ascii="宋体" w:hAnsi="宋体" w:cs="宋体"/>
          <w:color w:val="auto"/>
          <w:sz w:val="36"/>
          <w:szCs w:val="36"/>
          <w:highlight w:val="none"/>
        </w:rPr>
      </w:pPr>
      <w:r>
        <w:rPr>
          <w:rFonts w:hint="eastAsia" w:ascii="宋体" w:hAnsi="宋体" w:cs="宋体"/>
          <w:color w:val="auto"/>
          <w:sz w:val="36"/>
          <w:szCs w:val="36"/>
          <w:highlight w:val="none"/>
        </w:rPr>
        <w:t>项目编号：</w:t>
      </w:r>
    </w:p>
    <w:p w14:paraId="6B6817D4">
      <w:pPr>
        <w:jc w:val="center"/>
        <w:rPr>
          <w:rFonts w:ascii="宋体" w:hAnsi="宋体" w:cs="宋体"/>
          <w:b/>
          <w:color w:val="auto"/>
          <w:spacing w:val="40"/>
          <w:sz w:val="84"/>
          <w:szCs w:val="84"/>
          <w:highlight w:val="none"/>
        </w:rPr>
      </w:pPr>
    </w:p>
    <w:p w14:paraId="571CCDCB">
      <w:pPr>
        <w:jc w:val="center"/>
        <w:rPr>
          <w:rFonts w:ascii="宋体" w:hAnsi="宋体" w:cs="宋体"/>
          <w:b/>
          <w:color w:val="auto"/>
          <w:spacing w:val="40"/>
          <w:sz w:val="84"/>
          <w:szCs w:val="84"/>
          <w:highlight w:val="none"/>
        </w:rPr>
      </w:pPr>
      <w:r>
        <w:rPr>
          <w:rFonts w:hint="eastAsia" w:ascii="宋体" w:hAnsi="宋体" w:cs="宋体"/>
          <w:b/>
          <w:color w:val="auto"/>
          <w:spacing w:val="40"/>
          <w:sz w:val="84"/>
          <w:szCs w:val="84"/>
          <w:highlight w:val="none"/>
        </w:rPr>
        <w:t>报</w:t>
      </w:r>
    </w:p>
    <w:p w14:paraId="5E828975">
      <w:pPr>
        <w:jc w:val="center"/>
        <w:rPr>
          <w:rFonts w:ascii="宋体" w:hAnsi="宋体" w:cs="宋体"/>
          <w:b/>
          <w:color w:val="auto"/>
          <w:spacing w:val="40"/>
          <w:sz w:val="84"/>
          <w:szCs w:val="84"/>
          <w:highlight w:val="none"/>
        </w:rPr>
      </w:pPr>
      <w:r>
        <w:rPr>
          <w:rFonts w:hint="eastAsia" w:ascii="宋体" w:hAnsi="宋体" w:cs="宋体"/>
          <w:b/>
          <w:color w:val="auto"/>
          <w:spacing w:val="40"/>
          <w:sz w:val="84"/>
          <w:szCs w:val="84"/>
          <w:highlight w:val="none"/>
        </w:rPr>
        <w:t>价</w:t>
      </w:r>
    </w:p>
    <w:p w14:paraId="72B69437">
      <w:pPr>
        <w:jc w:val="center"/>
        <w:rPr>
          <w:rFonts w:ascii="宋体" w:hAnsi="宋体" w:cs="宋体"/>
          <w:b/>
          <w:color w:val="auto"/>
          <w:spacing w:val="40"/>
          <w:sz w:val="84"/>
          <w:szCs w:val="84"/>
          <w:highlight w:val="none"/>
        </w:rPr>
      </w:pPr>
      <w:r>
        <w:rPr>
          <w:rFonts w:hint="eastAsia" w:ascii="宋体" w:hAnsi="宋体" w:cs="宋体"/>
          <w:b/>
          <w:color w:val="auto"/>
          <w:spacing w:val="40"/>
          <w:sz w:val="84"/>
          <w:szCs w:val="84"/>
          <w:highlight w:val="none"/>
        </w:rPr>
        <w:t>文</w:t>
      </w:r>
    </w:p>
    <w:p w14:paraId="06C5D0AC">
      <w:pPr>
        <w:jc w:val="center"/>
        <w:rPr>
          <w:rFonts w:ascii="宋体" w:hAnsi="宋体" w:cs="宋体"/>
          <w:b/>
          <w:color w:val="auto"/>
          <w:spacing w:val="40"/>
          <w:sz w:val="84"/>
          <w:szCs w:val="84"/>
          <w:highlight w:val="none"/>
        </w:rPr>
      </w:pPr>
      <w:r>
        <w:rPr>
          <w:rFonts w:hint="eastAsia" w:ascii="宋体" w:hAnsi="宋体" w:cs="宋体"/>
          <w:b/>
          <w:color w:val="auto"/>
          <w:spacing w:val="40"/>
          <w:sz w:val="84"/>
          <w:szCs w:val="84"/>
          <w:highlight w:val="none"/>
        </w:rPr>
        <w:t>件</w:t>
      </w:r>
    </w:p>
    <w:p w14:paraId="105A1696">
      <w:pPr>
        <w:jc w:val="center"/>
        <w:rPr>
          <w:rFonts w:ascii="宋体" w:hAnsi="宋体" w:cs="宋体"/>
          <w:color w:val="auto"/>
          <w:sz w:val="36"/>
          <w:szCs w:val="36"/>
          <w:highlight w:val="none"/>
        </w:rPr>
      </w:pPr>
    </w:p>
    <w:p w14:paraId="18A7B0A7">
      <w:pPr>
        <w:spacing w:line="360" w:lineRule="auto"/>
        <w:ind w:right="532"/>
        <w:rPr>
          <w:rFonts w:ascii="宋体" w:hAnsi="宋体" w:cs="宋体"/>
          <w:color w:val="auto"/>
          <w:sz w:val="36"/>
          <w:szCs w:val="36"/>
          <w:highlight w:val="none"/>
        </w:rPr>
      </w:pPr>
    </w:p>
    <w:p w14:paraId="47598BFC">
      <w:pPr>
        <w:rPr>
          <w:rFonts w:ascii="宋体" w:hAnsi="宋体" w:cs="宋体"/>
          <w:color w:val="auto"/>
          <w:sz w:val="32"/>
          <w:szCs w:val="32"/>
          <w:highlight w:val="none"/>
        </w:rPr>
      </w:pPr>
      <w:r>
        <w:rPr>
          <w:rFonts w:hint="eastAsia" w:ascii="宋体" w:hAnsi="宋体" w:cs="宋体"/>
          <w:color w:val="auto"/>
          <w:sz w:val="32"/>
          <w:szCs w:val="32"/>
          <w:highlight w:val="none"/>
        </w:rPr>
        <w:t>供应商全称：</w:t>
      </w:r>
    </w:p>
    <w:p w14:paraId="55409BE7">
      <w:pPr>
        <w:rPr>
          <w:rFonts w:ascii="宋体" w:hAnsi="宋体" w:cs="宋体"/>
          <w:color w:val="auto"/>
          <w:sz w:val="32"/>
          <w:szCs w:val="32"/>
          <w:highlight w:val="none"/>
        </w:rPr>
      </w:pPr>
      <w:r>
        <w:rPr>
          <w:rFonts w:hint="eastAsia" w:ascii="宋体" w:hAnsi="宋体" w:cs="宋体"/>
          <w:color w:val="auto"/>
          <w:sz w:val="32"/>
          <w:szCs w:val="32"/>
          <w:highlight w:val="none"/>
        </w:rPr>
        <w:t>地址：</w:t>
      </w:r>
    </w:p>
    <w:p w14:paraId="61E07797">
      <w:pPr>
        <w:rPr>
          <w:rFonts w:ascii="宋体" w:hAnsi="宋体" w:cs="宋体"/>
          <w:color w:val="auto"/>
          <w:sz w:val="32"/>
          <w:szCs w:val="32"/>
          <w:highlight w:val="none"/>
        </w:rPr>
      </w:pPr>
      <w:r>
        <w:rPr>
          <w:rFonts w:hint="eastAsia" w:ascii="宋体" w:hAnsi="宋体" w:cs="宋体"/>
          <w:color w:val="auto"/>
          <w:sz w:val="32"/>
          <w:szCs w:val="32"/>
          <w:highlight w:val="none"/>
        </w:rPr>
        <w:t>时间：</w:t>
      </w:r>
    </w:p>
    <w:p w14:paraId="64D7EA1A">
      <w:pPr>
        <w:spacing w:line="360" w:lineRule="auto"/>
        <w:rPr>
          <w:rFonts w:ascii="宋体" w:hAnsi="宋体" w:cs="宋体"/>
          <w:color w:val="auto"/>
          <w:sz w:val="24"/>
          <w:szCs w:val="32"/>
          <w:highlight w:val="none"/>
        </w:rPr>
      </w:pPr>
    </w:p>
    <w:p w14:paraId="506C4C0B">
      <w:pPr>
        <w:jc w:val="center"/>
        <w:rPr>
          <w:rFonts w:ascii="宋体" w:hAnsi="宋体" w:cs="宋体"/>
          <w:b/>
          <w:bCs/>
          <w:color w:val="auto"/>
          <w:sz w:val="32"/>
          <w:szCs w:val="40"/>
          <w:highlight w:val="none"/>
          <w:lang w:val="zh-CN"/>
        </w:rPr>
      </w:pPr>
      <w:r>
        <w:rPr>
          <w:rFonts w:hint="eastAsia" w:ascii="宋体" w:hAnsi="宋体" w:cs="宋体"/>
          <w:b/>
          <w:bCs/>
          <w:color w:val="auto"/>
          <w:sz w:val="32"/>
          <w:szCs w:val="40"/>
          <w:highlight w:val="none"/>
          <w:lang w:val="zh-CN"/>
        </w:rPr>
        <w:br w:type="page"/>
      </w:r>
      <w:r>
        <w:rPr>
          <w:rFonts w:hint="eastAsia" w:ascii="宋体" w:hAnsi="宋体" w:cs="宋体"/>
          <w:b/>
          <w:bCs/>
          <w:color w:val="auto"/>
          <w:sz w:val="32"/>
          <w:szCs w:val="40"/>
          <w:highlight w:val="none"/>
          <w:lang w:val="zh-CN"/>
        </w:rPr>
        <w:t>报价文件目录</w:t>
      </w:r>
    </w:p>
    <w:p w14:paraId="2E46B8D0">
      <w:pPr>
        <w:spacing w:line="360" w:lineRule="auto"/>
        <w:rPr>
          <w:rFonts w:ascii="宋体" w:hAnsi="宋体" w:cs="宋体"/>
          <w:color w:val="auto"/>
          <w:sz w:val="24"/>
          <w:highlight w:val="none"/>
        </w:rPr>
      </w:pPr>
    </w:p>
    <w:p w14:paraId="4A65D9F4">
      <w:pPr>
        <w:spacing w:line="360" w:lineRule="auto"/>
        <w:ind w:firstLine="560" w:firstLineChars="200"/>
        <w:rPr>
          <w:rFonts w:ascii="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、开标一览表（附件</w:t>
      </w:r>
      <w:r>
        <w:rPr>
          <w:rFonts w:hint="eastAsia" w:ascii="宋体" w:hAnsi="宋体" w:cs="宋体"/>
          <w:color w:val="auto"/>
          <w:sz w:val="28"/>
          <w:szCs w:val="28"/>
          <w:highlight w:val="none"/>
          <w:lang w:val="en-US" w:eastAsia="zh-CN"/>
        </w:rPr>
        <w:t>17</w:t>
      </w:r>
      <w:r>
        <w:rPr>
          <w:rFonts w:hint="eastAsia" w:ascii="宋体" w:hAnsi="宋体" w:cs="宋体"/>
          <w:color w:val="auto"/>
          <w:sz w:val="28"/>
          <w:szCs w:val="28"/>
          <w:highlight w:val="none"/>
        </w:rPr>
        <w:t>）；</w:t>
      </w:r>
    </w:p>
    <w:p w14:paraId="3D76F65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2、报价明细表（附件</w:t>
      </w:r>
      <w:r>
        <w:rPr>
          <w:rFonts w:hint="eastAsia" w:ascii="宋体" w:hAnsi="宋体" w:cs="宋体"/>
          <w:color w:val="auto"/>
          <w:sz w:val="28"/>
          <w:szCs w:val="28"/>
          <w:highlight w:val="none"/>
          <w:lang w:val="en-US" w:eastAsia="zh-CN"/>
        </w:rPr>
        <w:t>18</w:t>
      </w:r>
      <w:r>
        <w:rPr>
          <w:rFonts w:hint="eastAsia" w:ascii="宋体" w:hAnsi="宋体" w:cs="宋体"/>
          <w:color w:val="auto"/>
          <w:sz w:val="28"/>
          <w:szCs w:val="28"/>
          <w:highlight w:val="none"/>
        </w:rPr>
        <w:t>）；</w:t>
      </w:r>
    </w:p>
    <w:p w14:paraId="1FAF517F">
      <w:pPr>
        <w:bidi w:val="0"/>
        <w:spacing w:line="360" w:lineRule="auto"/>
        <w:ind w:firstLine="560" w:firstLineChars="200"/>
        <w:jc w:val="left"/>
        <w:rPr>
          <w:rFonts w:hint="eastAsia" w:ascii="宋体" w:hAnsi="宋体" w:cs="宋体"/>
          <w:color w:val="auto"/>
          <w:sz w:val="28"/>
          <w:szCs w:val="36"/>
          <w:highlight w:val="none"/>
          <w:lang w:eastAsia="zh-CN"/>
        </w:rPr>
      </w:pPr>
      <w:r>
        <w:rPr>
          <w:rFonts w:hint="eastAsia" w:ascii="宋体" w:hAnsi="宋体" w:cs="宋体"/>
          <w:color w:val="auto"/>
          <w:sz w:val="28"/>
          <w:szCs w:val="28"/>
          <w:highlight w:val="none"/>
        </w:rPr>
        <w:t>3、</w:t>
      </w:r>
      <w:r>
        <w:rPr>
          <w:rFonts w:hint="eastAsia" w:ascii="宋体" w:hAnsi="宋体" w:eastAsia="宋体" w:cs="宋体"/>
          <w:color w:val="auto"/>
          <w:sz w:val="28"/>
          <w:szCs w:val="36"/>
          <w:highlight w:val="none"/>
        </w:rPr>
        <w:t>中小企业</w:t>
      </w:r>
      <w:r>
        <w:rPr>
          <w:rFonts w:hint="eastAsia" w:ascii="宋体" w:hAnsi="宋体" w:cs="宋体"/>
          <w:color w:val="auto"/>
          <w:sz w:val="28"/>
          <w:szCs w:val="36"/>
          <w:highlight w:val="none"/>
          <w:lang w:val="en-US" w:eastAsia="zh-CN"/>
        </w:rPr>
        <w:t>等</w:t>
      </w:r>
      <w:r>
        <w:rPr>
          <w:rFonts w:hint="eastAsia" w:ascii="宋体" w:hAnsi="宋体" w:eastAsia="宋体" w:cs="宋体"/>
          <w:color w:val="auto"/>
          <w:sz w:val="28"/>
          <w:szCs w:val="36"/>
          <w:highlight w:val="none"/>
        </w:rPr>
        <w:t>声明函（附件</w:t>
      </w:r>
      <w:r>
        <w:rPr>
          <w:rFonts w:hint="eastAsia" w:ascii="宋体" w:hAnsi="宋体" w:cs="宋体"/>
          <w:color w:val="auto"/>
          <w:sz w:val="28"/>
          <w:szCs w:val="36"/>
          <w:highlight w:val="none"/>
          <w:lang w:val="en-US" w:eastAsia="zh-CN"/>
        </w:rPr>
        <w:t>19</w:t>
      </w:r>
      <w:r>
        <w:rPr>
          <w:rFonts w:hint="eastAsia" w:ascii="宋体" w:hAnsi="宋体" w:cs="宋体"/>
          <w:color w:val="auto"/>
          <w:sz w:val="28"/>
          <w:szCs w:val="36"/>
          <w:highlight w:val="none"/>
          <w:lang w:eastAsia="zh-CN"/>
        </w:rPr>
        <w:t>）；（如有需提供）</w:t>
      </w:r>
    </w:p>
    <w:p w14:paraId="189BEF84">
      <w:pPr>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针对报价投标人认为其他需要说明的</w:t>
      </w:r>
      <w:r>
        <w:rPr>
          <w:rFonts w:hint="eastAsia" w:ascii="宋体" w:hAnsi="宋体" w:cs="宋体"/>
          <w:color w:val="auto"/>
          <w:sz w:val="28"/>
          <w:szCs w:val="28"/>
          <w:highlight w:val="none"/>
          <w:lang w:eastAsia="zh-CN"/>
        </w:rPr>
        <w:t>；</w:t>
      </w:r>
    </w:p>
    <w:p w14:paraId="3BCC812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中小</w:t>
      </w:r>
      <w:r>
        <w:rPr>
          <w:rFonts w:hint="eastAsia" w:ascii="宋体" w:hAnsi="宋体" w:eastAsia="宋体" w:cs="宋体"/>
          <w:color w:val="auto"/>
          <w:sz w:val="28"/>
          <w:szCs w:val="28"/>
          <w:highlight w:val="none"/>
        </w:rPr>
        <w:t>企业等声明函填表说明：</w:t>
      </w:r>
    </w:p>
    <w:p w14:paraId="005D02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标的设备分别由不同制造商制造的，请按序号填写齐全所有标的</w:t>
      </w:r>
      <w:r>
        <w:rPr>
          <w:rFonts w:hint="eastAsia" w:ascii="宋体" w:hAnsi="宋体" w:eastAsia="宋体" w:cs="宋体"/>
          <w:b/>
          <w:bCs/>
          <w:color w:val="auto"/>
          <w:sz w:val="28"/>
          <w:szCs w:val="28"/>
          <w:highlight w:val="none"/>
          <w:u w:val="single"/>
        </w:rPr>
        <w:t>货物制造商</w:t>
      </w:r>
      <w:r>
        <w:rPr>
          <w:rFonts w:hint="eastAsia" w:ascii="宋体" w:hAnsi="宋体" w:eastAsia="宋体" w:cs="宋体"/>
          <w:color w:val="auto"/>
          <w:sz w:val="28"/>
          <w:szCs w:val="28"/>
          <w:highlight w:val="none"/>
        </w:rPr>
        <w:t>的信息。</w:t>
      </w:r>
    </w:p>
    <w:p w14:paraId="1BA8474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从业人员、营业收入、资产总额填报上一年度数据，无上一年度数据的新成立企业可不填报。</w:t>
      </w:r>
    </w:p>
    <w:p w14:paraId="207E598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为了更加准确判定制造商是否为小微企业，请供应商根据工业和信息化部官方网站---中小企业规模类型自测小程序来辨别制造商企业规模类型，中小企业规模类型自测小程序链接网址为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"https://baosong.miit.gov.cn/ScaleTest"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t>https://baosong.miit.gov.cn/ScaleTest)</w:t>
      </w:r>
      <w:r>
        <w:rPr>
          <w:rFonts w:hint="eastAsia" w:ascii="宋体" w:hAnsi="宋体" w:eastAsia="宋体" w:cs="宋体"/>
          <w:color w:val="auto"/>
          <w:sz w:val="28"/>
          <w:szCs w:val="28"/>
          <w:highlight w:val="none"/>
          <w:lang w:eastAsia="zh-CN"/>
        </w:rPr>
        <w:fldChar w:fldCharType="end"/>
      </w:r>
    </w:p>
    <w:p w14:paraId="74F22D2D">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供应商未提供《中小企业声明函》的、《中小企业声明函》中内容应填写而未进行填写或未如实填写的，将不给予供应商小微企业报价优惠扣除。</w:t>
      </w:r>
    </w:p>
    <w:p w14:paraId="5AB130D9">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预成交供应商享受小微企业报价优惠扣除的，将按规定公开预成交供应商的《中小企业声明函》。</w:t>
      </w:r>
    </w:p>
    <w:p w14:paraId="1B5C25E9">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）如国家对中小企业划型标准有新的规定的，从其规定。</w:t>
      </w:r>
    </w:p>
    <w:p w14:paraId="73D85D3C">
      <w:pPr>
        <w:pStyle w:val="9"/>
        <w:rPr>
          <w:rFonts w:hint="eastAsia"/>
          <w:color w:val="auto"/>
          <w:highlight w:val="none"/>
          <w:lang w:eastAsia="zh-CN"/>
        </w:rPr>
      </w:pPr>
    </w:p>
    <w:p w14:paraId="1CD47BC0">
      <w:pPr>
        <w:pStyle w:val="9"/>
        <w:rPr>
          <w:rFonts w:hint="eastAsia"/>
          <w:color w:val="auto"/>
          <w:highlight w:val="none"/>
          <w:lang w:eastAsia="zh-CN"/>
        </w:rPr>
        <w:sectPr>
          <w:pgSz w:w="11906" w:h="16838"/>
          <w:pgMar w:top="1440" w:right="1080" w:bottom="1440" w:left="1080" w:header="851" w:footer="992" w:gutter="0"/>
          <w:pgNumType w:fmt="decimal"/>
          <w:cols w:space="0" w:num="1"/>
          <w:rtlGutter w:val="0"/>
          <w:docGrid w:type="lines" w:linePitch="317" w:charSpace="0"/>
        </w:sectPr>
      </w:pPr>
    </w:p>
    <w:p w14:paraId="3828F498">
      <w:pPr>
        <w:pStyle w:val="13"/>
        <w:spacing w:before="120" w:after="120" w:line="400" w:lineRule="atLeast"/>
        <w:jc w:val="left"/>
        <w:rPr>
          <w:rFonts w:hint="default" w:ascii="宋体" w:hAnsi="宋体" w:eastAsia="宋体" w:cs="宋体"/>
          <w:b/>
          <w:bCs/>
          <w:color w:val="auto"/>
          <w:kern w:val="2"/>
          <w:sz w:val="28"/>
          <w:szCs w:val="36"/>
          <w:highlight w:val="none"/>
          <w:lang w:val="en-US" w:eastAsia="zh-CN" w:bidi="ar-SA"/>
        </w:rPr>
      </w:pPr>
      <w:r>
        <w:rPr>
          <w:rFonts w:hint="eastAsia" w:ascii="宋体" w:hAnsi="宋体" w:eastAsia="宋体" w:cs="宋体"/>
          <w:b/>
          <w:bCs/>
          <w:color w:val="auto"/>
          <w:kern w:val="2"/>
          <w:sz w:val="28"/>
          <w:szCs w:val="36"/>
          <w:highlight w:val="none"/>
          <w:lang w:val="en-US" w:eastAsia="zh-CN" w:bidi="ar-SA"/>
        </w:rPr>
        <w:t>附件17</w:t>
      </w:r>
    </w:p>
    <w:p w14:paraId="55EA1245">
      <w:pPr>
        <w:pStyle w:val="13"/>
        <w:spacing w:before="120" w:after="120" w:line="400" w:lineRule="atLeast"/>
        <w:jc w:val="center"/>
        <w:rPr>
          <w:rFonts w:hAnsi="宋体" w:cs="宋体"/>
          <w:b/>
          <w:bCs/>
          <w:color w:val="auto"/>
          <w:sz w:val="36"/>
          <w:szCs w:val="36"/>
          <w:highlight w:val="none"/>
        </w:rPr>
      </w:pPr>
      <w:r>
        <w:rPr>
          <w:rFonts w:hint="eastAsia" w:hAnsi="宋体" w:cs="宋体"/>
          <w:b/>
          <w:bCs/>
          <w:color w:val="auto"/>
          <w:sz w:val="36"/>
          <w:szCs w:val="36"/>
          <w:highlight w:val="none"/>
        </w:rPr>
        <w:t>开标一览表</w:t>
      </w:r>
    </w:p>
    <w:p w14:paraId="48B3A624">
      <w:pPr>
        <w:rPr>
          <w:rFonts w:hint="eastAsia" w:ascii="宋体" w:hAnsi="宋体" w:cs="宋体"/>
          <w:color w:val="auto"/>
          <w:sz w:val="24"/>
          <w:highlight w:val="none"/>
        </w:rPr>
      </w:pPr>
    </w:p>
    <w:p w14:paraId="586A3BCA">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台州市中心医院外科大楼窗帘、床帘、卷帘及配套轨道采购项目</w:t>
      </w:r>
    </w:p>
    <w:p w14:paraId="2459ACB5">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331000261400110000002-HZHB2026-JJ19</w:t>
      </w:r>
      <w:r>
        <w:rPr>
          <w:rFonts w:hint="eastAsia" w:ascii="宋体" w:hAnsi="宋体" w:cs="宋体"/>
          <w:color w:val="auto"/>
          <w:sz w:val="24"/>
          <w:highlight w:val="none"/>
        </w:rPr>
        <w:t xml:space="preserve">    [货币单位：人民币/元]</w:t>
      </w:r>
    </w:p>
    <w:p w14:paraId="41018723">
      <w:pPr>
        <w:rPr>
          <w:rFonts w:ascii="宋体" w:hAnsi="宋体" w:cs="宋体"/>
          <w:color w:val="auto"/>
          <w:sz w:val="24"/>
          <w:highlight w:val="none"/>
        </w:rPr>
      </w:pPr>
    </w:p>
    <w:tbl>
      <w:tblPr>
        <w:tblStyle w:val="27"/>
        <w:tblW w:w="843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21"/>
        <w:gridCol w:w="1311"/>
        <w:gridCol w:w="4507"/>
      </w:tblGrid>
      <w:tr w14:paraId="46E74D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927" w:hRule="atLeast"/>
        </w:trPr>
        <w:tc>
          <w:tcPr>
            <w:tcW w:w="2621" w:type="dxa"/>
            <w:vMerge w:val="restart"/>
            <w:tcBorders>
              <w:top w:val="single" w:color="auto" w:sz="4" w:space="0"/>
              <w:left w:val="single" w:color="auto" w:sz="4" w:space="0"/>
              <w:bottom w:val="single" w:color="auto" w:sz="4" w:space="0"/>
              <w:right w:val="single" w:color="auto" w:sz="4" w:space="0"/>
            </w:tcBorders>
            <w:vAlign w:val="center"/>
          </w:tcPr>
          <w:p w14:paraId="0CFCB67E">
            <w:pPr>
              <w:jc w:val="center"/>
              <w:rPr>
                <w:rFonts w:ascii="宋体" w:hAnsi="宋体" w:cs="宋体"/>
                <w:color w:val="auto"/>
                <w:sz w:val="24"/>
                <w:highlight w:val="none"/>
              </w:rPr>
            </w:pPr>
            <w:r>
              <w:rPr>
                <w:rFonts w:hint="eastAsia" w:ascii="宋体" w:hAnsi="宋体" w:cs="宋体"/>
                <w:color w:val="auto"/>
                <w:sz w:val="24"/>
                <w:highlight w:val="none"/>
              </w:rPr>
              <w:t>投标总报价(元)</w:t>
            </w:r>
          </w:p>
        </w:tc>
        <w:tc>
          <w:tcPr>
            <w:tcW w:w="1311" w:type="dxa"/>
            <w:tcBorders>
              <w:top w:val="single" w:color="auto" w:sz="4" w:space="0"/>
              <w:left w:val="single" w:color="auto" w:sz="4" w:space="0"/>
              <w:bottom w:val="single" w:color="auto" w:sz="4" w:space="0"/>
              <w:right w:val="single" w:color="auto" w:sz="4" w:space="0"/>
            </w:tcBorders>
            <w:vAlign w:val="center"/>
          </w:tcPr>
          <w:p w14:paraId="1AC931EA">
            <w:pPr>
              <w:jc w:val="center"/>
              <w:rPr>
                <w:rFonts w:ascii="宋体" w:hAnsi="宋体" w:cs="宋体"/>
                <w:color w:val="auto"/>
                <w:sz w:val="24"/>
                <w:highlight w:val="none"/>
              </w:rPr>
            </w:pPr>
            <w:r>
              <w:rPr>
                <w:rFonts w:hint="eastAsia" w:ascii="宋体" w:hAnsi="宋体" w:cs="宋体"/>
                <w:color w:val="auto"/>
                <w:sz w:val="24"/>
                <w:highlight w:val="none"/>
              </w:rPr>
              <w:t>大写</w:t>
            </w:r>
          </w:p>
        </w:tc>
        <w:tc>
          <w:tcPr>
            <w:tcW w:w="4507" w:type="dxa"/>
            <w:tcBorders>
              <w:top w:val="single" w:color="auto" w:sz="4" w:space="0"/>
              <w:left w:val="single" w:color="auto" w:sz="4" w:space="0"/>
              <w:bottom w:val="single" w:color="auto" w:sz="4" w:space="0"/>
              <w:right w:val="single" w:color="auto" w:sz="4" w:space="0"/>
            </w:tcBorders>
            <w:vAlign w:val="center"/>
          </w:tcPr>
          <w:p w14:paraId="299CF8FC">
            <w:pPr>
              <w:jc w:val="center"/>
              <w:rPr>
                <w:rFonts w:ascii="宋体" w:hAnsi="宋体" w:cs="宋体"/>
                <w:color w:val="auto"/>
                <w:sz w:val="24"/>
                <w:highlight w:val="none"/>
              </w:rPr>
            </w:pPr>
          </w:p>
        </w:tc>
      </w:tr>
      <w:tr w14:paraId="5057E4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994" w:hRule="atLeast"/>
        </w:trPr>
        <w:tc>
          <w:tcPr>
            <w:tcW w:w="2621" w:type="dxa"/>
            <w:vMerge w:val="continue"/>
            <w:tcBorders>
              <w:top w:val="single" w:color="auto" w:sz="4" w:space="0"/>
              <w:left w:val="single" w:color="auto" w:sz="4" w:space="0"/>
              <w:bottom w:val="single" w:color="auto" w:sz="4" w:space="0"/>
              <w:right w:val="single" w:color="auto" w:sz="4" w:space="0"/>
            </w:tcBorders>
            <w:vAlign w:val="center"/>
          </w:tcPr>
          <w:p w14:paraId="5BD8D836">
            <w:pPr>
              <w:jc w:val="center"/>
              <w:rPr>
                <w:rFonts w:ascii="宋体" w:hAnsi="宋体" w:cs="宋体"/>
                <w:color w:val="auto"/>
                <w:sz w:val="24"/>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6AB496C7">
            <w:pPr>
              <w:jc w:val="center"/>
              <w:rPr>
                <w:rFonts w:ascii="宋体" w:hAnsi="宋体" w:cs="宋体"/>
                <w:color w:val="auto"/>
                <w:sz w:val="24"/>
                <w:highlight w:val="none"/>
              </w:rPr>
            </w:pPr>
            <w:r>
              <w:rPr>
                <w:rFonts w:hint="eastAsia" w:ascii="宋体" w:hAnsi="宋体" w:cs="宋体"/>
                <w:color w:val="auto"/>
                <w:sz w:val="24"/>
                <w:highlight w:val="none"/>
              </w:rPr>
              <w:t>小写</w:t>
            </w:r>
          </w:p>
        </w:tc>
        <w:tc>
          <w:tcPr>
            <w:tcW w:w="4507" w:type="dxa"/>
            <w:tcBorders>
              <w:top w:val="single" w:color="auto" w:sz="4" w:space="0"/>
              <w:left w:val="single" w:color="auto" w:sz="4" w:space="0"/>
              <w:bottom w:val="single" w:color="auto" w:sz="4" w:space="0"/>
              <w:right w:val="single" w:color="auto" w:sz="4" w:space="0"/>
            </w:tcBorders>
            <w:vAlign w:val="center"/>
          </w:tcPr>
          <w:p w14:paraId="2D21283E">
            <w:pPr>
              <w:jc w:val="center"/>
              <w:rPr>
                <w:rFonts w:ascii="宋体" w:hAnsi="宋体" w:cs="宋体"/>
                <w:color w:val="auto"/>
                <w:sz w:val="24"/>
                <w:highlight w:val="none"/>
              </w:rPr>
            </w:pPr>
          </w:p>
        </w:tc>
      </w:tr>
    </w:tbl>
    <w:p w14:paraId="5CC19CD0">
      <w:pPr>
        <w:pStyle w:val="7"/>
        <w:spacing w:line="360" w:lineRule="auto"/>
        <w:ind w:firstLine="482" w:firstLineChars="200"/>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填报要求</w:t>
      </w:r>
      <w:r>
        <w:rPr>
          <w:rFonts w:hint="eastAsia" w:ascii="宋体" w:hAnsi="宋体" w:eastAsia="宋体" w:cs="宋体"/>
          <w:b/>
          <w:bCs/>
          <w:color w:val="auto"/>
          <w:sz w:val="24"/>
          <w:szCs w:val="32"/>
          <w:highlight w:val="none"/>
          <w:lang w:eastAsia="zh-CN"/>
        </w:rPr>
        <w:t>：</w:t>
      </w:r>
    </w:p>
    <w:p w14:paraId="383610EE">
      <w:pPr>
        <w:pStyle w:val="7"/>
        <w:spacing w:line="360" w:lineRule="auto"/>
        <w:ind w:firstLine="480" w:firstLineChars="200"/>
        <w:rPr>
          <w:rFonts w:ascii="宋体" w:hAnsi="宋体" w:cs="宋体"/>
          <w:color w:val="auto"/>
          <w:kern w:val="0"/>
          <w:sz w:val="24"/>
          <w:highlight w:val="none"/>
          <w:lang w:val="zh-CN"/>
        </w:rPr>
      </w:pPr>
      <w:r>
        <w:rPr>
          <w:rFonts w:hint="eastAsia" w:ascii="宋体" w:hAnsi="宋体"/>
          <w:color w:val="auto"/>
          <w:kern w:val="0"/>
          <w:sz w:val="24"/>
          <w:szCs w:val="24"/>
          <w:highlight w:val="none"/>
        </w:rPr>
        <w:t>1.投标总报价包括货款、标准附件、备品备件、专用工具、包装、运输、装卸、保险、税金、货到就位以及安装、调试、培训、保修、合同包含的所有风险责任等各项费用及不可预见费等所需的全部费用</w:t>
      </w:r>
      <w:r>
        <w:rPr>
          <w:rFonts w:hint="eastAsia" w:ascii="宋体" w:hAnsi="宋体" w:cs="宋体"/>
          <w:color w:val="auto"/>
          <w:kern w:val="0"/>
          <w:sz w:val="24"/>
          <w:highlight w:val="none"/>
          <w:lang w:val="zh-CN"/>
        </w:rPr>
        <w:t>。</w:t>
      </w:r>
    </w:p>
    <w:p w14:paraId="55E6D091">
      <w:pPr>
        <w:pStyle w:val="7"/>
        <w:spacing w:line="360" w:lineRule="auto"/>
        <w:ind w:firstLine="482" w:firstLineChars="200"/>
        <w:rPr>
          <w:rFonts w:ascii="宋体" w:hAnsi="宋体" w:cs="宋体"/>
          <w:color w:val="auto"/>
          <w:kern w:val="0"/>
          <w:sz w:val="24"/>
          <w:highlight w:val="none"/>
          <w:lang w:val="zh-CN"/>
        </w:rPr>
      </w:pPr>
      <w:r>
        <w:rPr>
          <w:rFonts w:hint="eastAsia" w:ascii="宋体" w:hAnsi="宋体" w:cs="宋体"/>
          <w:b/>
          <w:bCs/>
          <w:color w:val="auto"/>
          <w:kern w:val="0"/>
          <w:sz w:val="24"/>
          <w:highlight w:val="none"/>
        </w:rPr>
        <w:t>2</w:t>
      </w:r>
      <w:r>
        <w:rPr>
          <w:rFonts w:hint="eastAsia" w:ascii="宋体" w:hAnsi="宋体" w:cs="宋体"/>
          <w:color w:val="auto"/>
          <w:kern w:val="0"/>
          <w:sz w:val="24"/>
          <w:highlight w:val="none"/>
          <w:lang w:val="zh-CN"/>
        </w:rPr>
        <w:t>.投标文件只允许有一个报价，有选择的或有条件的报价将不予接受。</w:t>
      </w:r>
    </w:p>
    <w:p w14:paraId="21896EF5">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报价须保留整数。</w:t>
      </w:r>
    </w:p>
    <w:p w14:paraId="0E58FD84">
      <w:pPr>
        <w:spacing w:line="360" w:lineRule="auto"/>
        <w:ind w:firstLine="480" w:firstLineChars="200"/>
        <w:rPr>
          <w:rFonts w:ascii="宋体" w:hAnsi="宋体"/>
          <w:b/>
          <w:i/>
          <w:color w:val="auto"/>
          <w:sz w:val="24"/>
          <w:highlight w:val="none"/>
          <w:u w:val="single"/>
        </w:rPr>
      </w:pPr>
      <w:r>
        <w:rPr>
          <w:rFonts w:hint="eastAsia" w:ascii="宋体" w:hAnsi="宋体"/>
          <w:color w:val="auto"/>
          <w:sz w:val="24"/>
          <w:highlight w:val="none"/>
          <w:lang w:val="en-US" w:eastAsia="zh-CN"/>
        </w:rPr>
        <w:t>4.</w:t>
      </w:r>
      <w:r>
        <w:rPr>
          <w:rFonts w:hint="eastAsia" w:ascii="宋体" w:hAnsi="宋体"/>
          <w:color w:val="auto"/>
          <w:sz w:val="24"/>
          <w:highlight w:val="none"/>
        </w:rPr>
        <w:t>报价一经涂改，应在涂改处加盖单位公章，或者由</w:t>
      </w:r>
      <w:r>
        <w:rPr>
          <w:rFonts w:hint="eastAsia" w:ascii="宋体" w:hAnsi="宋体"/>
          <w:color w:val="auto"/>
          <w:sz w:val="24"/>
          <w:highlight w:val="none"/>
          <w:lang w:eastAsia="zh-CN"/>
        </w:rPr>
        <w:t>法定代表人</w:t>
      </w:r>
      <w:r>
        <w:rPr>
          <w:rFonts w:hint="eastAsia" w:ascii="宋体" w:hAnsi="宋体"/>
          <w:color w:val="auto"/>
          <w:sz w:val="24"/>
          <w:highlight w:val="none"/>
        </w:rPr>
        <w:t>或投标人代表签名或盖章，否则其投标作无效标处理。</w:t>
      </w:r>
    </w:p>
    <w:p w14:paraId="12F5567A">
      <w:pPr>
        <w:pStyle w:val="13"/>
        <w:spacing w:before="120" w:after="120"/>
        <w:rPr>
          <w:rFonts w:hAnsi="宋体" w:cs="宋体"/>
          <w:color w:val="auto"/>
          <w:szCs w:val="21"/>
          <w:highlight w:val="none"/>
        </w:rPr>
      </w:pPr>
    </w:p>
    <w:p w14:paraId="0DD1A04D">
      <w:pPr>
        <w:spacing w:line="480" w:lineRule="auto"/>
        <w:ind w:firstLine="424" w:firstLineChars="177"/>
        <w:rPr>
          <w:rFonts w:ascii="宋体" w:hAnsi="宋体"/>
          <w:color w:val="auto"/>
          <w:sz w:val="24"/>
          <w:highlight w:val="none"/>
          <w:u w:val="single"/>
        </w:rPr>
      </w:pPr>
      <w:r>
        <w:rPr>
          <w:rFonts w:hint="eastAsia" w:ascii="宋体" w:hAnsi="宋体"/>
          <w:color w:val="auto"/>
          <w:sz w:val="24"/>
          <w:highlight w:val="none"/>
          <w:lang w:eastAsia="zh-CN"/>
        </w:rPr>
        <w:t>投标人名称（盖章）</w:t>
      </w:r>
      <w:r>
        <w:rPr>
          <w:rFonts w:hint="eastAsia" w:ascii="宋体" w:hAnsi="宋体"/>
          <w:color w:val="auto"/>
          <w:sz w:val="24"/>
          <w:highlight w:val="none"/>
        </w:rPr>
        <w:t>：</w:t>
      </w:r>
    </w:p>
    <w:p w14:paraId="7193AD17">
      <w:pPr>
        <w:spacing w:line="480" w:lineRule="auto"/>
        <w:ind w:firstLine="424" w:firstLineChars="177"/>
        <w:rPr>
          <w:rFonts w:ascii="宋体" w:hAnsi="宋体"/>
          <w:color w:val="auto"/>
          <w:sz w:val="24"/>
          <w:highlight w:val="none"/>
        </w:rPr>
      </w:pPr>
      <w:r>
        <w:rPr>
          <w:rFonts w:hint="eastAsia" w:ascii="宋体" w:hAnsi="宋体" w:cs="仿宋_GB2312"/>
          <w:color w:val="auto"/>
          <w:kern w:val="0"/>
          <w:sz w:val="24"/>
          <w:highlight w:val="none"/>
          <w:lang w:val="zh-CN"/>
        </w:rPr>
        <w:t>法定代表人或授权委托代理人（签字或盖章）</w:t>
      </w:r>
      <w:r>
        <w:rPr>
          <w:rFonts w:hint="eastAsia" w:ascii="宋体" w:hAnsi="宋体"/>
          <w:color w:val="auto"/>
          <w:sz w:val="24"/>
          <w:highlight w:val="none"/>
        </w:rPr>
        <w:t>：</w:t>
      </w:r>
    </w:p>
    <w:p w14:paraId="67D26219">
      <w:pPr>
        <w:pStyle w:val="36"/>
        <w:spacing w:line="480" w:lineRule="auto"/>
        <w:ind w:firstLine="420" w:firstLineChars="200"/>
        <w:jc w:val="left"/>
        <w:rPr>
          <w:color w:val="auto"/>
          <w:highlight w:val="none"/>
        </w:rPr>
        <w:sectPr>
          <w:headerReference r:id="rId6" w:type="default"/>
          <w:pgSz w:w="11906" w:h="16838"/>
          <w:pgMar w:top="1440" w:right="1803" w:bottom="1440" w:left="1803" w:header="851" w:footer="992" w:gutter="0"/>
          <w:pgNumType w:fmt="decimal"/>
          <w:cols w:space="0" w:num="1"/>
          <w:rtlGutter w:val="0"/>
          <w:docGrid w:type="lines" w:linePitch="317" w:charSpace="0"/>
        </w:sectPr>
      </w:pPr>
      <w:r>
        <w:rPr>
          <w:rFonts w:hint="eastAsia"/>
          <w:color w:val="auto"/>
          <w:highlight w:val="none"/>
        </w:rPr>
        <w:t>日        期：</w:t>
      </w:r>
    </w:p>
    <w:p w14:paraId="54B755DA">
      <w:pPr>
        <w:pStyle w:val="13"/>
        <w:spacing w:before="120" w:after="120" w:line="400" w:lineRule="atLeast"/>
        <w:jc w:val="left"/>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rPr>
        <w:t>附件</w:t>
      </w:r>
      <w:r>
        <w:rPr>
          <w:rFonts w:hint="eastAsia" w:hAnsi="宋体" w:cs="宋体"/>
          <w:b/>
          <w:bCs/>
          <w:color w:val="auto"/>
          <w:sz w:val="32"/>
          <w:szCs w:val="32"/>
          <w:highlight w:val="none"/>
          <w:lang w:val="en-US" w:eastAsia="zh-CN"/>
        </w:rPr>
        <w:t>18</w:t>
      </w:r>
    </w:p>
    <w:p w14:paraId="79D26703">
      <w:pPr>
        <w:pStyle w:val="22"/>
        <w:rPr>
          <w:color w:val="auto"/>
          <w:highlight w:val="none"/>
        </w:rPr>
      </w:pPr>
    </w:p>
    <w:p w14:paraId="1184F3B2">
      <w:pPr>
        <w:spacing w:line="360" w:lineRule="auto"/>
        <w:jc w:val="center"/>
        <w:rPr>
          <w:rFonts w:ascii="宋体" w:hAnsi="宋体"/>
          <w:color w:val="auto"/>
          <w:highlight w:val="none"/>
        </w:rPr>
      </w:pPr>
      <w:r>
        <w:rPr>
          <w:rFonts w:hint="eastAsia" w:ascii="宋体" w:hAnsi="宋体"/>
          <w:b/>
          <w:color w:val="auto"/>
          <w:sz w:val="32"/>
          <w:szCs w:val="32"/>
          <w:highlight w:val="none"/>
        </w:rPr>
        <w:t>报价明细表</w:t>
      </w:r>
    </w:p>
    <w:p w14:paraId="6F7F26EE">
      <w:pPr>
        <w:spacing w:line="360" w:lineRule="auto"/>
        <w:ind w:firstLine="720" w:firstLineChars="300"/>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项目名称：</w:t>
      </w:r>
      <w:r>
        <w:rPr>
          <w:rFonts w:hint="eastAsia" w:ascii="宋体" w:hAnsi="宋体" w:cs="宋体"/>
          <w:color w:val="auto"/>
          <w:sz w:val="24"/>
          <w:highlight w:val="none"/>
          <w:lang w:eastAsia="zh-CN"/>
        </w:rPr>
        <w:t>台州市中心医院外科大楼窗帘、床帘、卷帘及配套轨道采购项目</w:t>
      </w:r>
    </w:p>
    <w:p w14:paraId="357D5732">
      <w:pPr>
        <w:spacing w:line="360" w:lineRule="auto"/>
        <w:ind w:firstLine="720" w:firstLineChars="3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项目编号：</w:t>
      </w:r>
      <w:r>
        <w:rPr>
          <w:rFonts w:hint="eastAsia" w:ascii="宋体" w:hAnsi="宋体" w:cs="宋体"/>
          <w:color w:val="auto"/>
          <w:sz w:val="24"/>
          <w:szCs w:val="32"/>
          <w:highlight w:val="none"/>
          <w:lang w:eastAsia="zh-CN"/>
        </w:rPr>
        <w:t>331000261400110000002-HZHB2026-JJ19</w:t>
      </w:r>
      <w:r>
        <w:rPr>
          <w:rFonts w:hint="eastAsia" w:ascii="宋体" w:hAnsi="宋体" w:cs="宋体"/>
          <w:color w:val="auto"/>
          <w:sz w:val="24"/>
          <w:szCs w:val="32"/>
          <w:highlight w:val="none"/>
        </w:rPr>
        <w:t xml:space="preserve"> </w:t>
      </w:r>
      <w:r>
        <w:rPr>
          <w:rFonts w:hint="eastAsia" w:ascii="宋体" w:hAnsi="宋体" w:cs="宋体"/>
          <w:color w:val="auto"/>
          <w:sz w:val="24"/>
          <w:szCs w:val="32"/>
          <w:highlight w:val="none"/>
          <w:lang w:val="en-US" w:eastAsia="zh-CN"/>
        </w:rPr>
        <w:t xml:space="preserve">      </w:t>
      </w:r>
      <w:r>
        <w:rPr>
          <w:rFonts w:hint="eastAsia" w:ascii="宋体" w:hAnsi="宋体" w:cs="宋体"/>
          <w:color w:val="auto"/>
          <w:sz w:val="24"/>
          <w:szCs w:val="32"/>
          <w:highlight w:val="none"/>
        </w:rPr>
        <w:t xml:space="preserve">  [单位：人民币/元]</w:t>
      </w:r>
    </w:p>
    <w:tbl>
      <w:tblPr>
        <w:tblStyle w:val="2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60"/>
        <w:gridCol w:w="1559"/>
        <w:gridCol w:w="1559"/>
        <w:gridCol w:w="851"/>
        <w:gridCol w:w="992"/>
        <w:gridCol w:w="992"/>
        <w:gridCol w:w="709"/>
      </w:tblGrid>
      <w:tr w14:paraId="1237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25" w:type="dxa"/>
            <w:vAlign w:val="center"/>
          </w:tcPr>
          <w:p w14:paraId="451168FD">
            <w:pPr>
              <w:spacing w:line="360" w:lineRule="auto"/>
              <w:jc w:val="center"/>
              <w:rPr>
                <w:rFonts w:ascii="宋体"/>
                <w:b/>
                <w:color w:val="auto"/>
                <w:sz w:val="24"/>
                <w:highlight w:val="none"/>
              </w:rPr>
            </w:pPr>
            <w:r>
              <w:rPr>
                <w:rFonts w:hint="eastAsia" w:ascii="宋体" w:hAnsi="宋体"/>
                <w:b/>
                <w:color w:val="auto"/>
                <w:sz w:val="24"/>
                <w:highlight w:val="none"/>
              </w:rPr>
              <w:t>序号</w:t>
            </w:r>
          </w:p>
        </w:tc>
        <w:tc>
          <w:tcPr>
            <w:tcW w:w="1460" w:type="dxa"/>
            <w:vAlign w:val="center"/>
          </w:tcPr>
          <w:p w14:paraId="35BD7240">
            <w:pPr>
              <w:tabs>
                <w:tab w:val="left" w:pos="8280"/>
              </w:tabs>
              <w:autoSpaceDE w:val="0"/>
              <w:autoSpaceDN w:val="0"/>
              <w:adjustRightInd w:val="0"/>
              <w:spacing w:line="360" w:lineRule="auto"/>
              <w:ind w:right="25"/>
              <w:jc w:val="center"/>
              <w:rPr>
                <w:rFonts w:ascii="宋体"/>
                <w:b/>
                <w:color w:val="auto"/>
                <w:sz w:val="24"/>
                <w:highlight w:val="none"/>
              </w:rPr>
            </w:pPr>
            <w:r>
              <w:rPr>
                <w:rFonts w:hint="eastAsia" w:ascii="宋体" w:hAnsi="宋体"/>
                <w:b/>
                <w:color w:val="auto"/>
                <w:sz w:val="24"/>
                <w:highlight w:val="none"/>
              </w:rPr>
              <w:t>报价项目</w:t>
            </w:r>
          </w:p>
        </w:tc>
        <w:tc>
          <w:tcPr>
            <w:tcW w:w="1559" w:type="dxa"/>
            <w:vAlign w:val="center"/>
          </w:tcPr>
          <w:p w14:paraId="4278F19F">
            <w:pPr>
              <w:tabs>
                <w:tab w:val="left" w:pos="8280"/>
              </w:tabs>
              <w:autoSpaceDE w:val="0"/>
              <w:autoSpaceDN w:val="0"/>
              <w:adjustRightInd w:val="0"/>
              <w:spacing w:line="360" w:lineRule="auto"/>
              <w:ind w:right="25"/>
              <w:jc w:val="center"/>
              <w:rPr>
                <w:rFonts w:ascii="宋体"/>
                <w:b/>
                <w:color w:val="auto"/>
                <w:sz w:val="24"/>
                <w:highlight w:val="none"/>
              </w:rPr>
            </w:pPr>
            <w:r>
              <w:rPr>
                <w:rFonts w:hint="eastAsia" w:ascii="宋体" w:hAnsi="宋体"/>
                <w:b/>
                <w:color w:val="auto"/>
                <w:sz w:val="24"/>
                <w:highlight w:val="none"/>
              </w:rPr>
              <w:t>品牌、产地</w:t>
            </w:r>
          </w:p>
        </w:tc>
        <w:tc>
          <w:tcPr>
            <w:tcW w:w="1559" w:type="dxa"/>
            <w:vAlign w:val="center"/>
          </w:tcPr>
          <w:p w14:paraId="4CA72F1B">
            <w:pPr>
              <w:spacing w:line="360" w:lineRule="auto"/>
              <w:ind w:left="52"/>
              <w:jc w:val="center"/>
              <w:rPr>
                <w:rFonts w:ascii="宋体"/>
                <w:b/>
                <w:color w:val="auto"/>
                <w:sz w:val="24"/>
                <w:highlight w:val="none"/>
              </w:rPr>
            </w:pPr>
            <w:r>
              <w:rPr>
                <w:rFonts w:hint="eastAsia" w:ascii="宋体" w:hAnsi="宋体"/>
                <w:b/>
                <w:color w:val="auto"/>
                <w:sz w:val="24"/>
                <w:highlight w:val="none"/>
              </w:rPr>
              <w:t>型号规格</w:t>
            </w:r>
          </w:p>
        </w:tc>
        <w:tc>
          <w:tcPr>
            <w:tcW w:w="851" w:type="dxa"/>
            <w:vAlign w:val="center"/>
          </w:tcPr>
          <w:p w14:paraId="076BE365">
            <w:pPr>
              <w:spacing w:line="360" w:lineRule="auto"/>
              <w:ind w:left="152"/>
              <w:jc w:val="center"/>
              <w:rPr>
                <w:rFonts w:ascii="宋体"/>
                <w:b/>
                <w:color w:val="auto"/>
                <w:sz w:val="24"/>
                <w:highlight w:val="none"/>
              </w:rPr>
            </w:pPr>
            <w:r>
              <w:rPr>
                <w:rFonts w:hint="eastAsia" w:ascii="宋体" w:hAnsi="宋体"/>
                <w:b/>
                <w:color w:val="auto"/>
                <w:sz w:val="24"/>
                <w:highlight w:val="none"/>
              </w:rPr>
              <w:t>数量</w:t>
            </w:r>
          </w:p>
        </w:tc>
        <w:tc>
          <w:tcPr>
            <w:tcW w:w="992" w:type="dxa"/>
            <w:vAlign w:val="center"/>
          </w:tcPr>
          <w:p w14:paraId="4D29384B">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992" w:type="dxa"/>
            <w:vAlign w:val="center"/>
          </w:tcPr>
          <w:p w14:paraId="63465ED5">
            <w:pPr>
              <w:spacing w:line="360" w:lineRule="auto"/>
              <w:jc w:val="center"/>
              <w:rPr>
                <w:rFonts w:ascii="宋体"/>
                <w:b/>
                <w:color w:val="auto"/>
                <w:sz w:val="24"/>
                <w:highlight w:val="none"/>
              </w:rPr>
            </w:pPr>
            <w:r>
              <w:rPr>
                <w:rFonts w:hint="eastAsia" w:ascii="宋体" w:hAnsi="宋体"/>
                <w:b/>
                <w:color w:val="auto"/>
                <w:sz w:val="24"/>
                <w:highlight w:val="none"/>
              </w:rPr>
              <w:t>小计</w:t>
            </w:r>
          </w:p>
        </w:tc>
        <w:tc>
          <w:tcPr>
            <w:tcW w:w="709" w:type="dxa"/>
            <w:vAlign w:val="center"/>
          </w:tcPr>
          <w:p w14:paraId="7EED178F">
            <w:pPr>
              <w:spacing w:line="360" w:lineRule="auto"/>
              <w:jc w:val="center"/>
              <w:rPr>
                <w:rFonts w:ascii="宋体"/>
                <w:b/>
                <w:color w:val="auto"/>
                <w:sz w:val="24"/>
                <w:highlight w:val="none"/>
              </w:rPr>
            </w:pPr>
            <w:r>
              <w:rPr>
                <w:rFonts w:hint="eastAsia" w:ascii="宋体" w:hAnsi="宋体"/>
                <w:b/>
                <w:color w:val="auto"/>
                <w:sz w:val="24"/>
                <w:highlight w:val="none"/>
              </w:rPr>
              <w:t>备注</w:t>
            </w:r>
          </w:p>
        </w:tc>
      </w:tr>
      <w:tr w14:paraId="20A9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5" w:type="dxa"/>
            <w:vAlign w:val="center"/>
          </w:tcPr>
          <w:p w14:paraId="4A70A29C">
            <w:pPr>
              <w:spacing w:line="360" w:lineRule="auto"/>
              <w:jc w:val="center"/>
              <w:rPr>
                <w:rFonts w:ascii="宋体"/>
                <w:color w:val="auto"/>
                <w:sz w:val="24"/>
                <w:highlight w:val="none"/>
              </w:rPr>
            </w:pPr>
          </w:p>
        </w:tc>
        <w:tc>
          <w:tcPr>
            <w:tcW w:w="1460" w:type="dxa"/>
            <w:vAlign w:val="center"/>
          </w:tcPr>
          <w:p w14:paraId="133CD00C">
            <w:pPr>
              <w:spacing w:line="360" w:lineRule="auto"/>
              <w:jc w:val="center"/>
              <w:rPr>
                <w:rFonts w:ascii="宋体"/>
                <w:color w:val="auto"/>
                <w:sz w:val="24"/>
                <w:highlight w:val="none"/>
              </w:rPr>
            </w:pPr>
          </w:p>
        </w:tc>
        <w:tc>
          <w:tcPr>
            <w:tcW w:w="1559" w:type="dxa"/>
            <w:vAlign w:val="center"/>
          </w:tcPr>
          <w:p w14:paraId="3CB41CA1">
            <w:pPr>
              <w:spacing w:line="360" w:lineRule="auto"/>
              <w:jc w:val="center"/>
              <w:rPr>
                <w:rFonts w:ascii="宋体"/>
                <w:color w:val="auto"/>
                <w:sz w:val="24"/>
                <w:highlight w:val="none"/>
              </w:rPr>
            </w:pPr>
          </w:p>
        </w:tc>
        <w:tc>
          <w:tcPr>
            <w:tcW w:w="1559" w:type="dxa"/>
            <w:vAlign w:val="center"/>
          </w:tcPr>
          <w:p w14:paraId="76D86539">
            <w:pPr>
              <w:spacing w:line="360" w:lineRule="auto"/>
              <w:jc w:val="center"/>
              <w:rPr>
                <w:rFonts w:ascii="宋体"/>
                <w:color w:val="auto"/>
                <w:sz w:val="24"/>
                <w:highlight w:val="none"/>
              </w:rPr>
            </w:pPr>
          </w:p>
        </w:tc>
        <w:tc>
          <w:tcPr>
            <w:tcW w:w="851" w:type="dxa"/>
            <w:vAlign w:val="center"/>
          </w:tcPr>
          <w:p w14:paraId="191C2190">
            <w:pPr>
              <w:spacing w:line="360" w:lineRule="auto"/>
              <w:jc w:val="center"/>
              <w:rPr>
                <w:rFonts w:ascii="宋体"/>
                <w:color w:val="auto"/>
                <w:sz w:val="24"/>
                <w:highlight w:val="none"/>
              </w:rPr>
            </w:pPr>
          </w:p>
        </w:tc>
        <w:tc>
          <w:tcPr>
            <w:tcW w:w="992" w:type="dxa"/>
            <w:vAlign w:val="center"/>
          </w:tcPr>
          <w:p w14:paraId="69DB2DF1">
            <w:pPr>
              <w:spacing w:line="360" w:lineRule="auto"/>
              <w:jc w:val="center"/>
              <w:rPr>
                <w:rFonts w:ascii="宋体"/>
                <w:color w:val="auto"/>
                <w:sz w:val="24"/>
                <w:highlight w:val="none"/>
              </w:rPr>
            </w:pPr>
          </w:p>
        </w:tc>
        <w:tc>
          <w:tcPr>
            <w:tcW w:w="992" w:type="dxa"/>
            <w:vAlign w:val="center"/>
          </w:tcPr>
          <w:p w14:paraId="40A7F7E2">
            <w:pPr>
              <w:spacing w:line="360" w:lineRule="auto"/>
              <w:jc w:val="center"/>
              <w:rPr>
                <w:rFonts w:ascii="宋体"/>
                <w:color w:val="auto"/>
                <w:sz w:val="24"/>
                <w:highlight w:val="none"/>
              </w:rPr>
            </w:pPr>
          </w:p>
        </w:tc>
        <w:tc>
          <w:tcPr>
            <w:tcW w:w="709" w:type="dxa"/>
            <w:vAlign w:val="center"/>
          </w:tcPr>
          <w:p w14:paraId="105E6167">
            <w:pPr>
              <w:spacing w:line="360" w:lineRule="auto"/>
              <w:jc w:val="center"/>
              <w:rPr>
                <w:rFonts w:ascii="宋体"/>
                <w:color w:val="auto"/>
                <w:sz w:val="24"/>
                <w:highlight w:val="none"/>
              </w:rPr>
            </w:pPr>
          </w:p>
        </w:tc>
      </w:tr>
      <w:tr w14:paraId="3F3A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25" w:type="dxa"/>
            <w:vAlign w:val="center"/>
          </w:tcPr>
          <w:p w14:paraId="43F6164E">
            <w:pPr>
              <w:spacing w:line="360" w:lineRule="auto"/>
              <w:jc w:val="center"/>
              <w:rPr>
                <w:rFonts w:ascii="宋体"/>
                <w:color w:val="auto"/>
                <w:sz w:val="24"/>
                <w:highlight w:val="none"/>
              </w:rPr>
            </w:pPr>
          </w:p>
        </w:tc>
        <w:tc>
          <w:tcPr>
            <w:tcW w:w="1460" w:type="dxa"/>
            <w:vAlign w:val="center"/>
          </w:tcPr>
          <w:p w14:paraId="0E484984">
            <w:pPr>
              <w:spacing w:line="360" w:lineRule="auto"/>
              <w:jc w:val="center"/>
              <w:rPr>
                <w:rFonts w:ascii="宋体"/>
                <w:color w:val="auto"/>
                <w:sz w:val="24"/>
                <w:highlight w:val="none"/>
              </w:rPr>
            </w:pPr>
          </w:p>
        </w:tc>
        <w:tc>
          <w:tcPr>
            <w:tcW w:w="1559" w:type="dxa"/>
            <w:vAlign w:val="center"/>
          </w:tcPr>
          <w:p w14:paraId="7A463C12">
            <w:pPr>
              <w:spacing w:line="360" w:lineRule="auto"/>
              <w:jc w:val="center"/>
              <w:rPr>
                <w:rFonts w:ascii="宋体"/>
                <w:color w:val="auto"/>
                <w:sz w:val="24"/>
                <w:highlight w:val="none"/>
              </w:rPr>
            </w:pPr>
          </w:p>
        </w:tc>
        <w:tc>
          <w:tcPr>
            <w:tcW w:w="1559" w:type="dxa"/>
            <w:vAlign w:val="center"/>
          </w:tcPr>
          <w:p w14:paraId="44EC34B7">
            <w:pPr>
              <w:spacing w:line="360" w:lineRule="auto"/>
              <w:jc w:val="center"/>
              <w:rPr>
                <w:rFonts w:ascii="宋体"/>
                <w:color w:val="auto"/>
                <w:sz w:val="24"/>
                <w:highlight w:val="none"/>
              </w:rPr>
            </w:pPr>
          </w:p>
        </w:tc>
        <w:tc>
          <w:tcPr>
            <w:tcW w:w="851" w:type="dxa"/>
            <w:vAlign w:val="center"/>
          </w:tcPr>
          <w:p w14:paraId="0EE5BB18">
            <w:pPr>
              <w:spacing w:line="360" w:lineRule="auto"/>
              <w:jc w:val="center"/>
              <w:rPr>
                <w:rFonts w:ascii="宋体"/>
                <w:color w:val="auto"/>
                <w:sz w:val="24"/>
                <w:highlight w:val="none"/>
              </w:rPr>
            </w:pPr>
          </w:p>
        </w:tc>
        <w:tc>
          <w:tcPr>
            <w:tcW w:w="992" w:type="dxa"/>
            <w:vAlign w:val="center"/>
          </w:tcPr>
          <w:p w14:paraId="4667E75C">
            <w:pPr>
              <w:spacing w:line="360" w:lineRule="auto"/>
              <w:jc w:val="center"/>
              <w:rPr>
                <w:rFonts w:ascii="宋体"/>
                <w:color w:val="auto"/>
                <w:sz w:val="24"/>
                <w:highlight w:val="none"/>
              </w:rPr>
            </w:pPr>
          </w:p>
        </w:tc>
        <w:tc>
          <w:tcPr>
            <w:tcW w:w="992" w:type="dxa"/>
            <w:vAlign w:val="center"/>
          </w:tcPr>
          <w:p w14:paraId="42AD25C2">
            <w:pPr>
              <w:spacing w:line="360" w:lineRule="auto"/>
              <w:jc w:val="center"/>
              <w:rPr>
                <w:rFonts w:ascii="宋体"/>
                <w:color w:val="auto"/>
                <w:sz w:val="24"/>
                <w:highlight w:val="none"/>
              </w:rPr>
            </w:pPr>
          </w:p>
        </w:tc>
        <w:tc>
          <w:tcPr>
            <w:tcW w:w="709" w:type="dxa"/>
            <w:vAlign w:val="center"/>
          </w:tcPr>
          <w:p w14:paraId="2B0201AC">
            <w:pPr>
              <w:spacing w:line="360" w:lineRule="auto"/>
              <w:jc w:val="center"/>
              <w:rPr>
                <w:rFonts w:ascii="宋体"/>
                <w:color w:val="auto"/>
                <w:sz w:val="24"/>
                <w:highlight w:val="none"/>
              </w:rPr>
            </w:pPr>
          </w:p>
        </w:tc>
      </w:tr>
      <w:tr w14:paraId="617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25" w:type="dxa"/>
            <w:vAlign w:val="center"/>
          </w:tcPr>
          <w:p w14:paraId="21B8F786">
            <w:pPr>
              <w:spacing w:line="360" w:lineRule="auto"/>
              <w:jc w:val="center"/>
              <w:rPr>
                <w:rFonts w:ascii="宋体"/>
                <w:color w:val="auto"/>
                <w:sz w:val="24"/>
                <w:highlight w:val="none"/>
              </w:rPr>
            </w:pPr>
          </w:p>
        </w:tc>
        <w:tc>
          <w:tcPr>
            <w:tcW w:w="1460" w:type="dxa"/>
            <w:vAlign w:val="center"/>
          </w:tcPr>
          <w:p w14:paraId="2CFBBB81">
            <w:pPr>
              <w:spacing w:line="360" w:lineRule="auto"/>
              <w:jc w:val="center"/>
              <w:rPr>
                <w:rFonts w:ascii="宋体"/>
                <w:color w:val="auto"/>
                <w:sz w:val="24"/>
                <w:highlight w:val="none"/>
              </w:rPr>
            </w:pPr>
          </w:p>
        </w:tc>
        <w:tc>
          <w:tcPr>
            <w:tcW w:w="1559" w:type="dxa"/>
            <w:vAlign w:val="center"/>
          </w:tcPr>
          <w:p w14:paraId="10164E4D">
            <w:pPr>
              <w:spacing w:line="360" w:lineRule="auto"/>
              <w:jc w:val="center"/>
              <w:rPr>
                <w:rFonts w:ascii="宋体"/>
                <w:color w:val="auto"/>
                <w:sz w:val="24"/>
                <w:highlight w:val="none"/>
              </w:rPr>
            </w:pPr>
          </w:p>
        </w:tc>
        <w:tc>
          <w:tcPr>
            <w:tcW w:w="1559" w:type="dxa"/>
            <w:vAlign w:val="center"/>
          </w:tcPr>
          <w:p w14:paraId="2DB89A39">
            <w:pPr>
              <w:spacing w:line="360" w:lineRule="auto"/>
              <w:jc w:val="center"/>
              <w:rPr>
                <w:rFonts w:ascii="宋体"/>
                <w:color w:val="auto"/>
                <w:sz w:val="24"/>
                <w:highlight w:val="none"/>
              </w:rPr>
            </w:pPr>
          </w:p>
        </w:tc>
        <w:tc>
          <w:tcPr>
            <w:tcW w:w="851" w:type="dxa"/>
            <w:vAlign w:val="center"/>
          </w:tcPr>
          <w:p w14:paraId="601BCC62">
            <w:pPr>
              <w:spacing w:line="360" w:lineRule="auto"/>
              <w:jc w:val="center"/>
              <w:rPr>
                <w:rFonts w:ascii="宋体"/>
                <w:color w:val="auto"/>
                <w:sz w:val="24"/>
                <w:highlight w:val="none"/>
              </w:rPr>
            </w:pPr>
          </w:p>
        </w:tc>
        <w:tc>
          <w:tcPr>
            <w:tcW w:w="992" w:type="dxa"/>
            <w:vAlign w:val="center"/>
          </w:tcPr>
          <w:p w14:paraId="1F5D8A31">
            <w:pPr>
              <w:spacing w:line="360" w:lineRule="auto"/>
              <w:jc w:val="center"/>
              <w:rPr>
                <w:rFonts w:ascii="宋体"/>
                <w:color w:val="auto"/>
                <w:sz w:val="24"/>
                <w:highlight w:val="none"/>
              </w:rPr>
            </w:pPr>
          </w:p>
        </w:tc>
        <w:tc>
          <w:tcPr>
            <w:tcW w:w="992" w:type="dxa"/>
            <w:vAlign w:val="center"/>
          </w:tcPr>
          <w:p w14:paraId="283B33AF">
            <w:pPr>
              <w:spacing w:line="360" w:lineRule="auto"/>
              <w:jc w:val="center"/>
              <w:rPr>
                <w:rFonts w:ascii="宋体"/>
                <w:color w:val="auto"/>
                <w:sz w:val="24"/>
                <w:highlight w:val="none"/>
              </w:rPr>
            </w:pPr>
          </w:p>
        </w:tc>
        <w:tc>
          <w:tcPr>
            <w:tcW w:w="709" w:type="dxa"/>
            <w:vAlign w:val="center"/>
          </w:tcPr>
          <w:p w14:paraId="29E7F930">
            <w:pPr>
              <w:spacing w:line="360" w:lineRule="auto"/>
              <w:jc w:val="center"/>
              <w:rPr>
                <w:rFonts w:ascii="宋体"/>
                <w:color w:val="auto"/>
                <w:sz w:val="24"/>
                <w:highlight w:val="none"/>
              </w:rPr>
            </w:pPr>
          </w:p>
        </w:tc>
      </w:tr>
      <w:tr w14:paraId="57BC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25" w:type="dxa"/>
            <w:vAlign w:val="center"/>
          </w:tcPr>
          <w:p w14:paraId="6D542988">
            <w:pPr>
              <w:spacing w:line="360" w:lineRule="auto"/>
              <w:jc w:val="center"/>
              <w:rPr>
                <w:rFonts w:ascii="宋体"/>
                <w:color w:val="auto"/>
                <w:sz w:val="24"/>
                <w:highlight w:val="none"/>
              </w:rPr>
            </w:pPr>
          </w:p>
        </w:tc>
        <w:tc>
          <w:tcPr>
            <w:tcW w:w="1460" w:type="dxa"/>
            <w:vAlign w:val="center"/>
          </w:tcPr>
          <w:p w14:paraId="1375D0F7">
            <w:pPr>
              <w:spacing w:line="360" w:lineRule="auto"/>
              <w:jc w:val="center"/>
              <w:rPr>
                <w:rFonts w:ascii="宋体"/>
                <w:color w:val="auto"/>
                <w:sz w:val="24"/>
                <w:highlight w:val="none"/>
              </w:rPr>
            </w:pPr>
          </w:p>
        </w:tc>
        <w:tc>
          <w:tcPr>
            <w:tcW w:w="1559" w:type="dxa"/>
            <w:vAlign w:val="center"/>
          </w:tcPr>
          <w:p w14:paraId="03311385">
            <w:pPr>
              <w:spacing w:line="360" w:lineRule="auto"/>
              <w:jc w:val="center"/>
              <w:rPr>
                <w:rFonts w:ascii="宋体"/>
                <w:color w:val="auto"/>
                <w:sz w:val="24"/>
                <w:highlight w:val="none"/>
              </w:rPr>
            </w:pPr>
          </w:p>
        </w:tc>
        <w:tc>
          <w:tcPr>
            <w:tcW w:w="1559" w:type="dxa"/>
            <w:vAlign w:val="center"/>
          </w:tcPr>
          <w:p w14:paraId="2CF8D81D">
            <w:pPr>
              <w:spacing w:line="360" w:lineRule="auto"/>
              <w:jc w:val="center"/>
              <w:rPr>
                <w:rFonts w:ascii="宋体"/>
                <w:color w:val="auto"/>
                <w:sz w:val="24"/>
                <w:highlight w:val="none"/>
              </w:rPr>
            </w:pPr>
          </w:p>
        </w:tc>
        <w:tc>
          <w:tcPr>
            <w:tcW w:w="851" w:type="dxa"/>
            <w:vAlign w:val="center"/>
          </w:tcPr>
          <w:p w14:paraId="2B12BF4D">
            <w:pPr>
              <w:spacing w:line="360" w:lineRule="auto"/>
              <w:jc w:val="center"/>
              <w:rPr>
                <w:rFonts w:ascii="宋体"/>
                <w:color w:val="auto"/>
                <w:sz w:val="24"/>
                <w:highlight w:val="none"/>
              </w:rPr>
            </w:pPr>
          </w:p>
        </w:tc>
        <w:tc>
          <w:tcPr>
            <w:tcW w:w="992" w:type="dxa"/>
            <w:vAlign w:val="center"/>
          </w:tcPr>
          <w:p w14:paraId="2F3F96DA">
            <w:pPr>
              <w:spacing w:line="360" w:lineRule="auto"/>
              <w:jc w:val="center"/>
              <w:rPr>
                <w:rFonts w:ascii="宋体"/>
                <w:color w:val="auto"/>
                <w:sz w:val="24"/>
                <w:highlight w:val="none"/>
              </w:rPr>
            </w:pPr>
          </w:p>
        </w:tc>
        <w:tc>
          <w:tcPr>
            <w:tcW w:w="992" w:type="dxa"/>
            <w:vAlign w:val="center"/>
          </w:tcPr>
          <w:p w14:paraId="019E06D0">
            <w:pPr>
              <w:spacing w:line="360" w:lineRule="auto"/>
              <w:jc w:val="center"/>
              <w:rPr>
                <w:rFonts w:ascii="宋体"/>
                <w:color w:val="auto"/>
                <w:sz w:val="24"/>
                <w:highlight w:val="none"/>
              </w:rPr>
            </w:pPr>
          </w:p>
        </w:tc>
        <w:tc>
          <w:tcPr>
            <w:tcW w:w="709" w:type="dxa"/>
            <w:vAlign w:val="center"/>
          </w:tcPr>
          <w:p w14:paraId="125B56AE">
            <w:pPr>
              <w:spacing w:line="360" w:lineRule="auto"/>
              <w:jc w:val="center"/>
              <w:rPr>
                <w:rFonts w:ascii="宋体"/>
                <w:color w:val="auto"/>
                <w:sz w:val="24"/>
                <w:highlight w:val="none"/>
              </w:rPr>
            </w:pPr>
          </w:p>
        </w:tc>
      </w:tr>
      <w:tr w14:paraId="5A6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525" w:type="dxa"/>
            <w:vAlign w:val="center"/>
          </w:tcPr>
          <w:p w14:paraId="58216B48">
            <w:pPr>
              <w:spacing w:line="360" w:lineRule="auto"/>
              <w:jc w:val="center"/>
              <w:rPr>
                <w:rFonts w:ascii="宋体"/>
                <w:color w:val="auto"/>
                <w:sz w:val="24"/>
                <w:highlight w:val="none"/>
              </w:rPr>
            </w:pPr>
          </w:p>
        </w:tc>
        <w:tc>
          <w:tcPr>
            <w:tcW w:w="1460" w:type="dxa"/>
            <w:vAlign w:val="center"/>
          </w:tcPr>
          <w:p w14:paraId="03FEBDE9">
            <w:pPr>
              <w:spacing w:line="360" w:lineRule="auto"/>
              <w:jc w:val="center"/>
              <w:rPr>
                <w:rFonts w:ascii="宋体"/>
                <w:color w:val="auto"/>
                <w:sz w:val="24"/>
                <w:highlight w:val="none"/>
              </w:rPr>
            </w:pPr>
          </w:p>
        </w:tc>
        <w:tc>
          <w:tcPr>
            <w:tcW w:w="1559" w:type="dxa"/>
            <w:vAlign w:val="center"/>
          </w:tcPr>
          <w:p w14:paraId="6C3E544A">
            <w:pPr>
              <w:spacing w:line="360" w:lineRule="auto"/>
              <w:jc w:val="center"/>
              <w:rPr>
                <w:rFonts w:ascii="宋体"/>
                <w:color w:val="auto"/>
                <w:sz w:val="24"/>
                <w:highlight w:val="none"/>
              </w:rPr>
            </w:pPr>
          </w:p>
        </w:tc>
        <w:tc>
          <w:tcPr>
            <w:tcW w:w="1559" w:type="dxa"/>
            <w:vAlign w:val="center"/>
          </w:tcPr>
          <w:p w14:paraId="61FA4E85">
            <w:pPr>
              <w:spacing w:line="360" w:lineRule="auto"/>
              <w:jc w:val="center"/>
              <w:rPr>
                <w:rFonts w:ascii="宋体"/>
                <w:color w:val="auto"/>
                <w:sz w:val="24"/>
                <w:highlight w:val="none"/>
              </w:rPr>
            </w:pPr>
          </w:p>
        </w:tc>
        <w:tc>
          <w:tcPr>
            <w:tcW w:w="851" w:type="dxa"/>
            <w:vAlign w:val="center"/>
          </w:tcPr>
          <w:p w14:paraId="5FBFFC04">
            <w:pPr>
              <w:spacing w:line="360" w:lineRule="auto"/>
              <w:jc w:val="center"/>
              <w:rPr>
                <w:rFonts w:ascii="宋体"/>
                <w:color w:val="auto"/>
                <w:sz w:val="24"/>
                <w:highlight w:val="none"/>
              </w:rPr>
            </w:pPr>
          </w:p>
        </w:tc>
        <w:tc>
          <w:tcPr>
            <w:tcW w:w="992" w:type="dxa"/>
            <w:vAlign w:val="center"/>
          </w:tcPr>
          <w:p w14:paraId="62917CBD">
            <w:pPr>
              <w:spacing w:line="360" w:lineRule="auto"/>
              <w:jc w:val="center"/>
              <w:rPr>
                <w:rFonts w:ascii="宋体"/>
                <w:color w:val="auto"/>
                <w:sz w:val="24"/>
                <w:highlight w:val="none"/>
              </w:rPr>
            </w:pPr>
          </w:p>
        </w:tc>
        <w:tc>
          <w:tcPr>
            <w:tcW w:w="992" w:type="dxa"/>
            <w:vAlign w:val="center"/>
          </w:tcPr>
          <w:p w14:paraId="1C42C8EC">
            <w:pPr>
              <w:spacing w:line="360" w:lineRule="auto"/>
              <w:jc w:val="center"/>
              <w:rPr>
                <w:rFonts w:ascii="宋体"/>
                <w:color w:val="auto"/>
                <w:sz w:val="24"/>
                <w:highlight w:val="none"/>
              </w:rPr>
            </w:pPr>
          </w:p>
        </w:tc>
        <w:tc>
          <w:tcPr>
            <w:tcW w:w="709" w:type="dxa"/>
            <w:vAlign w:val="center"/>
          </w:tcPr>
          <w:p w14:paraId="060EAAFF">
            <w:pPr>
              <w:spacing w:line="360" w:lineRule="auto"/>
              <w:jc w:val="center"/>
              <w:rPr>
                <w:rFonts w:ascii="宋体"/>
                <w:color w:val="auto"/>
                <w:sz w:val="24"/>
                <w:highlight w:val="none"/>
              </w:rPr>
            </w:pPr>
          </w:p>
        </w:tc>
      </w:tr>
      <w:tr w14:paraId="0CD9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8647" w:type="dxa"/>
            <w:gridSpan w:val="8"/>
            <w:vAlign w:val="center"/>
          </w:tcPr>
          <w:p w14:paraId="615C0AE0">
            <w:pPr>
              <w:spacing w:line="360" w:lineRule="auto"/>
              <w:rPr>
                <w:rFonts w:ascii="宋体"/>
                <w:b/>
                <w:color w:val="auto"/>
                <w:sz w:val="24"/>
                <w:highlight w:val="none"/>
              </w:rPr>
            </w:pPr>
            <w:r>
              <w:rPr>
                <w:rFonts w:hint="eastAsia" w:ascii="宋体" w:hAnsi="宋体"/>
                <w:b/>
                <w:color w:val="auto"/>
                <w:sz w:val="24"/>
                <w:highlight w:val="none"/>
              </w:rPr>
              <w:t>合计人民币：大写</w:t>
            </w:r>
            <w:r>
              <w:rPr>
                <w:rFonts w:ascii="宋体" w:hAnsi="宋体"/>
                <w:b/>
                <w:color w:val="auto"/>
                <w:sz w:val="24"/>
                <w:highlight w:val="none"/>
              </w:rPr>
              <w:t xml:space="preserve">                               </w:t>
            </w:r>
            <w:r>
              <w:rPr>
                <w:rFonts w:hint="eastAsia" w:ascii="宋体" w:hAnsi="宋体"/>
                <w:b/>
                <w:color w:val="auto"/>
                <w:sz w:val="24"/>
                <w:highlight w:val="none"/>
              </w:rPr>
              <w:t>小写</w:t>
            </w:r>
          </w:p>
        </w:tc>
      </w:tr>
    </w:tbl>
    <w:p w14:paraId="668DBE69">
      <w:pPr>
        <w:spacing w:line="360" w:lineRule="auto"/>
        <w:jc w:val="left"/>
        <w:rPr>
          <w:rFonts w:ascii="宋体" w:hAnsi="宋体" w:cs="宋体"/>
          <w:b/>
          <w:bCs/>
          <w:color w:val="auto"/>
          <w:sz w:val="24"/>
          <w:szCs w:val="32"/>
          <w:highlight w:val="none"/>
        </w:rPr>
      </w:pPr>
      <w:r>
        <w:rPr>
          <w:rFonts w:hint="eastAsia" w:ascii="宋体" w:hAnsi="宋体" w:cs="宋体"/>
          <w:b/>
          <w:bCs/>
          <w:color w:val="auto"/>
          <w:sz w:val="24"/>
          <w:szCs w:val="32"/>
          <w:highlight w:val="none"/>
        </w:rPr>
        <w:t>要求：</w:t>
      </w:r>
    </w:p>
    <w:p w14:paraId="361B7CD8">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1.本表为《开标一览表》的报价明细表，如有缺项、漏项，视为投标报价中已包含相关费用，采购人无需另外支付任何费用。</w:t>
      </w:r>
    </w:p>
    <w:p w14:paraId="7E836EC7">
      <w:pPr>
        <w:spacing w:line="360" w:lineRule="auto"/>
        <w:ind w:firstLine="440" w:firstLineChars="200"/>
        <w:jc w:val="left"/>
        <w:rPr>
          <w:rFonts w:ascii="宋体" w:hAnsi="宋体" w:cs="宋体"/>
          <w:color w:val="auto"/>
          <w:sz w:val="22"/>
          <w:szCs w:val="22"/>
          <w:highlight w:val="none"/>
          <w:lang w:val="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“报价明细表”中的报价合计应与“开标一览表”中的投标总报价相一致，不一致时，以开标一览表为准。</w:t>
      </w:r>
    </w:p>
    <w:p w14:paraId="65543783">
      <w:pPr>
        <w:spacing w:line="360" w:lineRule="auto"/>
        <w:ind w:firstLine="440" w:firstLineChars="200"/>
        <w:jc w:val="left"/>
        <w:rPr>
          <w:rFonts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投标报价明细表所填内容按招标文件采购要求为准。如有漏报的，视同已包含在投标总价内或已作优惠处理。有重大缺项的将作无效标处理。</w:t>
      </w:r>
    </w:p>
    <w:p w14:paraId="747F5039">
      <w:pPr>
        <w:spacing w:line="360" w:lineRule="auto"/>
        <w:ind w:firstLine="480" w:firstLineChars="200"/>
        <w:jc w:val="left"/>
        <w:rPr>
          <w:rFonts w:ascii="宋体" w:hAnsi="宋体" w:cs="宋体"/>
          <w:color w:val="auto"/>
          <w:sz w:val="24"/>
          <w:szCs w:val="32"/>
          <w:highlight w:val="none"/>
        </w:rPr>
      </w:pPr>
    </w:p>
    <w:p w14:paraId="5E796DAD">
      <w:pPr>
        <w:spacing w:line="480" w:lineRule="auto"/>
        <w:ind w:left="420"/>
        <w:rPr>
          <w:rFonts w:ascii="宋体" w:hAnsi="宋体"/>
          <w:color w:val="auto"/>
          <w:sz w:val="24"/>
          <w:highlight w:val="none"/>
        </w:rPr>
      </w:pPr>
      <w:r>
        <w:rPr>
          <w:rFonts w:hint="eastAsia" w:ascii="宋体" w:hAnsi="宋体"/>
          <w:color w:val="auto"/>
          <w:sz w:val="24"/>
          <w:highlight w:val="none"/>
        </w:rPr>
        <w:t>投标人名称（盖章）：</w:t>
      </w:r>
    </w:p>
    <w:p w14:paraId="2AD047C4">
      <w:pPr>
        <w:spacing w:line="480" w:lineRule="auto"/>
        <w:ind w:left="420"/>
        <w:rPr>
          <w:rFonts w:ascii="宋体" w:hAnsi="宋体"/>
          <w:color w:val="auto"/>
          <w:sz w:val="24"/>
          <w:highlight w:val="none"/>
        </w:rPr>
      </w:pPr>
      <w:r>
        <w:rPr>
          <w:rFonts w:hint="eastAsia" w:ascii="宋体" w:hAnsi="宋体"/>
          <w:color w:val="auto"/>
          <w:sz w:val="24"/>
          <w:highlight w:val="none"/>
          <w:lang w:eastAsia="zh-CN"/>
        </w:rPr>
        <w:t>法定代表人或授权委托代理人（签字或盖章）</w:t>
      </w:r>
      <w:r>
        <w:rPr>
          <w:rFonts w:hint="eastAsia" w:ascii="宋体" w:hAnsi="宋体"/>
          <w:color w:val="auto"/>
          <w:sz w:val="24"/>
          <w:highlight w:val="none"/>
        </w:rPr>
        <w:t>：</w:t>
      </w:r>
    </w:p>
    <w:p w14:paraId="5B5E805F">
      <w:pPr>
        <w:spacing w:line="480" w:lineRule="auto"/>
        <w:ind w:left="420"/>
        <w:rPr>
          <w:rFonts w:ascii="宋体" w:hAnsi="宋体"/>
          <w:color w:val="auto"/>
          <w:sz w:val="24"/>
          <w:highlight w:val="none"/>
        </w:rPr>
      </w:pPr>
      <w:r>
        <w:rPr>
          <w:rFonts w:hint="eastAsia" w:ascii="宋体" w:hAnsi="宋体"/>
          <w:color w:val="auto"/>
          <w:sz w:val="24"/>
          <w:highlight w:val="none"/>
        </w:rPr>
        <w:t>日期：</w:t>
      </w:r>
    </w:p>
    <w:p w14:paraId="1CB05B2D">
      <w:pPr>
        <w:pStyle w:val="24"/>
        <w:rPr>
          <w:color w:val="auto"/>
          <w:highlight w:val="none"/>
        </w:rPr>
        <w:sectPr>
          <w:pgSz w:w="11906" w:h="16838"/>
          <w:pgMar w:top="1440" w:right="1080" w:bottom="1440" w:left="1080" w:header="851" w:footer="992" w:gutter="0"/>
          <w:pgNumType w:fmt="decimal"/>
          <w:cols w:space="0" w:num="1"/>
          <w:rtlGutter w:val="0"/>
          <w:docGrid w:type="lines" w:linePitch="317" w:charSpace="0"/>
        </w:sectPr>
      </w:pPr>
    </w:p>
    <w:p w14:paraId="4A2F8C2C">
      <w:pPr>
        <w:shd w:val="clear"/>
        <w:tabs>
          <w:tab w:val="left" w:pos="3360"/>
        </w:tabs>
        <w:spacing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w:t>
      </w:r>
      <w:r>
        <w:rPr>
          <w:rFonts w:hint="eastAsia" w:ascii="宋体" w:hAnsi="宋体" w:cs="宋体"/>
          <w:b/>
          <w:color w:val="auto"/>
          <w:sz w:val="28"/>
          <w:highlight w:val="none"/>
          <w:lang w:val="en-US" w:eastAsia="zh-CN"/>
        </w:rPr>
        <w:t>19</w:t>
      </w:r>
      <w:r>
        <w:rPr>
          <w:rFonts w:hint="eastAsia" w:ascii="宋体" w:hAnsi="宋体" w:eastAsia="宋体" w:cs="宋体"/>
          <w:b/>
          <w:color w:val="auto"/>
          <w:sz w:val="28"/>
          <w:highlight w:val="none"/>
        </w:rPr>
        <w:t>　</w:t>
      </w:r>
    </w:p>
    <w:p w14:paraId="1A0F4874">
      <w:pPr>
        <w:shd w:val="clear"/>
        <w:tabs>
          <w:tab w:val="left" w:pos="3360"/>
        </w:tabs>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落实政府采购政策需满足的资格要求所对应的证明材料</w:t>
      </w:r>
    </w:p>
    <w:p w14:paraId="695F3C3F">
      <w:pPr>
        <w:shd w:val="clear"/>
        <w:tabs>
          <w:tab w:val="left" w:pos="3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a.中小企业声明函；</w:t>
      </w:r>
    </w:p>
    <w:p w14:paraId="50539D91">
      <w:pPr>
        <w:shd w:val="clear"/>
        <w:tabs>
          <w:tab w:val="left" w:pos="3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中小企业应当按照《政府采购促进中小企业发展管理办法》规定和《中小企业划型标准规定》（工信部联企业〔2011〕300 号），如实填写并提交《中小企业声明函》。 </w:t>
      </w:r>
    </w:p>
    <w:p w14:paraId="1388B063">
      <w:pPr>
        <w:shd w:val="clear"/>
        <w:tabs>
          <w:tab w:val="left" w:pos="3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中小企业对其声明内容的真实性负责，声明函内容不实的，属于提供虚假材料谋取中标、成交，依照《中华人民共和国政府采购法》等国家有关规定追究相应责任。 </w:t>
      </w:r>
    </w:p>
    <w:p w14:paraId="3F1F6E49">
      <w:pPr>
        <w:shd w:val="clear"/>
        <w:tabs>
          <w:tab w:val="left" w:pos="3360"/>
        </w:tabs>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rPr>
        <w:t>b.供应商为监狱企业的证明文件：省级以上监狱管理局、戒毒管理局（含新疆生产建设兵团）出具（如是）</w:t>
      </w:r>
      <w:r>
        <w:rPr>
          <w:rFonts w:hint="eastAsia" w:ascii="宋体" w:hAnsi="宋体" w:eastAsia="宋体" w:cs="宋体"/>
          <w:color w:val="auto"/>
          <w:sz w:val="24"/>
          <w:szCs w:val="32"/>
          <w:highlight w:val="none"/>
          <w:lang w:val="zh-CN"/>
        </w:rPr>
        <w:t>。</w:t>
      </w:r>
    </w:p>
    <w:p w14:paraId="4DD19396">
      <w:pPr>
        <w:shd w:val="clear"/>
        <w:tabs>
          <w:tab w:val="left" w:pos="3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c.供应商如符合《财政部、民政部、中国残疾人联合会关于促进残疾人就业政府采购政策的通知》 （财库〔2017〕141 号）政策规定的，须提供《残疾人福利性单位声明函》（如是）。</w:t>
      </w:r>
    </w:p>
    <w:p w14:paraId="68C472A7">
      <w:pPr>
        <w:shd w:val="clear"/>
        <w:tabs>
          <w:tab w:val="left" w:pos="3360"/>
        </w:tabs>
        <w:spacing w:line="360" w:lineRule="auto"/>
        <w:jc w:val="center"/>
        <w:rPr>
          <w:rStyle w:val="46"/>
          <w:rFonts w:hint="eastAsia" w:ascii="宋体" w:hAnsi="宋体" w:eastAsia="宋体" w:cs="宋体"/>
          <w:b/>
          <w:bCs/>
          <w:color w:val="auto"/>
          <w:sz w:val="28"/>
          <w:szCs w:val="28"/>
          <w:highlight w:val="none"/>
        </w:rPr>
      </w:pPr>
      <w:r>
        <w:rPr>
          <w:rStyle w:val="46"/>
          <w:rFonts w:hint="eastAsia" w:ascii="宋体" w:hAnsi="宋体" w:eastAsia="宋体" w:cs="宋体"/>
          <w:b/>
          <w:bCs/>
          <w:color w:val="auto"/>
          <w:sz w:val="28"/>
          <w:szCs w:val="28"/>
          <w:highlight w:val="none"/>
        </w:rPr>
        <w:t xml:space="preserve">   </w:t>
      </w:r>
    </w:p>
    <w:p w14:paraId="63DABC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477099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中小企业声明函（货物）</w:t>
      </w:r>
    </w:p>
    <w:p w14:paraId="40278CB1">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本公司郑重声明，根据《政府采购促进中小企业发展管理办法》（财库﹝2020﹞46 号）的规定，本公司参加</w:t>
      </w:r>
      <w:r>
        <w:rPr>
          <w:rFonts w:hint="eastAsia" w:ascii="宋体" w:hAnsi="宋体"/>
          <w:b w:val="0"/>
          <w:bCs/>
          <w:color w:val="auto"/>
          <w:sz w:val="24"/>
          <w:szCs w:val="24"/>
          <w:highlight w:val="none"/>
          <w:u w:val="single"/>
          <w:lang w:val="en-US" w:eastAsia="zh-CN"/>
        </w:rPr>
        <w:t>（单位名称）</w:t>
      </w:r>
      <w:r>
        <w:rPr>
          <w:rFonts w:hint="eastAsia" w:ascii="宋体" w:hAnsi="宋体"/>
          <w:b w:val="0"/>
          <w:bCs/>
          <w:color w:val="auto"/>
          <w:sz w:val="24"/>
          <w:szCs w:val="24"/>
          <w:highlight w:val="none"/>
          <w:lang w:val="en-US" w:eastAsia="zh-CN"/>
        </w:rPr>
        <w:t>的</w:t>
      </w:r>
      <w:r>
        <w:rPr>
          <w:rFonts w:hint="eastAsia" w:ascii="宋体" w:hAnsi="宋体"/>
          <w:b w:val="0"/>
          <w:bCs/>
          <w:color w:val="auto"/>
          <w:sz w:val="24"/>
          <w:szCs w:val="24"/>
          <w:highlight w:val="none"/>
          <w:u w:val="single"/>
          <w:lang w:val="en-US" w:eastAsia="zh-CN"/>
        </w:rPr>
        <w:t>（项目名称）</w:t>
      </w:r>
      <w:r>
        <w:rPr>
          <w:rFonts w:hint="eastAsia" w:ascii="宋体" w:hAnsi="宋体"/>
          <w:b w:val="0"/>
          <w:bCs/>
          <w:color w:val="auto"/>
          <w:sz w:val="24"/>
          <w:szCs w:val="24"/>
          <w:highlight w:val="none"/>
          <w:lang w:val="en-US" w:eastAsia="zh-CN"/>
        </w:rPr>
        <w:t xml:space="preserve">采购活动，提供的货物全部由符合政策要求的中小企业制造。相关企业的具体情况如下： </w:t>
      </w:r>
    </w:p>
    <w:p w14:paraId="78CD808B">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u w:val="single"/>
          <w:lang w:val="en-US" w:eastAsia="zh-CN"/>
        </w:rPr>
        <w:t>（标的名称）</w:t>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工业-制造业（采购文件中明确的所属行业）</w:t>
      </w:r>
      <w:r>
        <w:rPr>
          <w:rFonts w:hint="eastAsia" w:ascii="宋体" w:hAnsi="宋体"/>
          <w:b w:val="0"/>
          <w:bCs/>
          <w:color w:val="auto"/>
          <w:sz w:val="24"/>
          <w:szCs w:val="24"/>
          <w:highlight w:val="none"/>
          <w:lang w:val="en-US" w:eastAsia="zh-CN"/>
        </w:rPr>
        <w:t>行业；制造商为</w:t>
      </w:r>
      <w:r>
        <w:rPr>
          <w:rFonts w:hint="eastAsia" w:ascii="宋体" w:hAnsi="宋体"/>
          <w:b w:val="0"/>
          <w:bCs/>
          <w:color w:val="auto"/>
          <w:sz w:val="24"/>
          <w:szCs w:val="24"/>
          <w:highlight w:val="none"/>
          <w:u w:val="single"/>
          <w:lang w:val="en-US" w:eastAsia="zh-CN"/>
        </w:rPr>
        <w:t>（企业名称）</w:t>
      </w:r>
      <w:r>
        <w:rPr>
          <w:rFonts w:hint="eastAsia" w:ascii="宋体" w:hAnsi="宋体"/>
          <w:b w:val="0"/>
          <w:bCs/>
          <w:color w:val="auto"/>
          <w:sz w:val="24"/>
          <w:szCs w:val="24"/>
          <w:highlight w:val="none"/>
          <w:lang w:val="en-US" w:eastAsia="zh-CN"/>
        </w:rPr>
        <w:t>，从业人员</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人，营业收入为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万元，资产总额为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w:t>
      </w:r>
      <w:r>
        <w:rPr>
          <w:rStyle w:val="31"/>
          <w:rFonts w:hint="eastAsia" w:ascii="宋体" w:hAnsi="宋体"/>
          <w:b w:val="0"/>
          <w:bCs/>
          <w:color w:val="auto"/>
          <w:sz w:val="24"/>
          <w:szCs w:val="24"/>
          <w:highlight w:val="none"/>
          <w:lang w:val="en-US" w:eastAsia="zh-CN"/>
        </w:rPr>
        <w:footnoteReference w:id="0"/>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（中型企业、小型企业、微型企业）</w:t>
      </w:r>
      <w:r>
        <w:rPr>
          <w:rFonts w:hint="eastAsia" w:ascii="宋体" w:hAnsi="宋体"/>
          <w:b w:val="0"/>
          <w:bCs/>
          <w:color w:val="auto"/>
          <w:sz w:val="24"/>
          <w:szCs w:val="24"/>
          <w:highlight w:val="none"/>
          <w:lang w:val="en-US" w:eastAsia="zh-CN"/>
        </w:rPr>
        <w:t>；</w:t>
      </w:r>
    </w:p>
    <w:p w14:paraId="73710610">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u w:val="single"/>
          <w:lang w:val="en-US" w:eastAsia="zh-CN"/>
        </w:rPr>
        <w:t>（标的名称）</w:t>
      </w:r>
      <w:r>
        <w:rPr>
          <w:rFonts w:hint="eastAsia" w:ascii="宋体" w:hAnsi="宋体"/>
          <w:b w:val="0"/>
          <w:bCs/>
          <w:color w:val="auto"/>
          <w:sz w:val="24"/>
          <w:szCs w:val="24"/>
          <w:highlight w:val="none"/>
          <w:lang w:val="en-US" w:eastAsia="zh-CN"/>
        </w:rPr>
        <w:t>，属于</w:t>
      </w:r>
      <w:r>
        <w:rPr>
          <w:rFonts w:hint="eastAsia" w:ascii="宋体" w:hAnsi="宋体"/>
          <w:b w:val="0"/>
          <w:bCs/>
          <w:color w:val="auto"/>
          <w:sz w:val="24"/>
          <w:szCs w:val="24"/>
          <w:highlight w:val="none"/>
          <w:u w:val="single"/>
          <w:lang w:val="en-US" w:eastAsia="zh-CN"/>
        </w:rPr>
        <w:t>（采购文件中明确的所属行业）</w:t>
      </w:r>
      <w:r>
        <w:rPr>
          <w:rFonts w:hint="eastAsia" w:ascii="宋体" w:hAnsi="宋体"/>
          <w:b w:val="0"/>
          <w:bCs/>
          <w:color w:val="auto"/>
          <w:sz w:val="24"/>
          <w:szCs w:val="24"/>
          <w:highlight w:val="none"/>
          <w:lang w:val="en-US" w:eastAsia="zh-CN"/>
        </w:rPr>
        <w:t>行业；制造商为</w:t>
      </w:r>
      <w:r>
        <w:rPr>
          <w:rFonts w:hint="eastAsia" w:ascii="宋体" w:hAnsi="宋体"/>
          <w:b w:val="0"/>
          <w:bCs/>
          <w:color w:val="auto"/>
          <w:sz w:val="24"/>
          <w:szCs w:val="24"/>
          <w:highlight w:val="none"/>
          <w:u w:val="single"/>
          <w:lang w:val="en-US" w:eastAsia="zh-CN"/>
        </w:rPr>
        <w:t>（企业名称）</w:t>
      </w:r>
      <w:r>
        <w:rPr>
          <w:rFonts w:hint="eastAsia" w:ascii="宋体" w:hAnsi="宋体"/>
          <w:b w:val="0"/>
          <w:bCs/>
          <w:color w:val="auto"/>
          <w:sz w:val="24"/>
          <w:szCs w:val="24"/>
          <w:highlight w:val="none"/>
          <w:lang w:val="en-US" w:eastAsia="zh-CN"/>
        </w:rPr>
        <w:t>，从业人员</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人，营业收入为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万元，资产总额为</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24"/>
          <w:szCs w:val="24"/>
          <w:highlight w:val="none"/>
          <w:lang w:val="en-US" w:eastAsia="zh-CN"/>
        </w:rPr>
        <w:t>万元，属于</w:t>
      </w:r>
      <w:r>
        <w:rPr>
          <w:rFonts w:hint="eastAsia" w:ascii="宋体" w:hAnsi="宋体"/>
          <w:b w:val="0"/>
          <w:bCs/>
          <w:color w:val="auto"/>
          <w:sz w:val="24"/>
          <w:szCs w:val="24"/>
          <w:highlight w:val="none"/>
          <w:u w:val="single"/>
          <w:lang w:val="en-US" w:eastAsia="zh-CN"/>
        </w:rPr>
        <w:t>（中型企业、小型企业、微型企业）</w:t>
      </w:r>
      <w:r>
        <w:rPr>
          <w:rFonts w:hint="eastAsia" w:ascii="宋体" w:hAnsi="宋体"/>
          <w:b w:val="0"/>
          <w:bCs/>
          <w:color w:val="auto"/>
          <w:sz w:val="24"/>
          <w:szCs w:val="24"/>
          <w:highlight w:val="none"/>
          <w:lang w:val="en-US" w:eastAsia="zh-CN"/>
        </w:rPr>
        <w:t>；</w:t>
      </w:r>
    </w:p>
    <w:p w14:paraId="4E918CFA">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w:t>
      </w:r>
    </w:p>
    <w:p w14:paraId="7A7FDFFB">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190D9F84">
      <w:pPr>
        <w:spacing w:line="360" w:lineRule="auto"/>
        <w:ind w:firstLine="480" w:firstLineChars="2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 xml:space="preserve">本企业对上述声明内容的真实性负责。如有虚假，将依法承担相应责任。 </w:t>
      </w:r>
    </w:p>
    <w:p w14:paraId="7C342B2E">
      <w:pPr>
        <w:spacing w:line="360" w:lineRule="auto"/>
        <w:jc w:val="left"/>
        <w:rPr>
          <w:rFonts w:hint="eastAsia" w:ascii="宋体" w:hAnsi="宋体"/>
          <w:b w:val="0"/>
          <w:bCs/>
          <w:color w:val="auto"/>
          <w:sz w:val="24"/>
          <w:szCs w:val="24"/>
          <w:highlight w:val="none"/>
          <w:lang w:val="en-US" w:eastAsia="zh-CN"/>
        </w:rPr>
      </w:pPr>
    </w:p>
    <w:p w14:paraId="76FD0A7B">
      <w:pPr>
        <w:spacing w:line="360" w:lineRule="auto"/>
        <w:ind w:firstLine="4800" w:firstLineChars="200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企业名称（盖章）：</w:t>
      </w:r>
    </w:p>
    <w:p w14:paraId="39A0D835">
      <w:pPr>
        <w:shd w:val="clear"/>
        <w:tabs>
          <w:tab w:val="left" w:pos="3360"/>
        </w:tabs>
        <w:spacing w:line="360" w:lineRule="auto"/>
        <w:ind w:firstLine="5040" w:firstLineChars="2100"/>
        <w:rPr>
          <w:rFonts w:hint="eastAsia" w:ascii="宋体" w:hAnsi="宋体" w:eastAsia="宋体" w:cs="宋体"/>
          <w:bCs/>
          <w:color w:val="auto"/>
          <w:sz w:val="24"/>
          <w:highlight w:val="none"/>
        </w:rPr>
      </w:pPr>
      <w:r>
        <w:rPr>
          <w:rFonts w:hint="eastAsia" w:ascii="宋体" w:hAnsi="宋体"/>
          <w:b w:val="0"/>
          <w:bCs/>
          <w:color w:val="auto"/>
          <w:sz w:val="24"/>
          <w:szCs w:val="24"/>
          <w:highlight w:val="none"/>
          <w:lang w:val="en-US" w:eastAsia="zh-CN"/>
        </w:rPr>
        <w:t>日    期：</w:t>
      </w:r>
    </w:p>
    <w:p w14:paraId="5C3E3771">
      <w:pPr>
        <w:shd w:val="clear"/>
        <w:tabs>
          <w:tab w:val="left" w:pos="3360"/>
        </w:tabs>
        <w:spacing w:line="360" w:lineRule="auto"/>
        <w:rPr>
          <w:rFonts w:hint="eastAsia" w:ascii="宋体" w:hAnsi="宋体" w:eastAsia="宋体" w:cs="宋体"/>
          <w:bCs/>
          <w:color w:val="auto"/>
          <w:sz w:val="24"/>
          <w:highlight w:val="none"/>
          <w:lang w:val="en-GB"/>
        </w:rPr>
      </w:pPr>
    </w:p>
    <w:p w14:paraId="088D5CF6">
      <w:pPr>
        <w:shd w:val="clear"/>
        <w:tabs>
          <w:tab w:val="left" w:pos="3360"/>
        </w:tabs>
        <w:spacing w:line="360" w:lineRule="auto"/>
        <w:rPr>
          <w:rFonts w:hint="eastAsia" w:ascii="宋体" w:hAnsi="宋体" w:eastAsia="宋体" w:cs="宋体"/>
          <w:bCs/>
          <w:color w:val="auto"/>
          <w:sz w:val="24"/>
          <w:highlight w:val="none"/>
          <w:lang w:val="en-GB"/>
        </w:rPr>
      </w:pPr>
    </w:p>
    <w:p w14:paraId="1349540E">
      <w:pPr>
        <w:shd w:val="clear"/>
        <w:tabs>
          <w:tab w:val="left" w:pos="3360"/>
        </w:tabs>
        <w:spacing w:line="360" w:lineRule="auto"/>
        <w:rPr>
          <w:rFonts w:hint="eastAsia" w:ascii="宋体" w:hAnsi="宋体" w:eastAsia="宋体" w:cs="宋体"/>
          <w:bCs/>
          <w:color w:val="auto"/>
          <w:sz w:val="24"/>
          <w:highlight w:val="none"/>
          <w:lang w:val="en-GB"/>
        </w:rPr>
      </w:pPr>
    </w:p>
    <w:p w14:paraId="6EA6CEA7">
      <w:pPr>
        <w:shd w:val="clear"/>
        <w:tabs>
          <w:tab w:val="left" w:pos="3360"/>
        </w:tabs>
        <w:spacing w:line="360" w:lineRule="auto"/>
        <w:rPr>
          <w:rFonts w:hint="eastAsia" w:ascii="宋体" w:hAnsi="宋体" w:eastAsia="宋体" w:cs="宋体"/>
          <w:bCs/>
          <w:color w:val="auto"/>
          <w:sz w:val="24"/>
          <w:highlight w:val="none"/>
          <w:lang w:val="en-GB"/>
        </w:rPr>
      </w:pPr>
    </w:p>
    <w:p w14:paraId="6290CE1A">
      <w:pPr>
        <w:shd w:val="clear"/>
        <w:tabs>
          <w:tab w:val="left" w:pos="3360"/>
        </w:tabs>
        <w:spacing w:line="360" w:lineRule="auto"/>
        <w:rPr>
          <w:rFonts w:hint="eastAsia" w:ascii="宋体" w:hAnsi="宋体" w:eastAsia="宋体" w:cs="宋体"/>
          <w:bCs/>
          <w:color w:val="auto"/>
          <w:sz w:val="24"/>
          <w:highlight w:val="none"/>
          <w:lang w:val="en-GB"/>
        </w:rPr>
      </w:pPr>
    </w:p>
    <w:p w14:paraId="7AD9FCBF">
      <w:pPr>
        <w:shd w:val="clear"/>
        <w:tabs>
          <w:tab w:val="left" w:pos="3360"/>
        </w:tabs>
        <w:spacing w:line="360" w:lineRule="auto"/>
        <w:ind w:left="-2" w:hanging="2"/>
        <w:jc w:val="center"/>
        <w:rPr>
          <w:rFonts w:hint="eastAsia" w:ascii="宋体" w:hAnsi="宋体" w:eastAsia="宋体" w:cs="宋体"/>
          <w:b/>
          <w:color w:val="auto"/>
          <w:sz w:val="32"/>
          <w:szCs w:val="32"/>
          <w:highlight w:val="none"/>
          <w:lang w:val="en-GB"/>
        </w:rPr>
      </w:pPr>
    </w:p>
    <w:p w14:paraId="5676CE0A">
      <w:pPr>
        <w:shd w:val="clear"/>
        <w:tabs>
          <w:tab w:val="left" w:pos="3360"/>
        </w:tabs>
        <w:spacing w:line="360" w:lineRule="auto"/>
        <w:ind w:left="-2" w:hanging="2"/>
        <w:jc w:val="center"/>
        <w:rPr>
          <w:rFonts w:hint="eastAsia" w:ascii="宋体" w:hAnsi="宋体" w:eastAsia="宋体" w:cs="宋体"/>
          <w:b/>
          <w:color w:val="auto"/>
          <w:sz w:val="32"/>
          <w:szCs w:val="32"/>
          <w:highlight w:val="none"/>
          <w:lang w:val="en-GB"/>
        </w:rPr>
      </w:pPr>
    </w:p>
    <w:p w14:paraId="0FF504E6">
      <w:pPr>
        <w:shd w:val="clear"/>
        <w:tabs>
          <w:tab w:val="left" w:pos="3360"/>
        </w:tabs>
        <w:spacing w:line="360" w:lineRule="auto"/>
        <w:ind w:left="-2" w:hanging="2"/>
        <w:jc w:val="center"/>
        <w:rPr>
          <w:rFonts w:hint="eastAsia" w:ascii="宋体" w:hAnsi="宋体" w:eastAsia="宋体" w:cs="宋体"/>
          <w:b/>
          <w:color w:val="auto"/>
          <w:sz w:val="32"/>
          <w:szCs w:val="32"/>
          <w:highlight w:val="none"/>
          <w:lang w:val="en-GB"/>
        </w:rPr>
      </w:pPr>
    </w:p>
    <w:p w14:paraId="6C2A028E">
      <w:pPr>
        <w:rPr>
          <w:rFonts w:hint="eastAsia" w:ascii="宋体" w:hAnsi="宋体" w:eastAsia="宋体" w:cs="宋体"/>
          <w:b/>
          <w:color w:val="auto"/>
          <w:sz w:val="32"/>
          <w:szCs w:val="32"/>
          <w:highlight w:val="none"/>
          <w:lang w:val="en-GB"/>
        </w:rPr>
      </w:pPr>
      <w:r>
        <w:rPr>
          <w:rFonts w:hint="eastAsia" w:ascii="宋体" w:hAnsi="宋体" w:eastAsia="宋体" w:cs="宋体"/>
          <w:b/>
          <w:color w:val="auto"/>
          <w:sz w:val="32"/>
          <w:szCs w:val="32"/>
          <w:highlight w:val="none"/>
          <w:lang w:val="en-GB"/>
        </w:rPr>
        <w:br w:type="page"/>
      </w:r>
    </w:p>
    <w:p w14:paraId="5713ED54">
      <w:pPr>
        <w:shd w:val="clear"/>
        <w:tabs>
          <w:tab w:val="left" w:pos="3360"/>
        </w:tabs>
        <w:spacing w:line="360" w:lineRule="auto"/>
        <w:ind w:left="-2" w:hanging="2"/>
        <w:jc w:val="center"/>
        <w:rPr>
          <w:rFonts w:hint="eastAsia" w:ascii="宋体" w:hAnsi="宋体" w:eastAsia="宋体" w:cs="宋体"/>
          <w:b/>
          <w:color w:val="auto"/>
          <w:sz w:val="32"/>
          <w:szCs w:val="32"/>
          <w:highlight w:val="none"/>
          <w:lang w:val="en-GB"/>
        </w:rPr>
      </w:pPr>
      <w:r>
        <w:rPr>
          <w:rFonts w:hint="eastAsia" w:ascii="宋体" w:hAnsi="宋体" w:eastAsia="宋体" w:cs="宋体"/>
          <w:b/>
          <w:color w:val="auto"/>
          <w:sz w:val="32"/>
          <w:szCs w:val="32"/>
          <w:highlight w:val="none"/>
          <w:lang w:val="en-GB"/>
        </w:rPr>
        <w:t>残疾人福利性单位声明函</w:t>
      </w:r>
    </w:p>
    <w:p w14:paraId="65DACBB4">
      <w:pPr>
        <w:shd w:val="clear"/>
        <w:tabs>
          <w:tab w:val="left" w:pos="336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8AC7A1">
      <w:pPr>
        <w:shd w:val="clear"/>
        <w:tabs>
          <w:tab w:val="left" w:pos="336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18EB9F9">
      <w:pPr>
        <w:shd w:val="clear"/>
        <w:tabs>
          <w:tab w:val="left" w:pos="3360"/>
        </w:tabs>
        <w:spacing w:line="360" w:lineRule="auto"/>
        <w:ind w:firstLine="3120" w:firstLineChars="1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单位名称（单位公章）：</w:t>
      </w:r>
    </w:p>
    <w:p w14:paraId="1929C5FF">
      <w:pPr>
        <w:shd w:val="clear"/>
        <w:tabs>
          <w:tab w:val="left" w:pos="3360"/>
        </w:tabs>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2D919574">
      <w:pPr>
        <w:shd w:val="clear"/>
        <w:tabs>
          <w:tab w:val="left" w:pos="3360"/>
        </w:tabs>
        <w:spacing w:line="360" w:lineRule="auto"/>
        <w:rPr>
          <w:rFonts w:hint="eastAsia" w:ascii="宋体" w:hAnsi="宋体" w:eastAsia="宋体" w:cs="宋体"/>
          <w:bCs/>
          <w:color w:val="auto"/>
          <w:sz w:val="24"/>
          <w:highlight w:val="none"/>
        </w:rPr>
      </w:pPr>
    </w:p>
    <w:p w14:paraId="0E88EB90">
      <w:pPr>
        <w:shd w:val="clear"/>
        <w:tabs>
          <w:tab w:val="left" w:pos="3360"/>
        </w:tabs>
        <w:spacing w:line="360" w:lineRule="auto"/>
        <w:rPr>
          <w:rFonts w:hint="eastAsia" w:ascii="宋体" w:hAnsi="宋体" w:eastAsia="宋体" w:cs="宋体"/>
          <w:bCs/>
          <w:color w:val="auto"/>
          <w:sz w:val="24"/>
          <w:highlight w:val="none"/>
        </w:rPr>
      </w:pPr>
    </w:p>
    <w:p w14:paraId="7BAA9D54">
      <w:pPr>
        <w:shd w:val="clear"/>
        <w:tabs>
          <w:tab w:val="left" w:pos="3360"/>
        </w:tabs>
        <w:spacing w:line="360" w:lineRule="auto"/>
        <w:rPr>
          <w:rFonts w:hint="eastAsia" w:ascii="宋体" w:hAnsi="宋体" w:eastAsia="宋体" w:cs="宋体"/>
          <w:bCs/>
          <w:color w:val="auto"/>
          <w:sz w:val="24"/>
          <w:highlight w:val="none"/>
        </w:rPr>
      </w:pPr>
    </w:p>
    <w:p w14:paraId="4441B266">
      <w:pPr>
        <w:shd w:val="clear"/>
        <w:tabs>
          <w:tab w:val="left" w:pos="3360"/>
        </w:tabs>
        <w:spacing w:line="360" w:lineRule="auto"/>
        <w:rPr>
          <w:rFonts w:hint="eastAsia" w:ascii="宋体" w:hAnsi="宋体" w:eastAsia="宋体" w:cs="宋体"/>
          <w:bCs/>
          <w:color w:val="auto"/>
          <w:sz w:val="24"/>
          <w:highlight w:val="none"/>
        </w:rPr>
      </w:pPr>
    </w:p>
    <w:p w14:paraId="4248BEB8">
      <w:pPr>
        <w:shd w:val="clear"/>
        <w:tabs>
          <w:tab w:val="left" w:pos="3360"/>
        </w:tabs>
        <w:spacing w:line="480" w:lineRule="auto"/>
        <w:textAlignment w:val="baseline"/>
        <w:rPr>
          <w:rStyle w:val="46"/>
          <w:rFonts w:hint="eastAsia" w:ascii="宋体" w:hAnsi="宋体" w:eastAsia="宋体" w:cs="宋体"/>
          <w:b/>
          <w:bCs/>
          <w:color w:val="auto"/>
          <w:sz w:val="28"/>
          <w:szCs w:val="28"/>
          <w:highlight w:val="none"/>
        </w:rPr>
      </w:pPr>
      <w:r>
        <w:rPr>
          <w:rStyle w:val="46"/>
          <w:rFonts w:hint="eastAsia" w:ascii="宋体" w:hAnsi="宋体" w:eastAsia="宋体" w:cs="宋体"/>
          <w:b/>
          <w:bCs/>
          <w:color w:val="auto"/>
          <w:sz w:val="28"/>
          <w:szCs w:val="28"/>
          <w:highlight w:val="none"/>
        </w:rPr>
        <w:t xml:space="preserve">           </w:t>
      </w:r>
    </w:p>
    <w:p w14:paraId="347E26AC">
      <w:pPr>
        <w:rPr>
          <w:rFonts w:hint="eastAsia" w:ascii="宋体" w:hAnsi="宋体" w:cs="宋体"/>
          <w:b/>
          <w:color w:val="auto"/>
          <w:sz w:val="36"/>
          <w:szCs w:val="36"/>
          <w:highlight w:val="none"/>
          <w:lang w:val="en-GB"/>
        </w:rPr>
      </w:pPr>
      <w:r>
        <w:rPr>
          <w:rFonts w:hint="eastAsia" w:ascii="宋体" w:hAnsi="宋体" w:cs="宋体"/>
          <w:b/>
          <w:color w:val="auto"/>
          <w:sz w:val="36"/>
          <w:szCs w:val="36"/>
          <w:highlight w:val="none"/>
          <w:lang w:val="en-GB"/>
        </w:rPr>
        <w:br w:type="page"/>
      </w:r>
    </w:p>
    <w:p w14:paraId="52FE97ED">
      <w:pPr>
        <w:spacing w:line="360" w:lineRule="auto"/>
        <w:ind w:left="-2" w:hanging="2"/>
        <w:jc w:val="center"/>
        <w:rPr>
          <w:rFonts w:ascii="宋体" w:hAnsi="宋体" w:cs="宋体"/>
          <w:b/>
          <w:color w:val="auto"/>
          <w:sz w:val="36"/>
          <w:szCs w:val="36"/>
          <w:highlight w:val="none"/>
          <w:lang w:val="en-GB"/>
        </w:rPr>
      </w:pPr>
      <w:r>
        <w:rPr>
          <w:rFonts w:hint="eastAsia" w:ascii="宋体" w:hAnsi="宋体" w:cs="宋体"/>
          <w:b/>
          <w:color w:val="auto"/>
          <w:sz w:val="36"/>
          <w:szCs w:val="36"/>
          <w:highlight w:val="none"/>
          <w:lang w:val="en-GB"/>
        </w:rPr>
        <w:t>政府采购活动现场确认声明书</w:t>
      </w:r>
    </w:p>
    <w:p w14:paraId="4CD0B576">
      <w:pPr>
        <w:snapToGrid w:val="0"/>
        <w:spacing w:line="500" w:lineRule="exact"/>
        <w:rPr>
          <w:rFonts w:ascii="仿宋" w:hAnsi="Courier New" w:eastAsia="仿宋"/>
          <w:b/>
          <w:color w:val="auto"/>
          <w:sz w:val="24"/>
          <w:highlight w:val="none"/>
        </w:rPr>
      </w:pPr>
      <w:r>
        <w:rPr>
          <w:rFonts w:hint="eastAsia" w:ascii="仿宋" w:hAnsi="仿宋"/>
          <w:color w:val="auto"/>
          <w:kern w:val="0"/>
          <w:sz w:val="24"/>
          <w:highlight w:val="none"/>
          <w:u w:val="single"/>
          <w:lang w:eastAsia="zh-CN"/>
        </w:rPr>
        <w:t>杭州好邦建筑工程咨询有限公司</w:t>
      </w:r>
      <w:r>
        <w:rPr>
          <w:rFonts w:hint="eastAsia" w:ascii="仿宋" w:hAnsi="仿宋"/>
          <w:color w:val="auto"/>
          <w:kern w:val="0"/>
          <w:sz w:val="24"/>
          <w:highlight w:val="none"/>
        </w:rPr>
        <w:t>（采购组织机构名称）：</w:t>
      </w:r>
    </w:p>
    <w:p w14:paraId="03DD75EF">
      <w:pPr>
        <w:widowControl/>
        <w:spacing w:line="360" w:lineRule="exact"/>
        <w:ind w:firstLine="504" w:firstLineChars="200"/>
        <w:jc w:val="left"/>
        <w:rPr>
          <w:rFonts w:ascii="宋体" w:hAnsi="宋体"/>
          <w:color w:val="auto"/>
          <w:kern w:val="0"/>
          <w:sz w:val="24"/>
          <w:highlight w:val="none"/>
          <w:lang w:val="zh-CN"/>
        </w:rPr>
      </w:pPr>
      <w:r>
        <w:rPr>
          <w:rFonts w:hint="eastAsia" w:ascii="仿宋" w:hAnsi="仿宋"/>
          <w:color w:val="auto"/>
          <w:spacing w:val="6"/>
          <w:kern w:val="0"/>
          <w:sz w:val="24"/>
          <w:highlight w:val="none"/>
          <w:lang w:val="zh-CN"/>
        </w:rPr>
        <w:t>本人经由</w:t>
      </w:r>
      <w:r>
        <w:rPr>
          <w:rFonts w:hint="eastAsia" w:ascii="仿宋" w:hAnsi="仿宋"/>
          <w:color w:val="auto"/>
          <w:spacing w:val="6"/>
          <w:kern w:val="0"/>
          <w:sz w:val="24"/>
          <w:highlight w:val="none"/>
          <w:u w:val="single"/>
          <w:lang w:val="zh-CN"/>
        </w:rPr>
        <w:t xml:space="preserve">                   </w:t>
      </w:r>
      <w:r>
        <w:rPr>
          <w:rFonts w:ascii="仿宋" w:hAnsi="仿宋"/>
          <w:color w:val="auto"/>
          <w:spacing w:val="6"/>
          <w:kern w:val="0"/>
          <w:sz w:val="24"/>
          <w:highlight w:val="none"/>
          <w:u w:val="single"/>
          <w:lang w:val="zh-CN"/>
        </w:rPr>
        <w:t xml:space="preserve">         </w:t>
      </w:r>
      <w:r>
        <w:rPr>
          <w:rFonts w:hint="eastAsia" w:ascii="仿宋" w:hAnsi="仿宋"/>
          <w:color w:val="auto"/>
          <w:spacing w:val="6"/>
          <w:kern w:val="0"/>
          <w:sz w:val="24"/>
          <w:highlight w:val="none"/>
          <w:lang w:val="zh-CN"/>
        </w:rPr>
        <w:t>单位</w:t>
      </w:r>
      <w:r>
        <w:rPr>
          <w:rFonts w:hint="eastAsia" w:ascii="仿宋" w:hAnsi="仿宋"/>
          <w:color w:val="auto"/>
          <w:spacing w:val="6"/>
          <w:kern w:val="0"/>
          <w:sz w:val="24"/>
          <w:highlight w:val="none"/>
          <w:u w:val="single"/>
          <w:lang w:val="zh-CN"/>
        </w:rPr>
        <w:t xml:space="preserve">        (法人代表)</w:t>
      </w:r>
      <w:r>
        <w:rPr>
          <w:rFonts w:hint="eastAsia" w:ascii="仿宋" w:hAnsi="仿宋"/>
          <w:color w:val="auto"/>
          <w:spacing w:val="6"/>
          <w:kern w:val="0"/>
          <w:sz w:val="24"/>
          <w:highlight w:val="none"/>
          <w:lang w:val="zh-CN"/>
        </w:rPr>
        <w:t>合法授权参加</w:t>
      </w:r>
      <w:r>
        <w:rPr>
          <w:rFonts w:hint="eastAsia" w:ascii="仿宋" w:hAnsi="仿宋"/>
          <w:color w:val="auto"/>
          <w:spacing w:val="6"/>
          <w:kern w:val="0"/>
          <w:sz w:val="24"/>
          <w:highlight w:val="none"/>
          <w:u w:val="single"/>
          <w:lang w:eastAsia="zh-CN"/>
        </w:rPr>
        <w:t>台州市中心医院外科大楼窗帘、床帘、卷帘及配套轨道采购项目</w:t>
      </w:r>
      <w:r>
        <w:rPr>
          <w:rFonts w:hint="eastAsia" w:ascii="仿宋" w:hAnsi="仿宋"/>
          <w:color w:val="auto"/>
          <w:spacing w:val="6"/>
          <w:kern w:val="0"/>
          <w:sz w:val="24"/>
          <w:highlight w:val="none"/>
          <w:u w:val="single"/>
          <w:lang w:val="zh-CN"/>
        </w:rPr>
        <w:t>（编号：</w:t>
      </w:r>
      <w:r>
        <w:rPr>
          <w:rFonts w:hint="eastAsia" w:ascii="宋体" w:hAnsi="宋体" w:cs="宋体"/>
          <w:color w:val="auto"/>
          <w:spacing w:val="6"/>
          <w:kern w:val="0"/>
          <w:sz w:val="24"/>
          <w:highlight w:val="none"/>
          <w:u w:val="single"/>
          <w:lang w:eastAsia="zh-CN"/>
        </w:rPr>
        <w:t>331000261400110000002-HZHB2026-JJ19</w:t>
      </w:r>
      <w:r>
        <w:rPr>
          <w:rFonts w:hint="eastAsia" w:ascii="仿宋" w:hAnsi="仿宋"/>
          <w:color w:val="auto"/>
          <w:spacing w:val="6"/>
          <w:kern w:val="0"/>
          <w:sz w:val="24"/>
          <w:highlight w:val="none"/>
          <w:u w:val="single"/>
          <w:lang w:val="zh-CN"/>
        </w:rPr>
        <w:t>）</w:t>
      </w:r>
      <w:r>
        <w:rPr>
          <w:rFonts w:hint="eastAsia" w:ascii="仿宋" w:hAnsi="仿宋"/>
          <w:color w:val="auto"/>
          <w:spacing w:val="6"/>
          <w:kern w:val="0"/>
          <w:sz w:val="24"/>
          <w:highlight w:val="none"/>
          <w:lang w:val="zh-CN"/>
        </w:rPr>
        <w:t>政府采购活动，经与本单位法人代表（负责人）联系确认，现就有关公平竞争事项郑重声明如下：</w:t>
      </w:r>
    </w:p>
    <w:p w14:paraId="095E561A">
      <w:pPr>
        <w:widowControl/>
        <w:snapToGrid w:val="0"/>
        <w:spacing w:line="440" w:lineRule="exact"/>
        <w:rPr>
          <w:rFonts w:ascii="仿宋" w:eastAsia="仿宋"/>
          <w:color w:val="auto"/>
          <w:kern w:val="0"/>
          <w:sz w:val="24"/>
          <w:highlight w:val="none"/>
        </w:rPr>
      </w:pPr>
      <w:r>
        <w:rPr>
          <w:rFonts w:hint="eastAsia" w:ascii="仿宋" w:hAnsi="仿宋"/>
          <w:color w:val="auto"/>
          <w:kern w:val="0"/>
          <w:sz w:val="24"/>
          <w:highlight w:val="none"/>
        </w:rPr>
        <w:t xml:space="preserve">一、本单位与采购人之间 </w:t>
      </w:r>
      <w:r>
        <w:rPr>
          <w:rFonts w:hint="eastAsia" w:ascii="宋体" w:hAnsi="宋体" w:cs="宋体"/>
          <w:color w:val="auto"/>
          <w:kern w:val="0"/>
          <w:sz w:val="24"/>
          <w:highlight w:val="none"/>
        </w:rPr>
        <w:t>□</w:t>
      </w:r>
      <w:r>
        <w:rPr>
          <w:rFonts w:hint="eastAsia" w:ascii="仿宋" w:hAnsi="仿宋"/>
          <w:color w:val="auto"/>
          <w:kern w:val="0"/>
          <w:sz w:val="24"/>
          <w:highlight w:val="none"/>
        </w:rPr>
        <w:t xml:space="preserve">不存在利害关系 </w:t>
      </w:r>
      <w:r>
        <w:rPr>
          <w:rFonts w:hint="eastAsia" w:ascii="宋体" w:hAnsi="宋体" w:cs="宋体"/>
          <w:color w:val="auto"/>
          <w:kern w:val="0"/>
          <w:sz w:val="24"/>
          <w:highlight w:val="none"/>
        </w:rPr>
        <w:t>□</w:t>
      </w:r>
      <w:r>
        <w:rPr>
          <w:rFonts w:hint="eastAsia" w:ascii="仿宋" w:hAnsi="仿宋"/>
          <w:color w:val="auto"/>
          <w:kern w:val="0"/>
          <w:sz w:val="24"/>
          <w:highlight w:val="none"/>
        </w:rPr>
        <w:t>存在下列利害关系：</w:t>
      </w:r>
    </w:p>
    <w:p w14:paraId="0820E552">
      <w:pPr>
        <w:widowControl/>
        <w:snapToGrid w:val="0"/>
        <w:spacing w:line="440" w:lineRule="exact"/>
        <w:ind w:firstLine="480"/>
        <w:rPr>
          <w:rFonts w:ascii="仿宋" w:hAnsi="仿宋"/>
          <w:color w:val="auto"/>
          <w:kern w:val="0"/>
          <w:sz w:val="24"/>
          <w:highlight w:val="none"/>
        </w:rPr>
      </w:pPr>
      <w:r>
        <w:rPr>
          <w:rFonts w:ascii="仿宋" w:hAnsi="仿宋"/>
          <w:color w:val="auto"/>
          <w:kern w:val="0"/>
          <w:sz w:val="24"/>
          <w:highlight w:val="none"/>
        </w:rPr>
        <w:t>A.</w:t>
      </w:r>
      <w:r>
        <w:rPr>
          <w:rFonts w:hint="eastAsia" w:ascii="仿宋" w:hAnsi="仿宋"/>
          <w:color w:val="auto"/>
          <w:kern w:val="0"/>
          <w:sz w:val="24"/>
          <w:highlight w:val="none"/>
        </w:rPr>
        <w:t>投资关系</w:t>
      </w:r>
      <w:r>
        <w:rPr>
          <w:rFonts w:ascii="仿宋" w:hAnsi="仿宋"/>
          <w:color w:val="auto"/>
          <w:kern w:val="0"/>
          <w:sz w:val="24"/>
          <w:highlight w:val="none"/>
        </w:rPr>
        <w:t xml:space="preserve"> </w:t>
      </w:r>
      <w:r>
        <w:rPr>
          <w:rFonts w:hint="eastAsia" w:ascii="仿宋" w:hAnsi="仿宋"/>
          <w:color w:val="auto"/>
          <w:kern w:val="0"/>
          <w:sz w:val="24"/>
          <w:highlight w:val="none"/>
        </w:rPr>
        <w:t xml:space="preserve"> </w:t>
      </w:r>
      <w:r>
        <w:rPr>
          <w:rFonts w:ascii="仿宋" w:hAnsi="仿宋"/>
          <w:color w:val="auto"/>
          <w:kern w:val="0"/>
          <w:sz w:val="24"/>
          <w:highlight w:val="none"/>
        </w:rPr>
        <w:t xml:space="preserve"> B.</w:t>
      </w:r>
      <w:r>
        <w:rPr>
          <w:rFonts w:hint="eastAsia" w:ascii="仿宋" w:hAnsi="仿宋"/>
          <w:color w:val="auto"/>
          <w:kern w:val="0"/>
          <w:sz w:val="24"/>
          <w:highlight w:val="none"/>
        </w:rPr>
        <w:t>行政隶属关系</w:t>
      </w:r>
      <w:r>
        <w:rPr>
          <w:rFonts w:ascii="仿宋" w:hAnsi="仿宋"/>
          <w:color w:val="auto"/>
          <w:kern w:val="0"/>
          <w:sz w:val="24"/>
          <w:highlight w:val="none"/>
        </w:rPr>
        <w:t xml:space="preserve"> </w:t>
      </w:r>
      <w:r>
        <w:rPr>
          <w:rFonts w:hint="eastAsia" w:ascii="仿宋" w:hAnsi="仿宋"/>
          <w:color w:val="auto"/>
          <w:kern w:val="0"/>
          <w:sz w:val="24"/>
          <w:highlight w:val="none"/>
        </w:rPr>
        <w:t xml:space="preserve"> </w:t>
      </w:r>
      <w:r>
        <w:rPr>
          <w:rFonts w:ascii="仿宋" w:hAnsi="仿宋"/>
          <w:color w:val="auto"/>
          <w:kern w:val="0"/>
          <w:sz w:val="24"/>
          <w:highlight w:val="none"/>
        </w:rPr>
        <w:t xml:space="preserve"> C.</w:t>
      </w:r>
      <w:r>
        <w:rPr>
          <w:rFonts w:hint="eastAsia" w:ascii="仿宋" w:hAnsi="仿宋"/>
          <w:color w:val="auto"/>
          <w:kern w:val="0"/>
          <w:sz w:val="24"/>
          <w:highlight w:val="none"/>
        </w:rPr>
        <w:t xml:space="preserve">业务指导关系  </w:t>
      </w:r>
      <w:r>
        <w:rPr>
          <w:rFonts w:ascii="仿宋" w:hAnsi="仿宋"/>
          <w:color w:val="auto"/>
          <w:kern w:val="0"/>
          <w:sz w:val="24"/>
          <w:highlight w:val="none"/>
        </w:rPr>
        <w:t xml:space="preserve"> </w:t>
      </w:r>
    </w:p>
    <w:p w14:paraId="161E44AE">
      <w:pPr>
        <w:widowControl/>
        <w:snapToGrid w:val="0"/>
        <w:spacing w:line="440" w:lineRule="exact"/>
        <w:ind w:firstLine="480"/>
        <w:rPr>
          <w:rFonts w:ascii="仿宋" w:eastAsia="仿宋"/>
          <w:color w:val="auto"/>
          <w:kern w:val="0"/>
          <w:sz w:val="24"/>
          <w:highlight w:val="none"/>
        </w:rPr>
      </w:pPr>
      <w:r>
        <w:rPr>
          <w:rFonts w:ascii="仿宋" w:hAnsi="仿宋"/>
          <w:color w:val="auto"/>
          <w:kern w:val="0"/>
          <w:sz w:val="24"/>
          <w:highlight w:val="none"/>
        </w:rPr>
        <w:t>D.</w:t>
      </w:r>
      <w:r>
        <w:rPr>
          <w:rFonts w:hint="eastAsia" w:ascii="仿宋" w:hAnsi="仿宋"/>
          <w:color w:val="auto"/>
          <w:kern w:val="0"/>
          <w:sz w:val="24"/>
          <w:highlight w:val="none"/>
        </w:rPr>
        <w:t>其他可能</w:t>
      </w:r>
      <w:r>
        <w:rPr>
          <w:rFonts w:hint="eastAsia" w:ascii="仿宋" w:hAnsi="仿宋"/>
          <w:color w:val="auto"/>
          <w:sz w:val="24"/>
          <w:highlight w:val="none"/>
        </w:rPr>
        <w:t>影响采购公正的</w:t>
      </w:r>
      <w:r>
        <w:rPr>
          <w:rFonts w:hint="eastAsia" w:ascii="仿宋" w:hAnsi="仿宋"/>
          <w:color w:val="auto"/>
          <w:kern w:val="0"/>
          <w:sz w:val="24"/>
          <w:highlight w:val="none"/>
        </w:rPr>
        <w:t>利害关系。</w:t>
      </w:r>
    </w:p>
    <w:p w14:paraId="2016E3B1">
      <w:pPr>
        <w:spacing w:line="420" w:lineRule="exact"/>
        <w:rPr>
          <w:rFonts w:ascii="仿宋" w:eastAsia="仿宋"/>
          <w:color w:val="auto"/>
          <w:kern w:val="0"/>
          <w:sz w:val="24"/>
          <w:highlight w:val="none"/>
        </w:rPr>
      </w:pPr>
      <w:r>
        <w:rPr>
          <w:rFonts w:hint="eastAsia" w:ascii="仿宋" w:hAnsi="仿宋"/>
          <w:color w:val="auto"/>
          <w:spacing w:val="6"/>
          <w:sz w:val="24"/>
          <w:highlight w:val="none"/>
        </w:rPr>
        <w:t>二、</w:t>
      </w:r>
      <w:r>
        <w:rPr>
          <w:rFonts w:hint="eastAsia" w:ascii="仿宋" w:hAnsi="仿宋"/>
          <w:color w:val="auto"/>
          <w:kern w:val="0"/>
          <w:sz w:val="24"/>
          <w:highlight w:val="none"/>
        </w:rPr>
        <w:t>现已清楚知道参加本项目采购活动的其他所有供应商名称，本单位</w:t>
      </w:r>
      <w:r>
        <w:rPr>
          <w:rFonts w:hint="eastAsia" w:ascii="宋体" w:hAnsi="宋体" w:cs="宋体"/>
          <w:color w:val="auto"/>
          <w:kern w:val="0"/>
          <w:sz w:val="24"/>
          <w:highlight w:val="none"/>
        </w:rPr>
        <w:t>□与其他所有供应商之间均</w:t>
      </w:r>
      <w:r>
        <w:rPr>
          <w:rFonts w:hint="eastAsia" w:ascii="仿宋" w:hAnsi="仿宋"/>
          <w:color w:val="auto"/>
          <w:kern w:val="0"/>
          <w:sz w:val="24"/>
          <w:highlight w:val="none"/>
        </w:rPr>
        <w:t xml:space="preserve">不存在利害关系 </w:t>
      </w:r>
      <w:r>
        <w:rPr>
          <w:rFonts w:hint="eastAsia" w:ascii="宋体" w:hAnsi="宋体" w:cs="宋体"/>
          <w:color w:val="auto"/>
          <w:kern w:val="0"/>
          <w:sz w:val="24"/>
          <w:highlight w:val="none"/>
        </w:rPr>
        <w:t>□与之间</w:t>
      </w:r>
      <w:r>
        <w:rPr>
          <w:rFonts w:hint="eastAsia" w:ascii="仿宋" w:hAnsi="仿宋"/>
          <w:color w:val="auto"/>
          <w:kern w:val="0"/>
          <w:sz w:val="24"/>
          <w:highlight w:val="none"/>
        </w:rPr>
        <w:t>存在下列利害关系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8477C9">
      <w:pPr>
        <w:snapToGrid w:val="0"/>
        <w:spacing w:line="440" w:lineRule="exact"/>
        <w:rPr>
          <w:rFonts w:ascii="仿宋" w:hAnsi="Courier New" w:eastAsia="仿宋"/>
          <w:color w:val="auto"/>
          <w:kern w:val="0"/>
          <w:sz w:val="24"/>
          <w:highlight w:val="none"/>
        </w:rPr>
      </w:pPr>
      <w:r>
        <w:rPr>
          <w:rFonts w:ascii="仿宋" w:hAnsi="仿宋"/>
          <w:color w:val="auto"/>
          <w:kern w:val="0"/>
          <w:sz w:val="24"/>
          <w:highlight w:val="none"/>
        </w:rPr>
        <w:t xml:space="preserve">  A.</w:t>
      </w:r>
      <w:r>
        <w:rPr>
          <w:rFonts w:hint="eastAsia" w:ascii="仿宋" w:hAnsi="仿宋"/>
          <w:color w:val="auto"/>
          <w:kern w:val="0"/>
          <w:sz w:val="24"/>
          <w:highlight w:val="none"/>
        </w:rPr>
        <w:t>法定代表人或负责人或实际控制人是同一人</w:t>
      </w:r>
    </w:p>
    <w:p w14:paraId="00EA8D60">
      <w:pPr>
        <w:snapToGrid w:val="0"/>
        <w:spacing w:line="440" w:lineRule="exact"/>
        <w:rPr>
          <w:rFonts w:ascii="仿宋" w:hAnsi="Courier New" w:eastAsia="仿宋"/>
          <w:color w:val="auto"/>
          <w:spacing w:val="6"/>
          <w:sz w:val="24"/>
          <w:highlight w:val="none"/>
        </w:rPr>
      </w:pPr>
      <w:r>
        <w:rPr>
          <w:rFonts w:ascii="仿宋" w:hAnsi="仿宋"/>
          <w:color w:val="auto"/>
          <w:kern w:val="0"/>
          <w:sz w:val="24"/>
          <w:highlight w:val="none"/>
        </w:rPr>
        <w:t xml:space="preserve">  B.</w:t>
      </w:r>
      <w:r>
        <w:rPr>
          <w:rFonts w:hint="eastAsia" w:ascii="仿宋" w:hAnsi="仿宋"/>
          <w:color w:val="auto"/>
          <w:kern w:val="0"/>
          <w:sz w:val="24"/>
          <w:highlight w:val="none"/>
        </w:rPr>
        <w:t>法定代表人或负责人或实际控制人是夫妻关系</w:t>
      </w:r>
    </w:p>
    <w:p w14:paraId="6D8720A3">
      <w:pPr>
        <w:snapToGrid w:val="0"/>
        <w:spacing w:line="440" w:lineRule="exact"/>
        <w:rPr>
          <w:rFonts w:ascii="仿宋" w:hAnsi="Courier New" w:eastAsia="仿宋"/>
          <w:color w:val="auto"/>
          <w:spacing w:val="6"/>
          <w:sz w:val="24"/>
          <w:highlight w:val="none"/>
        </w:rPr>
      </w:pPr>
      <w:r>
        <w:rPr>
          <w:rFonts w:ascii="仿宋" w:hAnsi="仿宋"/>
          <w:color w:val="auto"/>
          <w:kern w:val="0"/>
          <w:sz w:val="24"/>
          <w:highlight w:val="none"/>
        </w:rPr>
        <w:t xml:space="preserve">  C.</w:t>
      </w:r>
      <w:r>
        <w:rPr>
          <w:rFonts w:hint="eastAsia" w:ascii="仿宋" w:hAnsi="仿宋"/>
          <w:color w:val="auto"/>
          <w:kern w:val="0"/>
          <w:sz w:val="24"/>
          <w:highlight w:val="none"/>
        </w:rPr>
        <w:t>法定代表人或负责人或实际控制人是直系血亲关系</w:t>
      </w:r>
    </w:p>
    <w:p w14:paraId="23C76A5D">
      <w:pPr>
        <w:snapToGrid w:val="0"/>
        <w:spacing w:line="440" w:lineRule="exact"/>
        <w:rPr>
          <w:rFonts w:ascii="仿宋" w:hAnsi="Courier New" w:eastAsia="仿宋"/>
          <w:color w:val="auto"/>
          <w:spacing w:val="6"/>
          <w:sz w:val="24"/>
          <w:highlight w:val="none"/>
        </w:rPr>
      </w:pPr>
      <w:r>
        <w:rPr>
          <w:rFonts w:ascii="仿宋" w:hAnsi="仿宋"/>
          <w:color w:val="auto"/>
          <w:kern w:val="0"/>
          <w:sz w:val="24"/>
          <w:highlight w:val="none"/>
        </w:rPr>
        <w:t xml:space="preserve">  D.</w:t>
      </w:r>
      <w:r>
        <w:rPr>
          <w:rFonts w:hint="eastAsia" w:ascii="仿宋" w:hAnsi="仿宋"/>
          <w:color w:val="auto"/>
          <w:kern w:val="0"/>
          <w:sz w:val="24"/>
          <w:highlight w:val="none"/>
        </w:rPr>
        <w:t>法定代表人或负责人或实际控制人存在三代以内旁系血亲关系</w:t>
      </w:r>
    </w:p>
    <w:p w14:paraId="060A8BF9">
      <w:pPr>
        <w:snapToGrid w:val="0"/>
        <w:spacing w:line="440" w:lineRule="exact"/>
        <w:rPr>
          <w:rFonts w:ascii="仿宋" w:hAnsi="Courier New" w:eastAsia="仿宋"/>
          <w:color w:val="auto"/>
          <w:kern w:val="0"/>
          <w:sz w:val="24"/>
          <w:highlight w:val="none"/>
        </w:rPr>
      </w:pPr>
      <w:r>
        <w:rPr>
          <w:rFonts w:ascii="仿宋" w:hAnsi="仿宋"/>
          <w:color w:val="auto"/>
          <w:kern w:val="0"/>
          <w:sz w:val="24"/>
          <w:highlight w:val="none"/>
        </w:rPr>
        <w:t xml:space="preserve">  E.</w:t>
      </w:r>
      <w:r>
        <w:rPr>
          <w:rFonts w:hint="eastAsia" w:ascii="仿宋" w:hAnsi="仿宋"/>
          <w:color w:val="auto"/>
          <w:kern w:val="0"/>
          <w:sz w:val="24"/>
          <w:highlight w:val="none"/>
        </w:rPr>
        <w:t>法定代表人或负责人或实际控制人存在近姻亲关系</w:t>
      </w:r>
    </w:p>
    <w:p w14:paraId="6FF30CBB">
      <w:pPr>
        <w:snapToGrid w:val="0"/>
        <w:spacing w:line="440" w:lineRule="exact"/>
        <w:rPr>
          <w:rFonts w:ascii="仿宋" w:hAnsi="Courier New" w:eastAsia="仿宋"/>
          <w:color w:val="auto"/>
          <w:kern w:val="0"/>
          <w:sz w:val="24"/>
          <w:highlight w:val="none"/>
        </w:rPr>
      </w:pPr>
      <w:r>
        <w:rPr>
          <w:rFonts w:ascii="仿宋" w:hAnsi="仿宋"/>
          <w:color w:val="auto"/>
          <w:kern w:val="0"/>
          <w:sz w:val="24"/>
          <w:highlight w:val="none"/>
        </w:rPr>
        <w:t xml:space="preserve">  F.</w:t>
      </w:r>
      <w:r>
        <w:rPr>
          <w:rFonts w:hint="eastAsia" w:ascii="仿宋" w:hAnsi="仿宋"/>
          <w:color w:val="auto"/>
          <w:kern w:val="0"/>
          <w:sz w:val="24"/>
          <w:highlight w:val="none"/>
        </w:rPr>
        <w:t>法定代表人或负责人或实际控制人存在股份控制或实际控制关系</w:t>
      </w:r>
    </w:p>
    <w:p w14:paraId="79BCFB44">
      <w:pPr>
        <w:snapToGrid w:val="0"/>
        <w:spacing w:line="440" w:lineRule="exact"/>
        <w:outlineLvl w:val="0"/>
        <w:rPr>
          <w:rFonts w:ascii="仿宋" w:hAnsi="Courier New" w:eastAsia="仿宋"/>
          <w:color w:val="auto"/>
          <w:kern w:val="0"/>
          <w:sz w:val="24"/>
          <w:highlight w:val="none"/>
        </w:rPr>
      </w:pPr>
      <w:r>
        <w:rPr>
          <w:rFonts w:ascii="仿宋" w:hAnsi="仿宋"/>
          <w:color w:val="auto"/>
          <w:kern w:val="0"/>
          <w:sz w:val="24"/>
          <w:highlight w:val="none"/>
        </w:rPr>
        <w:t xml:space="preserve">  G.</w:t>
      </w:r>
      <w:r>
        <w:rPr>
          <w:rFonts w:hint="eastAsia" w:ascii="仿宋" w:hAnsi="仿宋"/>
          <w:color w:val="auto"/>
          <w:kern w:val="0"/>
          <w:sz w:val="24"/>
          <w:highlight w:val="none"/>
        </w:rPr>
        <w:t>存在共同直接或间接投资设立子公司、联营企业和合营企业情况</w:t>
      </w:r>
    </w:p>
    <w:p w14:paraId="5A23C7EA">
      <w:pPr>
        <w:snapToGrid w:val="0"/>
        <w:spacing w:line="440" w:lineRule="exact"/>
        <w:rPr>
          <w:rFonts w:ascii="仿宋" w:hAnsi="Courier New" w:eastAsia="仿宋"/>
          <w:color w:val="auto"/>
          <w:sz w:val="24"/>
          <w:highlight w:val="none"/>
        </w:rPr>
      </w:pPr>
      <w:r>
        <w:rPr>
          <w:rFonts w:ascii="仿宋" w:hAnsi="仿宋"/>
          <w:color w:val="auto"/>
          <w:kern w:val="0"/>
          <w:sz w:val="24"/>
          <w:highlight w:val="none"/>
        </w:rPr>
        <w:t xml:space="preserve">  H.</w:t>
      </w:r>
      <w:r>
        <w:rPr>
          <w:rFonts w:hint="eastAsia" w:ascii="仿宋" w:hAnsi="仿宋"/>
          <w:color w:val="auto"/>
          <w:kern w:val="0"/>
          <w:sz w:val="24"/>
          <w:highlight w:val="none"/>
        </w:rPr>
        <w:t>存在分级代理或代销关系、同一生产制造商关系、</w:t>
      </w:r>
      <w:r>
        <w:rPr>
          <w:rFonts w:hint="eastAsia" w:ascii="仿宋" w:hAnsi="仿宋"/>
          <w:color w:val="auto"/>
          <w:sz w:val="24"/>
          <w:highlight w:val="none"/>
        </w:rPr>
        <w:t>管理关系、重要业务（占主营业务收入</w:t>
      </w:r>
      <w:r>
        <w:rPr>
          <w:rFonts w:ascii="仿宋" w:hAnsi="仿宋"/>
          <w:color w:val="auto"/>
          <w:sz w:val="24"/>
          <w:highlight w:val="none"/>
        </w:rPr>
        <w:t>50%</w:t>
      </w:r>
      <w:r>
        <w:rPr>
          <w:rFonts w:hint="eastAsia" w:ascii="仿宋" w:hAnsi="仿宋"/>
          <w:color w:val="auto"/>
          <w:sz w:val="24"/>
          <w:highlight w:val="none"/>
        </w:rPr>
        <w:t>以上）或重要财务往来关系（如融资）等其他实质性控制关系</w:t>
      </w:r>
    </w:p>
    <w:p w14:paraId="4C38F2EA">
      <w:pPr>
        <w:snapToGrid w:val="0"/>
        <w:spacing w:line="440" w:lineRule="exact"/>
        <w:outlineLvl w:val="0"/>
        <w:rPr>
          <w:rFonts w:ascii="仿宋" w:hAnsi="Courier New" w:eastAsia="仿宋"/>
          <w:color w:val="auto"/>
          <w:spacing w:val="6"/>
          <w:sz w:val="24"/>
          <w:highlight w:val="none"/>
        </w:rPr>
      </w:pPr>
      <w:r>
        <w:rPr>
          <w:rFonts w:ascii="仿宋" w:hAnsi="仿宋"/>
          <w:color w:val="auto"/>
          <w:kern w:val="0"/>
          <w:sz w:val="24"/>
          <w:highlight w:val="none"/>
        </w:rPr>
        <w:t xml:space="preserve">  </w:t>
      </w:r>
      <w:r>
        <w:rPr>
          <w:rFonts w:ascii="仿宋" w:hAnsi="仿宋"/>
          <w:color w:val="auto"/>
          <w:sz w:val="24"/>
          <w:highlight w:val="none"/>
        </w:rPr>
        <w:t>I</w:t>
      </w:r>
      <w:r>
        <w:rPr>
          <w:rFonts w:ascii="仿宋" w:hAnsi="Courier New" w:eastAsia="仿宋"/>
          <w:color w:val="auto"/>
          <w:kern w:val="0"/>
          <w:sz w:val="24"/>
          <w:highlight w:val="none"/>
        </w:rPr>
        <w:t>.</w:t>
      </w:r>
      <w:r>
        <w:rPr>
          <w:rFonts w:hint="eastAsia" w:ascii="仿宋" w:hAnsi="仿宋"/>
          <w:color w:val="auto"/>
          <w:sz w:val="24"/>
          <w:highlight w:val="none"/>
        </w:rPr>
        <w:t>其他利害关系情况</w:t>
      </w:r>
      <w:r>
        <w:rPr>
          <w:rFonts w:hint="eastAsia" w:ascii="仿宋" w:hAnsi="仿宋"/>
          <w:color w:val="auto"/>
          <w:kern w:val="0"/>
          <w:sz w:val="24"/>
          <w:highlight w:val="none"/>
        </w:rPr>
        <w:t>。</w:t>
      </w:r>
    </w:p>
    <w:p w14:paraId="26B02321">
      <w:pPr>
        <w:widowControl/>
        <w:snapToGrid w:val="0"/>
        <w:spacing w:line="440" w:lineRule="exact"/>
        <w:rPr>
          <w:rFonts w:ascii="仿宋" w:hAnsi="仿宋"/>
          <w:color w:val="auto"/>
          <w:kern w:val="0"/>
          <w:sz w:val="24"/>
          <w:highlight w:val="none"/>
        </w:rPr>
      </w:pPr>
      <w:r>
        <w:rPr>
          <w:rFonts w:hint="eastAsia" w:ascii="仿宋" w:hAnsi="仿宋"/>
          <w:color w:val="auto"/>
          <w:sz w:val="24"/>
          <w:highlight w:val="none"/>
        </w:rPr>
        <w:t>三、现已清楚知道并</w:t>
      </w:r>
      <w:r>
        <w:rPr>
          <w:rFonts w:hint="eastAsia" w:ascii="仿宋" w:hAnsi="仿宋"/>
          <w:color w:val="auto"/>
          <w:kern w:val="0"/>
          <w:sz w:val="24"/>
          <w:highlight w:val="none"/>
        </w:rPr>
        <w:t>严格遵守政府采购法律法规和现场纪律。</w:t>
      </w:r>
    </w:p>
    <w:p w14:paraId="29ABA116">
      <w:pPr>
        <w:spacing w:line="420" w:lineRule="exact"/>
        <w:rPr>
          <w:color w:val="auto"/>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供应商之间存在或可能存在上述第二条第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项利害关系。</w:t>
      </w:r>
    </w:p>
    <w:p w14:paraId="148589CC">
      <w:pPr>
        <w:spacing w:line="420" w:lineRule="exact"/>
        <w:rPr>
          <w:rFonts w:ascii="宋体" w:hAnsi="宋体" w:cs="宋体"/>
          <w:color w:val="auto"/>
          <w:sz w:val="24"/>
          <w:highlight w:val="none"/>
        </w:rPr>
      </w:pPr>
      <w:r>
        <w:rPr>
          <w:rFonts w:hint="eastAsia" w:ascii="宋体" w:hAnsi="宋体" w:cs="宋体"/>
          <w:color w:val="auto"/>
          <w:sz w:val="24"/>
          <w:highlight w:val="none"/>
        </w:rPr>
        <w:t>五、本单位若有违反诚信投标、采购法律法规等行为，愿意按照招标文件规定接受投标担保的处理。如已中标，自动放弃中标资格；给招标人造成损失的，依法承担赔偿责任。</w:t>
      </w:r>
    </w:p>
    <w:p w14:paraId="5ED3CF5C">
      <w:pPr>
        <w:spacing w:line="420" w:lineRule="exact"/>
        <w:ind w:firstLine="4819" w:firstLineChars="2000"/>
        <w:rPr>
          <w:rFonts w:ascii="宋体" w:hAnsi="宋体" w:cs="宋体"/>
          <w:b/>
          <w:bCs/>
          <w:color w:val="auto"/>
          <w:sz w:val="24"/>
          <w:highlight w:val="none"/>
        </w:rPr>
      </w:pPr>
    </w:p>
    <w:p w14:paraId="6F2434D8">
      <w:pPr>
        <w:spacing w:line="420" w:lineRule="exact"/>
        <w:ind w:firstLine="4819" w:firstLineChars="2000"/>
        <w:rPr>
          <w:rFonts w:ascii="宋体" w:hAnsi="宋体" w:cs="宋体"/>
          <w:b/>
          <w:bCs/>
          <w:color w:val="auto"/>
          <w:sz w:val="24"/>
          <w:highlight w:val="none"/>
        </w:rPr>
      </w:pPr>
      <w:r>
        <w:rPr>
          <w:rFonts w:hint="eastAsia" w:ascii="宋体" w:hAnsi="宋体" w:cs="宋体"/>
          <w:b/>
          <w:bCs/>
          <w:color w:val="auto"/>
          <w:sz w:val="24"/>
          <w:highlight w:val="none"/>
        </w:rPr>
        <w:t>供应商代表签名：</w:t>
      </w:r>
    </w:p>
    <w:p w14:paraId="0C2C83C4">
      <w:pPr>
        <w:spacing w:line="420" w:lineRule="exact"/>
        <w:jc w:val="right"/>
        <w:rPr>
          <w:rFonts w:ascii="宋体" w:hAnsi="宋体" w:cs="宋体"/>
          <w:color w:val="auto"/>
          <w:sz w:val="24"/>
          <w:highlight w:val="none"/>
        </w:rPr>
      </w:pP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  月  日</w:t>
      </w:r>
    </w:p>
    <w:p w14:paraId="4D11C1DE">
      <w:pPr>
        <w:spacing w:line="420" w:lineRule="exact"/>
        <w:rPr>
          <w:rFonts w:hint="eastAsia" w:ascii="宋体" w:hAnsi="宋体" w:cs="宋体"/>
          <w:color w:val="auto"/>
          <w:sz w:val="21"/>
          <w:szCs w:val="21"/>
          <w:highlight w:val="none"/>
        </w:rPr>
      </w:pPr>
    </w:p>
    <w:p w14:paraId="54334319">
      <w:pPr>
        <w:spacing w:line="420" w:lineRule="exact"/>
        <w:rPr>
          <w:color w:val="auto"/>
          <w:highlight w:val="none"/>
        </w:rPr>
      </w:pPr>
      <w:r>
        <w:rPr>
          <w:rFonts w:hint="eastAsia" w:ascii="宋体" w:hAnsi="宋体" w:cs="宋体"/>
          <w:color w:val="auto"/>
          <w:sz w:val="21"/>
          <w:szCs w:val="21"/>
          <w:highlight w:val="none"/>
        </w:rPr>
        <w:t>说明：商务与技术文件开启后30分钟内，供应商通过邮件形式将经授权代表签署的《</w:t>
      </w:r>
      <w:r>
        <w:rPr>
          <w:rFonts w:hint="eastAsia" w:ascii="宋体" w:hAnsi="宋体" w:cs="宋体"/>
          <w:color w:val="auto"/>
          <w:sz w:val="21"/>
          <w:szCs w:val="21"/>
          <w:highlight w:val="none"/>
          <w:lang w:val="en-GB"/>
        </w:rPr>
        <w:t>政府采购活动确认声明书</w:t>
      </w:r>
      <w:r>
        <w:rPr>
          <w:rFonts w:hint="eastAsia" w:ascii="宋体" w:hAnsi="宋体" w:cs="宋体"/>
          <w:color w:val="auto"/>
          <w:sz w:val="21"/>
          <w:szCs w:val="21"/>
          <w:highlight w:val="none"/>
        </w:rPr>
        <w:t>》扫描件发至代理机构经办人邮箱（邮箱地址：</w:t>
      </w:r>
      <w:r>
        <w:rPr>
          <w:color w:val="auto"/>
          <w:sz w:val="18"/>
          <w:szCs w:val="21"/>
          <w:highlight w:val="none"/>
        </w:rPr>
        <w:fldChar w:fldCharType="begin"/>
      </w:r>
      <w:r>
        <w:rPr>
          <w:color w:val="auto"/>
          <w:sz w:val="18"/>
          <w:szCs w:val="21"/>
          <w:highlight w:val="none"/>
        </w:rPr>
        <w:instrText xml:space="preserve"> HYPERLINK "mailto:303054329@qq.com）；" </w:instrText>
      </w:r>
      <w:r>
        <w:rPr>
          <w:color w:val="auto"/>
          <w:sz w:val="18"/>
          <w:szCs w:val="21"/>
          <w:highlight w:val="none"/>
        </w:rPr>
        <w:fldChar w:fldCharType="separate"/>
      </w:r>
      <w:r>
        <w:rPr>
          <w:rFonts w:hint="eastAsia" w:ascii="宋体" w:hAnsi="宋体" w:cs="宋体"/>
          <w:color w:val="auto"/>
          <w:kern w:val="0"/>
          <w:sz w:val="21"/>
          <w:szCs w:val="21"/>
          <w:highlight w:val="none"/>
          <w:lang w:val="en-US" w:eastAsia="zh-CN"/>
        </w:rPr>
        <w:t>173292364</w:t>
      </w:r>
      <w:r>
        <w:rPr>
          <w:rFonts w:hint="eastAsia" w:ascii="宋体" w:hAnsi="宋体" w:cs="宋体"/>
          <w:color w:val="auto"/>
          <w:kern w:val="0"/>
          <w:sz w:val="21"/>
          <w:szCs w:val="21"/>
          <w:highlight w:val="none"/>
        </w:rPr>
        <w:t>@qq.com</w:t>
      </w:r>
      <w:r>
        <w:rPr>
          <w:rFonts w:hint="eastAsia" w:ascii="宋体" w:hAnsi="宋体" w:cs="宋体"/>
          <w:color w:val="auto"/>
          <w:sz w:val="21"/>
          <w:szCs w:val="21"/>
          <w:highlight w:val="none"/>
        </w:rPr>
        <w:t>）；</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不填写或未按规定发出邮件的，视同默认不存在确认声明书中的相关违规情形。</w:t>
      </w:r>
    </w:p>
    <w:sectPr>
      <w:pgSz w:w="11906" w:h="16838"/>
      <w:pgMar w:top="1440" w:right="1080" w:bottom="1440" w:left="1080"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mic Sans MS">
    <w:panose1 w:val="030F0702030302020204"/>
    <w:charset w:val="00"/>
    <w:family w:val="script"/>
    <w:pitch w:val="default"/>
    <w:sig w:usb0="00000287" w:usb1="00000013"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BE5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B15A7">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1B15A7">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6569740">
      <w:pPr>
        <w:pStyle w:val="21"/>
        <w:snapToGrid w:val="0"/>
      </w:pPr>
      <w:r>
        <w:rPr>
          <w:rStyle w:val="31"/>
        </w:rPr>
        <w:footnoteRef/>
      </w:r>
      <w:r>
        <w:t xml:space="preserve"> </w:t>
      </w:r>
      <w:r>
        <w:rPr>
          <w:rFonts w:hint="eastAsia" w:ascii="宋体" w:hAnsi="宋体"/>
          <w:b w:val="0"/>
          <w:bCs/>
          <w:color w:val="auto"/>
          <w:sz w:val="24"/>
          <w:szCs w:val="24"/>
          <w:lang w:val="en-US" w:eastAsia="zh-CN"/>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8AB0">
    <w:pPr>
      <w:pStyle w:val="1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054A">
    <w:pPr>
      <w:spacing w:line="20" w:lineRule="atLeast"/>
      <w:rPr>
        <w:b/>
        <w:i/>
        <w:color w:val="000000"/>
        <w:kern w:val="0"/>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9BBB9"/>
    <w:multiLevelType w:val="singleLevel"/>
    <w:tmpl w:val="8D69BBB9"/>
    <w:lvl w:ilvl="0" w:tentative="0">
      <w:start w:val="1"/>
      <w:numFmt w:val="decimal"/>
      <w:pStyle w:val="6"/>
      <w:lvlText w:val="%1."/>
      <w:lvlJc w:val="left"/>
      <w:pPr>
        <w:tabs>
          <w:tab w:val="left" w:pos="360"/>
        </w:tabs>
        <w:ind w:left="360" w:hanging="360"/>
      </w:pPr>
    </w:lvl>
  </w:abstractNum>
  <w:abstractNum w:abstractNumId="1">
    <w:nsid w:val="BADD1C81"/>
    <w:multiLevelType w:val="singleLevel"/>
    <w:tmpl w:val="BADD1C81"/>
    <w:lvl w:ilvl="0" w:tentative="0">
      <w:start w:val="4"/>
      <w:numFmt w:val="chineseCounting"/>
      <w:suff w:val="nothing"/>
      <w:lvlText w:val="（%1）"/>
      <w:lvlJc w:val="left"/>
      <w:rPr>
        <w:rFonts w:hint="eastAsia"/>
      </w:rPr>
    </w:lvl>
  </w:abstractNum>
  <w:abstractNum w:abstractNumId="2">
    <w:nsid w:val="BBCC0FF1"/>
    <w:multiLevelType w:val="singleLevel"/>
    <w:tmpl w:val="BBCC0FF1"/>
    <w:lvl w:ilvl="0" w:tentative="0">
      <w:start w:val="1"/>
      <w:numFmt w:val="decimal"/>
      <w:suff w:val="nothing"/>
      <w:lvlText w:val="%1、"/>
      <w:lvlJc w:val="left"/>
    </w:lvl>
  </w:abstractNum>
  <w:abstractNum w:abstractNumId="3">
    <w:nsid w:val="E19B1D3A"/>
    <w:multiLevelType w:val="singleLevel"/>
    <w:tmpl w:val="E19B1D3A"/>
    <w:lvl w:ilvl="0" w:tentative="0">
      <w:start w:val="1"/>
      <w:numFmt w:val="decimal"/>
      <w:lvlText w:val="%1."/>
      <w:lvlJc w:val="left"/>
      <w:pPr>
        <w:tabs>
          <w:tab w:val="left" w:pos="312"/>
        </w:tabs>
      </w:pPr>
    </w:lvl>
  </w:abstractNum>
  <w:abstractNum w:abstractNumId="4">
    <w:nsid w:val="EFF3F1BF"/>
    <w:multiLevelType w:val="singleLevel"/>
    <w:tmpl w:val="EFF3F1BF"/>
    <w:lvl w:ilvl="0" w:tentative="0">
      <w:start w:val="4"/>
      <w:numFmt w:val="chineseCounting"/>
      <w:suff w:val="space"/>
      <w:lvlText w:val="第%1章"/>
      <w:lvlJc w:val="left"/>
      <w:rPr>
        <w:rFonts w:hint="eastAsia"/>
      </w:rPr>
    </w:lvl>
  </w:abstractNum>
  <w:abstractNum w:abstractNumId="5">
    <w:nsid w:val="FFFFFF88"/>
    <w:multiLevelType w:val="singleLevel"/>
    <w:tmpl w:val="FFFFFF88"/>
    <w:lvl w:ilvl="0" w:tentative="0">
      <w:start w:val="1"/>
      <w:numFmt w:val="decimal"/>
      <w:pStyle w:val="48"/>
      <w:lvlText w:val="%1."/>
      <w:lvlJc w:val="left"/>
      <w:pPr>
        <w:tabs>
          <w:tab w:val="left" w:pos="360"/>
        </w:tabs>
        <w:ind w:left="360" w:hanging="360"/>
        <w:textAlignment w:val="baseline"/>
      </w:pPr>
    </w:lvl>
  </w:abstractNum>
  <w:abstractNum w:abstractNumId="6">
    <w:nsid w:val="2D95E3DB"/>
    <w:multiLevelType w:val="singleLevel"/>
    <w:tmpl w:val="2D95E3DB"/>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mZTJmNDRmYTQzNzcwOTE2YmIxYjEwYjU3MWMwMDcifQ=="/>
  </w:docVars>
  <w:rsids>
    <w:rsidRoot w:val="577F39BE"/>
    <w:rsid w:val="000A40C3"/>
    <w:rsid w:val="000D6271"/>
    <w:rsid w:val="00104A66"/>
    <w:rsid w:val="00125BDA"/>
    <w:rsid w:val="001C3AFC"/>
    <w:rsid w:val="00221918"/>
    <w:rsid w:val="0026501B"/>
    <w:rsid w:val="0026637D"/>
    <w:rsid w:val="0027159E"/>
    <w:rsid w:val="002B2CA2"/>
    <w:rsid w:val="002C223C"/>
    <w:rsid w:val="00333AA6"/>
    <w:rsid w:val="003E4C23"/>
    <w:rsid w:val="00445252"/>
    <w:rsid w:val="0047647B"/>
    <w:rsid w:val="00505088"/>
    <w:rsid w:val="005C212B"/>
    <w:rsid w:val="005D23B4"/>
    <w:rsid w:val="005D703C"/>
    <w:rsid w:val="00623279"/>
    <w:rsid w:val="00642F31"/>
    <w:rsid w:val="006A1D78"/>
    <w:rsid w:val="00732885"/>
    <w:rsid w:val="0075399D"/>
    <w:rsid w:val="00814C30"/>
    <w:rsid w:val="009867DB"/>
    <w:rsid w:val="009906A1"/>
    <w:rsid w:val="009E4BAD"/>
    <w:rsid w:val="00A66F03"/>
    <w:rsid w:val="00AB16BF"/>
    <w:rsid w:val="00B32D34"/>
    <w:rsid w:val="00C05B0C"/>
    <w:rsid w:val="00CF2C17"/>
    <w:rsid w:val="00D04174"/>
    <w:rsid w:val="00D067CD"/>
    <w:rsid w:val="00D25CDD"/>
    <w:rsid w:val="00D4473B"/>
    <w:rsid w:val="00D53FC2"/>
    <w:rsid w:val="00D84A35"/>
    <w:rsid w:val="00DF6A9B"/>
    <w:rsid w:val="00E00A94"/>
    <w:rsid w:val="00EC38DE"/>
    <w:rsid w:val="00FB0036"/>
    <w:rsid w:val="012375FA"/>
    <w:rsid w:val="013B4944"/>
    <w:rsid w:val="01565F5E"/>
    <w:rsid w:val="015E0632"/>
    <w:rsid w:val="015E6884"/>
    <w:rsid w:val="01670890"/>
    <w:rsid w:val="01756700"/>
    <w:rsid w:val="01B841E6"/>
    <w:rsid w:val="02DF39F5"/>
    <w:rsid w:val="02E1151B"/>
    <w:rsid w:val="02E4255E"/>
    <w:rsid w:val="030F42DA"/>
    <w:rsid w:val="03563CB7"/>
    <w:rsid w:val="03837A1F"/>
    <w:rsid w:val="039562FF"/>
    <w:rsid w:val="03A810F5"/>
    <w:rsid w:val="03CD1A9F"/>
    <w:rsid w:val="04043713"/>
    <w:rsid w:val="041124C0"/>
    <w:rsid w:val="048C54B6"/>
    <w:rsid w:val="04D201A8"/>
    <w:rsid w:val="04EE2553"/>
    <w:rsid w:val="04F96FF0"/>
    <w:rsid w:val="05776166"/>
    <w:rsid w:val="058C1F6A"/>
    <w:rsid w:val="059B0425"/>
    <w:rsid w:val="059D0625"/>
    <w:rsid w:val="05C375FE"/>
    <w:rsid w:val="05E7509A"/>
    <w:rsid w:val="05E97064"/>
    <w:rsid w:val="05EF03F3"/>
    <w:rsid w:val="060F2573"/>
    <w:rsid w:val="062A31D9"/>
    <w:rsid w:val="063002E7"/>
    <w:rsid w:val="063522A9"/>
    <w:rsid w:val="063D115E"/>
    <w:rsid w:val="065F4D15"/>
    <w:rsid w:val="06731B7D"/>
    <w:rsid w:val="0675520C"/>
    <w:rsid w:val="06783F44"/>
    <w:rsid w:val="06AB56C6"/>
    <w:rsid w:val="070D73B5"/>
    <w:rsid w:val="074F1149"/>
    <w:rsid w:val="07E016C9"/>
    <w:rsid w:val="07F341CA"/>
    <w:rsid w:val="086A5B0F"/>
    <w:rsid w:val="086D03F1"/>
    <w:rsid w:val="08752E31"/>
    <w:rsid w:val="088017D6"/>
    <w:rsid w:val="09077801"/>
    <w:rsid w:val="09153CCC"/>
    <w:rsid w:val="093E231B"/>
    <w:rsid w:val="095B087A"/>
    <w:rsid w:val="095C6587"/>
    <w:rsid w:val="09953862"/>
    <w:rsid w:val="099948FD"/>
    <w:rsid w:val="09E94275"/>
    <w:rsid w:val="0A7E1D45"/>
    <w:rsid w:val="0AE72A41"/>
    <w:rsid w:val="0AEB20D2"/>
    <w:rsid w:val="0B3E2722"/>
    <w:rsid w:val="0B425A15"/>
    <w:rsid w:val="0B7078E0"/>
    <w:rsid w:val="0B7373D0"/>
    <w:rsid w:val="0B881888"/>
    <w:rsid w:val="0B9A495D"/>
    <w:rsid w:val="0BF16C73"/>
    <w:rsid w:val="0C833643"/>
    <w:rsid w:val="0CA7027F"/>
    <w:rsid w:val="0CCF6888"/>
    <w:rsid w:val="0D10730E"/>
    <w:rsid w:val="0D38267F"/>
    <w:rsid w:val="0D435C9A"/>
    <w:rsid w:val="0D58596B"/>
    <w:rsid w:val="0D8B7DA0"/>
    <w:rsid w:val="0D921D8F"/>
    <w:rsid w:val="0D9B3218"/>
    <w:rsid w:val="0DD1743B"/>
    <w:rsid w:val="0DE14AC5"/>
    <w:rsid w:val="0DF465A6"/>
    <w:rsid w:val="0E1828EC"/>
    <w:rsid w:val="0E1F739B"/>
    <w:rsid w:val="0E2D1920"/>
    <w:rsid w:val="0E7216B7"/>
    <w:rsid w:val="0E8950DF"/>
    <w:rsid w:val="0EE72330"/>
    <w:rsid w:val="0F370E26"/>
    <w:rsid w:val="0F864220"/>
    <w:rsid w:val="0F865924"/>
    <w:rsid w:val="0F932CBB"/>
    <w:rsid w:val="0F9A4F2B"/>
    <w:rsid w:val="100E2D2D"/>
    <w:rsid w:val="104D0505"/>
    <w:rsid w:val="108D1C62"/>
    <w:rsid w:val="109B0E56"/>
    <w:rsid w:val="10B262A5"/>
    <w:rsid w:val="10B6461B"/>
    <w:rsid w:val="112B125D"/>
    <w:rsid w:val="116834E4"/>
    <w:rsid w:val="11A77DD3"/>
    <w:rsid w:val="124949E7"/>
    <w:rsid w:val="12955E7E"/>
    <w:rsid w:val="12C51841"/>
    <w:rsid w:val="13023513"/>
    <w:rsid w:val="13054DB2"/>
    <w:rsid w:val="13364C83"/>
    <w:rsid w:val="1353537A"/>
    <w:rsid w:val="13824654"/>
    <w:rsid w:val="13954623"/>
    <w:rsid w:val="14575AE1"/>
    <w:rsid w:val="149C1746"/>
    <w:rsid w:val="14A53E96"/>
    <w:rsid w:val="14C11377"/>
    <w:rsid w:val="14CE60A4"/>
    <w:rsid w:val="14E76E65"/>
    <w:rsid w:val="153951E6"/>
    <w:rsid w:val="153F391A"/>
    <w:rsid w:val="15B900D5"/>
    <w:rsid w:val="15FF01DE"/>
    <w:rsid w:val="16704C38"/>
    <w:rsid w:val="16EB0762"/>
    <w:rsid w:val="16EB2510"/>
    <w:rsid w:val="16FE5900"/>
    <w:rsid w:val="17345C06"/>
    <w:rsid w:val="17602EFE"/>
    <w:rsid w:val="17AF0406"/>
    <w:rsid w:val="17B36963"/>
    <w:rsid w:val="18167A61"/>
    <w:rsid w:val="18363C5F"/>
    <w:rsid w:val="18ED564E"/>
    <w:rsid w:val="19256D32"/>
    <w:rsid w:val="193655C7"/>
    <w:rsid w:val="19886AE1"/>
    <w:rsid w:val="1990114D"/>
    <w:rsid w:val="19D13C3F"/>
    <w:rsid w:val="19DC2F1D"/>
    <w:rsid w:val="1A420699"/>
    <w:rsid w:val="1A5328A6"/>
    <w:rsid w:val="1A616974"/>
    <w:rsid w:val="1A6E23A7"/>
    <w:rsid w:val="1A6E3D74"/>
    <w:rsid w:val="1A9237B1"/>
    <w:rsid w:val="1AB46BD0"/>
    <w:rsid w:val="1AE94FB9"/>
    <w:rsid w:val="1B37398D"/>
    <w:rsid w:val="1B440441"/>
    <w:rsid w:val="1B4F1B00"/>
    <w:rsid w:val="1B694A4F"/>
    <w:rsid w:val="1BCC03A2"/>
    <w:rsid w:val="1BCD3EE4"/>
    <w:rsid w:val="1BE7774A"/>
    <w:rsid w:val="1BFE1B6A"/>
    <w:rsid w:val="1C1E6EE4"/>
    <w:rsid w:val="1C452338"/>
    <w:rsid w:val="1CB82E95"/>
    <w:rsid w:val="1CF87735"/>
    <w:rsid w:val="1D111B73"/>
    <w:rsid w:val="1D1D0F4A"/>
    <w:rsid w:val="1D2B423B"/>
    <w:rsid w:val="1D4B1F5B"/>
    <w:rsid w:val="1D5C7CC4"/>
    <w:rsid w:val="1D65437E"/>
    <w:rsid w:val="1D90796E"/>
    <w:rsid w:val="1DBC4C07"/>
    <w:rsid w:val="1DD85F79"/>
    <w:rsid w:val="1E3B0933"/>
    <w:rsid w:val="1E6F69F9"/>
    <w:rsid w:val="1E9A0DC1"/>
    <w:rsid w:val="1E9F430C"/>
    <w:rsid w:val="1EAE530E"/>
    <w:rsid w:val="1F8571F7"/>
    <w:rsid w:val="1F933745"/>
    <w:rsid w:val="1F947BE9"/>
    <w:rsid w:val="1FA8EA86"/>
    <w:rsid w:val="1FB7308A"/>
    <w:rsid w:val="1FD04999"/>
    <w:rsid w:val="1FDC50EC"/>
    <w:rsid w:val="20152CA5"/>
    <w:rsid w:val="20D23DD2"/>
    <w:rsid w:val="20F546B7"/>
    <w:rsid w:val="212D20A3"/>
    <w:rsid w:val="216C7072"/>
    <w:rsid w:val="216D06F2"/>
    <w:rsid w:val="217F0425"/>
    <w:rsid w:val="219901ED"/>
    <w:rsid w:val="223D2748"/>
    <w:rsid w:val="22603DB2"/>
    <w:rsid w:val="22AE6DC4"/>
    <w:rsid w:val="233A4603"/>
    <w:rsid w:val="23F02362"/>
    <w:rsid w:val="24084702"/>
    <w:rsid w:val="24213A15"/>
    <w:rsid w:val="2435301D"/>
    <w:rsid w:val="24613E12"/>
    <w:rsid w:val="247C0D5F"/>
    <w:rsid w:val="247D50F0"/>
    <w:rsid w:val="24A24A33"/>
    <w:rsid w:val="24CE5BEE"/>
    <w:rsid w:val="24F9790C"/>
    <w:rsid w:val="25477E49"/>
    <w:rsid w:val="25891872"/>
    <w:rsid w:val="258A066A"/>
    <w:rsid w:val="25B2261E"/>
    <w:rsid w:val="25B34B41"/>
    <w:rsid w:val="25CF43EF"/>
    <w:rsid w:val="25D32AED"/>
    <w:rsid w:val="25D80C77"/>
    <w:rsid w:val="26263565"/>
    <w:rsid w:val="26502390"/>
    <w:rsid w:val="26727C80"/>
    <w:rsid w:val="26751DF6"/>
    <w:rsid w:val="26924756"/>
    <w:rsid w:val="274912B9"/>
    <w:rsid w:val="27CB43C4"/>
    <w:rsid w:val="28043432"/>
    <w:rsid w:val="28096AB9"/>
    <w:rsid w:val="281318C7"/>
    <w:rsid w:val="28153891"/>
    <w:rsid w:val="28667C49"/>
    <w:rsid w:val="286E2778"/>
    <w:rsid w:val="287C76C9"/>
    <w:rsid w:val="28AC5FA3"/>
    <w:rsid w:val="29F95D95"/>
    <w:rsid w:val="2A0B4F4C"/>
    <w:rsid w:val="2A2E4796"/>
    <w:rsid w:val="2A3224D8"/>
    <w:rsid w:val="2AA70DE5"/>
    <w:rsid w:val="2AA8279A"/>
    <w:rsid w:val="2AE15CAC"/>
    <w:rsid w:val="2B0F45C8"/>
    <w:rsid w:val="2B3C78F9"/>
    <w:rsid w:val="2B45623B"/>
    <w:rsid w:val="2B825C60"/>
    <w:rsid w:val="2C2045B2"/>
    <w:rsid w:val="2CAB6572"/>
    <w:rsid w:val="2CC1019D"/>
    <w:rsid w:val="2CD45AC9"/>
    <w:rsid w:val="2CDA6E57"/>
    <w:rsid w:val="2CF2270F"/>
    <w:rsid w:val="2D12039F"/>
    <w:rsid w:val="2D1759B5"/>
    <w:rsid w:val="2D8A262B"/>
    <w:rsid w:val="2D8C517E"/>
    <w:rsid w:val="2E02015D"/>
    <w:rsid w:val="2E586286"/>
    <w:rsid w:val="2E7C6418"/>
    <w:rsid w:val="2E9A3E3A"/>
    <w:rsid w:val="2EA81E1E"/>
    <w:rsid w:val="2F011DDB"/>
    <w:rsid w:val="2F031ADB"/>
    <w:rsid w:val="2F4D3910"/>
    <w:rsid w:val="2F5352C4"/>
    <w:rsid w:val="2F542EF1"/>
    <w:rsid w:val="2F6F047B"/>
    <w:rsid w:val="2F9349A5"/>
    <w:rsid w:val="2F9C03F4"/>
    <w:rsid w:val="2FC57721"/>
    <w:rsid w:val="2FCD6049"/>
    <w:rsid w:val="30076EC7"/>
    <w:rsid w:val="30345CAA"/>
    <w:rsid w:val="304F6FFA"/>
    <w:rsid w:val="306E5CF3"/>
    <w:rsid w:val="30B11C7D"/>
    <w:rsid w:val="30F5600E"/>
    <w:rsid w:val="3102072B"/>
    <w:rsid w:val="310444A3"/>
    <w:rsid w:val="31293486"/>
    <w:rsid w:val="31483AD3"/>
    <w:rsid w:val="31661D9B"/>
    <w:rsid w:val="31717D8A"/>
    <w:rsid w:val="31C37904"/>
    <w:rsid w:val="320504D2"/>
    <w:rsid w:val="3215357A"/>
    <w:rsid w:val="3288663A"/>
    <w:rsid w:val="32C21590"/>
    <w:rsid w:val="32CF6649"/>
    <w:rsid w:val="32E93950"/>
    <w:rsid w:val="33317CF6"/>
    <w:rsid w:val="333D3C9C"/>
    <w:rsid w:val="337F306F"/>
    <w:rsid w:val="33E32A95"/>
    <w:rsid w:val="340B21E3"/>
    <w:rsid w:val="34412355"/>
    <w:rsid w:val="34A45D2A"/>
    <w:rsid w:val="34E42311"/>
    <w:rsid w:val="35143766"/>
    <w:rsid w:val="351E2CD3"/>
    <w:rsid w:val="35325A82"/>
    <w:rsid w:val="353510CF"/>
    <w:rsid w:val="356B6FBD"/>
    <w:rsid w:val="35820619"/>
    <w:rsid w:val="359A3628"/>
    <w:rsid w:val="35F52453"/>
    <w:rsid w:val="36113D91"/>
    <w:rsid w:val="363043B4"/>
    <w:rsid w:val="36575075"/>
    <w:rsid w:val="36D56670"/>
    <w:rsid w:val="374F3F98"/>
    <w:rsid w:val="37D3157C"/>
    <w:rsid w:val="38591578"/>
    <w:rsid w:val="388A2F92"/>
    <w:rsid w:val="389A16BD"/>
    <w:rsid w:val="38A56FE4"/>
    <w:rsid w:val="39355DE8"/>
    <w:rsid w:val="39845318"/>
    <w:rsid w:val="39AC4D26"/>
    <w:rsid w:val="39B25A47"/>
    <w:rsid w:val="39B97EFF"/>
    <w:rsid w:val="3A540249"/>
    <w:rsid w:val="3A953408"/>
    <w:rsid w:val="3B37195D"/>
    <w:rsid w:val="3B4E4C98"/>
    <w:rsid w:val="3B69075A"/>
    <w:rsid w:val="3B7B5398"/>
    <w:rsid w:val="3B894FD7"/>
    <w:rsid w:val="3BEB15DD"/>
    <w:rsid w:val="3C082A9E"/>
    <w:rsid w:val="3C220271"/>
    <w:rsid w:val="3C8864AE"/>
    <w:rsid w:val="3D4C16AB"/>
    <w:rsid w:val="3D864BBD"/>
    <w:rsid w:val="3D9A2417"/>
    <w:rsid w:val="3DA07301"/>
    <w:rsid w:val="3DE11DF4"/>
    <w:rsid w:val="3E330175"/>
    <w:rsid w:val="3E3D2DA2"/>
    <w:rsid w:val="3E622809"/>
    <w:rsid w:val="3E6B3DB3"/>
    <w:rsid w:val="3EF82D74"/>
    <w:rsid w:val="3F055FB6"/>
    <w:rsid w:val="3F373C95"/>
    <w:rsid w:val="3F626F64"/>
    <w:rsid w:val="3F650802"/>
    <w:rsid w:val="3F6B799F"/>
    <w:rsid w:val="3FC84A37"/>
    <w:rsid w:val="3FDA41DC"/>
    <w:rsid w:val="3FE7076D"/>
    <w:rsid w:val="3FF25211"/>
    <w:rsid w:val="400007BD"/>
    <w:rsid w:val="402D7572"/>
    <w:rsid w:val="40330901"/>
    <w:rsid w:val="404E573A"/>
    <w:rsid w:val="407839B2"/>
    <w:rsid w:val="40873BEE"/>
    <w:rsid w:val="408E067A"/>
    <w:rsid w:val="40B63156"/>
    <w:rsid w:val="40D774DE"/>
    <w:rsid w:val="41004C87"/>
    <w:rsid w:val="4134048C"/>
    <w:rsid w:val="416220F3"/>
    <w:rsid w:val="41BD2B78"/>
    <w:rsid w:val="41C2489D"/>
    <w:rsid w:val="41F43E08"/>
    <w:rsid w:val="42096E52"/>
    <w:rsid w:val="420E6F2F"/>
    <w:rsid w:val="42613503"/>
    <w:rsid w:val="42927B60"/>
    <w:rsid w:val="42CB20FB"/>
    <w:rsid w:val="42DE1F9D"/>
    <w:rsid w:val="42F07FEA"/>
    <w:rsid w:val="43813731"/>
    <w:rsid w:val="43D96A81"/>
    <w:rsid w:val="43DA68A3"/>
    <w:rsid w:val="44272F23"/>
    <w:rsid w:val="446948F1"/>
    <w:rsid w:val="446A5A68"/>
    <w:rsid w:val="44872C8F"/>
    <w:rsid w:val="44BE0346"/>
    <w:rsid w:val="452D66E1"/>
    <w:rsid w:val="45701CAF"/>
    <w:rsid w:val="45F4414E"/>
    <w:rsid w:val="466730B2"/>
    <w:rsid w:val="468A6DA0"/>
    <w:rsid w:val="469333E2"/>
    <w:rsid w:val="46BB42F1"/>
    <w:rsid w:val="46C93D6D"/>
    <w:rsid w:val="46CD6437"/>
    <w:rsid w:val="46CF50D3"/>
    <w:rsid w:val="46D1677D"/>
    <w:rsid w:val="46DB328D"/>
    <w:rsid w:val="46FA3F26"/>
    <w:rsid w:val="473E02B7"/>
    <w:rsid w:val="4740402F"/>
    <w:rsid w:val="47656AF4"/>
    <w:rsid w:val="478D08F6"/>
    <w:rsid w:val="47A25CE3"/>
    <w:rsid w:val="47B30914"/>
    <w:rsid w:val="47E86474"/>
    <w:rsid w:val="482C7443"/>
    <w:rsid w:val="488F68F0"/>
    <w:rsid w:val="48B16866"/>
    <w:rsid w:val="48DF1625"/>
    <w:rsid w:val="4961269A"/>
    <w:rsid w:val="496833C9"/>
    <w:rsid w:val="497955D6"/>
    <w:rsid w:val="497C6E74"/>
    <w:rsid w:val="498C2C5F"/>
    <w:rsid w:val="49DA721B"/>
    <w:rsid w:val="4A5303DD"/>
    <w:rsid w:val="4A676979"/>
    <w:rsid w:val="4A6E2C61"/>
    <w:rsid w:val="4AA03036"/>
    <w:rsid w:val="4AA743C5"/>
    <w:rsid w:val="4ADF590D"/>
    <w:rsid w:val="4B1C5918"/>
    <w:rsid w:val="4B9B20E5"/>
    <w:rsid w:val="4BCD7E5B"/>
    <w:rsid w:val="4C56173B"/>
    <w:rsid w:val="4C8524E4"/>
    <w:rsid w:val="4CE0771A"/>
    <w:rsid w:val="4D183358"/>
    <w:rsid w:val="4D37146B"/>
    <w:rsid w:val="4D7C38E7"/>
    <w:rsid w:val="4D900DA5"/>
    <w:rsid w:val="4DC332C4"/>
    <w:rsid w:val="4DF96CE5"/>
    <w:rsid w:val="4E1B0998"/>
    <w:rsid w:val="4E1F62F6"/>
    <w:rsid w:val="4E331268"/>
    <w:rsid w:val="4E64747D"/>
    <w:rsid w:val="4EA5602C"/>
    <w:rsid w:val="4EB018BC"/>
    <w:rsid w:val="4EE769E3"/>
    <w:rsid w:val="4EF241A3"/>
    <w:rsid w:val="4EF37BD9"/>
    <w:rsid w:val="4EF54F38"/>
    <w:rsid w:val="4F29319E"/>
    <w:rsid w:val="4F440434"/>
    <w:rsid w:val="4F7800DE"/>
    <w:rsid w:val="4F98052F"/>
    <w:rsid w:val="4FB37368"/>
    <w:rsid w:val="4FD74E04"/>
    <w:rsid w:val="50010D46"/>
    <w:rsid w:val="506574AF"/>
    <w:rsid w:val="50CA2BBB"/>
    <w:rsid w:val="510D4856"/>
    <w:rsid w:val="512978E2"/>
    <w:rsid w:val="51605D99"/>
    <w:rsid w:val="516E1798"/>
    <w:rsid w:val="518014CC"/>
    <w:rsid w:val="519C4558"/>
    <w:rsid w:val="51B66C9C"/>
    <w:rsid w:val="520805C4"/>
    <w:rsid w:val="52263E21"/>
    <w:rsid w:val="522C69DB"/>
    <w:rsid w:val="523A74B4"/>
    <w:rsid w:val="527E2F9D"/>
    <w:rsid w:val="52D22B48"/>
    <w:rsid w:val="52E945DF"/>
    <w:rsid w:val="52F97788"/>
    <w:rsid w:val="52FD4E8E"/>
    <w:rsid w:val="53753E75"/>
    <w:rsid w:val="53901E9A"/>
    <w:rsid w:val="53A35867"/>
    <w:rsid w:val="53BD6A07"/>
    <w:rsid w:val="53ED570A"/>
    <w:rsid w:val="53F65A75"/>
    <w:rsid w:val="541B2BA8"/>
    <w:rsid w:val="542C518A"/>
    <w:rsid w:val="545D09EC"/>
    <w:rsid w:val="54876FA9"/>
    <w:rsid w:val="54BB7377"/>
    <w:rsid w:val="54BE47E5"/>
    <w:rsid w:val="54C067AF"/>
    <w:rsid w:val="54D45781"/>
    <w:rsid w:val="550564FD"/>
    <w:rsid w:val="551978CC"/>
    <w:rsid w:val="553D7E00"/>
    <w:rsid w:val="554B78CD"/>
    <w:rsid w:val="558A46C7"/>
    <w:rsid w:val="55A25EB5"/>
    <w:rsid w:val="55A35789"/>
    <w:rsid w:val="55D1371B"/>
    <w:rsid w:val="55D87B28"/>
    <w:rsid w:val="55F11306"/>
    <w:rsid w:val="561C1A89"/>
    <w:rsid w:val="5627460C"/>
    <w:rsid w:val="562B7C58"/>
    <w:rsid w:val="562C4293"/>
    <w:rsid w:val="565A053D"/>
    <w:rsid w:val="56707D61"/>
    <w:rsid w:val="56E524FD"/>
    <w:rsid w:val="57115213"/>
    <w:rsid w:val="57142982"/>
    <w:rsid w:val="57572A92"/>
    <w:rsid w:val="576A0C54"/>
    <w:rsid w:val="576F3D1B"/>
    <w:rsid w:val="577F39BE"/>
    <w:rsid w:val="57B91294"/>
    <w:rsid w:val="57D367F9"/>
    <w:rsid w:val="580263B8"/>
    <w:rsid w:val="58153286"/>
    <w:rsid w:val="581B1F4E"/>
    <w:rsid w:val="582B3532"/>
    <w:rsid w:val="58900246"/>
    <w:rsid w:val="58DE7204"/>
    <w:rsid w:val="594269A6"/>
    <w:rsid w:val="597D4406"/>
    <w:rsid w:val="59BB133A"/>
    <w:rsid w:val="59EE16C8"/>
    <w:rsid w:val="5A00764E"/>
    <w:rsid w:val="5A0F7891"/>
    <w:rsid w:val="5A1509C4"/>
    <w:rsid w:val="5A20384C"/>
    <w:rsid w:val="5A33357F"/>
    <w:rsid w:val="5A696063"/>
    <w:rsid w:val="5AA54327"/>
    <w:rsid w:val="5AD671F0"/>
    <w:rsid w:val="5B455E49"/>
    <w:rsid w:val="5B70435F"/>
    <w:rsid w:val="5BA75F0B"/>
    <w:rsid w:val="5C163158"/>
    <w:rsid w:val="5C321615"/>
    <w:rsid w:val="5C45759A"/>
    <w:rsid w:val="5C643EC4"/>
    <w:rsid w:val="5CB62246"/>
    <w:rsid w:val="5CEB6393"/>
    <w:rsid w:val="5CFE7579"/>
    <w:rsid w:val="5D12780E"/>
    <w:rsid w:val="5D610403"/>
    <w:rsid w:val="5D635F29"/>
    <w:rsid w:val="5D76750E"/>
    <w:rsid w:val="5D997F61"/>
    <w:rsid w:val="5DD97254"/>
    <w:rsid w:val="5DE3706A"/>
    <w:rsid w:val="5E162F9C"/>
    <w:rsid w:val="5E2356B9"/>
    <w:rsid w:val="5E40685E"/>
    <w:rsid w:val="5E420235"/>
    <w:rsid w:val="5E834A24"/>
    <w:rsid w:val="5E8A166F"/>
    <w:rsid w:val="5EA66A16"/>
    <w:rsid w:val="5EB4486C"/>
    <w:rsid w:val="5EC7073A"/>
    <w:rsid w:val="5EF17565"/>
    <w:rsid w:val="5F0454EA"/>
    <w:rsid w:val="5F6D7533"/>
    <w:rsid w:val="5F6E1C81"/>
    <w:rsid w:val="5F6F58EE"/>
    <w:rsid w:val="5F8B1891"/>
    <w:rsid w:val="5F962971"/>
    <w:rsid w:val="5FBC5DC5"/>
    <w:rsid w:val="5FBE4A39"/>
    <w:rsid w:val="5FD536B3"/>
    <w:rsid w:val="603E67DA"/>
    <w:rsid w:val="6042451C"/>
    <w:rsid w:val="6058497F"/>
    <w:rsid w:val="605E6E7C"/>
    <w:rsid w:val="60B8658C"/>
    <w:rsid w:val="60CF38D6"/>
    <w:rsid w:val="611C3013"/>
    <w:rsid w:val="61477910"/>
    <w:rsid w:val="61BA6334"/>
    <w:rsid w:val="61D000D3"/>
    <w:rsid w:val="62466F58"/>
    <w:rsid w:val="628A39FA"/>
    <w:rsid w:val="62DD22DA"/>
    <w:rsid w:val="62E64357"/>
    <w:rsid w:val="633D4B6E"/>
    <w:rsid w:val="635051A2"/>
    <w:rsid w:val="639E676F"/>
    <w:rsid w:val="63AE011A"/>
    <w:rsid w:val="63FA6EBC"/>
    <w:rsid w:val="645667E8"/>
    <w:rsid w:val="648F1CFA"/>
    <w:rsid w:val="65DE200E"/>
    <w:rsid w:val="66303069"/>
    <w:rsid w:val="66652852"/>
    <w:rsid w:val="668A09CB"/>
    <w:rsid w:val="66E540BC"/>
    <w:rsid w:val="66F44096"/>
    <w:rsid w:val="67006EDF"/>
    <w:rsid w:val="671E1113"/>
    <w:rsid w:val="67430B7A"/>
    <w:rsid w:val="676A6106"/>
    <w:rsid w:val="67786A75"/>
    <w:rsid w:val="67C84E74"/>
    <w:rsid w:val="67D53ABC"/>
    <w:rsid w:val="67F021F7"/>
    <w:rsid w:val="683D4A21"/>
    <w:rsid w:val="684D3A5E"/>
    <w:rsid w:val="6865072D"/>
    <w:rsid w:val="68815DFE"/>
    <w:rsid w:val="68F20AA9"/>
    <w:rsid w:val="692A37F7"/>
    <w:rsid w:val="6954100A"/>
    <w:rsid w:val="69821E2D"/>
    <w:rsid w:val="698E1B57"/>
    <w:rsid w:val="69A91168"/>
    <w:rsid w:val="69E14DA6"/>
    <w:rsid w:val="6A0D5B9B"/>
    <w:rsid w:val="6A785A62"/>
    <w:rsid w:val="6A9736B6"/>
    <w:rsid w:val="6AD32300"/>
    <w:rsid w:val="6ADC731B"/>
    <w:rsid w:val="6B4F3F91"/>
    <w:rsid w:val="6B686E01"/>
    <w:rsid w:val="6B9767B5"/>
    <w:rsid w:val="6B9876E6"/>
    <w:rsid w:val="6BA3608B"/>
    <w:rsid w:val="6BBA58AE"/>
    <w:rsid w:val="6BBB2524"/>
    <w:rsid w:val="6BE566A3"/>
    <w:rsid w:val="6C156F89"/>
    <w:rsid w:val="6C506213"/>
    <w:rsid w:val="6C8305C4"/>
    <w:rsid w:val="6C9F199C"/>
    <w:rsid w:val="6CCE3D81"/>
    <w:rsid w:val="6CD265C7"/>
    <w:rsid w:val="6CF524C1"/>
    <w:rsid w:val="6D365409"/>
    <w:rsid w:val="6D4B3F19"/>
    <w:rsid w:val="6D9D7236"/>
    <w:rsid w:val="6DC2233C"/>
    <w:rsid w:val="6DE150DF"/>
    <w:rsid w:val="6DF162A4"/>
    <w:rsid w:val="6E3851B0"/>
    <w:rsid w:val="6E3D6323"/>
    <w:rsid w:val="6EC30F1E"/>
    <w:rsid w:val="6EF32C26"/>
    <w:rsid w:val="6F0D6F24"/>
    <w:rsid w:val="6F7E2CFE"/>
    <w:rsid w:val="6F83245B"/>
    <w:rsid w:val="6FAE5625"/>
    <w:rsid w:val="6FCC5BB0"/>
    <w:rsid w:val="700A4B53"/>
    <w:rsid w:val="7012558D"/>
    <w:rsid w:val="70553A48"/>
    <w:rsid w:val="708446DD"/>
    <w:rsid w:val="70BF74C3"/>
    <w:rsid w:val="70E415EA"/>
    <w:rsid w:val="70EE7DA8"/>
    <w:rsid w:val="71535B6F"/>
    <w:rsid w:val="71722787"/>
    <w:rsid w:val="71C66E35"/>
    <w:rsid w:val="721A341D"/>
    <w:rsid w:val="72700F9E"/>
    <w:rsid w:val="72975E57"/>
    <w:rsid w:val="729B3B13"/>
    <w:rsid w:val="72AB75C7"/>
    <w:rsid w:val="732727FA"/>
    <w:rsid w:val="73683E42"/>
    <w:rsid w:val="736F565E"/>
    <w:rsid w:val="737C3716"/>
    <w:rsid w:val="73840EAD"/>
    <w:rsid w:val="7395481F"/>
    <w:rsid w:val="7395538E"/>
    <w:rsid w:val="739E1EEF"/>
    <w:rsid w:val="7416477B"/>
    <w:rsid w:val="74397AC0"/>
    <w:rsid w:val="743E555E"/>
    <w:rsid w:val="74412A76"/>
    <w:rsid w:val="74446245"/>
    <w:rsid w:val="74911176"/>
    <w:rsid w:val="74D87FA1"/>
    <w:rsid w:val="75056415"/>
    <w:rsid w:val="75317872"/>
    <w:rsid w:val="75AD6E0E"/>
    <w:rsid w:val="763C7396"/>
    <w:rsid w:val="7658011E"/>
    <w:rsid w:val="7698346A"/>
    <w:rsid w:val="76F13FBC"/>
    <w:rsid w:val="7771703D"/>
    <w:rsid w:val="778B45A3"/>
    <w:rsid w:val="77A44FB4"/>
    <w:rsid w:val="77BD639E"/>
    <w:rsid w:val="77CA514A"/>
    <w:rsid w:val="780A0551"/>
    <w:rsid w:val="78250553"/>
    <w:rsid w:val="782C7E18"/>
    <w:rsid w:val="783D0751"/>
    <w:rsid w:val="78792B25"/>
    <w:rsid w:val="7887669B"/>
    <w:rsid w:val="78976A27"/>
    <w:rsid w:val="78B95140"/>
    <w:rsid w:val="793C536D"/>
    <w:rsid w:val="79BE763A"/>
    <w:rsid w:val="79C866AF"/>
    <w:rsid w:val="7A1C7734"/>
    <w:rsid w:val="7A3902E6"/>
    <w:rsid w:val="7A4A42A1"/>
    <w:rsid w:val="7A635363"/>
    <w:rsid w:val="7A6510DB"/>
    <w:rsid w:val="7A7632E8"/>
    <w:rsid w:val="7AE5221C"/>
    <w:rsid w:val="7BD06A28"/>
    <w:rsid w:val="7BE27873"/>
    <w:rsid w:val="7BE659B3"/>
    <w:rsid w:val="7BEA18F8"/>
    <w:rsid w:val="7C3A6597"/>
    <w:rsid w:val="7C4411C4"/>
    <w:rsid w:val="7C7A4BE6"/>
    <w:rsid w:val="7C8B7B63"/>
    <w:rsid w:val="7C8F0997"/>
    <w:rsid w:val="7C9C08F5"/>
    <w:rsid w:val="7CAD0B17"/>
    <w:rsid w:val="7CD11317"/>
    <w:rsid w:val="7CF36E72"/>
    <w:rsid w:val="7D397568"/>
    <w:rsid w:val="7DB71E82"/>
    <w:rsid w:val="7DC0487A"/>
    <w:rsid w:val="7DDA3B8E"/>
    <w:rsid w:val="7E042183"/>
    <w:rsid w:val="7E867872"/>
    <w:rsid w:val="7EF173E1"/>
    <w:rsid w:val="7F5E259D"/>
    <w:rsid w:val="7FEE353C"/>
    <w:rsid w:val="B7FECC2D"/>
    <w:rsid w:val="EFE9E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unhideWhenUsed/>
    <w:qFormat/>
    <w:uiPriority w:val="99"/>
    <w:pPr>
      <w:keepNext/>
      <w:keepLines/>
      <w:ind w:firstLine="200" w:firstLineChars="200"/>
      <w:outlineLvl w:val="2"/>
    </w:pPr>
    <w:rPr>
      <w:b/>
      <w:bCs/>
      <w:szCs w:val="32"/>
    </w:rPr>
  </w:style>
  <w:style w:type="paragraph" w:styleId="5">
    <w:name w:val="heading 4"/>
    <w:basedOn w:val="1"/>
    <w:next w:val="1"/>
    <w:unhideWhenUsed/>
    <w:qFormat/>
    <w:uiPriority w:val="0"/>
    <w:pPr>
      <w:keepNext/>
      <w:keepLines/>
      <w:adjustRightInd w:val="0"/>
      <w:snapToGrid w:val="0"/>
      <w:spacing w:before="50" w:beforeLines="50" w:after="50" w:afterLines="50" w:line="360"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next w:val="1"/>
    <w:qFormat/>
    <w:uiPriority w:val="99"/>
    <w:pPr>
      <w:ind w:firstLine="420"/>
    </w:pPr>
    <w:rPr>
      <w:szCs w:val="20"/>
    </w:rPr>
  </w:style>
  <w:style w:type="paragraph" w:styleId="8">
    <w:name w:val="annotation text"/>
    <w:basedOn w:val="1"/>
    <w:qFormat/>
    <w:uiPriority w:val="0"/>
    <w:pPr>
      <w:jc w:val="left"/>
    </w:pPr>
  </w:style>
  <w:style w:type="paragraph" w:styleId="9">
    <w:name w:val="Body Text"/>
    <w:basedOn w:val="1"/>
    <w:qFormat/>
    <w:uiPriority w:val="99"/>
    <w:pPr>
      <w:spacing w:line="360" w:lineRule="exact"/>
    </w:pPr>
    <w:rPr>
      <w:sz w:val="24"/>
    </w:rPr>
  </w:style>
  <w:style w:type="paragraph" w:styleId="10">
    <w:name w:val="Body Text Indent"/>
    <w:basedOn w:val="1"/>
    <w:next w:val="11"/>
    <w:qFormat/>
    <w:uiPriority w:val="99"/>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adjustRightInd w:val="0"/>
      <w:spacing w:line="300" w:lineRule="auto"/>
      <w:ind w:left="958" w:right="-120" w:rightChars="-120"/>
      <w:jc w:val="left"/>
    </w:pPr>
    <w:rPr>
      <w:rFonts w:ascii="宋体" w:hAnsi="宋体"/>
      <w:sz w:val="28"/>
    </w:rPr>
  </w:style>
  <w:style w:type="paragraph" w:styleId="13">
    <w:name w:val="Plain Text"/>
    <w:basedOn w:val="1"/>
    <w:next w:val="14"/>
    <w:qFormat/>
    <w:uiPriority w:val="99"/>
    <w:rPr>
      <w:rFonts w:ascii="宋体" w:hAnsi="Courier New"/>
    </w:rPr>
  </w:style>
  <w:style w:type="paragraph" w:styleId="14">
    <w:name w:val="Date"/>
    <w:basedOn w:val="1"/>
    <w:next w:val="1"/>
    <w:qFormat/>
    <w:uiPriority w:val="99"/>
    <w:pPr>
      <w:ind w:left="2500" w:leftChars="2500"/>
    </w:pPr>
    <w:rPr>
      <w:rFonts w:ascii="Calibri" w:hAnsi="Calibri" w:eastAsia="楷体_GB2312"/>
      <w:sz w:val="32"/>
      <w:szCs w:val="22"/>
    </w:rPr>
  </w:style>
  <w:style w:type="paragraph" w:styleId="15">
    <w:name w:val="Body Text Indent 2"/>
    <w:basedOn w:val="1"/>
    <w:qFormat/>
    <w:uiPriority w:val="0"/>
    <w:pPr>
      <w:spacing w:line="500" w:lineRule="exact"/>
      <w:ind w:firstLine="511" w:firstLineChars="213"/>
    </w:pPr>
    <w:rPr>
      <w:sz w:val="24"/>
    </w:r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9">
    <w:name w:val="Quote1"/>
    <w:next w:val="1"/>
    <w:qFormat/>
    <w:uiPriority w:val="99"/>
    <w:pPr>
      <w:wordWrap w:val="0"/>
      <w:spacing w:before="200" w:after="160"/>
      <w:ind w:left="864" w:right="864"/>
      <w:jc w:val="center"/>
    </w:pPr>
    <w:rPr>
      <w:rFonts w:ascii="宋体" w:hAnsi="Times New Roman" w:eastAsia="宋体" w:cs="Times New Roman"/>
      <w:i/>
      <w:color w:val="404040"/>
      <w:kern w:val="2"/>
      <w:sz w:val="21"/>
      <w:szCs w:val="24"/>
      <w:lang w:val="en-US" w:eastAsia="zh-CN" w:bidi="ar-SA"/>
    </w:rPr>
  </w:style>
  <w:style w:type="paragraph" w:styleId="20">
    <w:name w:val="toc 4"/>
    <w:basedOn w:val="1"/>
    <w:next w:val="1"/>
    <w:qFormat/>
    <w:uiPriority w:val="39"/>
    <w:pPr>
      <w:widowControl/>
      <w:ind w:left="600"/>
      <w:jc w:val="left"/>
    </w:pPr>
    <w:rPr>
      <w:kern w:val="0"/>
      <w:sz w:val="18"/>
      <w:szCs w:val="20"/>
    </w:rPr>
  </w:style>
  <w:style w:type="paragraph" w:styleId="21">
    <w:name w:val="footnote text"/>
    <w:basedOn w:val="1"/>
    <w:semiHidden/>
    <w:unhideWhenUsed/>
    <w:qFormat/>
    <w:uiPriority w:val="99"/>
    <w:pPr>
      <w:snapToGrid w:val="0"/>
      <w:jc w:val="left"/>
    </w:pPr>
    <w:rPr>
      <w:sz w:val="18"/>
    </w:rPr>
  </w:style>
  <w:style w:type="paragraph" w:styleId="22">
    <w:name w:val="toc 2"/>
    <w:basedOn w:val="1"/>
    <w:next w:val="1"/>
    <w:qFormat/>
    <w:uiPriority w:val="99"/>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Title"/>
    <w:basedOn w:val="1"/>
    <w:next w:val="1"/>
    <w:qFormat/>
    <w:uiPriority w:val="0"/>
    <w:pPr>
      <w:spacing w:before="240" w:after="60"/>
      <w:jc w:val="center"/>
      <w:outlineLvl w:val="0"/>
    </w:pPr>
    <w:rPr>
      <w:rFonts w:ascii="Cambria" w:hAnsi="Cambria"/>
      <w:b/>
      <w:bCs/>
      <w:kern w:val="0"/>
      <w:sz w:val="32"/>
      <w:szCs w:val="32"/>
    </w:rPr>
  </w:style>
  <w:style w:type="paragraph" w:styleId="25">
    <w:name w:val="Body Text First Indent"/>
    <w:basedOn w:val="9"/>
    <w:qFormat/>
    <w:uiPriority w:val="99"/>
    <w:pPr>
      <w:ind w:firstLine="420"/>
    </w:pPr>
    <w:rPr>
      <w:sz w:val="21"/>
    </w:rPr>
  </w:style>
  <w:style w:type="paragraph" w:styleId="26">
    <w:name w:val="Body Text First Indent 2"/>
    <w:basedOn w:val="10"/>
    <w:next w:val="1"/>
    <w:qFormat/>
    <w:uiPriority w:val="0"/>
    <w:pPr>
      <w:ind w:firstLine="42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qFormat/>
    <w:uiPriority w:val="0"/>
    <w:rPr>
      <w:color w:val="0000FF"/>
      <w:u w:val="single"/>
    </w:rPr>
  </w:style>
  <w:style w:type="character" w:styleId="31">
    <w:name w:val="footnote reference"/>
    <w:basedOn w:val="29"/>
    <w:semiHidden/>
    <w:unhideWhenUsed/>
    <w:qFormat/>
    <w:uiPriority w:val="99"/>
    <w:rPr>
      <w:vertAlign w:val="superscript"/>
    </w:rPr>
  </w:style>
  <w:style w:type="paragraph" w:customStyle="1" w:styleId="32">
    <w:name w:val="NormalIndent"/>
    <w:basedOn w:val="1"/>
    <w:next w:val="1"/>
    <w:qFormat/>
    <w:uiPriority w:val="0"/>
    <w:pPr>
      <w:ind w:firstLine="420"/>
      <w:textAlignment w:val="baseline"/>
    </w:pPr>
    <w:rPr>
      <w:szCs w:val="20"/>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正文2"/>
    <w:basedOn w:val="1"/>
    <w:qFormat/>
    <w:uiPriority w:val="0"/>
    <w:pPr>
      <w:spacing w:before="156" w:line="360" w:lineRule="auto"/>
      <w:ind w:firstLine="510" w:firstLineChars="200"/>
    </w:pPr>
    <w:rPr>
      <w:sz w:val="24"/>
      <w:szCs w:val="20"/>
    </w:rPr>
  </w:style>
  <w:style w:type="paragraph" w:customStyle="1" w:styleId="35">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列出段落2"/>
    <w:basedOn w:val="1"/>
    <w:qFormat/>
    <w:uiPriority w:val="99"/>
    <w:pPr>
      <w:ind w:firstLine="420" w:firstLineChars="200"/>
    </w:pPr>
    <w:rPr>
      <w:sz w:val="24"/>
    </w:rPr>
  </w:style>
  <w:style w:type="paragraph" w:customStyle="1" w:styleId="44">
    <w:name w:val="zw"/>
    <w:basedOn w:val="1"/>
    <w:qFormat/>
    <w:uiPriority w:val="99"/>
    <w:pPr>
      <w:widowControl/>
      <w:spacing w:before="30"/>
      <w:ind w:left="100" w:right="100"/>
    </w:pPr>
    <w:rPr>
      <w:rFonts w:ascii="方正书宋简体" w:hAnsi="宋体" w:eastAsia="方正书宋简体"/>
      <w:color w:val="000000"/>
      <w:kern w:val="0"/>
      <w:szCs w:val="21"/>
    </w:rPr>
  </w:style>
  <w:style w:type="character" w:customStyle="1" w:styleId="45">
    <w:name w:val="批注框文本 字符"/>
    <w:basedOn w:val="29"/>
    <w:link w:val="16"/>
    <w:qFormat/>
    <w:uiPriority w:val="0"/>
    <w:rPr>
      <w:rFonts w:ascii="Times New Roman" w:hAnsi="Times New Roman" w:eastAsia="宋体" w:cs="Times New Roman"/>
      <w:kern w:val="2"/>
      <w:sz w:val="18"/>
      <w:szCs w:val="18"/>
    </w:rPr>
  </w:style>
  <w:style w:type="character" w:customStyle="1" w:styleId="46">
    <w:name w:val="NormalCharacter"/>
    <w:qFormat/>
    <w:uiPriority w:val="0"/>
    <w:rPr>
      <w:rFonts w:ascii="Times New Roman" w:hAnsi="Times New Roman" w:eastAsia="宋体" w:cs="Times New Roman"/>
      <w:kern w:val="2"/>
      <w:sz w:val="21"/>
      <w:szCs w:val="24"/>
      <w:lang w:val="en-US" w:eastAsia="zh-CN" w:bidi="ar-SA"/>
    </w:rPr>
  </w:style>
  <w:style w:type="character" w:customStyle="1" w:styleId="47">
    <w:name w:val="UserStyle_29"/>
    <w:qFormat/>
    <w:uiPriority w:val="0"/>
    <w:rPr>
      <w:rFonts w:ascii="宋体" w:hAnsi="宋体" w:eastAsia="宋体"/>
      <w:color w:val="000000"/>
      <w:sz w:val="24"/>
      <w:szCs w:val="24"/>
    </w:rPr>
  </w:style>
  <w:style w:type="paragraph" w:customStyle="1" w:styleId="48">
    <w:name w:val="ListNumber"/>
    <w:basedOn w:val="1"/>
    <w:qFormat/>
    <w:uiPriority w:val="0"/>
    <w:pPr>
      <w:numPr>
        <w:ilvl w:val="0"/>
        <w:numId w:val="2"/>
      </w:numPr>
      <w:ind w:firstLine="0"/>
    </w:pPr>
  </w:style>
  <w:style w:type="paragraph" w:customStyle="1" w:styleId="49">
    <w:name w:val="TOC1"/>
    <w:basedOn w:val="1"/>
    <w:next w:val="1"/>
    <w:qFormat/>
    <w:uiPriority w:val="0"/>
    <w:pPr>
      <w:tabs>
        <w:tab w:val="left" w:pos="1260"/>
        <w:tab w:val="left" w:pos="1685"/>
        <w:tab w:val="right" w:leader="dot" w:pos="8400"/>
      </w:tabs>
      <w:spacing w:line="320" w:lineRule="exact"/>
      <w:ind w:firstLine="280" w:firstLineChars="100"/>
      <w:textAlignment w:val="baseline"/>
    </w:pPr>
  </w:style>
  <w:style w:type="paragraph" w:customStyle="1" w:styleId="50">
    <w:name w:val="UserStyle_31"/>
    <w:basedOn w:val="1"/>
    <w:qFormat/>
    <w:uiPriority w:val="0"/>
    <w:pPr>
      <w:snapToGrid w:val="0"/>
      <w:spacing w:line="300" w:lineRule="auto"/>
      <w:ind w:firstLine="300" w:firstLineChars="300"/>
      <w:textAlignment w:val="baseline"/>
    </w:pPr>
    <w:rPr>
      <w:rFonts w:ascii="Comic Sans MS" w:hAnsi="Comic Sans MS"/>
      <w:sz w:val="30"/>
    </w:rPr>
  </w:style>
  <w:style w:type="paragraph" w:customStyle="1" w:styleId="51">
    <w:name w:val="PlainText"/>
    <w:basedOn w:val="1"/>
    <w:qFormat/>
    <w:uiPriority w:val="0"/>
    <w:pPr>
      <w:textAlignment w:val="baseline"/>
    </w:pPr>
    <w:rPr>
      <w:rFonts w:ascii="宋体" w:hAnsi="Courier New"/>
    </w:rPr>
  </w:style>
  <w:style w:type="paragraph" w:styleId="52">
    <w:name w:val="List Paragraph"/>
    <w:basedOn w:val="1"/>
    <w:qFormat/>
    <w:uiPriority w:val="34"/>
    <w:pPr>
      <w:ind w:firstLine="420" w:firstLineChars="200"/>
    </w:pPr>
  </w:style>
  <w:style w:type="character" w:customStyle="1" w:styleId="53">
    <w:name w:val="title-text"/>
    <w:basedOn w:val="29"/>
    <w:qFormat/>
    <w:uiPriority w:val="0"/>
  </w:style>
  <w:style w:type="paragraph" w:customStyle="1" w:styleId="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7">
    <w:name w:val="font21"/>
    <w:basedOn w:val="29"/>
    <w:autoRedefine/>
    <w:qFormat/>
    <w:uiPriority w:val="0"/>
    <w:rPr>
      <w:rFonts w:hint="eastAsia" w:ascii="宋体" w:hAnsi="宋体" w:eastAsia="宋体" w:cs="宋体"/>
      <w:color w:val="000000"/>
      <w:sz w:val="24"/>
      <w:szCs w:val="24"/>
      <w:u w:val="none"/>
    </w:rPr>
  </w:style>
  <w:style w:type="paragraph" w:customStyle="1" w:styleId="58">
    <w:name w:val="首行缩进"/>
    <w:basedOn w:val="1"/>
    <w:autoRedefine/>
    <w:qFormat/>
    <w:uiPriority w:val="99"/>
    <w:pPr>
      <w:spacing w:line="360" w:lineRule="auto"/>
      <w:ind w:firstLine="480" w:firstLineChars="200"/>
    </w:pPr>
    <w:rPr>
      <w:sz w:val="24"/>
      <w:szCs w:val="22"/>
      <w:lang w:val="zh-CN"/>
    </w:rPr>
  </w:style>
  <w:style w:type="table" w:customStyle="1" w:styleId="59">
    <w:name w:val="Table Normal1"/>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60">
    <w:name w:val="font31"/>
    <w:basedOn w:val="29"/>
    <w:qFormat/>
    <w:uiPriority w:val="0"/>
    <w:rPr>
      <w:rFonts w:hint="eastAsia" w:ascii="宋体" w:hAnsi="宋体" w:eastAsia="宋体" w:cs="宋体"/>
      <w:color w:val="000000"/>
      <w:sz w:val="24"/>
      <w:szCs w:val="24"/>
      <w:u w:val="none"/>
    </w:rPr>
  </w:style>
  <w:style w:type="paragraph" w:customStyle="1" w:styleId="61">
    <w:name w:val="表格文字"/>
    <w:basedOn w:val="1"/>
    <w:qFormat/>
    <w:uiPriority w:val="0"/>
    <w:pPr>
      <w:spacing w:before="25" w:after="25"/>
      <w:jc w:val="left"/>
    </w:pPr>
    <w:rPr>
      <w:bCs/>
      <w:spacing w:val="10"/>
      <w:kern w:val="0"/>
      <w:sz w:val="24"/>
    </w:rPr>
  </w:style>
  <w:style w:type="table" w:customStyle="1" w:styleId="62">
    <w:name w:val="Table Normal"/>
    <w:qFormat/>
    <w:uiPriority w:val="0"/>
    <w:tblPr>
      <w:tblCellMar>
        <w:top w:w="0" w:type="dxa"/>
        <w:left w:w="0" w:type="dxa"/>
        <w:bottom w:w="0" w:type="dxa"/>
        <w:right w:w="0" w:type="dxa"/>
      </w:tblCellMar>
    </w:tblPr>
  </w:style>
  <w:style w:type="character" w:customStyle="1" w:styleId="63">
    <w:name w:val="font81"/>
    <w:qFormat/>
    <w:uiPriority w:val="0"/>
    <w:rPr>
      <w:rFonts w:ascii="微软雅黑" w:hAnsi="微软雅黑" w:eastAsia="微软雅黑" w:cs="微软雅黑"/>
      <w:color w:val="000000"/>
      <w:sz w:val="20"/>
      <w:szCs w:val="20"/>
      <w:u w:val="none"/>
    </w:rPr>
  </w:style>
  <w:style w:type="paragraph" w:customStyle="1" w:styleId="64">
    <w:name w:val="Table Paragraph"/>
    <w:basedOn w:val="1"/>
    <w:qFormat/>
    <w:uiPriority w:val="0"/>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19955</Words>
  <Characters>22042</Characters>
  <Lines>202</Lines>
  <Paragraphs>57</Paragraphs>
  <TotalTime>26</TotalTime>
  <ScaleCrop>false</ScaleCrop>
  <LinksUpToDate>false</LinksUpToDate>
  <CharactersWithSpaces>22220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2022-09-09T10:05:00Z</dcterms:created>
  <dc:creator>潘麒锋</dc:creator>
  <cp:lastModifiedBy>Administrator</cp:lastModifiedBy>
  <cp:lastPrinted>2025-07-17T08:20:00Z</cp:lastPrinted>
  <dcterms:modified xsi:type="dcterms:W3CDTF">2026-05-27T06:46:38Z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0892C595698942D7B79E0C1FE6FC81E3_13</vt:lpwstr>
  </property>
  <property fmtid="{D5CDD505-2E9C-101B-9397-08002B2CF9AE}" pid="4" name="KSOTemplateDocerSaveRecord">
    <vt:lpwstr>eyJoZGlkIjoiOTM4YjM4YWI2MjRhYjE4NTNhZGQ1YWJkNjA1ZGU1OTMiLCJ1c2VySWQiOiIxMDg2MTEwNTg5In0=</vt:lpwstr>
  </property>
</Properties>
</file>