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8A3CD">
      <w:pPr>
        <w:pStyle w:val="8"/>
        <w:bidi w:val="0"/>
        <w:rPr>
          <w:rFonts w:hint="eastAsia"/>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-36830</wp:posOffset>
            </wp:positionH>
            <wp:positionV relativeFrom="paragraph">
              <wp:posOffset>142875</wp:posOffset>
            </wp:positionV>
            <wp:extent cx="2002155" cy="744855"/>
            <wp:effectExtent l="0" t="0" r="17145" b="17145"/>
            <wp:wrapNone/>
            <wp:docPr id="1" name="图片 2" descr="国德左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国德左右"/>
                    <pic:cNvPicPr>
                      <a:picLocks noChangeAspect="1"/>
                    </pic:cNvPicPr>
                  </pic:nvPicPr>
                  <pic:blipFill>
                    <a:blip r:embed="rId7"/>
                    <a:stretch>
                      <a:fillRect/>
                    </a:stretch>
                  </pic:blipFill>
                  <pic:spPr>
                    <a:xfrm>
                      <a:off x="0" y="0"/>
                      <a:ext cx="2002155" cy="744855"/>
                    </a:xfrm>
                    <a:prstGeom prst="rect">
                      <a:avLst/>
                    </a:prstGeom>
                    <a:noFill/>
                    <a:ln>
                      <a:noFill/>
                    </a:ln>
                  </pic:spPr>
                </pic:pic>
              </a:graphicData>
            </a:graphic>
          </wp:anchor>
        </w:drawing>
      </w:r>
    </w:p>
    <w:p w14:paraId="2B0B403A">
      <w:pPr>
        <w:pStyle w:val="11"/>
        <w:wordWrap/>
        <w:spacing w:before="157" w:beforeLines="50" w:line="560" w:lineRule="exact"/>
        <w:jc w:val="center"/>
        <w:rPr>
          <w:rFonts w:hint="eastAsia" w:ascii="隶书" w:hAnsi="华文中宋" w:eastAsia="隶书"/>
          <w:sz w:val="84"/>
          <w:szCs w:val="84"/>
        </w:rPr>
      </w:pPr>
    </w:p>
    <w:p w14:paraId="4E7D61DF">
      <w:pPr>
        <w:pStyle w:val="11"/>
        <w:wordWrap/>
        <w:spacing w:before="157" w:beforeLines="50" w:line="560" w:lineRule="exact"/>
        <w:jc w:val="center"/>
        <w:rPr>
          <w:rFonts w:hint="eastAsia" w:ascii="隶书" w:hAnsi="华文中宋" w:eastAsia="隶书"/>
          <w:sz w:val="84"/>
          <w:szCs w:val="84"/>
        </w:rPr>
      </w:pPr>
    </w:p>
    <w:p w14:paraId="70E7D21E">
      <w:pPr>
        <w:pStyle w:val="11"/>
        <w:wordWrap/>
        <w:spacing w:before="157" w:beforeLines="50" w:line="560" w:lineRule="exact"/>
        <w:jc w:val="center"/>
        <w:rPr>
          <w:rFonts w:hint="eastAsia" w:ascii="隶书" w:hAnsi="华文中宋" w:eastAsia="隶书"/>
          <w:sz w:val="84"/>
          <w:szCs w:val="84"/>
        </w:rPr>
      </w:pPr>
    </w:p>
    <w:p w14:paraId="7A935CAC">
      <w:pPr>
        <w:pStyle w:val="11"/>
        <w:widowControl w:val="0"/>
        <w:wordWrap/>
        <w:spacing w:before="313" w:beforeLines="100" w:line="560" w:lineRule="exact"/>
        <w:jc w:val="center"/>
        <w:textAlignment w:val="auto"/>
        <w:rPr>
          <w:rFonts w:hint="eastAsia" w:ascii="华文中宋" w:hAnsi="华文中宋" w:eastAsia="华文中宋" w:cs="华文中宋"/>
          <w:sz w:val="84"/>
          <w:szCs w:val="84"/>
        </w:rPr>
      </w:pPr>
    </w:p>
    <w:p w14:paraId="11862240">
      <w:pPr>
        <w:pStyle w:val="11"/>
        <w:widowControl w:val="0"/>
        <w:wordWrap/>
        <w:spacing w:before="313" w:beforeLines="100" w:line="560" w:lineRule="exact"/>
        <w:jc w:val="center"/>
        <w:textAlignment w:val="auto"/>
        <w:rPr>
          <w:rFonts w:hint="eastAsia" w:ascii="华文中宋" w:hAnsi="华文中宋" w:eastAsia="华文中宋" w:cs="华文中宋"/>
          <w:bCs/>
          <w:sz w:val="84"/>
          <w:szCs w:val="84"/>
        </w:rPr>
      </w:pPr>
      <w:r>
        <w:rPr>
          <w:rFonts w:hint="eastAsia" w:ascii="华文中宋" w:hAnsi="华文中宋" w:eastAsia="华文中宋" w:cs="华文中宋"/>
          <w:sz w:val="84"/>
          <w:szCs w:val="84"/>
        </w:rPr>
        <w:t>政府采购</w:t>
      </w:r>
    </w:p>
    <w:p w14:paraId="7EDC1274">
      <w:pPr>
        <w:pStyle w:val="11"/>
        <w:widowControl w:val="0"/>
        <w:wordWrap/>
        <w:adjustRightInd w:val="0"/>
        <w:snapToGrid w:val="0"/>
        <w:spacing w:before="313" w:beforeLines="100" w:line="240" w:lineRule="auto"/>
        <w:ind w:left="0" w:leftChars="0" w:firstLine="0" w:firstLineChars="0"/>
        <w:jc w:val="center"/>
        <w:textAlignment w:val="auto"/>
        <w:rPr>
          <w:rFonts w:ascii="Tahoma" w:hAnsi="Tahoma" w:cs="Tahoma"/>
          <w:sz w:val="20"/>
          <w:szCs w:val="20"/>
        </w:rPr>
      </w:pPr>
      <w:r>
        <w:rPr>
          <w:rFonts w:hint="eastAsia" w:ascii="华文中宋" w:hAnsi="华文中宋" w:eastAsia="华文中宋" w:cs="华文中宋"/>
          <w:sz w:val="84"/>
          <w:szCs w:val="84"/>
        </w:rPr>
        <w:t>竞争性谈判文件</w:t>
      </w:r>
    </w:p>
    <w:p w14:paraId="4984F6CB">
      <w:pPr>
        <w:pStyle w:val="7"/>
        <w:widowControl w:val="0"/>
        <w:wordWrap/>
        <w:adjustRightInd w:val="0"/>
        <w:snapToGrid w:val="0"/>
        <w:spacing w:before="313" w:beforeLines="100"/>
        <w:ind w:left="2633" w:leftChars="554" w:hangingChars="700"/>
        <w:textAlignment w:val="auto"/>
      </w:pPr>
    </w:p>
    <w:p w14:paraId="5B0EDCA7">
      <w:pPr>
        <w:pStyle w:val="11"/>
        <w:widowControl w:val="0"/>
        <w:wordWrap/>
        <w:adjustRightInd w:val="0"/>
        <w:snapToGrid w:val="0"/>
        <w:spacing w:before="313" w:beforeLines="100" w:line="560" w:lineRule="exact"/>
        <w:ind w:left="2563" w:leftChars="554" w:hanging="1400" w:hangingChars="700"/>
        <w:textAlignment w:val="auto"/>
        <w:rPr>
          <w:rFonts w:ascii="Tahoma" w:hAnsi="Tahoma" w:cs="Tahoma"/>
          <w:sz w:val="20"/>
          <w:szCs w:val="20"/>
        </w:rPr>
      </w:pPr>
    </w:p>
    <w:p w14:paraId="17536676">
      <w:pPr>
        <w:pStyle w:val="11"/>
        <w:widowControl w:val="0"/>
        <w:wordWrap/>
        <w:adjustRightInd w:val="0"/>
        <w:snapToGrid w:val="0"/>
        <w:spacing w:before="313" w:beforeLines="100" w:line="560" w:lineRule="exact"/>
        <w:ind w:left="2563" w:leftChars="554" w:hanging="1400" w:hangingChars="700"/>
        <w:textAlignment w:val="auto"/>
        <w:rPr>
          <w:rFonts w:ascii="Tahoma" w:hAnsi="Tahoma" w:cs="Tahoma"/>
          <w:sz w:val="20"/>
          <w:szCs w:val="20"/>
        </w:rPr>
      </w:pPr>
    </w:p>
    <w:p w14:paraId="7903390A">
      <w:pPr>
        <w:keepNext w:val="0"/>
        <w:keepLines w:val="0"/>
        <w:pageBreakBefore w:val="0"/>
        <w:widowControl w:val="0"/>
        <w:kinsoku/>
        <w:wordWrap/>
        <w:overflowPunct/>
        <w:topLinePunct w:val="0"/>
        <w:autoSpaceDE/>
        <w:autoSpaceDN/>
        <w:bidi w:val="0"/>
        <w:adjustRightInd/>
        <w:snapToGrid/>
        <w:spacing w:before="252" w:line="360" w:lineRule="auto"/>
        <w:ind w:left="255"/>
        <w:textAlignment w:val="auto"/>
        <w:rPr>
          <w:rFonts w:hint="eastAsia" w:ascii="宋体" w:hAnsi="宋体" w:eastAsia="宋体" w:cs="宋体"/>
          <w:b/>
          <w:bCs/>
          <w:spacing w:val="7"/>
          <w:sz w:val="31"/>
          <w:szCs w:val="31"/>
          <w:lang w:eastAsia="zh-CN"/>
        </w:rPr>
      </w:pPr>
      <w:r>
        <w:rPr>
          <w:rFonts w:ascii="宋体" w:hAnsi="宋体" w:eastAsia="宋体" w:cs="宋体"/>
          <w:b/>
          <w:bCs/>
          <w:spacing w:val="7"/>
          <w:sz w:val="31"/>
          <w:szCs w:val="31"/>
        </w:rPr>
        <w:t>采购项目名称：</w:t>
      </w:r>
      <w:r>
        <w:rPr>
          <w:rFonts w:hint="eastAsia" w:ascii="宋体" w:hAnsi="宋体" w:cs="宋体"/>
          <w:b/>
          <w:bCs/>
          <w:spacing w:val="7"/>
          <w:sz w:val="31"/>
          <w:szCs w:val="31"/>
          <w:lang w:eastAsia="zh-CN"/>
        </w:rPr>
        <w:t>海南州公安局警用装备采购（第三次）</w:t>
      </w:r>
    </w:p>
    <w:p w14:paraId="4B47AA4F">
      <w:pPr>
        <w:keepNext w:val="0"/>
        <w:keepLines w:val="0"/>
        <w:pageBreakBefore w:val="0"/>
        <w:widowControl w:val="0"/>
        <w:kinsoku/>
        <w:wordWrap/>
        <w:overflowPunct/>
        <w:topLinePunct w:val="0"/>
        <w:autoSpaceDE/>
        <w:autoSpaceDN/>
        <w:bidi w:val="0"/>
        <w:adjustRightInd/>
        <w:snapToGrid/>
        <w:spacing w:before="252" w:line="360" w:lineRule="auto"/>
        <w:ind w:left="255"/>
        <w:textAlignment w:val="auto"/>
        <w:rPr>
          <w:rFonts w:hint="eastAsia" w:ascii="宋体" w:hAnsi="宋体" w:eastAsia="宋体" w:cs="宋体"/>
          <w:sz w:val="31"/>
          <w:szCs w:val="31"/>
          <w:lang w:eastAsia="zh-CN"/>
        </w:rPr>
      </w:pPr>
      <w:r>
        <w:rPr>
          <w:rFonts w:ascii="宋体" w:hAnsi="宋体" w:eastAsia="宋体" w:cs="宋体"/>
          <w:b/>
          <w:bCs/>
          <w:spacing w:val="6"/>
          <w:sz w:val="31"/>
          <w:szCs w:val="31"/>
        </w:rPr>
        <w:t>政府采购编号：</w:t>
      </w:r>
      <w:r>
        <w:rPr>
          <w:rFonts w:hint="eastAsia" w:ascii="宋体" w:hAnsi="宋体" w:cs="宋体"/>
          <w:b/>
          <w:bCs/>
          <w:spacing w:val="6"/>
          <w:sz w:val="31"/>
          <w:szCs w:val="31"/>
          <w:lang w:eastAsia="zh-CN"/>
        </w:rPr>
        <w:t>青海国德竞谈（货物）2026--031</w:t>
      </w:r>
    </w:p>
    <w:p w14:paraId="5FF6D95F">
      <w:pPr>
        <w:keepNext w:val="0"/>
        <w:keepLines w:val="0"/>
        <w:pageBreakBefore w:val="0"/>
        <w:widowControl w:val="0"/>
        <w:kinsoku/>
        <w:wordWrap/>
        <w:overflowPunct/>
        <w:topLinePunct w:val="0"/>
        <w:autoSpaceDE/>
        <w:autoSpaceDN/>
        <w:bidi w:val="0"/>
        <w:adjustRightInd/>
        <w:snapToGrid/>
        <w:spacing w:before="250" w:line="360" w:lineRule="auto"/>
        <w:ind w:left="255"/>
        <w:textAlignment w:val="auto"/>
        <w:rPr>
          <w:rFonts w:hint="eastAsia" w:ascii="宋体" w:hAnsi="宋体" w:eastAsia="宋体" w:cs="宋体"/>
          <w:sz w:val="31"/>
          <w:szCs w:val="31"/>
          <w:lang w:eastAsia="zh-CN"/>
        </w:rPr>
      </w:pPr>
      <w:r>
        <w:rPr>
          <w:rFonts w:ascii="宋体" w:hAnsi="宋体" w:eastAsia="宋体" w:cs="宋体"/>
          <w:b/>
          <w:bCs/>
          <w:spacing w:val="6"/>
          <w:sz w:val="31"/>
          <w:szCs w:val="31"/>
        </w:rPr>
        <w:t>采</w:t>
      </w:r>
      <w:r>
        <w:rPr>
          <w:rFonts w:ascii="宋体" w:hAnsi="宋体" w:eastAsia="宋体" w:cs="宋体"/>
          <w:spacing w:val="6"/>
          <w:sz w:val="31"/>
          <w:szCs w:val="31"/>
        </w:rPr>
        <w:t xml:space="preserve">   </w:t>
      </w:r>
      <w:r>
        <w:rPr>
          <w:rFonts w:ascii="宋体" w:hAnsi="宋体" w:eastAsia="宋体" w:cs="宋体"/>
          <w:b/>
          <w:bCs/>
          <w:spacing w:val="6"/>
          <w:sz w:val="31"/>
          <w:szCs w:val="31"/>
        </w:rPr>
        <w:t>购</w:t>
      </w:r>
      <w:r>
        <w:rPr>
          <w:rFonts w:ascii="宋体" w:hAnsi="宋体" w:eastAsia="宋体" w:cs="宋体"/>
          <w:spacing w:val="6"/>
          <w:sz w:val="31"/>
          <w:szCs w:val="31"/>
        </w:rPr>
        <w:t xml:space="preserve">   </w:t>
      </w:r>
      <w:r>
        <w:rPr>
          <w:rFonts w:ascii="宋体" w:hAnsi="宋体" w:eastAsia="宋体" w:cs="宋体"/>
          <w:b/>
          <w:bCs/>
          <w:spacing w:val="6"/>
          <w:sz w:val="31"/>
          <w:szCs w:val="31"/>
        </w:rPr>
        <w:t>人：</w:t>
      </w:r>
      <w:r>
        <w:rPr>
          <w:rFonts w:hint="eastAsia" w:ascii="宋体" w:hAnsi="宋体" w:cs="宋体"/>
          <w:b/>
          <w:bCs/>
          <w:spacing w:val="6"/>
          <w:sz w:val="31"/>
          <w:szCs w:val="31"/>
          <w:lang w:eastAsia="zh-CN"/>
        </w:rPr>
        <w:t>海南藏族自治州公安局</w:t>
      </w:r>
    </w:p>
    <w:p w14:paraId="57C1C9C3">
      <w:pPr>
        <w:keepNext w:val="0"/>
        <w:keepLines w:val="0"/>
        <w:pageBreakBefore w:val="0"/>
        <w:widowControl w:val="0"/>
        <w:kinsoku/>
        <w:wordWrap/>
        <w:overflowPunct/>
        <w:topLinePunct w:val="0"/>
        <w:autoSpaceDE/>
        <w:autoSpaceDN/>
        <w:bidi w:val="0"/>
        <w:adjustRightInd/>
        <w:snapToGrid/>
        <w:spacing w:before="253" w:line="360" w:lineRule="auto"/>
        <w:ind w:left="255"/>
        <w:textAlignment w:val="auto"/>
        <w:rPr>
          <w:rFonts w:ascii="宋体" w:hAnsi="宋体" w:eastAsia="宋体" w:cs="宋体"/>
          <w:sz w:val="31"/>
          <w:szCs w:val="31"/>
        </w:rPr>
      </w:pPr>
      <w:r>
        <w:rPr>
          <w:rFonts w:ascii="宋体" w:hAnsi="宋体" w:eastAsia="宋体" w:cs="宋体"/>
          <w:b/>
          <w:bCs/>
          <w:spacing w:val="7"/>
          <w:sz w:val="31"/>
          <w:szCs w:val="31"/>
        </w:rPr>
        <w:t>采购代理机构：青海国德招标代理有限公司</w:t>
      </w:r>
    </w:p>
    <w:p w14:paraId="2FC9DF69">
      <w:pPr>
        <w:spacing w:line="224" w:lineRule="auto"/>
        <w:rPr>
          <w:rFonts w:ascii="宋体" w:hAnsi="宋体" w:eastAsia="宋体" w:cs="宋体"/>
          <w:sz w:val="31"/>
          <w:szCs w:val="31"/>
        </w:rPr>
      </w:pPr>
    </w:p>
    <w:p w14:paraId="2A45DD54">
      <w:pPr>
        <w:spacing w:line="224" w:lineRule="auto"/>
        <w:rPr>
          <w:rFonts w:ascii="宋体" w:hAnsi="宋体" w:eastAsia="宋体" w:cs="宋体"/>
          <w:sz w:val="31"/>
          <w:szCs w:val="31"/>
        </w:rPr>
      </w:pPr>
    </w:p>
    <w:p w14:paraId="080E5358">
      <w:pPr>
        <w:spacing w:line="224" w:lineRule="auto"/>
        <w:jc w:val="center"/>
        <w:rPr>
          <w:rFonts w:hint="default" w:ascii="宋体" w:hAnsi="宋体" w:eastAsia="宋体" w:cs="宋体"/>
          <w:b/>
          <w:bCs/>
          <w:sz w:val="30"/>
          <w:szCs w:val="30"/>
          <w:lang w:val="en-US" w:eastAsia="zh-CN"/>
        </w:rPr>
        <w:sectPr>
          <w:headerReference r:id="rId3" w:type="default"/>
          <w:footerReference r:id="rId4" w:type="default"/>
          <w:pgSz w:w="11906" w:h="16839"/>
          <w:pgMar w:top="892" w:right="1377" w:bottom="2715" w:left="1324" w:header="0" w:footer="2338" w:gutter="0"/>
          <w:cols w:space="720" w:num="1"/>
          <w:titlePg/>
        </w:sectPr>
      </w:pPr>
      <w:r>
        <w:rPr>
          <w:rFonts w:hint="eastAsia" w:ascii="宋体" w:hAnsi="宋体" w:eastAsia="宋体" w:cs="宋体"/>
          <w:b/>
          <w:bCs/>
          <w:sz w:val="30"/>
          <w:szCs w:val="30"/>
          <w:lang w:val="en-US" w:eastAsia="zh-CN"/>
        </w:rPr>
        <w:t>2026年04月</w:t>
      </w:r>
    </w:p>
    <w:p w14:paraId="74EF98C6">
      <w:pPr>
        <w:spacing w:before="0" w:beforeLines="0" w:after="0" w:afterLines="0" w:line="240" w:lineRule="auto"/>
        <w:ind w:left="0" w:leftChars="0" w:right="0" w:firstLine="0" w:firstLineChars="0"/>
        <w:jc w:val="center"/>
        <w:rPr>
          <w:sz w:val="30"/>
          <w:szCs w:val="30"/>
        </w:rPr>
      </w:pPr>
      <w:r>
        <w:rPr>
          <w:rFonts w:hint="eastAsia" w:ascii="华文中宋" w:hAnsi="华文中宋" w:eastAsia="华文中宋" w:cs="华文中宋"/>
          <w:sz w:val="30"/>
          <w:szCs w:val="30"/>
        </w:rPr>
        <w:t>目</w:t>
      </w:r>
      <w:r>
        <w:rPr>
          <w:rFonts w:hint="eastAsia" w:ascii="华文中宋" w:hAnsi="华文中宋" w:eastAsia="华文中宋" w:cs="华文中宋"/>
          <w:sz w:val="30"/>
          <w:szCs w:val="30"/>
          <w:lang w:val="en-US" w:eastAsia="zh-CN"/>
        </w:rPr>
        <w:t xml:space="preserve">  </w:t>
      </w:r>
      <w:r>
        <w:rPr>
          <w:rFonts w:hint="eastAsia" w:ascii="华文中宋" w:hAnsi="华文中宋" w:eastAsia="华文中宋" w:cs="华文中宋"/>
          <w:sz w:val="30"/>
          <w:szCs w:val="30"/>
        </w:rPr>
        <w:t>录</w:t>
      </w:r>
    </w:p>
    <w:p w14:paraId="2A26AEDA">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sz w:val="32"/>
          <w:szCs w:val="32"/>
        </w:rPr>
        <w:fldChar w:fldCharType="begin"/>
      </w:r>
      <w:r>
        <w:rPr>
          <w:sz w:val="32"/>
          <w:szCs w:val="32"/>
        </w:rPr>
        <w:instrText xml:space="preserve">TOC \o "1-3" \h \u </w:instrText>
      </w:r>
      <w:r>
        <w:rPr>
          <w:sz w:val="32"/>
          <w:szCs w:val="32"/>
        </w:rPr>
        <w:fldChar w:fldCharType="separate"/>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_Toc783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第一部分 谈判邀请</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_Toc783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5</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2B5FF213">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_Toc19485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第二部分 谈判须知</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_Toc19485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761A76EA">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_Toc1795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一、说明</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_Toc1795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36263578">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_Toc3473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1.适用范围</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_Toc3473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1698147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_Toc10197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2.采购人及代理机构</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_Toc10197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160BCB1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_Toc5170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3.供应商的资格要求</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_Toc5170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5229B14F">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_Toc3790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4.谈判费用</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_Toc3790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27125F6B">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_Toc19544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二、谈判文件</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_Toc19544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12</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77890FAA">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_Toc1611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5.谈判文件的组成</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_Toc1611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12</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3F3B2301">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_Toc20648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6.谈判文件的澄清</w:t>
      </w:r>
      <w:r>
        <w:rPr>
          <w:rFonts w:hint="eastAsia" w:ascii="宋体" w:hAnsi="宋体" w:eastAsia="宋体" w:cs="宋体"/>
          <w:bCs/>
          <w:kern w:val="2"/>
          <w:sz w:val="24"/>
          <w:szCs w:val="24"/>
          <w:lang w:val="zh-CN" w:eastAsia="zh-CN" w:bidi="ar-SA"/>
        </w:rPr>
        <w:t>或者</w:t>
      </w:r>
      <w:r>
        <w:rPr>
          <w:rFonts w:hint="eastAsia" w:ascii="宋体" w:hAnsi="宋体" w:eastAsia="宋体" w:cs="宋体"/>
          <w:bCs/>
          <w:kern w:val="2"/>
          <w:sz w:val="24"/>
          <w:szCs w:val="24"/>
          <w:lang w:val="en-US" w:eastAsia="zh-CN" w:bidi="ar-SA"/>
        </w:rPr>
        <w:t>修改</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_Toc20648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12</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57B40EEC">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_Toc22815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7.谈判文件的询问或质疑</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_Toc22815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12</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39319367">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_Toc22660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三、响应文件</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_Toc22660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13</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6D488D3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_Toc25002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8.一般要求</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_Toc25002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13</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3C862205">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_Toc31527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9.报价要求</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_Toc31527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13</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70605EE0">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_Toc28436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10.保证金</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_Toc28436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14</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3B8455AB">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_Toc29837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11.响应文件的组成</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_Toc29837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15</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1126F6DA">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_Toc6423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12.响应文件有效期</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_Toc6423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16</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40DD0236">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_Toc17034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13.响应文件的签署及规定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_Toc17034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0165B61">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_Toc7979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四、响应文件的递交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_Toc7979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F97FCCE">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_Toc25546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14.响应文件的密封和标记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_Toc25546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B2B3B2C">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_Toc5660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15.响应文件的递交与接收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_Toc5660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5C7B686">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_Toc3974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16.响应文件的</w:t>
      </w:r>
      <w:r>
        <w:rPr>
          <w:rFonts w:hint="eastAsia" w:ascii="宋体" w:hAnsi="宋体" w:eastAsia="宋体" w:cs="宋体"/>
          <w:bCs/>
          <w:kern w:val="2"/>
          <w:sz w:val="24"/>
          <w:szCs w:val="24"/>
          <w:lang w:val="zh-CN" w:eastAsia="zh-CN" w:bidi="ar-SA"/>
        </w:rPr>
        <w:t>补充、修改或者撤回</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_Toc3974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9C99080">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_Toc32597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五、响应文件的评审与谈判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_Toc32597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C9B522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_Toc13366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17.谈判小组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_Toc13366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B5FFC8C">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18.响应文件审查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_Toc32601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0FF7497">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_Toc15500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19.谈判程序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_Toc15500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F9C7B93">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_Toc21836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20.澄清</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_Toc21836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838EEA1">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_Toc21875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21.退出谈判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_Toc21875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1F1E460">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_Toc887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22.最后报价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_Toc887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C231B6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_Toc1264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23.确定成交供应商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_Toc1264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13819F4">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_Toc22823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24.重新评审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_Toc22823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7B1BE3B">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_Toc8463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25.谈判终止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_Toc8463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F26FE6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_Toc20574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26.串通情形认定及处理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_Toc20574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ED78D73">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_Toc32597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六、成交结果信息公布与授予合同</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6</w:t>
      </w:r>
    </w:p>
    <w:p w14:paraId="0F73BA0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_Toc28490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27.成交信息的公布与通知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_Toc28490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04F5E37">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_Toc1580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28.授予合同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_Toc1580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A3025F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_Toc14343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29.履约验收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_Toc14343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CA3853B">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_Toc2728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七、询问与质疑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_Toc2728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0FDE9F0">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_Toc14109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30.对采购过程、结果的询问及质疑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_Toc14109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580A7F1">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_Toc28133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八、政府采购政策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_Toc28133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8AA48A7">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_Toc22921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31.政府采购政策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_Toc22921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1660504">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_Toc22869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九、其他规定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_Toc22869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E69F801">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_Toc31158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32.代理服务费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_Toc31158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DDBBC83">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_Toc16758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33.其他规定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_Toc16758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A146C8C">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_Toc5886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sz w:val="24"/>
          <w:szCs w:val="24"/>
          <w:highlight w:val="none"/>
          <w:lang w:val="en-US" w:eastAsia="zh-CN"/>
        </w:rPr>
        <w:t>第三部分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_Toc5886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35DDE09">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_Toc22976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zh-CN" w:eastAsia="zh-CN" w:bidi="ar-SA"/>
        </w:rPr>
        <w:t>十、响应说明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_Toc22976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2E00560">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_Toc10839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zh-CN" w:eastAsia="zh-CN" w:bidi="ar-SA"/>
        </w:rPr>
        <w:t>十一、重要指标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_Toc10839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5128D9A">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_Toc1325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sz w:val="24"/>
          <w:szCs w:val="24"/>
          <w:lang w:eastAsia="zh-CN"/>
        </w:rPr>
        <w:t>第四部分</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lang w:eastAsia="zh-CN"/>
        </w:rPr>
        <w:t>谈判响应文件格式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_Toc1325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2C0F7B2">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_Toc2376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十二、谈判响应文件的组成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_Toc2376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E18F112">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_Toc4049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zh-CN" w:eastAsia="zh-CN" w:bidi="ar-SA"/>
        </w:rPr>
        <w:t>（一）资格审查部分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_Toc4049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755CCF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_Toc4501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zh-CN" w:eastAsia="zh-CN" w:bidi="ar-SA"/>
        </w:rPr>
        <w:t>（二）有效性、完整性、响应程度审查部分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_Toc4501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BA946BA">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_Toc8795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十三、谈判响应文件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_Toc8795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287D177">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_Toc27464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附件1：响应函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_Toc27464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43ACC0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_Toc9845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附件2：法定代表人证明书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_Toc9845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E500E25">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_Toc23551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附件3：法定代表人授权书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_Toc23551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DFD2C0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_Toc19298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附件4：供应商承诺函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_Toc19298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0025EFC">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_Toc15780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附件5：供应商诚信承诺书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_Toc15780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31FFD1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_Toc5195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附件6：供应商资格证明文件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_Toc5195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D76AA71">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_Toc31744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附件7：财务状况、缴纳税收和社会保障资金证明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_Toc31744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EE80C0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_Toc26128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附件8：无重大违法记录声明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_Toc26128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5861162">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_Toc22471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附件9：谈判</w:t>
      </w:r>
      <w:r>
        <w:rPr>
          <w:rFonts w:hint="eastAsia" w:ascii="宋体" w:hAnsi="宋体" w:eastAsia="宋体" w:cs="宋体"/>
          <w:bCs w:val="0"/>
          <w:kern w:val="2"/>
          <w:sz w:val="24"/>
          <w:szCs w:val="24"/>
          <w:lang w:val="zh-CN" w:eastAsia="zh-CN" w:bidi="ar-SA"/>
        </w:rPr>
        <w:t>保证金证明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_Toc22471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6E60447">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_Toc30881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附件10：谈判首次报价表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_Toc30881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8D8BA1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_Toc25351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附件11：分项报价表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_Toc25351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E96301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lang w:val="en-US" w:eastAsia="zh-CN"/>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_Toc28715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附件12：技术规格响应表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_Toc28715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62</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14:paraId="0C329B2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附件13：具备履行合同所必须的设备和专业技术能力证明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63</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14:paraId="78DADC7E">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lang w:val="en-US" w:eastAsia="zh-CN"/>
        </w:rPr>
      </w:pPr>
      <w:r>
        <w:rPr>
          <w:rFonts w:hint="eastAsia" w:ascii="宋体" w:hAnsi="宋体" w:eastAsia="宋体" w:cs="宋体"/>
          <w:kern w:val="2"/>
          <w:sz w:val="24"/>
          <w:szCs w:val="24"/>
          <w:lang w:val="en-US" w:eastAsia="zh-CN" w:bidi="ar-SA"/>
        </w:rPr>
        <w:t>附件14：所投产品相关资料</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63</w:t>
      </w:r>
      <w:r>
        <w:rPr>
          <w:rFonts w:hint="eastAsia" w:ascii="宋体" w:hAnsi="宋体" w:eastAsia="宋体" w:cs="宋体"/>
          <w:kern w:val="2"/>
          <w:sz w:val="24"/>
          <w:szCs w:val="24"/>
          <w:lang w:val="en-US" w:eastAsia="zh-CN" w:bidi="ar-SA"/>
        </w:rPr>
        <w:fldChar w:fldCharType="end"/>
      </w:r>
    </w:p>
    <w:p w14:paraId="2215DFA5">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_Toc17566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：中小企业声明函</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_Toc17566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65</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14:paraId="6347FB3D">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_Toc21988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：残疾人福利性单位声明函</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52</w:t>
      </w:r>
    </w:p>
    <w:p w14:paraId="6BD5BBE5">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zh-CN" w:eastAsia="zh-CN" w:bidi="ar-SA"/>
        </w:rPr>
        <w:t>关于符合本国产品标准的声明函</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2</w:t>
      </w:r>
    </w:p>
    <w:p w14:paraId="64F8324D">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：供应商认为在其他方面有必要说明的事项</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52</w:t>
      </w:r>
    </w:p>
    <w:p w14:paraId="3DD6A4AB">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：最后报价表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_Toc21988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67</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14:paraId="1C4AF8B1">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_Toc4685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sz w:val="24"/>
          <w:szCs w:val="24"/>
          <w:lang w:eastAsia="zh-CN"/>
        </w:rPr>
        <w:t>第五部分</w:t>
      </w:r>
      <w:r>
        <w:rPr>
          <w:rFonts w:hint="eastAsia" w:ascii="宋体" w:hAnsi="宋体" w:eastAsia="宋体" w:cs="宋体"/>
          <w:bCs w:val="0"/>
          <w:sz w:val="24"/>
          <w:szCs w:val="24"/>
        </w:rPr>
        <w:t xml:space="preserve"> 青海省政府采购项目合同书范本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_Toc4685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DEEE71C">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_Toc13776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sz w:val="24"/>
          <w:szCs w:val="24"/>
        </w:rPr>
        <w:t>（货物类）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_Toc13776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C102A68">
      <w:r>
        <w:rPr>
          <w:rFonts w:ascii="Times New Roman" w:hAnsi="Times New Roman" w:eastAsia="宋体" w:cs="Times New Roman"/>
          <w:kern w:val="2"/>
          <w:szCs w:val="32"/>
          <w:lang w:val="en-US" w:eastAsia="zh-CN" w:bidi="ar-SA"/>
        </w:rPr>
        <w:br w:type="page"/>
      </w:r>
    </w:p>
    <w:p w14:paraId="4E58F77C">
      <w:pPr>
        <w:pStyle w:val="2"/>
        <w:keepNext/>
        <w:widowControl w:val="0"/>
        <w:numPr>
          <w:ilvl w:val="0"/>
          <w:numId w:val="0"/>
        </w:numPr>
        <w:wordWrap/>
        <w:adjustRightInd w:val="0"/>
        <w:snapToGrid w:val="0"/>
        <w:spacing w:before="157" w:beforeLines="50" w:line="560" w:lineRule="exact"/>
        <w:jc w:val="center"/>
        <w:textAlignment w:val="auto"/>
        <w:outlineLvl w:val="0"/>
        <w:rPr>
          <w:rFonts w:hint="eastAsia" w:ascii="宋体" w:hAnsi="宋体" w:eastAsia="宋体" w:cs="宋体"/>
          <w:b w:val="0"/>
          <w:bCs w:val="0"/>
          <w:color w:val="auto"/>
          <w:kern w:val="2"/>
          <w:sz w:val="44"/>
          <w:szCs w:val="44"/>
          <w:lang w:val="en-US" w:eastAsia="zh-CN" w:bidi="ar-SA"/>
        </w:rPr>
      </w:pPr>
      <w:r>
        <w:rPr>
          <w:rFonts w:ascii="Times New Roman" w:hAnsi="Times New Roman" w:eastAsia="宋体" w:cs="Times New Roman"/>
          <w:kern w:val="2"/>
          <w:szCs w:val="32"/>
          <w:lang w:val="en-US" w:eastAsia="zh-CN" w:bidi="ar-SA"/>
        </w:rPr>
        <w:fldChar w:fldCharType="end"/>
      </w:r>
      <w:bookmarkStart w:id="0" w:name="_Toc20903"/>
      <w:bookmarkStart w:id="1" w:name="_Toc783"/>
      <w:r>
        <w:rPr>
          <w:rFonts w:hint="eastAsia" w:ascii="宋体" w:hAnsi="宋体" w:eastAsia="宋体" w:cs="宋体"/>
          <w:b w:val="0"/>
          <w:bCs w:val="0"/>
          <w:color w:val="auto"/>
          <w:kern w:val="2"/>
          <w:sz w:val="36"/>
          <w:szCs w:val="36"/>
          <w:lang w:val="en-US" w:eastAsia="zh-CN" w:bidi="ar-SA"/>
        </w:rPr>
        <w:t xml:space="preserve">第一部分   </w:t>
      </w:r>
      <w:r>
        <w:rPr>
          <w:rFonts w:hint="eastAsia" w:cs="Times New Roman"/>
          <w:kern w:val="2"/>
          <w:szCs w:val="32"/>
          <w:lang w:val="en-US" w:eastAsia="zh-CN" w:bidi="ar-SA"/>
        </w:rPr>
        <w:t xml:space="preserve"> </w:t>
      </w:r>
      <w:r>
        <w:rPr>
          <w:rFonts w:hint="eastAsia" w:ascii="宋体" w:hAnsi="宋体" w:eastAsia="宋体" w:cs="宋体"/>
          <w:b w:val="0"/>
          <w:bCs w:val="0"/>
          <w:color w:val="auto"/>
          <w:kern w:val="2"/>
          <w:sz w:val="36"/>
          <w:szCs w:val="36"/>
          <w:lang w:val="en-US" w:eastAsia="zh-CN" w:bidi="ar-SA"/>
        </w:rPr>
        <w:t>谈判</w:t>
      </w:r>
      <w:bookmarkEnd w:id="0"/>
      <w:r>
        <w:rPr>
          <w:rFonts w:hint="eastAsia" w:ascii="宋体" w:hAnsi="宋体" w:eastAsia="宋体" w:cs="宋体"/>
          <w:b w:val="0"/>
          <w:bCs w:val="0"/>
          <w:color w:val="auto"/>
          <w:kern w:val="2"/>
          <w:sz w:val="36"/>
          <w:szCs w:val="36"/>
          <w:lang w:val="en-US" w:eastAsia="zh-CN" w:bidi="ar-SA"/>
        </w:rPr>
        <w:t>邀请</w:t>
      </w:r>
      <w:bookmarkEnd w:id="1"/>
    </w:p>
    <w:p w14:paraId="26C7291F">
      <w:pPr>
        <w:numPr>
          <w:ilvl w:val="0"/>
          <w:numId w:val="0"/>
        </w:numPr>
        <w:rPr>
          <w:rFonts w:hint="eastAsia"/>
        </w:rPr>
      </w:pPr>
    </w:p>
    <w:tbl>
      <w:tblPr>
        <w:tblStyle w:val="20"/>
        <w:tblW w:w="10178" w:type="dxa"/>
        <w:tblInd w:w="-64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10"/>
        <w:gridCol w:w="7668"/>
      </w:tblGrid>
      <w:tr w14:paraId="220DA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trPr>
        <w:tc>
          <w:tcPr>
            <w:tcW w:w="2510" w:type="dxa"/>
            <w:tcBorders>
              <w:tl2br w:val="nil"/>
              <w:tr2bl w:val="nil"/>
            </w:tcBorders>
            <w:vAlign w:val="center"/>
          </w:tcPr>
          <w:p w14:paraId="189D6B42">
            <w:pPr>
              <w:wordWrap/>
              <w:adjustRightInd w:val="0"/>
              <w:snapToGrid w:val="0"/>
              <w:spacing w:before="157" w:beforeLines="50" w:line="5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采购项目</w:t>
            </w:r>
            <w:r>
              <w:rPr>
                <w:rFonts w:hint="eastAsia" w:ascii="宋体" w:hAnsi="宋体" w:eastAsia="宋体" w:cs="宋体"/>
                <w:color w:val="auto"/>
                <w:sz w:val="24"/>
                <w:szCs w:val="24"/>
                <w:lang w:eastAsia="zh-CN"/>
              </w:rPr>
              <w:t>名称</w:t>
            </w:r>
          </w:p>
        </w:tc>
        <w:tc>
          <w:tcPr>
            <w:tcW w:w="7668" w:type="dxa"/>
            <w:tcBorders>
              <w:tl2br w:val="nil"/>
              <w:tr2bl w:val="nil"/>
            </w:tcBorders>
            <w:vAlign w:val="top"/>
          </w:tcPr>
          <w:p w14:paraId="7C6B398B">
            <w:pPr>
              <w:wordWrap/>
              <w:adjustRightInd w:val="0"/>
              <w:snapToGrid w:val="0"/>
              <w:spacing w:before="157" w:beforeLines="50" w:line="56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u w:val="none"/>
                <w:lang w:val="en-US" w:eastAsia="zh-CN"/>
              </w:rPr>
              <w:t>海南州公安局警用装备采购（第三次）</w:t>
            </w:r>
          </w:p>
        </w:tc>
      </w:tr>
      <w:tr w14:paraId="3E1BC2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19174797">
            <w:pPr>
              <w:wordWrap/>
              <w:adjustRightInd w:val="0"/>
              <w:snapToGrid w:val="0"/>
              <w:spacing w:before="157" w:beforeLines="50" w:line="5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采购项目编号</w:t>
            </w:r>
          </w:p>
        </w:tc>
        <w:tc>
          <w:tcPr>
            <w:tcW w:w="7668" w:type="dxa"/>
            <w:tcBorders>
              <w:tl2br w:val="nil"/>
              <w:tr2bl w:val="nil"/>
            </w:tcBorders>
            <w:vAlign w:val="top"/>
          </w:tcPr>
          <w:p w14:paraId="42CB0ED7">
            <w:pPr>
              <w:wordWrap/>
              <w:adjustRightInd w:val="0"/>
              <w:snapToGrid w:val="0"/>
              <w:spacing w:before="157" w:beforeLines="50" w:line="560" w:lineRule="exact"/>
              <w:jc w:val="left"/>
              <w:rPr>
                <w:rFonts w:hint="eastAsia" w:ascii="宋体" w:hAnsi="宋体" w:eastAsia="宋体" w:cs="宋体"/>
                <w:color w:val="auto"/>
                <w:kern w:val="2"/>
                <w:sz w:val="24"/>
                <w:szCs w:val="24"/>
                <w:u w:val="single"/>
                <w:lang w:val="en-US" w:eastAsia="zh-CN"/>
              </w:rPr>
            </w:pPr>
            <w:r>
              <w:rPr>
                <w:rFonts w:hint="eastAsia" w:ascii="宋体" w:hAnsi="宋体" w:cs="宋体"/>
                <w:color w:val="auto"/>
                <w:kern w:val="2"/>
                <w:sz w:val="24"/>
                <w:szCs w:val="24"/>
                <w:u w:val="none"/>
                <w:lang w:val="en-US" w:eastAsia="zh-CN"/>
              </w:rPr>
              <w:t>青海国德竞谈（货物）2026--031</w:t>
            </w:r>
          </w:p>
        </w:tc>
      </w:tr>
      <w:tr w14:paraId="7550E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1D325F89">
            <w:pPr>
              <w:wordWrap/>
              <w:adjustRightInd w:val="0"/>
              <w:snapToGrid w:val="0"/>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采购方式</w:t>
            </w:r>
          </w:p>
        </w:tc>
        <w:tc>
          <w:tcPr>
            <w:tcW w:w="7668" w:type="dxa"/>
            <w:tcBorders>
              <w:tl2br w:val="nil"/>
              <w:tr2bl w:val="nil"/>
            </w:tcBorders>
            <w:vAlign w:val="top"/>
          </w:tcPr>
          <w:p w14:paraId="7FB22922">
            <w:pPr>
              <w:wordWrap/>
              <w:adjustRightInd w:val="0"/>
              <w:snapToGrid w:val="0"/>
              <w:spacing w:before="157" w:beforeLines="50" w:line="5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竞争性谈判</w:t>
            </w:r>
          </w:p>
        </w:tc>
      </w:tr>
      <w:tr w14:paraId="5F10AC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58F45417">
            <w:pPr>
              <w:wordWrap/>
              <w:adjustRightInd w:val="0"/>
              <w:snapToGrid w:val="0"/>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采购预算额度</w:t>
            </w:r>
          </w:p>
        </w:tc>
        <w:tc>
          <w:tcPr>
            <w:tcW w:w="7668" w:type="dxa"/>
            <w:tcBorders>
              <w:tl2br w:val="nil"/>
              <w:tr2bl w:val="nil"/>
            </w:tcBorders>
            <w:vAlign w:val="top"/>
          </w:tcPr>
          <w:p w14:paraId="7A6A7761">
            <w:pPr>
              <w:wordWrap/>
              <w:adjustRightInd w:val="0"/>
              <w:snapToGrid w:val="0"/>
              <w:spacing w:before="157" w:beforeLines="50" w:line="560" w:lineRule="exact"/>
              <w:jc w:val="left"/>
              <w:rPr>
                <w:rFonts w:hint="eastAsia" w:ascii="宋体" w:hAnsi="宋体" w:cs="宋体"/>
                <w:sz w:val="24"/>
                <w:szCs w:val="24"/>
                <w:lang w:val="en-US" w:eastAsia="zh-CN"/>
              </w:rPr>
            </w:pPr>
            <w:r>
              <w:rPr>
                <w:rFonts w:hint="eastAsia" w:ascii="宋体" w:hAnsi="宋体" w:eastAsia="宋体" w:cs="宋体"/>
                <w:sz w:val="24"/>
                <w:szCs w:val="24"/>
                <w:lang w:val="en-US" w:eastAsia="zh-CN"/>
              </w:rPr>
              <w:t>256</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000.00元</w:t>
            </w:r>
            <w:r>
              <w:rPr>
                <w:rFonts w:hint="eastAsia" w:ascii="宋体" w:hAnsi="宋体" w:cs="宋体"/>
                <w:sz w:val="24"/>
                <w:szCs w:val="24"/>
                <w:lang w:val="en-US" w:eastAsia="zh-CN"/>
              </w:rPr>
              <w:t>（大写：贰佰伍拾陆万元整）</w:t>
            </w:r>
          </w:p>
          <w:p w14:paraId="07EDD183">
            <w:pPr>
              <w:wordWrap/>
              <w:adjustRightInd w:val="0"/>
              <w:snapToGrid w:val="0"/>
              <w:spacing w:before="157" w:beforeLines="50" w:line="5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包一：727680.00（大写：柒拾贰万柒仟陆佰捌拾元整）</w:t>
            </w:r>
          </w:p>
          <w:p w14:paraId="79BB3D93">
            <w:pPr>
              <w:wordWrap/>
              <w:adjustRightInd w:val="0"/>
              <w:snapToGrid w:val="0"/>
              <w:spacing w:before="157" w:beforeLines="50" w:line="560" w:lineRule="exact"/>
              <w:jc w:val="left"/>
              <w:rPr>
                <w:rFonts w:hint="default" w:ascii="宋体" w:hAnsi="宋体" w:cs="宋体"/>
                <w:sz w:val="24"/>
                <w:szCs w:val="24"/>
                <w:lang w:val="en-US" w:eastAsia="zh-CN"/>
              </w:rPr>
            </w:pPr>
            <w:r>
              <w:rPr>
                <w:rFonts w:hint="eastAsia" w:ascii="宋体" w:hAnsi="宋体" w:cs="宋体"/>
                <w:sz w:val="24"/>
                <w:szCs w:val="24"/>
                <w:lang w:val="en-US" w:eastAsia="zh-CN"/>
              </w:rPr>
              <w:t>包二：1832320.00（大写：壹佰捌拾叁万贰仟叁佰贰拾元整）</w:t>
            </w:r>
          </w:p>
        </w:tc>
      </w:tr>
      <w:tr w14:paraId="251C8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atLeast"/>
        </w:trPr>
        <w:tc>
          <w:tcPr>
            <w:tcW w:w="2510" w:type="dxa"/>
            <w:tcBorders>
              <w:tl2br w:val="nil"/>
              <w:tr2bl w:val="nil"/>
            </w:tcBorders>
            <w:vAlign w:val="center"/>
          </w:tcPr>
          <w:p w14:paraId="13278617">
            <w:pPr>
              <w:wordWrap/>
              <w:adjustRightInd w:val="0"/>
              <w:snapToGrid w:val="0"/>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项目分包个数</w:t>
            </w:r>
          </w:p>
        </w:tc>
        <w:tc>
          <w:tcPr>
            <w:tcW w:w="7668" w:type="dxa"/>
            <w:tcBorders>
              <w:tl2br w:val="nil"/>
              <w:tr2bl w:val="nil"/>
            </w:tcBorders>
            <w:vAlign w:val="top"/>
          </w:tcPr>
          <w:p w14:paraId="6E3A10F9">
            <w:pPr>
              <w:wordWrap/>
              <w:adjustRightInd w:val="0"/>
              <w:snapToGrid w:val="0"/>
              <w:spacing w:before="157" w:beforeLines="50" w:line="560" w:lineRule="exact"/>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2个包</w:t>
            </w:r>
          </w:p>
        </w:tc>
      </w:tr>
      <w:tr w14:paraId="01F061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0C6342D4">
            <w:pPr>
              <w:wordWrap/>
              <w:adjustRightInd w:val="0"/>
              <w:snapToGrid w:val="0"/>
              <w:spacing w:before="157" w:beforeLines="50" w:line="560" w:lineRule="exact"/>
              <w:rPr>
                <w:rFonts w:hint="eastAsia" w:ascii="宋体" w:hAnsi="宋体" w:eastAsia="宋体" w:cs="宋体"/>
                <w:sz w:val="24"/>
                <w:szCs w:val="24"/>
              </w:rPr>
            </w:pPr>
            <w:r>
              <w:rPr>
                <w:rFonts w:hint="eastAsia" w:ascii="宋体" w:hAnsi="宋体" w:eastAsia="宋体" w:cs="宋体"/>
                <w:bCs/>
                <w:sz w:val="24"/>
                <w:szCs w:val="24"/>
              </w:rPr>
              <w:t>供应商</w:t>
            </w:r>
            <w:r>
              <w:rPr>
                <w:rFonts w:hint="eastAsia" w:ascii="宋体" w:hAnsi="宋体" w:eastAsia="宋体" w:cs="宋体"/>
                <w:sz w:val="24"/>
                <w:szCs w:val="24"/>
              </w:rPr>
              <w:t>资格条件</w:t>
            </w:r>
          </w:p>
        </w:tc>
        <w:tc>
          <w:tcPr>
            <w:tcW w:w="7668" w:type="dxa"/>
            <w:tcBorders>
              <w:tl2br w:val="nil"/>
              <w:tr2bl w:val="nil"/>
            </w:tcBorders>
            <w:vAlign w:val="top"/>
          </w:tcPr>
          <w:p w14:paraId="23B447C9">
            <w:pPr>
              <w:widowControl w:val="0"/>
              <w:wordWrap/>
              <w:autoSpaceDE w:val="0"/>
              <w:autoSpaceDN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1、符合《政府采购法》第 22 条条件，并提供下列材料：</w:t>
            </w:r>
          </w:p>
          <w:p w14:paraId="6BF68003">
            <w:pPr>
              <w:widowControl w:val="0"/>
              <w:wordWrap/>
              <w:autoSpaceDE w:val="0"/>
              <w:autoSpaceDN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（1）供应商的营业执照等证明文件， 自然人的身份证明。</w:t>
            </w:r>
          </w:p>
          <w:p w14:paraId="2E9EAF2D">
            <w:pPr>
              <w:widowControl w:val="0"/>
              <w:wordWrap/>
              <w:autoSpaceDE w:val="0"/>
              <w:autoSpaceDN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（2）财务状况报告，依法缴纳税收和社会保障资金的相关材料。</w:t>
            </w:r>
          </w:p>
          <w:p w14:paraId="414FC69A">
            <w:pPr>
              <w:widowControl w:val="0"/>
              <w:wordWrap/>
              <w:autoSpaceDE w:val="0"/>
              <w:autoSpaceDN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（3）具备履行合同所必需的设备和专业技术能力的证明材料。</w:t>
            </w:r>
          </w:p>
          <w:p w14:paraId="1C77C044">
            <w:pPr>
              <w:widowControl w:val="0"/>
              <w:wordWrap/>
              <w:autoSpaceDE w:val="0"/>
              <w:autoSpaceDN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（4）参加政府采购活动前 3 年内在经营活动中没有重大违法记录的书面声明。</w:t>
            </w:r>
          </w:p>
          <w:p w14:paraId="48F2741E">
            <w:pPr>
              <w:widowControl w:val="0"/>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（5）具备法律、行政法规规定的其他条件的证明材料。</w:t>
            </w:r>
          </w:p>
          <w:p w14:paraId="27C60BF2">
            <w:pPr>
              <w:widowControl w:val="0"/>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2、单位负责人为同一人或者存在直接控股、管理关系的不同供应商，不得参加同一合同项下的政府采购活动。否则，皆取消投标资格；</w:t>
            </w:r>
          </w:p>
          <w:p w14:paraId="5CED72F8">
            <w:pPr>
              <w:widowControl w:val="0"/>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3、为本采购项目提供整体设计、规范编制或者项目管理、监理、检测等服务的供应商，不得再参加该采购项目的其他采购活动；</w:t>
            </w:r>
          </w:p>
          <w:p w14:paraId="2E76C10E">
            <w:pPr>
              <w:widowControl w:val="0"/>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4、本项目不接受供应商以联合体方式进行响应；</w:t>
            </w:r>
          </w:p>
          <w:p w14:paraId="60686CD3">
            <w:pPr>
              <w:widowControl w:val="0"/>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lang w:val="en-US" w:eastAsia="zh-CN"/>
              </w:rPr>
              <w:t>经信用中国（www.creditchina.gov.cn）、中国政府采购网（www.ccgp.gov.cn）等渠道查询后，列入失信被执行人、重大税收违法案件当事人名单、政府采购严重违法失信行为记录名单的，取消投标资格。</w:t>
            </w:r>
          </w:p>
          <w:p w14:paraId="6CEAC0FC">
            <w:pPr>
              <w:widowControl w:val="0"/>
              <w:numPr>
                <w:ilvl w:val="0"/>
                <w:numId w:val="1"/>
              </w:numPr>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落实政府采购政策需满足的资格要求：</w:t>
            </w:r>
            <w:r>
              <w:rPr>
                <w:rFonts w:hint="eastAsia" w:ascii="宋体" w:hAnsi="宋体" w:cs="宋体"/>
                <w:color w:val="000000"/>
                <w:kern w:val="0"/>
                <w:sz w:val="24"/>
                <w:szCs w:val="24"/>
                <w:lang w:val="en-US" w:eastAsia="zh-CN"/>
              </w:rPr>
              <w:t>/</w:t>
            </w:r>
          </w:p>
        </w:tc>
      </w:tr>
      <w:tr w14:paraId="0CCC26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166161B2">
            <w:pPr>
              <w:wordWrap/>
              <w:adjustRightInd w:val="0"/>
              <w:snapToGrid w:val="0"/>
              <w:spacing w:before="157" w:beforeLines="50" w:line="560" w:lineRule="exact"/>
              <w:jc w:val="center"/>
              <w:rPr>
                <w:rFonts w:hint="eastAsia" w:ascii="宋体" w:hAnsi="宋体" w:eastAsia="宋体" w:cs="宋体"/>
                <w:bCs/>
                <w:sz w:val="24"/>
                <w:szCs w:val="24"/>
              </w:rPr>
            </w:pPr>
            <w:r>
              <w:rPr>
                <w:rFonts w:hint="eastAsia" w:ascii="宋体" w:hAnsi="宋体" w:eastAsia="宋体" w:cs="宋体"/>
                <w:sz w:val="24"/>
                <w:szCs w:val="24"/>
              </w:rPr>
              <w:t>是否接收联合体形式</w:t>
            </w:r>
          </w:p>
        </w:tc>
        <w:tc>
          <w:tcPr>
            <w:tcW w:w="7668" w:type="dxa"/>
            <w:tcBorders>
              <w:tl2br w:val="nil"/>
              <w:tr2bl w:val="nil"/>
            </w:tcBorders>
            <w:vAlign w:val="center"/>
          </w:tcPr>
          <w:p w14:paraId="60F076CF">
            <w:pPr>
              <w:widowControl w:val="0"/>
              <w:wordWrap/>
              <w:adjustRightInd w:val="0"/>
              <w:snapToGrid w:val="0"/>
              <w:spacing w:line="560" w:lineRule="exact"/>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zh-CN"/>
              </w:rPr>
              <w:t>本项目</w:t>
            </w:r>
            <w:r>
              <w:rPr>
                <w:rFonts w:hint="eastAsia" w:ascii="宋体" w:hAnsi="宋体" w:eastAsia="宋体" w:cs="宋体"/>
                <w:color w:val="000000"/>
                <w:kern w:val="0"/>
                <w:sz w:val="24"/>
                <w:szCs w:val="24"/>
                <w:u w:val="single"/>
                <w:lang w:val="en-US" w:eastAsia="zh-CN"/>
              </w:rPr>
              <w:t>不接受</w:t>
            </w:r>
            <w:r>
              <w:rPr>
                <w:rFonts w:hint="eastAsia" w:ascii="宋体" w:hAnsi="宋体" w:eastAsia="宋体" w:cs="宋体"/>
                <w:color w:val="000000"/>
                <w:kern w:val="0"/>
                <w:sz w:val="24"/>
                <w:szCs w:val="24"/>
                <w:lang w:val="zh-CN"/>
              </w:rPr>
              <w:t>供应商以联合体方式进行谈判；</w:t>
            </w:r>
          </w:p>
        </w:tc>
      </w:tr>
      <w:tr w14:paraId="1A8130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6E659D07">
            <w:pPr>
              <w:wordWrap/>
              <w:adjustRightInd w:val="0"/>
              <w:snapToGrid w:val="0"/>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进口产品</w:t>
            </w:r>
          </w:p>
        </w:tc>
        <w:tc>
          <w:tcPr>
            <w:tcW w:w="7668" w:type="dxa"/>
            <w:tcBorders>
              <w:tl2br w:val="nil"/>
              <w:tr2bl w:val="nil"/>
            </w:tcBorders>
            <w:vAlign w:val="center"/>
          </w:tcPr>
          <w:p w14:paraId="3104CEC6">
            <w:pPr>
              <w:widowControl w:val="0"/>
              <w:wordWrap/>
              <w:adjustRightInd w:val="0"/>
              <w:snapToGrid w:val="0"/>
              <w:spacing w:line="560" w:lineRule="exact"/>
              <w:textAlignment w:val="auto"/>
              <w:rPr>
                <w:rFonts w:hint="eastAsia" w:ascii="宋体" w:hAnsi="宋体" w:eastAsia="宋体" w:cs="宋体"/>
                <w:color w:val="000000"/>
                <w:kern w:val="0"/>
                <w:sz w:val="24"/>
                <w:szCs w:val="24"/>
                <w:lang w:val="zh-CN"/>
              </w:rPr>
            </w:pPr>
            <w:r>
              <w:rPr>
                <w:rFonts w:hint="eastAsia" w:ascii="宋体" w:hAnsi="宋体" w:eastAsia="宋体" w:cs="宋体"/>
                <w:b w:val="0"/>
                <w:bCs/>
                <w:color w:val="auto"/>
                <w:sz w:val="24"/>
                <w:szCs w:val="24"/>
              </w:rPr>
              <w:t>本项目</w:t>
            </w:r>
            <w:r>
              <w:rPr>
                <w:rFonts w:hint="eastAsia" w:ascii="宋体" w:hAnsi="宋体" w:eastAsia="宋体" w:cs="宋体"/>
                <w:b w:val="0"/>
                <w:bCs/>
                <w:color w:val="auto"/>
                <w:sz w:val="24"/>
                <w:szCs w:val="24"/>
                <w:u w:val="single"/>
                <w:lang w:val="en-US" w:eastAsia="zh-CN"/>
              </w:rPr>
              <w:t>不接受</w:t>
            </w:r>
            <w:r>
              <w:rPr>
                <w:rFonts w:hint="eastAsia" w:ascii="宋体" w:hAnsi="宋体" w:eastAsia="宋体" w:cs="宋体"/>
                <w:b w:val="0"/>
                <w:bCs/>
                <w:color w:val="auto"/>
                <w:sz w:val="24"/>
                <w:szCs w:val="24"/>
              </w:rPr>
              <w:t>进</w:t>
            </w:r>
            <w:r>
              <w:rPr>
                <w:rFonts w:hint="eastAsia" w:ascii="宋体" w:hAnsi="宋体" w:eastAsia="宋体" w:cs="宋体"/>
                <w:color w:val="auto"/>
                <w:sz w:val="24"/>
                <w:szCs w:val="24"/>
              </w:rPr>
              <w:t>口产品参加谈判采购</w:t>
            </w:r>
            <w:r>
              <w:rPr>
                <w:rFonts w:hint="eastAsia" w:ascii="宋体" w:hAnsi="宋体" w:eastAsia="宋体" w:cs="宋体"/>
                <w:color w:val="auto"/>
                <w:sz w:val="24"/>
                <w:szCs w:val="24"/>
                <w:lang w:eastAsia="zh-CN"/>
              </w:rPr>
              <w:t>。</w:t>
            </w:r>
          </w:p>
        </w:tc>
      </w:tr>
      <w:tr w14:paraId="24776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19A3CA35">
            <w:pPr>
              <w:wordWrap/>
              <w:adjustRightInd w:val="0"/>
              <w:snapToGrid w:val="0"/>
              <w:spacing w:before="157" w:beforeLines="50" w:line="560" w:lineRule="exact"/>
              <w:jc w:val="center"/>
              <w:rPr>
                <w:rFonts w:hint="eastAsia" w:ascii="宋体" w:hAnsi="宋体" w:eastAsia="宋体" w:cs="宋体"/>
                <w:sz w:val="24"/>
                <w:szCs w:val="24"/>
                <w:u w:val="none" w:color="auto"/>
                <w:lang w:eastAsia="zh-CN"/>
              </w:rPr>
            </w:pPr>
            <w:r>
              <w:rPr>
                <w:rFonts w:hint="eastAsia" w:ascii="宋体" w:hAnsi="宋体" w:eastAsia="宋体" w:cs="宋体"/>
                <w:bCs/>
                <w:sz w:val="24"/>
                <w:szCs w:val="24"/>
                <w:u w:val="none" w:color="auto"/>
              </w:rPr>
              <w:t>谈判文件的实质性变动内容</w:t>
            </w:r>
          </w:p>
        </w:tc>
        <w:tc>
          <w:tcPr>
            <w:tcW w:w="7668" w:type="dxa"/>
            <w:tcBorders>
              <w:tl2br w:val="nil"/>
              <w:tr2bl w:val="nil"/>
            </w:tcBorders>
            <w:vAlign w:val="center"/>
          </w:tcPr>
          <w:p w14:paraId="3EF284B9">
            <w:pPr>
              <w:widowControl w:val="0"/>
              <w:wordWrap/>
              <w:adjustRightInd w:val="0"/>
              <w:snapToGrid w:val="0"/>
              <w:spacing w:line="560" w:lineRule="exact"/>
              <w:textAlignment w:val="auto"/>
              <w:rPr>
                <w:rFonts w:hint="eastAsia" w:ascii="宋体" w:hAnsi="宋体" w:eastAsia="宋体" w:cs="宋体"/>
                <w:b w:val="0"/>
                <w:bCs/>
                <w:color w:val="auto"/>
                <w:sz w:val="24"/>
                <w:szCs w:val="24"/>
                <w:u w:val="none" w:color="auto"/>
              </w:rPr>
            </w:pPr>
            <w:r>
              <w:rPr>
                <w:rFonts w:hint="eastAsia" w:ascii="宋体" w:hAnsi="宋体" w:eastAsia="宋体" w:cs="宋体"/>
                <w:sz w:val="24"/>
                <w:szCs w:val="24"/>
                <w:highlight w:val="none"/>
                <w:u w:val="none" w:color="auto"/>
                <w:lang w:val="en-US" w:eastAsia="zh-CN"/>
              </w:rPr>
              <w:t>允许根据谈判工作实际情况，对技术内容进行实质性修改（包括技术、服务和合同条款）。</w:t>
            </w:r>
          </w:p>
        </w:tc>
      </w:tr>
      <w:tr w14:paraId="6D4495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63623929">
            <w:pPr>
              <w:wordWrap/>
              <w:adjustRightInd w:val="0"/>
              <w:snapToGrid w:val="0"/>
              <w:spacing w:before="157" w:beforeLines="50" w:line="5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公告发布时间</w:t>
            </w:r>
          </w:p>
        </w:tc>
        <w:tc>
          <w:tcPr>
            <w:tcW w:w="7668" w:type="dxa"/>
            <w:tcBorders>
              <w:tl2br w:val="nil"/>
              <w:tr2bl w:val="nil"/>
            </w:tcBorders>
            <w:vAlign w:val="top"/>
          </w:tcPr>
          <w:p w14:paraId="0863E9C1">
            <w:pPr>
              <w:widowControl w:val="0"/>
              <w:wordWrap/>
              <w:adjustRightInd w:val="0"/>
              <w:snapToGrid w:val="0"/>
              <w:spacing w:line="56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u w:val="single"/>
                <w:lang w:val="en-US" w:eastAsia="zh-CN"/>
              </w:rPr>
              <w:t>2026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lang w:val="en-US" w:eastAsia="zh-CN"/>
              </w:rPr>
              <w:t>04</w:t>
            </w:r>
            <w:r>
              <w:rPr>
                <w:rFonts w:hint="eastAsia" w:ascii="宋体" w:hAnsi="宋体" w:eastAsia="宋体" w:cs="宋体"/>
                <w:color w:val="000000"/>
                <w:kern w:val="0"/>
                <w:sz w:val="24"/>
                <w:szCs w:val="24"/>
              </w:rPr>
              <w:t>月</w:t>
            </w:r>
            <w:r>
              <w:rPr>
                <w:rFonts w:hint="eastAsia" w:ascii="宋体" w:hAnsi="宋体" w:cs="宋体"/>
                <w:color w:val="000000"/>
                <w:kern w:val="0"/>
                <w:sz w:val="24"/>
                <w:szCs w:val="24"/>
                <w:u w:val="single"/>
                <w:lang w:val="en-US" w:eastAsia="zh-CN"/>
              </w:rPr>
              <w:t>30</w:t>
            </w:r>
            <w:r>
              <w:rPr>
                <w:rFonts w:hint="eastAsia" w:ascii="宋体" w:hAnsi="宋体" w:eastAsia="宋体" w:cs="宋体"/>
                <w:color w:val="000000"/>
                <w:kern w:val="0"/>
                <w:sz w:val="24"/>
                <w:szCs w:val="24"/>
              </w:rPr>
              <w:t>日（北京时间）</w:t>
            </w:r>
          </w:p>
        </w:tc>
      </w:tr>
      <w:tr w14:paraId="3C700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767D457B">
            <w:pPr>
              <w:wordWrap/>
              <w:spacing w:before="157" w:beforeLines="50" w:line="560" w:lineRule="exact"/>
              <w:jc w:val="center"/>
              <w:rPr>
                <w:rFonts w:hint="eastAsia" w:ascii="宋体" w:hAnsi="宋体" w:eastAsia="宋体" w:cs="宋体"/>
                <w:bCs/>
                <w:sz w:val="24"/>
                <w:szCs w:val="24"/>
                <w:lang w:eastAsia="zh-CN"/>
              </w:rPr>
            </w:pPr>
            <w:r>
              <w:rPr>
                <w:rFonts w:hint="eastAsia" w:ascii="宋体" w:hAnsi="宋体" w:eastAsia="宋体" w:cs="宋体"/>
                <w:sz w:val="24"/>
                <w:szCs w:val="24"/>
              </w:rPr>
              <w:t>文件发售起止时间</w:t>
            </w:r>
          </w:p>
        </w:tc>
        <w:tc>
          <w:tcPr>
            <w:tcW w:w="7668" w:type="dxa"/>
            <w:tcBorders>
              <w:tl2br w:val="nil"/>
              <w:tr2bl w:val="nil"/>
            </w:tcBorders>
            <w:vAlign w:val="top"/>
          </w:tcPr>
          <w:p w14:paraId="00EB7083">
            <w:pPr>
              <w:widowControl w:val="0"/>
              <w:wordWrap/>
              <w:spacing w:line="5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u w:val="single"/>
                <w:lang w:val="en-US" w:eastAsia="zh-CN"/>
              </w:rPr>
              <w:t>2026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lang w:val="en-US" w:eastAsia="zh-CN"/>
              </w:rPr>
              <w:t>0</w:t>
            </w:r>
            <w:r>
              <w:rPr>
                <w:rFonts w:hint="eastAsia" w:ascii="宋体" w:hAnsi="宋体" w:cs="宋体"/>
                <w:color w:val="000000"/>
                <w:kern w:val="0"/>
                <w:sz w:val="24"/>
                <w:szCs w:val="24"/>
                <w:u w:val="single"/>
                <w:lang w:val="en-US" w:eastAsia="zh-CN"/>
              </w:rPr>
              <w:t>5</w:t>
            </w:r>
            <w:r>
              <w:rPr>
                <w:rFonts w:hint="eastAsia" w:ascii="宋体" w:hAnsi="宋体" w:eastAsia="宋体" w:cs="宋体"/>
                <w:color w:val="000000"/>
                <w:kern w:val="0"/>
                <w:sz w:val="24"/>
                <w:szCs w:val="24"/>
              </w:rPr>
              <w:t>月</w:t>
            </w:r>
            <w:r>
              <w:rPr>
                <w:rFonts w:hint="eastAsia" w:ascii="宋体" w:hAnsi="宋体" w:cs="宋体"/>
                <w:color w:val="000000"/>
                <w:kern w:val="0"/>
                <w:sz w:val="24"/>
                <w:szCs w:val="24"/>
                <w:u w:val="single"/>
                <w:lang w:val="en-US" w:eastAsia="zh-CN"/>
              </w:rPr>
              <w:t>06</w:t>
            </w:r>
            <w:r>
              <w:rPr>
                <w:rFonts w:hint="eastAsia" w:ascii="宋体" w:hAnsi="宋体" w:eastAsia="宋体" w:cs="宋体"/>
                <w:color w:val="000000"/>
                <w:kern w:val="0"/>
                <w:sz w:val="24"/>
                <w:szCs w:val="24"/>
              </w:rPr>
              <w:t>日至</w:t>
            </w:r>
            <w:r>
              <w:rPr>
                <w:rFonts w:hint="eastAsia" w:ascii="宋体" w:hAnsi="宋体" w:cs="宋体"/>
                <w:color w:val="000000"/>
                <w:kern w:val="0"/>
                <w:sz w:val="24"/>
                <w:szCs w:val="24"/>
                <w:u w:val="single"/>
                <w:lang w:val="en-US" w:eastAsia="zh-CN"/>
              </w:rPr>
              <w:t>2026年05月08日</w:t>
            </w:r>
            <w:r>
              <w:rPr>
                <w:rFonts w:hint="eastAsia" w:ascii="宋体" w:hAnsi="宋体" w:eastAsia="宋体" w:cs="宋体"/>
                <w:color w:val="000000"/>
                <w:kern w:val="0"/>
                <w:sz w:val="24"/>
                <w:szCs w:val="24"/>
              </w:rPr>
              <w:t xml:space="preserve">（北京时间）          </w:t>
            </w:r>
          </w:p>
          <w:p w14:paraId="738A4C04">
            <w:pPr>
              <w:widowControl w:val="0"/>
              <w:wordWrap/>
              <w:spacing w:line="5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上午：</w:t>
            </w:r>
            <w:r>
              <w:rPr>
                <w:rFonts w:hint="eastAsia" w:ascii="宋体" w:hAnsi="宋体" w:eastAsia="宋体" w:cs="宋体"/>
                <w:color w:val="000000"/>
                <w:kern w:val="0"/>
                <w:sz w:val="24"/>
                <w:szCs w:val="24"/>
                <w:u w:val="single"/>
                <w:lang w:val="en-US" w:eastAsia="zh-CN"/>
              </w:rPr>
              <w:t>00</w:t>
            </w:r>
            <w:r>
              <w:rPr>
                <w:rFonts w:hint="eastAsia" w:ascii="宋体" w:hAnsi="宋体" w:eastAsia="宋体" w:cs="宋体"/>
                <w:color w:val="000000"/>
                <w:kern w:val="0"/>
                <w:sz w:val="24"/>
                <w:szCs w:val="24"/>
              </w:rPr>
              <w:t>时</w:t>
            </w:r>
            <w:r>
              <w:rPr>
                <w:rFonts w:hint="eastAsia" w:ascii="宋体" w:hAnsi="宋体" w:eastAsia="宋体" w:cs="宋体"/>
                <w:color w:val="000000"/>
                <w:kern w:val="0"/>
                <w:sz w:val="24"/>
                <w:szCs w:val="24"/>
                <w:u w:val="single"/>
                <w:lang w:val="en-US" w:eastAsia="zh-CN"/>
              </w:rPr>
              <w:t>00</w:t>
            </w:r>
            <w:r>
              <w:rPr>
                <w:rFonts w:hint="eastAsia" w:ascii="宋体" w:hAnsi="宋体" w:eastAsia="宋体" w:cs="宋体"/>
                <w:color w:val="000000"/>
                <w:kern w:val="0"/>
                <w:sz w:val="24"/>
                <w:szCs w:val="24"/>
              </w:rPr>
              <w:t>分至</w:t>
            </w:r>
            <w:r>
              <w:rPr>
                <w:rFonts w:hint="eastAsia" w:ascii="宋体" w:hAnsi="宋体" w:eastAsia="宋体" w:cs="宋体"/>
                <w:color w:val="000000"/>
                <w:kern w:val="0"/>
                <w:sz w:val="24"/>
                <w:szCs w:val="24"/>
                <w:u w:val="single"/>
                <w:lang w:val="en-US" w:eastAsia="zh-CN"/>
              </w:rPr>
              <w:t>12</w:t>
            </w:r>
            <w:r>
              <w:rPr>
                <w:rFonts w:hint="eastAsia" w:ascii="宋体" w:hAnsi="宋体" w:eastAsia="宋体" w:cs="宋体"/>
                <w:color w:val="000000"/>
                <w:kern w:val="0"/>
                <w:sz w:val="24"/>
                <w:szCs w:val="24"/>
              </w:rPr>
              <w:t>时</w:t>
            </w:r>
            <w:r>
              <w:rPr>
                <w:rFonts w:hint="eastAsia" w:ascii="宋体" w:hAnsi="宋体" w:eastAsia="宋体" w:cs="宋体"/>
                <w:color w:val="000000"/>
                <w:kern w:val="0"/>
                <w:sz w:val="24"/>
                <w:szCs w:val="24"/>
                <w:u w:val="single"/>
                <w:lang w:val="en-US" w:eastAsia="zh-CN"/>
              </w:rPr>
              <w:t>00</w:t>
            </w:r>
            <w:r>
              <w:rPr>
                <w:rFonts w:hint="eastAsia" w:ascii="宋体" w:hAnsi="宋体" w:eastAsia="宋体" w:cs="宋体"/>
                <w:color w:val="000000"/>
                <w:kern w:val="0"/>
                <w:sz w:val="24"/>
                <w:szCs w:val="24"/>
              </w:rPr>
              <w:t>分 （</w:t>
            </w:r>
            <w:r>
              <w:rPr>
                <w:rFonts w:hint="eastAsia" w:ascii="宋体" w:hAnsi="宋体" w:eastAsia="宋体" w:cs="宋体"/>
                <w:color w:val="000000"/>
                <w:kern w:val="0"/>
                <w:sz w:val="24"/>
                <w:szCs w:val="24"/>
                <w:lang w:eastAsia="zh-CN"/>
              </w:rPr>
              <w:t>采用</w:t>
            </w:r>
            <w:r>
              <w:rPr>
                <w:rFonts w:hint="eastAsia" w:ascii="宋体" w:hAnsi="宋体" w:eastAsia="宋体" w:cs="宋体"/>
                <w:color w:val="000000"/>
                <w:kern w:val="0"/>
                <w:sz w:val="24"/>
                <w:szCs w:val="24"/>
              </w:rPr>
              <w:t>北京时间</w:t>
            </w:r>
            <w:r>
              <w:rPr>
                <w:rFonts w:hint="eastAsia" w:ascii="宋体" w:hAnsi="宋体" w:eastAsia="宋体" w:cs="宋体"/>
                <w:color w:val="000000"/>
                <w:kern w:val="0"/>
                <w:sz w:val="24"/>
                <w:szCs w:val="24"/>
                <w:lang w:val="en-US" w:eastAsia="zh-CN"/>
              </w:rPr>
              <w:t>24小时制</w:t>
            </w:r>
            <w:r>
              <w:rPr>
                <w:rFonts w:hint="eastAsia" w:ascii="宋体" w:hAnsi="宋体" w:eastAsia="宋体" w:cs="宋体"/>
                <w:color w:val="000000"/>
                <w:kern w:val="0"/>
                <w:sz w:val="24"/>
                <w:szCs w:val="24"/>
              </w:rPr>
              <w:t>）</w:t>
            </w:r>
          </w:p>
          <w:p w14:paraId="5BC85538">
            <w:pPr>
              <w:widowControl w:val="0"/>
              <w:wordWrap/>
              <w:spacing w:line="5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下午：</w:t>
            </w:r>
            <w:r>
              <w:rPr>
                <w:rFonts w:hint="eastAsia" w:ascii="宋体" w:hAnsi="宋体" w:eastAsia="宋体" w:cs="宋体"/>
                <w:color w:val="000000"/>
                <w:kern w:val="0"/>
                <w:sz w:val="24"/>
                <w:szCs w:val="24"/>
                <w:u w:val="single"/>
                <w:lang w:val="en-US" w:eastAsia="zh-CN"/>
              </w:rPr>
              <w:t>12</w:t>
            </w:r>
            <w:r>
              <w:rPr>
                <w:rFonts w:hint="eastAsia" w:ascii="宋体" w:hAnsi="宋体" w:eastAsia="宋体" w:cs="宋体"/>
                <w:color w:val="000000"/>
                <w:kern w:val="0"/>
                <w:sz w:val="24"/>
                <w:szCs w:val="24"/>
              </w:rPr>
              <w:t>时</w:t>
            </w:r>
            <w:r>
              <w:rPr>
                <w:rFonts w:hint="eastAsia" w:ascii="宋体" w:hAnsi="宋体" w:eastAsia="宋体" w:cs="宋体"/>
                <w:color w:val="000000"/>
                <w:kern w:val="0"/>
                <w:sz w:val="24"/>
                <w:szCs w:val="24"/>
                <w:u w:val="single"/>
                <w:lang w:val="en-US" w:eastAsia="zh-CN"/>
              </w:rPr>
              <w:t>00</w:t>
            </w:r>
            <w:r>
              <w:rPr>
                <w:rFonts w:hint="eastAsia" w:ascii="宋体" w:hAnsi="宋体" w:eastAsia="宋体" w:cs="宋体"/>
                <w:color w:val="000000"/>
                <w:kern w:val="0"/>
                <w:sz w:val="24"/>
                <w:szCs w:val="24"/>
              </w:rPr>
              <w:t>分至</w:t>
            </w:r>
            <w:r>
              <w:rPr>
                <w:rFonts w:hint="eastAsia" w:ascii="宋体" w:hAnsi="宋体" w:eastAsia="宋体" w:cs="宋体"/>
                <w:color w:val="000000"/>
                <w:kern w:val="0"/>
                <w:sz w:val="24"/>
                <w:szCs w:val="24"/>
                <w:u w:val="single"/>
                <w:lang w:val="en-US" w:eastAsia="zh-CN"/>
              </w:rPr>
              <w:t>23</w:t>
            </w:r>
            <w:r>
              <w:rPr>
                <w:rFonts w:hint="eastAsia" w:ascii="宋体" w:hAnsi="宋体" w:eastAsia="宋体" w:cs="宋体"/>
                <w:color w:val="000000"/>
                <w:kern w:val="0"/>
                <w:sz w:val="24"/>
                <w:szCs w:val="24"/>
              </w:rPr>
              <w:t>时</w:t>
            </w:r>
            <w:r>
              <w:rPr>
                <w:rFonts w:hint="eastAsia" w:ascii="宋体" w:hAnsi="宋体" w:eastAsia="宋体" w:cs="宋体"/>
                <w:color w:val="000000"/>
                <w:kern w:val="0"/>
                <w:sz w:val="24"/>
                <w:szCs w:val="24"/>
                <w:u w:val="single"/>
                <w:lang w:val="en-US" w:eastAsia="zh-CN"/>
              </w:rPr>
              <w:t>59</w:t>
            </w:r>
            <w:r>
              <w:rPr>
                <w:rFonts w:hint="eastAsia" w:ascii="宋体" w:hAnsi="宋体" w:eastAsia="宋体" w:cs="宋体"/>
                <w:color w:val="000000"/>
                <w:kern w:val="0"/>
                <w:sz w:val="24"/>
                <w:szCs w:val="24"/>
              </w:rPr>
              <w:t>分 （</w:t>
            </w:r>
            <w:r>
              <w:rPr>
                <w:rFonts w:hint="eastAsia" w:ascii="宋体" w:hAnsi="宋体" w:eastAsia="宋体" w:cs="宋体"/>
                <w:color w:val="000000"/>
                <w:kern w:val="0"/>
                <w:sz w:val="24"/>
                <w:szCs w:val="24"/>
                <w:lang w:eastAsia="zh-CN"/>
              </w:rPr>
              <w:t>采用</w:t>
            </w:r>
            <w:r>
              <w:rPr>
                <w:rFonts w:hint="eastAsia" w:ascii="宋体" w:hAnsi="宋体" w:eastAsia="宋体" w:cs="宋体"/>
                <w:color w:val="000000"/>
                <w:kern w:val="0"/>
                <w:sz w:val="24"/>
                <w:szCs w:val="24"/>
              </w:rPr>
              <w:t>北京时间</w:t>
            </w:r>
            <w:r>
              <w:rPr>
                <w:rFonts w:hint="eastAsia" w:ascii="宋体" w:hAnsi="宋体" w:eastAsia="宋体" w:cs="宋体"/>
                <w:color w:val="000000"/>
                <w:kern w:val="0"/>
                <w:sz w:val="24"/>
                <w:szCs w:val="24"/>
                <w:lang w:val="en-US" w:eastAsia="zh-CN"/>
              </w:rPr>
              <w:t>24小时制</w:t>
            </w:r>
            <w:r>
              <w:rPr>
                <w:rFonts w:hint="eastAsia" w:ascii="宋体" w:hAnsi="宋体" w:eastAsia="宋体" w:cs="宋体"/>
                <w:color w:val="000000"/>
                <w:kern w:val="0"/>
                <w:sz w:val="24"/>
                <w:szCs w:val="24"/>
              </w:rPr>
              <w:t>）</w:t>
            </w:r>
          </w:p>
        </w:tc>
      </w:tr>
      <w:tr w14:paraId="137D70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54E9EF54">
            <w:pPr>
              <w:wordWrap/>
              <w:adjustRightInd w:val="0"/>
              <w:snapToGrid w:val="0"/>
              <w:spacing w:before="157" w:beforeLines="50" w:line="5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获取方式</w:t>
            </w:r>
          </w:p>
        </w:tc>
        <w:tc>
          <w:tcPr>
            <w:tcW w:w="7668" w:type="dxa"/>
            <w:tcBorders>
              <w:tl2br w:val="nil"/>
              <w:tr2bl w:val="nil"/>
            </w:tcBorders>
            <w:vAlign w:val="center"/>
          </w:tcPr>
          <w:p w14:paraId="1C191E2D">
            <w:pPr>
              <w:widowControl w:val="0"/>
              <w:tabs>
                <w:tab w:val="left" w:pos="320"/>
              </w:tabs>
              <w:wordWrap/>
              <w:adjustRightInd w:val="0"/>
              <w:snapToGrid w:val="0"/>
              <w:spacing w:line="560" w:lineRule="exact"/>
              <w:textAlignment w:val="auto"/>
              <w:rPr>
                <w:rFonts w:hint="eastAsia" w:ascii="宋体" w:hAnsi="宋体" w:eastAsia="宋体" w:cs="宋体"/>
                <w:color w:val="000000"/>
                <w:kern w:val="0"/>
                <w:sz w:val="24"/>
                <w:szCs w:val="24"/>
              </w:rPr>
            </w:pPr>
            <w:r>
              <w:rPr>
                <w:rFonts w:hint="eastAsia" w:ascii="宋体" w:hAnsi="宋体" w:eastAsia="宋体" w:cs="宋体"/>
                <w:sz w:val="24"/>
                <w:szCs w:val="24"/>
                <w:highlight w:val="none"/>
                <w:u w:val="none" w:color="auto"/>
                <w:lang w:val="en-US" w:eastAsia="zh-CN"/>
              </w:rPr>
              <w:t xml:space="preserve">供应商登录政采云平台 </w:t>
            </w:r>
            <w:r>
              <w:rPr>
                <w:rFonts w:hint="eastAsia" w:ascii="宋体" w:hAnsi="宋体" w:eastAsia="宋体" w:cs="宋体"/>
                <w:sz w:val="24"/>
                <w:szCs w:val="24"/>
                <w:highlight w:val="none"/>
                <w:u w:val="none" w:color="auto"/>
                <w:lang w:val="en-US" w:eastAsia="zh-CN"/>
              </w:rPr>
              <w:fldChar w:fldCharType="begin"/>
            </w:r>
            <w:r>
              <w:rPr>
                <w:rFonts w:hint="eastAsia" w:ascii="宋体" w:hAnsi="宋体" w:eastAsia="宋体" w:cs="宋体"/>
                <w:sz w:val="24"/>
                <w:szCs w:val="24"/>
                <w:highlight w:val="none"/>
                <w:u w:val="none" w:color="auto"/>
                <w:lang w:val="en-US" w:eastAsia="zh-CN"/>
              </w:rPr>
              <w:instrText xml:space="preserve"> HYPERLINK "https://www.zcygov.cn/" </w:instrText>
            </w:r>
            <w:r>
              <w:rPr>
                <w:rFonts w:hint="eastAsia" w:ascii="宋体" w:hAnsi="宋体" w:eastAsia="宋体" w:cs="宋体"/>
                <w:sz w:val="24"/>
                <w:szCs w:val="24"/>
                <w:highlight w:val="none"/>
                <w:u w:val="none" w:color="auto"/>
                <w:lang w:val="en-US" w:eastAsia="zh-CN"/>
              </w:rPr>
              <w:fldChar w:fldCharType="separate"/>
            </w:r>
            <w:r>
              <w:rPr>
                <w:rFonts w:hint="eastAsia" w:ascii="宋体" w:hAnsi="宋体" w:eastAsia="宋体" w:cs="宋体"/>
                <w:sz w:val="24"/>
                <w:szCs w:val="24"/>
                <w:highlight w:val="none"/>
                <w:u w:val="none" w:color="auto"/>
                <w:lang w:val="en-US" w:eastAsia="zh-CN"/>
              </w:rPr>
              <w:t>https://www.zcygov.cn/</w:t>
            </w:r>
            <w:r>
              <w:rPr>
                <w:rFonts w:hint="eastAsia" w:ascii="宋体" w:hAnsi="宋体" w:eastAsia="宋体" w:cs="宋体"/>
                <w:sz w:val="24"/>
                <w:szCs w:val="24"/>
                <w:highlight w:val="none"/>
                <w:u w:val="none" w:color="auto"/>
                <w:lang w:val="en-US" w:eastAsia="zh-CN"/>
              </w:rPr>
              <w:fldChar w:fldCharType="end"/>
            </w:r>
            <w:r>
              <w:rPr>
                <w:rFonts w:hint="eastAsia" w:ascii="宋体" w:hAnsi="宋体" w:eastAsia="宋体" w:cs="宋体"/>
                <w:sz w:val="24"/>
                <w:szCs w:val="24"/>
                <w:highlight w:val="none"/>
                <w:u w:val="none" w:color="auto"/>
                <w:lang w:val="en-US" w:eastAsia="zh-CN"/>
              </w:rPr>
              <w:t>在线申请获取采购文件（进入“项目采购 ”应用，在获取采购文件菜单中选择项目，申请获取采购文件）</w:t>
            </w:r>
          </w:p>
        </w:tc>
      </w:tr>
      <w:tr w14:paraId="1D8082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500BE1BB">
            <w:pPr>
              <w:widowControl w:val="0"/>
              <w:tabs>
                <w:tab w:val="left" w:pos="320"/>
              </w:tabs>
              <w:wordWrap/>
              <w:adjustRightInd w:val="0"/>
              <w:snapToGrid w:val="0"/>
              <w:spacing w:line="560" w:lineRule="exact"/>
              <w:jc w:val="center"/>
              <w:textAlignment w:val="auto"/>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文件售价</w:t>
            </w:r>
          </w:p>
        </w:tc>
        <w:tc>
          <w:tcPr>
            <w:tcW w:w="7668" w:type="dxa"/>
            <w:tcBorders>
              <w:tl2br w:val="nil"/>
              <w:tr2bl w:val="nil"/>
            </w:tcBorders>
            <w:vAlign w:val="center"/>
          </w:tcPr>
          <w:p w14:paraId="31C7B40C">
            <w:pPr>
              <w:widowControl w:val="0"/>
              <w:tabs>
                <w:tab w:val="left" w:pos="320"/>
              </w:tabs>
              <w:wordWrap/>
              <w:adjustRightInd w:val="0"/>
              <w:snapToGrid w:val="0"/>
              <w:spacing w:line="560" w:lineRule="exact"/>
              <w:textAlignment w:val="auto"/>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0 元/份（谈判文件售后不退, 谈判资格不能转让）</w:t>
            </w:r>
          </w:p>
        </w:tc>
      </w:tr>
      <w:tr w14:paraId="18C96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27D1E340">
            <w:pPr>
              <w:widowControl w:val="0"/>
              <w:tabs>
                <w:tab w:val="left" w:pos="320"/>
              </w:tabs>
              <w:wordWrap/>
              <w:adjustRightInd w:val="0"/>
              <w:snapToGrid w:val="0"/>
              <w:spacing w:line="560" w:lineRule="exact"/>
              <w:jc w:val="center"/>
              <w:textAlignment w:val="auto"/>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文件发售地点</w:t>
            </w:r>
          </w:p>
        </w:tc>
        <w:tc>
          <w:tcPr>
            <w:tcW w:w="7668" w:type="dxa"/>
            <w:tcBorders>
              <w:tl2br w:val="nil"/>
              <w:tr2bl w:val="nil"/>
            </w:tcBorders>
            <w:vAlign w:val="center"/>
          </w:tcPr>
          <w:p w14:paraId="1C2E105D">
            <w:pPr>
              <w:widowControl w:val="0"/>
              <w:tabs>
                <w:tab w:val="left" w:pos="320"/>
              </w:tabs>
              <w:wordWrap/>
              <w:adjustRightInd w:val="0"/>
              <w:snapToGrid w:val="0"/>
              <w:spacing w:line="560" w:lineRule="exact"/>
              <w:textAlignment w:val="auto"/>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通过政采云平台线上获取</w:t>
            </w:r>
          </w:p>
        </w:tc>
      </w:tr>
      <w:tr w14:paraId="05F881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569A7C36">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购买谈判文件时应提供的材料</w:t>
            </w:r>
          </w:p>
        </w:tc>
        <w:tc>
          <w:tcPr>
            <w:tcW w:w="7668" w:type="dxa"/>
            <w:tcBorders>
              <w:tl2br w:val="nil"/>
              <w:tr2bl w:val="nil"/>
            </w:tcBorders>
            <w:vAlign w:val="center"/>
          </w:tcPr>
          <w:p w14:paraId="44B90855">
            <w:pPr>
              <w:widowControl w:val="0"/>
              <w:wordWrap/>
              <w:adjustRightInd w:val="0"/>
              <w:snapToGrid w:val="0"/>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购买竞争性谈判文件时</w:t>
            </w:r>
            <w:r>
              <w:rPr>
                <w:rFonts w:hint="eastAsia" w:ascii="宋体" w:hAnsi="宋体" w:eastAsia="宋体" w:cs="宋体"/>
                <w:sz w:val="24"/>
                <w:szCs w:val="24"/>
                <w:highlight w:val="none"/>
                <w:u w:val="single" w:color="auto"/>
                <w:lang w:val="en-US" w:eastAsia="zh-CN"/>
              </w:rPr>
              <w:t xml:space="preserve"> 否 </w:t>
            </w:r>
            <w:r>
              <w:rPr>
                <w:rFonts w:hint="eastAsia" w:ascii="宋体" w:hAnsi="宋体" w:eastAsia="宋体" w:cs="宋体"/>
                <w:sz w:val="24"/>
                <w:szCs w:val="24"/>
                <w:highlight w:val="none"/>
                <w:u w:val="none" w:color="auto"/>
                <w:lang w:val="en-US" w:eastAsia="zh-CN"/>
              </w:rPr>
              <w:t>（是/否）需要提交相关文件资料。</w:t>
            </w:r>
          </w:p>
        </w:tc>
      </w:tr>
      <w:tr w14:paraId="1FAB68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32080004">
            <w:pPr>
              <w:wordWrap/>
              <w:adjustRightInd w:val="0"/>
              <w:snapToGrid w:val="0"/>
              <w:spacing w:before="157" w:beforeLines="50" w:line="560" w:lineRule="exact"/>
              <w:jc w:val="center"/>
              <w:rPr>
                <w:rFonts w:hint="eastAsia" w:ascii="宋体" w:hAnsi="宋体" w:eastAsia="宋体" w:cs="宋体"/>
                <w:bCs/>
                <w:sz w:val="24"/>
                <w:szCs w:val="24"/>
                <w:u w:val="none" w:color="auto"/>
              </w:rPr>
            </w:pPr>
            <w:r>
              <w:rPr>
                <w:rFonts w:hint="eastAsia" w:ascii="宋体" w:hAnsi="宋体" w:eastAsia="宋体" w:cs="宋体"/>
                <w:sz w:val="24"/>
                <w:szCs w:val="24"/>
                <w:highlight w:val="none"/>
                <w:u w:val="none" w:color="auto"/>
                <w:lang w:val="en-US" w:eastAsia="zh-CN"/>
              </w:rPr>
              <w:t>采购人名称、地址、电话、联系人</w:t>
            </w:r>
          </w:p>
        </w:tc>
        <w:tc>
          <w:tcPr>
            <w:tcW w:w="7668" w:type="dxa"/>
            <w:tcBorders>
              <w:tl2br w:val="nil"/>
              <w:tr2bl w:val="nil"/>
            </w:tcBorders>
            <w:vAlign w:val="top"/>
          </w:tcPr>
          <w:p w14:paraId="382D99BE">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采购人：海南藏族自治州公安局</w:t>
            </w:r>
          </w:p>
          <w:p w14:paraId="68B35665">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联系人：马警官</w:t>
            </w:r>
          </w:p>
          <w:p w14:paraId="48D12403">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电</w:t>
            </w:r>
            <w:r>
              <w:rPr>
                <w:rFonts w:hint="eastAsia" w:cs="宋体"/>
                <w:sz w:val="24"/>
                <w:szCs w:val="24"/>
                <w:u w:val="none" w:color="auto"/>
                <w:lang w:val="en-US" w:eastAsia="zh-CN"/>
              </w:rPr>
              <w:t xml:space="preserve">  </w:t>
            </w:r>
            <w:r>
              <w:rPr>
                <w:rFonts w:hint="default" w:ascii="宋体" w:hAnsi="宋体" w:eastAsia="宋体" w:cs="宋体"/>
                <w:sz w:val="24"/>
                <w:szCs w:val="24"/>
                <w:u w:val="none" w:color="auto"/>
                <w:lang w:val="en-US" w:eastAsia="zh-CN"/>
              </w:rPr>
              <w:t>话：0974-8522936</w:t>
            </w:r>
          </w:p>
          <w:p w14:paraId="10B2FB54">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地</w:t>
            </w:r>
            <w:r>
              <w:rPr>
                <w:rFonts w:hint="eastAsia" w:cs="宋体"/>
                <w:sz w:val="24"/>
                <w:szCs w:val="24"/>
                <w:u w:val="none" w:color="auto"/>
                <w:lang w:val="en-US" w:eastAsia="zh-CN"/>
              </w:rPr>
              <w:t xml:space="preserve">  </w:t>
            </w:r>
            <w:r>
              <w:rPr>
                <w:rFonts w:hint="default" w:ascii="宋体" w:hAnsi="宋体" w:eastAsia="宋体" w:cs="宋体"/>
                <w:sz w:val="24"/>
                <w:szCs w:val="24"/>
                <w:u w:val="none" w:color="auto"/>
                <w:lang w:val="en-US" w:eastAsia="zh-CN"/>
              </w:rPr>
              <w:t>址：青海省海南州共和县恰卜恰镇青海湖北大街2号</w:t>
            </w:r>
          </w:p>
        </w:tc>
      </w:tr>
      <w:tr w14:paraId="7EACC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7DA8842D">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采购代理机构及联系人电话</w:t>
            </w:r>
          </w:p>
        </w:tc>
        <w:tc>
          <w:tcPr>
            <w:tcW w:w="7668" w:type="dxa"/>
            <w:tcBorders>
              <w:tl2br w:val="nil"/>
              <w:tr2bl w:val="nil"/>
            </w:tcBorders>
            <w:vAlign w:val="top"/>
          </w:tcPr>
          <w:p w14:paraId="6A48F159">
            <w:pPr>
              <w:widowControl w:val="0"/>
              <w:wordWrap/>
              <w:adjustRightInd w:val="0"/>
              <w:snapToGrid w:val="0"/>
              <w:spacing w:line="560" w:lineRule="exact"/>
              <w:textAlignment w:val="auto"/>
              <w:rPr>
                <w:rFonts w:hint="eastAsia" w:ascii="宋体" w:hAnsi="宋体" w:eastAsia="宋体" w:cs="宋体"/>
                <w:b w:val="0"/>
                <w:bCs w:val="0"/>
                <w:kern w:val="2"/>
                <w:sz w:val="24"/>
                <w:szCs w:val="24"/>
                <w:highlight w:val="none"/>
                <w:u w:val="none" w:color="auto"/>
                <w:lang w:val="en-US" w:eastAsia="zh-CN" w:bidi="ar-SA"/>
              </w:rPr>
            </w:pPr>
            <w:r>
              <w:rPr>
                <w:rFonts w:hint="eastAsia" w:ascii="宋体" w:hAnsi="宋体" w:eastAsia="宋体" w:cs="宋体"/>
                <w:b w:val="0"/>
                <w:bCs w:val="0"/>
                <w:kern w:val="2"/>
                <w:sz w:val="24"/>
                <w:szCs w:val="24"/>
                <w:highlight w:val="none"/>
                <w:u w:val="none" w:color="auto"/>
                <w:lang w:val="en-US" w:eastAsia="zh-CN" w:bidi="ar-SA"/>
              </w:rPr>
              <w:t>采购代理机构：青海国德招标代理有限公司</w:t>
            </w:r>
          </w:p>
          <w:p w14:paraId="61B2705D">
            <w:pPr>
              <w:widowControl w:val="0"/>
              <w:wordWrap/>
              <w:adjustRightInd w:val="0"/>
              <w:snapToGrid w:val="0"/>
              <w:spacing w:line="560" w:lineRule="exact"/>
              <w:textAlignment w:val="auto"/>
              <w:rPr>
                <w:rFonts w:hint="eastAsia" w:ascii="宋体" w:hAnsi="宋体" w:eastAsia="宋体" w:cs="宋体"/>
                <w:b w:val="0"/>
                <w:bCs w:val="0"/>
                <w:kern w:val="2"/>
                <w:sz w:val="24"/>
                <w:szCs w:val="24"/>
                <w:highlight w:val="none"/>
                <w:u w:val="none" w:color="auto"/>
                <w:lang w:val="en-US" w:eastAsia="zh-CN" w:bidi="ar-SA"/>
              </w:rPr>
            </w:pPr>
            <w:r>
              <w:rPr>
                <w:rFonts w:hint="eastAsia" w:ascii="宋体" w:hAnsi="宋体" w:eastAsia="宋体" w:cs="宋体"/>
                <w:b w:val="0"/>
                <w:bCs w:val="0"/>
                <w:kern w:val="2"/>
                <w:sz w:val="24"/>
                <w:szCs w:val="24"/>
                <w:highlight w:val="none"/>
                <w:u w:val="none" w:color="auto"/>
                <w:lang w:val="en-US" w:eastAsia="zh-CN" w:bidi="ar-SA"/>
              </w:rPr>
              <w:t>联</w:t>
            </w:r>
            <w:r>
              <w:rPr>
                <w:rFonts w:hint="eastAsia" w:ascii="宋体" w:hAnsi="宋体" w:cs="宋体"/>
                <w:b w:val="0"/>
                <w:bCs w:val="0"/>
                <w:kern w:val="2"/>
                <w:sz w:val="24"/>
                <w:szCs w:val="24"/>
                <w:highlight w:val="none"/>
                <w:u w:val="none" w:color="auto"/>
                <w:lang w:val="en-US" w:eastAsia="zh-CN" w:bidi="ar-SA"/>
              </w:rPr>
              <w:t xml:space="preserve"> </w:t>
            </w:r>
            <w:r>
              <w:rPr>
                <w:rFonts w:hint="eastAsia" w:ascii="宋体" w:hAnsi="宋体" w:eastAsia="宋体" w:cs="宋体"/>
                <w:b w:val="0"/>
                <w:bCs w:val="0"/>
                <w:kern w:val="2"/>
                <w:sz w:val="24"/>
                <w:szCs w:val="24"/>
                <w:highlight w:val="none"/>
                <w:u w:val="none" w:color="auto"/>
                <w:lang w:val="en-US" w:eastAsia="zh-CN" w:bidi="ar-SA"/>
              </w:rPr>
              <w:t>系</w:t>
            </w:r>
            <w:r>
              <w:rPr>
                <w:rFonts w:hint="eastAsia" w:ascii="宋体" w:hAnsi="宋体" w:cs="宋体"/>
                <w:b w:val="0"/>
                <w:bCs w:val="0"/>
                <w:kern w:val="2"/>
                <w:sz w:val="24"/>
                <w:szCs w:val="24"/>
                <w:highlight w:val="none"/>
                <w:u w:val="none" w:color="auto"/>
                <w:lang w:val="en-US" w:eastAsia="zh-CN" w:bidi="ar-SA"/>
              </w:rPr>
              <w:t xml:space="preserve"> </w:t>
            </w:r>
            <w:r>
              <w:rPr>
                <w:rFonts w:hint="eastAsia" w:ascii="宋体" w:hAnsi="宋体" w:eastAsia="宋体" w:cs="宋体"/>
                <w:b w:val="0"/>
                <w:bCs w:val="0"/>
                <w:kern w:val="2"/>
                <w:sz w:val="24"/>
                <w:szCs w:val="24"/>
                <w:highlight w:val="none"/>
                <w:u w:val="none" w:color="auto"/>
                <w:lang w:val="en-US" w:eastAsia="zh-CN" w:bidi="ar-SA"/>
              </w:rPr>
              <w:t>人：韩女士</w:t>
            </w:r>
          </w:p>
          <w:p w14:paraId="4A4AD29B">
            <w:pPr>
              <w:widowControl w:val="0"/>
              <w:wordWrap/>
              <w:adjustRightInd w:val="0"/>
              <w:snapToGrid w:val="0"/>
              <w:spacing w:line="560" w:lineRule="exact"/>
              <w:textAlignment w:val="auto"/>
              <w:rPr>
                <w:rFonts w:hint="eastAsia" w:ascii="宋体" w:hAnsi="宋体" w:eastAsia="宋体" w:cs="宋体"/>
                <w:b w:val="0"/>
                <w:bCs w:val="0"/>
                <w:kern w:val="2"/>
                <w:sz w:val="24"/>
                <w:szCs w:val="24"/>
                <w:highlight w:val="none"/>
                <w:u w:val="none" w:color="auto"/>
                <w:lang w:val="en-US" w:eastAsia="zh-CN" w:bidi="ar-SA"/>
              </w:rPr>
            </w:pPr>
            <w:r>
              <w:rPr>
                <w:rFonts w:hint="eastAsia" w:ascii="宋体" w:hAnsi="宋体" w:eastAsia="宋体" w:cs="宋体"/>
                <w:b w:val="0"/>
                <w:bCs w:val="0"/>
                <w:kern w:val="2"/>
                <w:sz w:val="24"/>
                <w:szCs w:val="24"/>
                <w:highlight w:val="none"/>
                <w:u w:val="none" w:color="auto"/>
                <w:lang w:val="en-US" w:eastAsia="zh-CN" w:bidi="ar-SA"/>
              </w:rPr>
              <w:t>联系电话：0971-8278117</w:t>
            </w:r>
          </w:p>
          <w:p w14:paraId="55B91D83">
            <w:pPr>
              <w:widowControl w:val="0"/>
              <w:wordWrap/>
              <w:adjustRightInd w:val="0"/>
              <w:snapToGrid w:val="0"/>
              <w:spacing w:line="560" w:lineRule="exact"/>
              <w:textAlignment w:val="auto"/>
              <w:rPr>
                <w:rFonts w:hint="eastAsia" w:ascii="宋体" w:hAnsi="宋体" w:eastAsia="宋体" w:cs="宋体"/>
                <w:b w:val="0"/>
                <w:bCs w:val="0"/>
                <w:kern w:val="2"/>
                <w:sz w:val="24"/>
                <w:szCs w:val="24"/>
                <w:highlight w:val="none"/>
                <w:u w:val="none" w:color="auto"/>
                <w:lang w:val="en-US" w:eastAsia="zh-CN" w:bidi="ar-SA"/>
              </w:rPr>
            </w:pPr>
            <w:r>
              <w:rPr>
                <w:rFonts w:hint="eastAsia" w:ascii="宋体" w:hAnsi="宋体" w:eastAsia="宋体" w:cs="宋体"/>
                <w:b w:val="0"/>
                <w:bCs w:val="0"/>
                <w:kern w:val="2"/>
                <w:sz w:val="24"/>
                <w:szCs w:val="24"/>
                <w:highlight w:val="none"/>
                <w:u w:val="none" w:color="auto"/>
                <w:lang w:val="en-US" w:eastAsia="zh-CN" w:bidi="ar-SA"/>
              </w:rPr>
              <w:t>邮箱地址：guode@guodezhaobiao.com</w:t>
            </w:r>
          </w:p>
          <w:p w14:paraId="4441EAAA">
            <w:pPr>
              <w:widowControl w:val="0"/>
              <w:wordWrap/>
              <w:adjustRightInd w:val="0"/>
              <w:snapToGrid w:val="0"/>
              <w:spacing w:line="560" w:lineRule="exact"/>
              <w:textAlignment w:val="auto"/>
              <w:rPr>
                <w:rFonts w:hint="eastAsia" w:ascii="宋体" w:hAnsi="宋体" w:eastAsia="宋体" w:cs="宋体"/>
                <w:sz w:val="24"/>
                <w:szCs w:val="24"/>
              </w:rPr>
            </w:pPr>
            <w:r>
              <w:rPr>
                <w:rFonts w:hint="eastAsia" w:ascii="宋体" w:hAnsi="宋体" w:eastAsia="宋体" w:cs="宋体"/>
                <w:b w:val="0"/>
                <w:bCs w:val="0"/>
                <w:kern w:val="2"/>
                <w:sz w:val="24"/>
                <w:szCs w:val="24"/>
                <w:highlight w:val="none"/>
                <w:u w:val="none" w:color="auto"/>
                <w:lang w:val="en-US" w:eastAsia="zh-CN" w:bidi="ar-SA"/>
              </w:rPr>
              <w:t>联系地址：</w:t>
            </w:r>
            <w:bookmarkStart w:id="697" w:name="_GoBack"/>
            <w:r>
              <w:rPr>
                <w:rFonts w:hint="eastAsia" w:ascii="宋体" w:hAnsi="宋体" w:eastAsia="宋体" w:cs="宋体"/>
                <w:b w:val="0"/>
                <w:bCs w:val="0"/>
                <w:kern w:val="2"/>
                <w:sz w:val="24"/>
                <w:szCs w:val="24"/>
                <w:highlight w:val="none"/>
                <w:u w:val="none" w:color="auto"/>
                <w:lang w:val="en-US" w:eastAsia="zh-CN" w:bidi="ar-SA"/>
              </w:rPr>
              <w:t>青海省西宁市城东区建国大街 57 号新千国际广场东区2号写字楼13楼</w:t>
            </w:r>
            <w:bookmarkEnd w:id="697"/>
          </w:p>
        </w:tc>
      </w:tr>
      <w:tr w14:paraId="352D6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4449D703">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保证金</w:t>
            </w:r>
          </w:p>
        </w:tc>
        <w:tc>
          <w:tcPr>
            <w:tcW w:w="7668" w:type="dxa"/>
            <w:tcBorders>
              <w:tl2br w:val="nil"/>
              <w:tr2bl w:val="nil"/>
            </w:tcBorders>
            <w:vAlign w:val="center"/>
          </w:tcPr>
          <w:p w14:paraId="3A6265E6">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保证金金额：</w:t>
            </w:r>
          </w:p>
          <w:p w14:paraId="682C7806">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cs="宋体"/>
                <w:kern w:val="2"/>
                <w:sz w:val="24"/>
                <w:szCs w:val="24"/>
                <w:highlight w:val="none"/>
                <w:u w:val="none" w:color="auto"/>
                <w:lang w:val="en-US" w:eastAsia="zh-CN" w:bidi="ar-SA"/>
              </w:rPr>
              <w:t>包一：10000</w:t>
            </w:r>
            <w:r>
              <w:rPr>
                <w:rFonts w:hint="eastAsia" w:ascii="宋体" w:hAnsi="宋体" w:eastAsia="宋体" w:cs="宋体"/>
                <w:kern w:val="2"/>
                <w:sz w:val="24"/>
                <w:szCs w:val="24"/>
                <w:highlight w:val="none"/>
                <w:u w:val="none" w:color="auto"/>
                <w:lang w:val="en-US" w:eastAsia="zh-CN" w:bidi="ar-SA"/>
              </w:rPr>
              <w:t>.00元（</w:t>
            </w:r>
            <w:r>
              <w:rPr>
                <w:rFonts w:hint="eastAsia" w:cs="宋体"/>
                <w:kern w:val="2"/>
                <w:sz w:val="24"/>
                <w:szCs w:val="24"/>
                <w:highlight w:val="none"/>
                <w:u w:val="none" w:color="auto"/>
                <w:lang w:val="en-US" w:eastAsia="zh-CN" w:bidi="ar-SA"/>
              </w:rPr>
              <w:t>大写：壹万元整</w:t>
            </w:r>
            <w:r>
              <w:rPr>
                <w:rFonts w:hint="eastAsia" w:ascii="宋体" w:hAnsi="宋体" w:eastAsia="宋体" w:cs="宋体"/>
                <w:kern w:val="2"/>
                <w:sz w:val="24"/>
                <w:szCs w:val="24"/>
                <w:highlight w:val="none"/>
                <w:u w:val="none" w:color="auto"/>
                <w:lang w:val="en-US" w:eastAsia="zh-CN" w:bidi="ar-SA"/>
              </w:rPr>
              <w:t>）</w:t>
            </w:r>
          </w:p>
          <w:p w14:paraId="4EF79657">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default" w:ascii="宋体" w:hAnsi="宋体" w:eastAsia="宋体" w:cs="宋体"/>
                <w:kern w:val="2"/>
                <w:sz w:val="24"/>
                <w:szCs w:val="24"/>
                <w:highlight w:val="none"/>
                <w:u w:val="none" w:color="auto"/>
                <w:lang w:val="en-US" w:eastAsia="zh-CN" w:bidi="ar-SA"/>
              </w:rPr>
            </w:pPr>
            <w:r>
              <w:rPr>
                <w:rFonts w:hint="eastAsia" w:cs="宋体"/>
                <w:kern w:val="2"/>
                <w:sz w:val="24"/>
                <w:szCs w:val="24"/>
                <w:highlight w:val="none"/>
                <w:u w:val="none" w:color="auto"/>
                <w:lang w:val="en-US" w:eastAsia="zh-CN" w:bidi="ar-SA"/>
              </w:rPr>
              <w:t>包二：30000.00元（大写：叁万元整）</w:t>
            </w:r>
          </w:p>
          <w:p w14:paraId="1428C48F">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收款单位：青海国德招标代理有限公司</w:t>
            </w:r>
          </w:p>
          <w:p w14:paraId="2229810B">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 xml:space="preserve">开户行：中国工商银行西宁交通巷支行  </w:t>
            </w:r>
          </w:p>
          <w:p w14:paraId="1539F7A5">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银行账号：2806007819000041679</w:t>
            </w:r>
          </w:p>
          <w:p w14:paraId="092607ED">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交纳时间：同响应文件递交截止时间，以银行到账时间为准。</w:t>
            </w:r>
          </w:p>
          <w:p w14:paraId="19681746">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如采购项目变更开标时间，则保证金交纳时间相应顺延。</w:t>
            </w:r>
          </w:p>
          <w:p w14:paraId="4297A21C">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交</w:t>
            </w:r>
            <w:r>
              <w:rPr>
                <w:rFonts w:hint="eastAsia" w:cs="宋体"/>
                <w:kern w:val="2"/>
                <w:sz w:val="24"/>
                <w:szCs w:val="24"/>
                <w:highlight w:val="none"/>
                <w:u w:val="none" w:color="auto"/>
                <w:lang w:val="en-US" w:eastAsia="zh-CN" w:bidi="ar-SA"/>
              </w:rPr>
              <w:t>纳</w:t>
            </w:r>
            <w:r>
              <w:rPr>
                <w:rFonts w:hint="eastAsia" w:ascii="宋体" w:hAnsi="宋体" w:eastAsia="宋体" w:cs="宋体"/>
                <w:kern w:val="2"/>
                <w:sz w:val="24"/>
                <w:szCs w:val="24"/>
                <w:highlight w:val="none"/>
                <w:u w:val="none" w:color="auto"/>
                <w:lang w:val="en-US" w:eastAsia="zh-CN" w:bidi="ar-SA"/>
              </w:rPr>
              <w:t>方式：谈判保证金应当以转账、支票、本票或者金融机构、担保机构出具的保函等非现金形式提交。供应商未按照谈判文件要求提交谈判保证金的，谈判无效。</w:t>
            </w:r>
          </w:p>
          <w:p w14:paraId="0AE5F46C">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sz w:val="24"/>
                <w:szCs w:val="24"/>
                <w:lang w:val="en-US" w:eastAsia="zh-CN"/>
              </w:rPr>
            </w:pPr>
            <w:r>
              <w:rPr>
                <w:rFonts w:hint="eastAsia" w:ascii="宋体" w:hAnsi="宋体" w:eastAsia="宋体" w:cs="宋体"/>
                <w:kern w:val="2"/>
                <w:sz w:val="24"/>
                <w:szCs w:val="24"/>
                <w:highlight w:val="none"/>
                <w:u w:val="none" w:color="auto"/>
                <w:lang w:val="en-US" w:eastAsia="zh-CN" w:bidi="ar-SA"/>
              </w:rPr>
              <w:t>其他注意事项（详见谈判文件）</w:t>
            </w:r>
          </w:p>
        </w:tc>
      </w:tr>
      <w:tr w14:paraId="33D943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6E685BAD">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响应文件有效期</w:t>
            </w:r>
          </w:p>
        </w:tc>
        <w:tc>
          <w:tcPr>
            <w:tcW w:w="7668" w:type="dxa"/>
            <w:tcBorders>
              <w:tl2br w:val="nil"/>
              <w:tr2bl w:val="nil"/>
            </w:tcBorders>
            <w:vAlign w:val="center"/>
          </w:tcPr>
          <w:p w14:paraId="332A8AC1">
            <w:pPr>
              <w:widowControl w:val="0"/>
              <w:wordWrap/>
              <w:adjustRightInd w:val="0"/>
              <w:snapToGrid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highlight w:val="none"/>
                <w:u w:val="none" w:color="auto"/>
                <w:lang w:val="en-US" w:eastAsia="zh-CN" w:bidi="ar-SA"/>
              </w:rPr>
              <w:t>自谈判提交响应文件截止之日起不少于</w:t>
            </w:r>
            <w:r>
              <w:rPr>
                <w:rFonts w:hint="eastAsia" w:ascii="宋体" w:hAnsi="宋体" w:eastAsia="宋体" w:cs="宋体"/>
                <w:kern w:val="2"/>
                <w:sz w:val="24"/>
                <w:szCs w:val="24"/>
                <w:highlight w:val="none"/>
                <w:u w:val="single" w:color="auto"/>
                <w:lang w:val="en-US" w:eastAsia="zh-CN" w:bidi="ar-SA"/>
              </w:rPr>
              <w:t>60</w:t>
            </w:r>
            <w:r>
              <w:rPr>
                <w:rFonts w:hint="eastAsia" w:ascii="宋体" w:hAnsi="宋体" w:eastAsia="宋体" w:cs="宋体"/>
                <w:kern w:val="2"/>
                <w:sz w:val="24"/>
                <w:szCs w:val="24"/>
                <w:highlight w:val="none"/>
                <w:u w:val="none" w:color="auto"/>
                <w:lang w:val="en-US" w:eastAsia="zh-CN" w:bidi="ar-SA"/>
              </w:rPr>
              <w:t>天</w:t>
            </w:r>
          </w:p>
        </w:tc>
      </w:tr>
      <w:tr w14:paraId="3C6882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5" w:hRule="atLeast"/>
        </w:trPr>
        <w:tc>
          <w:tcPr>
            <w:tcW w:w="2510" w:type="dxa"/>
            <w:tcBorders>
              <w:tl2br w:val="nil"/>
              <w:tr2bl w:val="nil"/>
            </w:tcBorders>
            <w:vAlign w:val="center"/>
          </w:tcPr>
          <w:p w14:paraId="6F7F5079">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响应文件份数</w:t>
            </w:r>
          </w:p>
        </w:tc>
        <w:tc>
          <w:tcPr>
            <w:tcW w:w="7668" w:type="dxa"/>
            <w:tcBorders>
              <w:tl2br w:val="nil"/>
              <w:tr2bl w:val="nil"/>
            </w:tcBorders>
            <w:vAlign w:val="center"/>
          </w:tcPr>
          <w:p w14:paraId="65E566B8">
            <w:pPr>
              <w:widowControl w:val="0"/>
              <w:wordWrap/>
              <w:adjustRightInd w:val="0"/>
              <w:snapToGrid w:val="0"/>
              <w:spacing w:line="560" w:lineRule="exact"/>
              <w:textAlignment w:val="auto"/>
              <w:rPr>
                <w:rFonts w:hint="eastAsia" w:ascii="宋体" w:hAnsi="宋体" w:eastAsia="宋体" w:cs="宋体"/>
                <w:sz w:val="24"/>
                <w:szCs w:val="24"/>
              </w:rPr>
            </w:pPr>
            <w:r>
              <w:rPr>
                <w:rFonts w:hint="eastAsia" w:ascii="宋体" w:hAnsi="宋体" w:eastAsia="宋体" w:cs="宋体"/>
                <w:kern w:val="2"/>
                <w:sz w:val="24"/>
                <w:szCs w:val="24"/>
                <w:highlight w:val="none"/>
                <w:u w:val="none" w:color="auto"/>
                <w:lang w:val="en-US" w:eastAsia="zh-CN" w:bidi="ar-SA"/>
              </w:rPr>
              <w:t>请将文件上传至政采云投标客户端</w:t>
            </w:r>
          </w:p>
        </w:tc>
      </w:tr>
      <w:tr w14:paraId="3B8A7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6CA8FC6D">
            <w:pPr>
              <w:wordWrap/>
              <w:adjustRightInd w:val="0"/>
              <w:snapToGrid w:val="0"/>
              <w:spacing w:before="157" w:beforeLines="50" w:line="560" w:lineRule="exact"/>
              <w:jc w:val="center"/>
              <w:rPr>
                <w:rFonts w:hint="eastAsia" w:ascii="宋体" w:hAnsi="宋体" w:eastAsia="宋体" w:cs="宋体"/>
                <w:bCs/>
                <w:sz w:val="24"/>
                <w:szCs w:val="24"/>
              </w:rPr>
            </w:pPr>
            <w:r>
              <w:rPr>
                <w:rFonts w:hint="eastAsia" w:ascii="宋体" w:hAnsi="宋体" w:eastAsia="宋体" w:cs="宋体"/>
                <w:sz w:val="24"/>
                <w:szCs w:val="24"/>
                <w:highlight w:val="none"/>
                <w:u w:val="none" w:color="auto"/>
                <w:lang w:val="en-US" w:eastAsia="zh-CN"/>
              </w:rPr>
              <w:t>响应文件的递交截止时间</w:t>
            </w:r>
          </w:p>
        </w:tc>
        <w:tc>
          <w:tcPr>
            <w:tcW w:w="7668" w:type="dxa"/>
            <w:tcBorders>
              <w:tl2br w:val="nil"/>
              <w:tr2bl w:val="nil"/>
            </w:tcBorders>
            <w:vAlign w:val="center"/>
          </w:tcPr>
          <w:p w14:paraId="575ADA5E">
            <w:pPr>
              <w:widowControl w:val="0"/>
              <w:wordWrap/>
              <w:adjustRightInd w:val="0"/>
              <w:snapToGrid w:val="0"/>
              <w:spacing w:line="560" w:lineRule="exact"/>
              <w:textAlignment w:val="auto"/>
              <w:rPr>
                <w:rFonts w:hint="eastAsia" w:ascii="宋体" w:hAnsi="宋体" w:eastAsia="宋体" w:cs="宋体"/>
                <w:sz w:val="24"/>
                <w:szCs w:val="24"/>
                <w:u w:val="single"/>
                <w:lang w:val="en-US" w:eastAsia="zh-CN"/>
              </w:rPr>
            </w:pPr>
            <w:r>
              <w:rPr>
                <w:rFonts w:hint="eastAsia" w:ascii="宋体" w:hAnsi="宋体" w:cs="宋体"/>
                <w:b w:val="0"/>
                <w:bCs w:val="0"/>
                <w:sz w:val="24"/>
                <w:szCs w:val="24"/>
                <w:u w:val="single"/>
                <w:lang w:val="en-US" w:eastAsia="zh-CN"/>
              </w:rPr>
              <w:t>2026</w:t>
            </w:r>
            <w:r>
              <w:rPr>
                <w:rFonts w:hint="eastAsia" w:ascii="宋体" w:hAnsi="宋体" w:cs="宋体"/>
                <w:b w:val="0"/>
                <w:bCs w:val="0"/>
                <w:sz w:val="24"/>
                <w:szCs w:val="24"/>
                <w:u w:val="none"/>
                <w:lang w:val="en-US" w:eastAsia="zh-CN"/>
              </w:rPr>
              <w:t>年</w:t>
            </w:r>
            <w:r>
              <w:rPr>
                <w:rFonts w:hint="eastAsia" w:ascii="宋体" w:hAnsi="宋体" w:cs="宋体"/>
                <w:b w:val="0"/>
                <w:bCs w:val="0"/>
                <w:sz w:val="24"/>
                <w:szCs w:val="24"/>
                <w:u w:val="single"/>
                <w:lang w:val="en-US" w:eastAsia="zh-CN"/>
              </w:rPr>
              <w:t>05</w:t>
            </w:r>
            <w:r>
              <w:rPr>
                <w:rFonts w:hint="eastAsia" w:ascii="宋体" w:hAnsi="宋体" w:cs="宋体"/>
                <w:b w:val="0"/>
                <w:bCs w:val="0"/>
                <w:sz w:val="24"/>
                <w:szCs w:val="24"/>
                <w:u w:val="none"/>
                <w:lang w:val="en-US" w:eastAsia="zh-CN"/>
              </w:rPr>
              <w:t>月</w:t>
            </w:r>
            <w:r>
              <w:rPr>
                <w:rFonts w:hint="eastAsia" w:ascii="宋体" w:hAnsi="宋体" w:cs="宋体"/>
                <w:b w:val="0"/>
                <w:bCs w:val="0"/>
                <w:sz w:val="24"/>
                <w:szCs w:val="24"/>
                <w:u w:val="single"/>
                <w:lang w:val="en-US" w:eastAsia="zh-CN"/>
              </w:rPr>
              <w:t>11</w:t>
            </w:r>
            <w:r>
              <w:rPr>
                <w:rFonts w:hint="eastAsia" w:ascii="宋体" w:hAnsi="宋体" w:cs="宋体"/>
                <w:b w:val="0"/>
                <w:bCs w:val="0"/>
                <w:sz w:val="24"/>
                <w:szCs w:val="24"/>
                <w:u w:val="none"/>
                <w:lang w:val="en-US" w:eastAsia="zh-CN"/>
              </w:rPr>
              <w:t>日</w:t>
            </w:r>
            <w:r>
              <w:rPr>
                <w:rFonts w:hint="eastAsia" w:ascii="宋体" w:hAnsi="宋体" w:eastAsia="宋体" w:cs="宋体"/>
                <w:b w:val="0"/>
                <w:bCs w:val="0"/>
                <w:sz w:val="24"/>
                <w:szCs w:val="24"/>
                <w:u w:val="single"/>
                <w:lang w:val="en-US" w:eastAsia="zh-CN"/>
              </w:rPr>
              <w:t>09</w:t>
            </w:r>
            <w:r>
              <w:rPr>
                <w:rFonts w:hint="eastAsia" w:ascii="宋体" w:hAnsi="宋体" w:eastAsia="宋体" w:cs="宋体"/>
                <w:b w:val="0"/>
                <w:bCs w:val="0"/>
                <w:sz w:val="24"/>
                <w:szCs w:val="24"/>
                <w:lang w:eastAsia="zh-CN"/>
              </w:rPr>
              <w:t>时</w:t>
            </w:r>
            <w:r>
              <w:rPr>
                <w:rFonts w:hint="eastAsia" w:ascii="宋体" w:hAnsi="宋体" w:eastAsia="宋体" w:cs="宋体"/>
                <w:b w:val="0"/>
                <w:bCs w:val="0"/>
                <w:sz w:val="24"/>
                <w:szCs w:val="24"/>
                <w:u w:val="single"/>
                <w:lang w:val="en-US" w:eastAsia="zh-CN"/>
              </w:rPr>
              <w:t>30</w:t>
            </w:r>
            <w:r>
              <w:rPr>
                <w:rFonts w:hint="eastAsia" w:ascii="宋体" w:hAnsi="宋体" w:eastAsia="宋体" w:cs="宋体"/>
                <w:b w:val="0"/>
                <w:bCs w:val="0"/>
                <w:sz w:val="24"/>
                <w:szCs w:val="24"/>
                <w:lang w:eastAsia="zh-CN"/>
              </w:rPr>
              <w:t>分</w:t>
            </w:r>
            <w:r>
              <w:rPr>
                <w:rFonts w:hint="eastAsia" w:ascii="宋体" w:hAnsi="宋体" w:eastAsia="宋体" w:cs="宋体"/>
                <w:color w:val="000000"/>
                <w:kern w:val="0"/>
                <w:sz w:val="24"/>
                <w:szCs w:val="24"/>
                <w:lang w:val="zh-CN"/>
              </w:rPr>
              <w:t>（</w:t>
            </w:r>
            <w:r>
              <w:rPr>
                <w:rFonts w:hint="eastAsia" w:ascii="宋体" w:hAnsi="宋体" w:eastAsia="宋体" w:cs="宋体"/>
                <w:color w:val="000000"/>
                <w:kern w:val="0"/>
                <w:sz w:val="24"/>
                <w:szCs w:val="24"/>
                <w:lang w:val="en-US" w:eastAsia="zh-CN"/>
              </w:rPr>
              <w:t>北京时间</w:t>
            </w:r>
            <w:r>
              <w:rPr>
                <w:rFonts w:hint="eastAsia" w:ascii="宋体" w:hAnsi="宋体" w:eastAsia="宋体" w:cs="宋体"/>
                <w:color w:val="000000"/>
                <w:kern w:val="0"/>
                <w:sz w:val="24"/>
                <w:szCs w:val="24"/>
                <w:lang w:val="zh-CN"/>
              </w:rPr>
              <w:t>）</w:t>
            </w:r>
          </w:p>
        </w:tc>
      </w:tr>
      <w:tr w14:paraId="16DB4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6" w:hRule="atLeast"/>
        </w:trPr>
        <w:tc>
          <w:tcPr>
            <w:tcW w:w="2510" w:type="dxa"/>
            <w:tcBorders>
              <w:tl2br w:val="nil"/>
              <w:tr2bl w:val="nil"/>
            </w:tcBorders>
            <w:vAlign w:val="center"/>
          </w:tcPr>
          <w:p w14:paraId="70FD5ECB">
            <w:pPr>
              <w:wordWrap/>
              <w:adjustRightInd w:val="0"/>
              <w:snapToGrid w:val="0"/>
              <w:spacing w:before="157" w:beforeLines="50" w:line="560" w:lineRule="exact"/>
              <w:jc w:val="center"/>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开启时间及</w:t>
            </w:r>
          </w:p>
          <w:p w14:paraId="3D4C5470">
            <w:pPr>
              <w:wordWrap/>
              <w:adjustRightInd w:val="0"/>
              <w:snapToGrid w:val="0"/>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u w:val="none" w:color="auto"/>
                <w:lang w:val="en-US" w:eastAsia="zh-CN"/>
              </w:rPr>
              <w:t>谈判地点</w:t>
            </w:r>
          </w:p>
        </w:tc>
        <w:tc>
          <w:tcPr>
            <w:tcW w:w="7668" w:type="dxa"/>
            <w:tcBorders>
              <w:tl2br w:val="nil"/>
              <w:tr2bl w:val="nil"/>
            </w:tcBorders>
            <w:vAlign w:val="center"/>
          </w:tcPr>
          <w:p w14:paraId="58714315">
            <w:pPr>
              <w:widowControl w:val="0"/>
              <w:numPr>
                <w:ilvl w:val="0"/>
                <w:numId w:val="2"/>
              </w:numPr>
              <w:wordWrap/>
              <w:adjustRightInd w:val="0"/>
              <w:snapToGrid w:val="0"/>
              <w:spacing w:line="560" w:lineRule="exac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响应文件开启时间：</w:t>
            </w:r>
            <w:r>
              <w:rPr>
                <w:rFonts w:hint="eastAsia" w:ascii="宋体" w:hAnsi="宋体" w:cs="宋体"/>
                <w:b w:val="0"/>
                <w:bCs w:val="0"/>
                <w:sz w:val="24"/>
                <w:szCs w:val="24"/>
                <w:u w:val="single"/>
                <w:lang w:val="en-US" w:eastAsia="zh-CN"/>
              </w:rPr>
              <w:t>2026</w:t>
            </w:r>
            <w:r>
              <w:rPr>
                <w:rFonts w:hint="eastAsia" w:ascii="宋体" w:hAnsi="宋体" w:cs="宋体"/>
                <w:b w:val="0"/>
                <w:bCs w:val="0"/>
                <w:sz w:val="24"/>
                <w:szCs w:val="24"/>
                <w:u w:val="none"/>
                <w:lang w:val="en-US" w:eastAsia="zh-CN"/>
              </w:rPr>
              <w:t>年</w:t>
            </w:r>
            <w:r>
              <w:rPr>
                <w:rFonts w:hint="eastAsia" w:ascii="宋体" w:hAnsi="宋体" w:cs="宋体"/>
                <w:b w:val="0"/>
                <w:bCs w:val="0"/>
                <w:sz w:val="24"/>
                <w:szCs w:val="24"/>
                <w:u w:val="single"/>
                <w:lang w:val="en-US" w:eastAsia="zh-CN"/>
              </w:rPr>
              <w:t>05</w:t>
            </w:r>
            <w:r>
              <w:rPr>
                <w:rFonts w:hint="eastAsia" w:ascii="宋体" w:hAnsi="宋体" w:cs="宋体"/>
                <w:b w:val="0"/>
                <w:bCs w:val="0"/>
                <w:sz w:val="24"/>
                <w:szCs w:val="24"/>
                <w:u w:val="none"/>
                <w:lang w:val="en-US" w:eastAsia="zh-CN"/>
              </w:rPr>
              <w:t>月</w:t>
            </w:r>
            <w:r>
              <w:rPr>
                <w:rFonts w:hint="eastAsia" w:ascii="宋体" w:hAnsi="宋体" w:cs="宋体"/>
                <w:b w:val="0"/>
                <w:bCs w:val="0"/>
                <w:sz w:val="24"/>
                <w:szCs w:val="24"/>
                <w:u w:val="single"/>
                <w:lang w:val="en-US" w:eastAsia="zh-CN"/>
              </w:rPr>
              <w:t>11</w:t>
            </w:r>
            <w:r>
              <w:rPr>
                <w:rFonts w:hint="eastAsia" w:ascii="宋体" w:hAnsi="宋体" w:cs="宋体"/>
                <w:b w:val="0"/>
                <w:bCs w:val="0"/>
                <w:sz w:val="24"/>
                <w:szCs w:val="24"/>
                <w:u w:val="none"/>
                <w:lang w:val="en-US" w:eastAsia="zh-CN"/>
              </w:rPr>
              <w:t>日</w:t>
            </w:r>
            <w:r>
              <w:rPr>
                <w:rFonts w:hint="eastAsia" w:ascii="宋体" w:hAnsi="宋体" w:eastAsia="宋体" w:cs="宋体"/>
                <w:b w:val="0"/>
                <w:bCs w:val="0"/>
                <w:sz w:val="24"/>
                <w:szCs w:val="24"/>
                <w:u w:val="single"/>
                <w:lang w:val="en-US" w:eastAsia="zh-CN"/>
              </w:rPr>
              <w:t>09</w:t>
            </w:r>
            <w:r>
              <w:rPr>
                <w:rFonts w:hint="eastAsia" w:ascii="宋体" w:hAnsi="宋体" w:eastAsia="宋体" w:cs="宋体"/>
                <w:b w:val="0"/>
                <w:bCs w:val="0"/>
                <w:sz w:val="24"/>
                <w:szCs w:val="24"/>
                <w:lang w:eastAsia="zh-CN"/>
              </w:rPr>
              <w:t>时</w:t>
            </w:r>
            <w:r>
              <w:rPr>
                <w:rFonts w:hint="eastAsia" w:ascii="宋体" w:hAnsi="宋体" w:eastAsia="宋体" w:cs="宋体"/>
                <w:b w:val="0"/>
                <w:bCs w:val="0"/>
                <w:sz w:val="24"/>
                <w:szCs w:val="24"/>
                <w:u w:val="single"/>
                <w:lang w:val="en-US" w:eastAsia="zh-CN"/>
              </w:rPr>
              <w:t>30</w:t>
            </w:r>
            <w:r>
              <w:rPr>
                <w:rFonts w:hint="eastAsia" w:ascii="宋体" w:hAnsi="宋体" w:eastAsia="宋体" w:cs="宋体"/>
                <w:b w:val="0"/>
                <w:bCs w:val="0"/>
                <w:sz w:val="24"/>
                <w:szCs w:val="24"/>
                <w:lang w:eastAsia="zh-CN"/>
              </w:rPr>
              <w:t>分</w:t>
            </w:r>
            <w:r>
              <w:rPr>
                <w:rFonts w:hint="eastAsia" w:ascii="宋体" w:hAnsi="宋体" w:eastAsia="宋体" w:cs="宋体"/>
                <w:color w:val="000000"/>
                <w:kern w:val="0"/>
                <w:sz w:val="24"/>
                <w:szCs w:val="24"/>
                <w:lang w:val="zh-CN"/>
              </w:rPr>
              <w:t>（</w:t>
            </w:r>
            <w:r>
              <w:rPr>
                <w:rFonts w:hint="eastAsia" w:ascii="宋体" w:hAnsi="宋体" w:eastAsia="宋体" w:cs="宋体"/>
                <w:color w:val="000000"/>
                <w:kern w:val="0"/>
                <w:sz w:val="24"/>
                <w:szCs w:val="24"/>
                <w:lang w:val="en-US" w:eastAsia="zh-CN"/>
              </w:rPr>
              <w:t>北京时间</w:t>
            </w:r>
            <w:r>
              <w:rPr>
                <w:rFonts w:hint="eastAsia" w:ascii="宋体" w:hAnsi="宋体" w:eastAsia="宋体" w:cs="宋体"/>
                <w:color w:val="000000"/>
                <w:kern w:val="0"/>
                <w:sz w:val="24"/>
                <w:szCs w:val="24"/>
                <w:lang w:val="zh-CN"/>
              </w:rPr>
              <w:t>）</w:t>
            </w:r>
          </w:p>
          <w:p w14:paraId="67AA5398">
            <w:pPr>
              <w:widowControl w:val="0"/>
              <w:numPr>
                <w:ilvl w:val="0"/>
                <w:numId w:val="2"/>
              </w:numPr>
              <w:wordWrap/>
              <w:adjustRightInd w:val="0"/>
              <w:snapToGrid w:val="0"/>
              <w:spacing w:line="560" w:lineRule="exac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 xml:space="preserve">谈判地点：政采云投标客户端（供应商应在响应文件递交截止时间前按谈判文件要求使用政采云电子投标客户端制作上传电子响应文件，并在开标后 30 分钟内远程解密响应文件。）           </w:t>
            </w:r>
          </w:p>
        </w:tc>
      </w:tr>
      <w:tr w14:paraId="523491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6F9524C0">
            <w:pPr>
              <w:wordWrap/>
              <w:adjustRightInd w:val="0"/>
              <w:snapToGrid w:val="0"/>
              <w:spacing w:before="157" w:beforeLines="50" w:line="560" w:lineRule="exact"/>
              <w:jc w:val="both"/>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财政部门指定的媒体</w:t>
            </w:r>
          </w:p>
        </w:tc>
        <w:tc>
          <w:tcPr>
            <w:tcW w:w="7668" w:type="dxa"/>
            <w:tcBorders>
              <w:tl2br w:val="nil"/>
              <w:tr2bl w:val="nil"/>
            </w:tcBorders>
            <w:vAlign w:val="center"/>
          </w:tcPr>
          <w:p w14:paraId="14D06770">
            <w:pPr>
              <w:keepNext w:val="0"/>
              <w:keepLines w:val="0"/>
              <w:widowControl/>
              <w:suppressLineNumbers w:val="0"/>
              <w:jc w:val="both"/>
              <w:rPr>
                <w:rFonts w:hint="eastAsia" w:ascii="宋体" w:hAnsi="宋体" w:eastAsia="宋体" w:cs="宋体"/>
                <w:sz w:val="24"/>
                <w:szCs w:val="24"/>
                <w:highlight w:val="none"/>
                <w:u w:val="none" w:color="auto"/>
                <w:lang w:val="en-US" w:eastAsia="zh-CN"/>
              </w:rPr>
            </w:pPr>
            <w:r>
              <w:rPr>
                <w:rFonts w:hint="eastAsia" w:ascii="宋体" w:hAnsi="宋体" w:eastAsia="宋体" w:cs="宋体"/>
                <w:color w:val="000000"/>
                <w:kern w:val="0"/>
                <w:sz w:val="24"/>
                <w:szCs w:val="24"/>
                <w:lang w:val="en-US" w:eastAsia="zh-CN" w:bidi="ar"/>
              </w:rPr>
              <w:t>青海省政府采购网</w:t>
            </w:r>
          </w:p>
        </w:tc>
      </w:tr>
      <w:tr w14:paraId="01B118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5" w:hRule="atLeast"/>
        </w:trPr>
        <w:tc>
          <w:tcPr>
            <w:tcW w:w="2510" w:type="dxa"/>
            <w:tcBorders>
              <w:tl2br w:val="nil"/>
              <w:tr2bl w:val="nil"/>
            </w:tcBorders>
            <w:vAlign w:val="center"/>
          </w:tcPr>
          <w:p w14:paraId="0A3A5E7F">
            <w:pPr>
              <w:wordWrap/>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u w:val="none" w:color="auto"/>
                <w:lang w:val="en-US" w:eastAsia="zh-CN"/>
              </w:rPr>
              <w:t>政策功能</w:t>
            </w:r>
          </w:p>
        </w:tc>
        <w:tc>
          <w:tcPr>
            <w:tcW w:w="7668" w:type="dxa"/>
            <w:tcBorders>
              <w:tl2br w:val="nil"/>
              <w:tr2bl w:val="nil"/>
            </w:tcBorders>
            <w:vAlign w:val="center"/>
          </w:tcPr>
          <w:p w14:paraId="6FE65952">
            <w:pPr>
              <w:widowControl w:val="0"/>
              <w:numPr>
                <w:ilvl w:val="0"/>
                <w:numId w:val="3"/>
              </w:numPr>
              <w:wordWrap/>
              <w:adjustRightInd w:val="0"/>
              <w:snapToGrid w:val="0"/>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对于提供节能、环保标志产品，采购人及其委托的采购代理机构应当依据国家确定的认证机构出具的、处于有效期之内的节能产品、环境标志产品认证证书，对获得证书的产品实施政府优先采购或强制采购。对属于小型、微型企业，监狱企业，残疾人福利性单位的供应商，按照国家相关规定给予</w:t>
            </w:r>
            <w:r>
              <w:rPr>
                <w:rFonts w:hint="eastAsia" w:ascii="宋体" w:hAnsi="宋体" w:eastAsia="宋体" w:cs="宋体"/>
                <w:sz w:val="24"/>
                <w:szCs w:val="24"/>
                <w:u w:val="single"/>
                <w:lang w:val="en-US" w:eastAsia="zh-CN"/>
              </w:rPr>
              <w:t xml:space="preserve"> 10 </w:t>
            </w:r>
            <w:r>
              <w:rPr>
                <w:rFonts w:hint="eastAsia" w:ascii="宋体" w:hAnsi="宋体" w:eastAsia="宋体" w:cs="宋体"/>
                <w:sz w:val="24"/>
                <w:szCs w:val="24"/>
                <w:u w:val="none"/>
                <w:lang w:val="en-US" w:eastAsia="zh-CN"/>
              </w:rPr>
              <w:t>%的价格扣除。</w:t>
            </w:r>
          </w:p>
          <w:p w14:paraId="3CF9189F">
            <w:pPr>
              <w:widowControl w:val="0"/>
              <w:numPr>
                <w:ilvl w:val="0"/>
                <w:numId w:val="3"/>
              </w:numPr>
              <w:wordWrap/>
              <w:adjustRightInd w:val="0"/>
              <w:snapToGrid w:val="0"/>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对符合《国务院办公厅关于在政府采购中实施本国产品标准及相关政策的通知》规定的本国产品的报价给予20%的扣除，用扣除后的价格计算投标报价得分，须提供《关于符合本国产品标准的声明函》或财政部会同有关部门规定的有关证明文件。</w:t>
            </w:r>
          </w:p>
          <w:p w14:paraId="6EA893A9">
            <w:pPr>
              <w:widowControl w:val="0"/>
              <w:numPr>
                <w:ilvl w:val="0"/>
                <w:numId w:val="3"/>
              </w:numPr>
              <w:wordWrap/>
              <w:adjustRightInd w:val="0"/>
              <w:snapToGrid w:val="0"/>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同时满足上述条款的，价格评审优惠叠加计算。</w:t>
            </w:r>
          </w:p>
          <w:p w14:paraId="6E9FF2BF">
            <w:pPr>
              <w:widowControl w:val="0"/>
              <w:numPr>
                <w:ilvl w:val="0"/>
                <w:numId w:val="3"/>
              </w:numPr>
              <w:wordWrap/>
              <w:adjustRightInd w:val="0"/>
              <w:snapToGrid w:val="0"/>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残疾人福利性单位（监狱企业）属于小型、微型企业的，不重复享受政策。</w:t>
            </w:r>
          </w:p>
        </w:tc>
      </w:tr>
      <w:tr w14:paraId="1A67A6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0B0F9F63">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代理服务费</w:t>
            </w:r>
          </w:p>
        </w:tc>
        <w:tc>
          <w:tcPr>
            <w:tcW w:w="7668" w:type="dxa"/>
            <w:tcBorders>
              <w:tl2br w:val="nil"/>
              <w:tr2bl w:val="nil"/>
            </w:tcBorders>
            <w:vAlign w:val="center"/>
          </w:tcPr>
          <w:p w14:paraId="69683890">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default"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收取对象：</w:t>
            </w:r>
            <w:r>
              <w:rPr>
                <w:rFonts w:hint="eastAsia" w:cs="宋体"/>
                <w:kern w:val="2"/>
                <w:sz w:val="24"/>
                <w:szCs w:val="24"/>
                <w:highlight w:val="none"/>
                <w:u w:val="none"/>
                <w:lang w:val="en-US" w:eastAsia="zh-CN" w:bidi="ar-SA"/>
              </w:rPr>
              <w:t>成交供应商</w:t>
            </w:r>
          </w:p>
          <w:p w14:paraId="69EEE4E3">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收取金额：</w:t>
            </w:r>
          </w:p>
          <w:p w14:paraId="1694239E">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kern w:val="2"/>
                <w:sz w:val="24"/>
                <w:szCs w:val="24"/>
                <w:highlight w:val="none"/>
                <w:u w:val="none"/>
                <w:lang w:val="en-US" w:eastAsia="zh-CN" w:bidi="ar-SA"/>
              </w:rPr>
            </w:pPr>
            <w:r>
              <w:rPr>
                <w:rFonts w:hint="eastAsia" w:cs="宋体"/>
                <w:kern w:val="2"/>
                <w:sz w:val="24"/>
                <w:szCs w:val="24"/>
                <w:highlight w:val="none"/>
                <w:u w:val="none"/>
                <w:lang w:val="en-US" w:eastAsia="zh-CN" w:bidi="ar-SA"/>
              </w:rPr>
              <w:t>包一：7000</w:t>
            </w:r>
            <w:r>
              <w:rPr>
                <w:rFonts w:hint="eastAsia" w:ascii="宋体" w:hAnsi="宋体" w:eastAsia="宋体" w:cs="宋体"/>
                <w:kern w:val="2"/>
                <w:sz w:val="24"/>
                <w:szCs w:val="24"/>
                <w:highlight w:val="none"/>
                <w:u w:val="none"/>
                <w:lang w:val="en-US" w:eastAsia="zh-CN" w:bidi="ar-SA"/>
              </w:rPr>
              <w:t>.00（大写：</w:t>
            </w:r>
            <w:r>
              <w:rPr>
                <w:rFonts w:hint="eastAsia" w:cs="宋体"/>
                <w:kern w:val="2"/>
                <w:sz w:val="24"/>
                <w:szCs w:val="24"/>
                <w:highlight w:val="none"/>
                <w:u w:val="none"/>
                <w:lang w:val="en-US" w:eastAsia="zh-CN" w:bidi="ar-SA"/>
              </w:rPr>
              <w:t>捌仟元整</w:t>
            </w:r>
            <w:r>
              <w:rPr>
                <w:rFonts w:hint="eastAsia" w:ascii="宋体" w:hAnsi="宋体" w:eastAsia="宋体" w:cs="宋体"/>
                <w:kern w:val="2"/>
                <w:sz w:val="24"/>
                <w:szCs w:val="24"/>
                <w:highlight w:val="none"/>
                <w:u w:val="none"/>
                <w:lang w:val="en-US" w:eastAsia="zh-CN" w:bidi="ar-SA"/>
              </w:rPr>
              <w:t>）</w:t>
            </w:r>
          </w:p>
          <w:p w14:paraId="430C87F1">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default" w:ascii="宋体" w:hAnsi="宋体" w:eastAsia="宋体" w:cs="宋体"/>
                <w:kern w:val="2"/>
                <w:sz w:val="24"/>
                <w:szCs w:val="24"/>
                <w:highlight w:val="none"/>
                <w:u w:val="none"/>
                <w:lang w:val="en-US" w:eastAsia="zh-CN" w:bidi="ar-SA"/>
              </w:rPr>
            </w:pPr>
            <w:r>
              <w:rPr>
                <w:rFonts w:hint="eastAsia" w:cs="宋体"/>
                <w:kern w:val="2"/>
                <w:sz w:val="24"/>
                <w:szCs w:val="24"/>
                <w:highlight w:val="none"/>
                <w:u w:val="none"/>
                <w:lang w:val="en-US" w:eastAsia="zh-CN" w:bidi="ar-SA"/>
              </w:rPr>
              <w:t>包二：14000.00（大写：壹万肆仟元整）</w:t>
            </w:r>
          </w:p>
          <w:p w14:paraId="4D39A992">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收款单位：青海国德招标代理有限公司</w:t>
            </w:r>
          </w:p>
          <w:p w14:paraId="2D8C3507">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 xml:space="preserve">开户行：中国工商银行西宁交通巷支行  </w:t>
            </w:r>
          </w:p>
          <w:p w14:paraId="41B97AB2">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银行账号：2806007819000041679</w:t>
            </w:r>
          </w:p>
          <w:p w14:paraId="4844BC69">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sz w:val="24"/>
                <w:szCs w:val="24"/>
                <w:u w:val="single"/>
                <w:lang w:val="en-US" w:eastAsia="zh-CN"/>
              </w:rPr>
            </w:pPr>
            <w:r>
              <w:rPr>
                <w:rFonts w:hint="eastAsia" w:ascii="宋体" w:hAnsi="宋体" w:eastAsia="宋体" w:cs="宋体"/>
                <w:kern w:val="2"/>
                <w:sz w:val="24"/>
                <w:szCs w:val="24"/>
                <w:highlight w:val="none"/>
                <w:u w:val="none"/>
                <w:lang w:val="en-US" w:eastAsia="zh-CN" w:bidi="ar-SA"/>
              </w:rPr>
              <w:t>说明：根据《关于进一步放开建设项目专项业务服务价格的通知》（发改价格[2015]299 号）规定，实行市场调节价，应严格遵守《价格法》、 《关于商品和服务实行明码标价的规定》等法律法规的规定，由采购人和采购代理机构共同确定合理的收费金额。</w:t>
            </w:r>
          </w:p>
        </w:tc>
      </w:tr>
      <w:tr w14:paraId="383ED4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5" w:hRule="atLeast"/>
        </w:trPr>
        <w:tc>
          <w:tcPr>
            <w:tcW w:w="2510" w:type="dxa"/>
            <w:tcBorders>
              <w:tl2br w:val="nil"/>
              <w:tr2bl w:val="nil"/>
            </w:tcBorders>
            <w:vAlign w:val="center"/>
          </w:tcPr>
          <w:p w14:paraId="0D4E5869">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其他规定</w:t>
            </w:r>
          </w:p>
        </w:tc>
        <w:tc>
          <w:tcPr>
            <w:tcW w:w="7668" w:type="dxa"/>
            <w:tcBorders>
              <w:tl2br w:val="nil"/>
              <w:tr2bl w:val="nil"/>
            </w:tcBorders>
            <w:vAlign w:val="center"/>
          </w:tcPr>
          <w:p w14:paraId="4CCB09CA">
            <w:pPr>
              <w:widowControl w:val="0"/>
              <w:wordWrap/>
              <w:adjustRightInd w:val="0"/>
              <w:snapToGrid w:val="0"/>
              <w:spacing w:line="560" w:lineRule="exact"/>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en-US" w:eastAsia="zh-CN" w:bidi="ar-SA"/>
              </w:rPr>
              <w:t xml:space="preserve">1.本项目采购采用线上提交响应文件的方式进行，响应文件必须在响应文件递交截止时间前上传至平台，开标后30分钟内供应商远程解密响应文件（如非系统原因造成无法解密的或非系统原因加密文件上传不成功的或没办理CA锁而造成加密文件无法解密、加密文件无法上传的视为无效投标）。 </w:t>
            </w:r>
          </w:p>
          <w:p w14:paraId="317DD85D">
            <w:pPr>
              <w:widowControl w:val="0"/>
              <w:kinsoku w:val="0"/>
              <w:wordWrap/>
              <w:overflowPunct w:val="0"/>
              <w:autoSpaceDE w:val="0"/>
              <w:autoSpaceDN w:val="0"/>
              <w:adjustRightInd w:val="0"/>
              <w:snapToGrid w:val="0"/>
              <w:spacing w:line="560" w:lineRule="exact"/>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en-US" w:eastAsia="zh-CN" w:bidi="ar-SA"/>
              </w:rPr>
              <w:t xml:space="preserve">2.若对项目采购电子交易系统操作有疑问，可登录政采云（https://www.zcygov.cn/），点击右侧咨询小采，获取采小蜜智能服务管家帮助，或拨打政采云服务热线 400-881-7190 获取热线服务帮助。CA 问题联系电话（人工）：天谷 CA 400-087-8198；惠信CA 400-888-4636；北京CA 010-5851-5511，400-919-7888。 </w:t>
            </w:r>
          </w:p>
          <w:p w14:paraId="5383B167">
            <w:pPr>
              <w:widowControl w:val="0"/>
              <w:wordWrap/>
              <w:adjustRightInd w:val="0"/>
              <w:snapToGrid w:val="0"/>
              <w:spacing w:line="560" w:lineRule="exact"/>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3.本公告在《</w:t>
            </w:r>
            <w:r>
              <w:rPr>
                <w:rFonts w:hint="eastAsia" w:ascii="宋体" w:hAnsi="宋体" w:cs="宋体"/>
                <w:kern w:val="2"/>
                <w:sz w:val="24"/>
                <w:szCs w:val="24"/>
                <w:u w:val="none"/>
                <w:lang w:val="en-US" w:eastAsia="zh-CN" w:bidi="ar-SA"/>
              </w:rPr>
              <w:t>青海省政府采购网</w:t>
            </w:r>
            <w:r>
              <w:rPr>
                <w:rFonts w:hint="eastAsia" w:ascii="宋体" w:hAnsi="宋体" w:eastAsia="宋体" w:cs="宋体"/>
                <w:kern w:val="2"/>
                <w:sz w:val="24"/>
                <w:szCs w:val="24"/>
                <w:u w:val="none"/>
                <w:lang w:val="en-US" w:eastAsia="zh-CN" w:bidi="ar-SA"/>
              </w:rPr>
              <w:t>》、《青海省电子招标投标公共服务平台》、《青海国德招标代理有限公司官网》同时发布。</w:t>
            </w:r>
          </w:p>
          <w:p w14:paraId="3B852592">
            <w:pPr>
              <w:widowControl w:val="0"/>
              <w:wordWrap/>
              <w:adjustRightInd w:val="0"/>
              <w:snapToGrid w:val="0"/>
              <w:spacing w:line="560" w:lineRule="exact"/>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en-US" w:eastAsia="zh-CN" w:bidi="ar-SA"/>
              </w:rPr>
              <w:t>4.</w:t>
            </w:r>
            <w:r>
              <w:rPr>
                <w:rFonts w:hint="eastAsia" w:ascii="宋体" w:hAnsi="宋体" w:eastAsia="宋体" w:cs="宋体"/>
                <w:kern w:val="2"/>
                <w:sz w:val="24"/>
                <w:szCs w:val="24"/>
                <w:u w:val="none"/>
                <w:lang w:val="zh-CN" w:eastAsia="zh-CN" w:bidi="ar-SA"/>
              </w:rPr>
              <w:t>若在开标环节政采云系统“供应商投标设备信息”有异常，提示供应商的IP地址、MAC地址、</w:t>
            </w:r>
            <w:r>
              <w:rPr>
                <w:rFonts w:hint="eastAsia" w:ascii="宋体" w:hAnsi="宋体" w:eastAsia="宋体" w:cs="宋体"/>
                <w:kern w:val="2"/>
                <w:sz w:val="24"/>
                <w:szCs w:val="24"/>
                <w:u w:val="none"/>
                <w:lang w:val="en-US" w:eastAsia="zh-CN" w:bidi="ar-SA"/>
              </w:rPr>
              <w:t>CPU序列号、硬盘序列号</w:t>
            </w:r>
            <w:r>
              <w:rPr>
                <w:rFonts w:hint="eastAsia" w:ascii="宋体" w:hAnsi="宋体" w:eastAsia="宋体" w:cs="宋体"/>
                <w:kern w:val="2"/>
                <w:sz w:val="24"/>
                <w:szCs w:val="24"/>
                <w:u w:val="none"/>
                <w:lang w:val="zh-CN" w:eastAsia="zh-CN" w:bidi="ar-SA"/>
              </w:rPr>
              <w:t>等一致的情况，将视为涉嫌串通投标行为，并且上报同级财政部门，</w:t>
            </w:r>
            <w:r>
              <w:rPr>
                <w:rFonts w:hint="eastAsia" w:ascii="宋体" w:hAnsi="宋体" w:eastAsia="宋体" w:cs="宋体"/>
                <w:kern w:val="2"/>
                <w:sz w:val="24"/>
                <w:szCs w:val="24"/>
                <w:u w:val="none"/>
                <w:lang w:val="en-US" w:eastAsia="zh-CN" w:bidi="ar-SA"/>
              </w:rPr>
              <w:t>由此原因导致投标无效的责任自负</w:t>
            </w:r>
            <w:r>
              <w:rPr>
                <w:rFonts w:hint="eastAsia" w:ascii="宋体" w:hAnsi="宋体" w:eastAsia="宋体" w:cs="宋体"/>
                <w:kern w:val="2"/>
                <w:sz w:val="24"/>
                <w:szCs w:val="24"/>
                <w:u w:val="none"/>
                <w:lang w:val="zh-CN" w:eastAsia="zh-CN" w:bidi="ar-SA"/>
              </w:rPr>
              <w:t>。</w:t>
            </w:r>
          </w:p>
          <w:p w14:paraId="7551078E">
            <w:pPr>
              <w:widowControl w:val="0"/>
              <w:wordWrap/>
              <w:adjustRightInd w:val="0"/>
              <w:snapToGrid w:val="0"/>
              <w:spacing w:line="560" w:lineRule="exact"/>
              <w:textAlignment w:val="auto"/>
              <w:rPr>
                <w:rFonts w:hint="eastAsia" w:ascii="宋体" w:hAnsi="宋体" w:eastAsia="宋体" w:cs="宋体"/>
                <w:sz w:val="24"/>
                <w:szCs w:val="24"/>
                <w:u w:val="single"/>
                <w:lang w:val="en-US" w:eastAsia="zh-CN"/>
              </w:rPr>
            </w:pPr>
            <w:r>
              <w:rPr>
                <w:rFonts w:hint="eastAsia" w:ascii="宋体" w:hAnsi="宋体" w:eastAsia="宋体" w:cs="宋体"/>
                <w:kern w:val="2"/>
                <w:sz w:val="24"/>
                <w:szCs w:val="24"/>
                <w:u w:val="none"/>
                <w:lang w:val="en-US" w:eastAsia="zh-CN" w:bidi="ar-SA"/>
              </w:rPr>
              <w:t>5.成交供应商领取成交通知书时应提交纸质响应文件（1份正本、2份副本），纸质响应文件应与上传至政府采购云平台加密的电子响应文件一致。</w:t>
            </w:r>
          </w:p>
        </w:tc>
      </w:tr>
      <w:tr w14:paraId="1164D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269BE0FA">
            <w:pPr>
              <w:wordWrap/>
              <w:adjustRightInd w:val="0"/>
              <w:snapToGrid w:val="0"/>
              <w:spacing w:before="157" w:beforeLines="50" w:line="560" w:lineRule="exact"/>
              <w:jc w:val="center"/>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财政监管部门及电话</w:t>
            </w:r>
          </w:p>
        </w:tc>
        <w:tc>
          <w:tcPr>
            <w:tcW w:w="7668" w:type="dxa"/>
            <w:tcBorders>
              <w:tl2br w:val="nil"/>
              <w:tr2bl w:val="nil"/>
            </w:tcBorders>
            <w:vAlign w:val="center"/>
          </w:tcPr>
          <w:p w14:paraId="7412B7D4">
            <w:pPr>
              <w:wordWrap/>
              <w:adjustRightInd w:val="0"/>
              <w:snapToGrid w:val="0"/>
              <w:spacing w:before="157" w:beforeLines="50" w:line="560" w:lineRule="exact"/>
              <w:jc w:val="both"/>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 xml:space="preserve">单位名称：海南州财政局         </w:t>
            </w:r>
          </w:p>
          <w:p w14:paraId="7DD1A85E">
            <w:pPr>
              <w:wordWrap/>
              <w:adjustRightInd w:val="0"/>
              <w:snapToGrid w:val="0"/>
              <w:spacing w:before="157" w:beforeLines="50" w:line="560" w:lineRule="exact"/>
              <w:jc w:val="both"/>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 xml:space="preserve">联系电话：0974—8510605   </w:t>
            </w:r>
          </w:p>
        </w:tc>
      </w:tr>
    </w:tbl>
    <w:p w14:paraId="106CA1C1">
      <w:pPr>
        <w:rPr>
          <w:rFonts w:hint="eastAsia" w:ascii="华文中宋" w:hAnsi="华文中宋" w:eastAsia="华文中宋" w:cs="华文中宋"/>
          <w:b w:val="0"/>
          <w:bCs w:val="0"/>
          <w:sz w:val="44"/>
          <w:szCs w:val="44"/>
          <w:lang w:val="en-US" w:eastAsia="zh-CN"/>
        </w:rPr>
      </w:pPr>
      <w:bookmarkStart w:id="2" w:name="_Toc29348_WPSOffice_Level1"/>
      <w:bookmarkStart w:id="3" w:name="_Toc68"/>
      <w:bookmarkStart w:id="4" w:name="_Toc17554"/>
      <w:bookmarkStart w:id="5" w:name="_Toc29806_WPSOffice_Level1"/>
      <w:bookmarkStart w:id="6" w:name="_Toc25918_WPSOffice_Level1"/>
      <w:bookmarkStart w:id="7" w:name="_Toc26774_WPSOffice_Level1"/>
      <w:bookmarkStart w:id="8" w:name="_Toc19849"/>
      <w:bookmarkStart w:id="9" w:name="_Toc7063_WPSOffice_Level1"/>
      <w:bookmarkStart w:id="10" w:name="_Toc13430_WPSOffice_Level1"/>
      <w:r>
        <w:rPr>
          <w:rFonts w:hint="eastAsia" w:ascii="华文中宋" w:hAnsi="华文中宋" w:eastAsia="华文中宋" w:cs="华文中宋"/>
          <w:b w:val="0"/>
          <w:bCs w:val="0"/>
          <w:sz w:val="44"/>
          <w:szCs w:val="44"/>
          <w:lang w:val="en-US" w:eastAsia="zh-CN"/>
        </w:rPr>
        <w:br w:type="page"/>
      </w:r>
    </w:p>
    <w:p w14:paraId="03C4B0B5">
      <w:pPr>
        <w:pStyle w:val="2"/>
        <w:numPr>
          <w:ilvl w:val="0"/>
          <w:numId w:val="0"/>
        </w:numPr>
        <w:wordWrap/>
        <w:adjustRightInd w:val="0"/>
        <w:snapToGrid w:val="0"/>
        <w:spacing w:before="157" w:beforeLines="50" w:line="560" w:lineRule="exact"/>
        <w:jc w:val="center"/>
        <w:outlineLvl w:val="0"/>
        <w:rPr>
          <w:rFonts w:hint="eastAsia" w:ascii="宋体" w:hAnsi="宋体" w:eastAsia="宋体" w:cs="宋体"/>
          <w:b w:val="0"/>
          <w:bCs w:val="0"/>
          <w:color w:val="auto"/>
          <w:sz w:val="44"/>
          <w:szCs w:val="44"/>
          <w:lang w:val="en-US" w:eastAsia="zh-CN"/>
        </w:rPr>
      </w:pPr>
      <w:bookmarkStart w:id="11" w:name="_Toc19485"/>
      <w:r>
        <w:rPr>
          <w:rFonts w:hint="eastAsia" w:ascii="宋体" w:hAnsi="宋体" w:eastAsia="宋体" w:cs="宋体"/>
          <w:b w:val="0"/>
          <w:bCs w:val="0"/>
          <w:color w:val="auto"/>
          <w:kern w:val="2"/>
          <w:sz w:val="36"/>
          <w:szCs w:val="36"/>
          <w:lang w:val="en-US" w:eastAsia="zh-CN" w:bidi="ar-SA"/>
        </w:rPr>
        <w:t>第二部分  谈判须知</w:t>
      </w:r>
      <w:bookmarkEnd w:id="2"/>
      <w:bookmarkEnd w:id="3"/>
      <w:bookmarkEnd w:id="4"/>
      <w:bookmarkEnd w:id="5"/>
      <w:bookmarkEnd w:id="6"/>
      <w:bookmarkEnd w:id="7"/>
      <w:bookmarkEnd w:id="8"/>
      <w:bookmarkEnd w:id="9"/>
      <w:bookmarkEnd w:id="10"/>
      <w:bookmarkEnd w:id="11"/>
    </w:p>
    <w:p w14:paraId="16023611">
      <w:pPr>
        <w:widowControl w:val="0"/>
        <w:wordWrap/>
        <w:adjustRightInd w:val="0"/>
        <w:snapToGrid w:val="0"/>
        <w:spacing w:before="157" w:beforeLines="50" w:line="560" w:lineRule="exact"/>
        <w:ind w:firstLine="0" w:firstLineChars="0"/>
        <w:jc w:val="center"/>
        <w:textAlignment w:val="auto"/>
        <w:outlineLvl w:val="1"/>
        <w:rPr>
          <w:rFonts w:hint="eastAsia" w:ascii="黑体" w:hAnsi="黑体" w:eastAsia="黑体" w:cs="黑体"/>
          <w:b w:val="0"/>
          <w:bCs w:val="0"/>
          <w:kern w:val="2"/>
          <w:sz w:val="32"/>
          <w:szCs w:val="32"/>
          <w:lang w:val="en-US" w:eastAsia="zh-CN" w:bidi="ar-SA"/>
        </w:rPr>
      </w:pPr>
      <w:bookmarkStart w:id="12" w:name="_Toc9336"/>
      <w:bookmarkStart w:id="13" w:name="_Toc29348_WPSOffice_Level2"/>
      <w:bookmarkStart w:id="14" w:name="_Toc1795"/>
      <w:bookmarkStart w:id="15" w:name="_Toc34637765"/>
      <w:bookmarkStart w:id="16" w:name="_Toc16562"/>
      <w:bookmarkStart w:id="17" w:name="_Toc27795"/>
      <w:bookmarkStart w:id="18" w:name="_Toc17019_WPSOffice_Level2"/>
      <w:bookmarkStart w:id="19" w:name="_Toc7063_WPSOffice_Level2"/>
      <w:r>
        <w:rPr>
          <w:rFonts w:hint="eastAsia" w:ascii="黑体" w:hAnsi="黑体" w:eastAsia="黑体" w:cs="黑体"/>
          <w:b w:val="0"/>
          <w:bCs w:val="0"/>
          <w:kern w:val="2"/>
          <w:sz w:val="32"/>
          <w:szCs w:val="32"/>
          <w:lang w:val="en-US" w:eastAsia="zh-CN" w:bidi="ar-SA"/>
        </w:rPr>
        <w:t>一、说明</w:t>
      </w:r>
      <w:bookmarkEnd w:id="12"/>
      <w:bookmarkEnd w:id="13"/>
      <w:bookmarkEnd w:id="14"/>
      <w:bookmarkEnd w:id="15"/>
      <w:bookmarkEnd w:id="16"/>
      <w:bookmarkEnd w:id="17"/>
      <w:bookmarkEnd w:id="18"/>
      <w:bookmarkEnd w:id="19"/>
    </w:p>
    <w:p w14:paraId="57F03698">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20" w:name="_Toc11775_WPSOffice_Level3"/>
      <w:bookmarkStart w:id="21" w:name="_Toc29026"/>
      <w:bookmarkStart w:id="22" w:name="_Toc7063_WPSOffice_Level3"/>
      <w:bookmarkStart w:id="23" w:name="_Toc3473"/>
      <w:bookmarkStart w:id="24" w:name="_Toc13645"/>
      <w:r>
        <w:rPr>
          <w:rFonts w:hint="eastAsia" w:ascii="宋体" w:hAnsi="宋体" w:eastAsia="宋体" w:cs="宋体"/>
          <w:b/>
          <w:bCs/>
          <w:kern w:val="2"/>
          <w:sz w:val="24"/>
          <w:szCs w:val="24"/>
          <w:u w:val="none"/>
          <w:lang w:val="en-US" w:eastAsia="zh-CN" w:bidi="ar-SA"/>
        </w:rPr>
        <w:t>1.适用范围</w:t>
      </w:r>
      <w:bookmarkEnd w:id="20"/>
      <w:bookmarkEnd w:id="21"/>
      <w:bookmarkEnd w:id="22"/>
      <w:bookmarkEnd w:id="23"/>
      <w:bookmarkEnd w:id="24"/>
    </w:p>
    <w:p w14:paraId="3A77F358">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zh-CN" w:eastAsia="zh-CN" w:bidi="ar-SA"/>
        </w:rPr>
        <w:t>1.</w:t>
      </w:r>
      <w:r>
        <w:rPr>
          <w:rFonts w:hint="eastAsia" w:ascii="宋体" w:hAnsi="宋体" w:eastAsia="宋体" w:cs="宋体"/>
          <w:kern w:val="2"/>
          <w:sz w:val="24"/>
          <w:szCs w:val="24"/>
          <w:u w:val="none"/>
          <w:lang w:val="en-US" w:eastAsia="zh-CN" w:bidi="ar-SA"/>
        </w:rPr>
        <w:t>1</w:t>
      </w:r>
      <w:r>
        <w:rPr>
          <w:rFonts w:hint="eastAsia" w:ascii="宋体" w:hAnsi="宋体" w:eastAsia="宋体" w:cs="宋体"/>
          <w:kern w:val="2"/>
          <w:sz w:val="24"/>
          <w:szCs w:val="24"/>
          <w:u w:val="none"/>
          <w:lang w:val="zh-CN" w:eastAsia="zh-CN" w:bidi="ar-SA"/>
        </w:rPr>
        <w:t>本竞争性谈判文件仅适用于前述【谈判须知前附表】中所叙述的采购项目。</w:t>
      </w:r>
    </w:p>
    <w:p w14:paraId="4B4E10CF">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25" w:name="_Toc15754_WPSOffice_Level3"/>
      <w:bookmarkStart w:id="26" w:name="_Toc1646"/>
      <w:bookmarkStart w:id="27" w:name="_Toc12080"/>
      <w:bookmarkStart w:id="28" w:name="_Toc10197"/>
      <w:bookmarkStart w:id="29" w:name="_Toc2404_WPSOffice_Level3"/>
      <w:r>
        <w:rPr>
          <w:rFonts w:hint="eastAsia" w:ascii="宋体" w:hAnsi="宋体" w:eastAsia="宋体" w:cs="宋体"/>
          <w:b/>
          <w:bCs/>
          <w:kern w:val="2"/>
          <w:sz w:val="24"/>
          <w:szCs w:val="24"/>
          <w:u w:val="none"/>
          <w:lang w:val="en-US" w:eastAsia="zh-CN" w:bidi="ar-SA"/>
        </w:rPr>
        <w:t>2.采购人及代理机构</w:t>
      </w:r>
      <w:bookmarkEnd w:id="25"/>
      <w:bookmarkEnd w:id="26"/>
      <w:bookmarkEnd w:id="27"/>
      <w:bookmarkEnd w:id="28"/>
      <w:bookmarkEnd w:id="29"/>
    </w:p>
    <w:p w14:paraId="1ADCD2CD">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en-US" w:eastAsia="zh-CN" w:bidi="ar-SA"/>
        </w:rPr>
        <w:t>2.1</w:t>
      </w:r>
      <w:r>
        <w:rPr>
          <w:rFonts w:hint="eastAsia" w:ascii="宋体" w:hAnsi="宋体" w:eastAsia="宋体" w:cs="宋体"/>
          <w:kern w:val="2"/>
          <w:sz w:val="24"/>
          <w:szCs w:val="24"/>
          <w:u w:val="none"/>
          <w:lang w:val="zh-CN" w:eastAsia="zh-CN" w:bidi="ar-SA"/>
        </w:rPr>
        <w:t>采购人名称、地址、电话、联系人见【谈判须知前附表】。</w:t>
      </w:r>
    </w:p>
    <w:p w14:paraId="189566F7">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en-US" w:eastAsia="zh-CN" w:bidi="ar-SA"/>
        </w:rPr>
        <w:t>2.2</w:t>
      </w:r>
      <w:r>
        <w:rPr>
          <w:rFonts w:hint="eastAsia" w:ascii="宋体" w:hAnsi="宋体" w:eastAsia="宋体" w:cs="宋体"/>
          <w:kern w:val="2"/>
          <w:sz w:val="24"/>
          <w:szCs w:val="24"/>
          <w:u w:val="none"/>
          <w:lang w:val="zh-CN" w:eastAsia="zh-CN" w:bidi="ar-SA"/>
        </w:rPr>
        <w:t>采购代理机构名称、地址、电话、联系人、邮箱见【谈判须知前附表】。</w:t>
      </w:r>
    </w:p>
    <w:p w14:paraId="7583FD59">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30" w:name="_Toc8089_WPSOffice_Level3"/>
      <w:bookmarkStart w:id="31" w:name="_Toc955_WPSOffice_Level3"/>
      <w:bookmarkStart w:id="32" w:name="_Toc31395"/>
      <w:bookmarkStart w:id="33" w:name="_Toc21695"/>
      <w:bookmarkStart w:id="34" w:name="_Toc5170"/>
      <w:r>
        <w:rPr>
          <w:rFonts w:hint="eastAsia" w:ascii="宋体" w:hAnsi="宋体" w:eastAsia="宋体" w:cs="宋体"/>
          <w:b/>
          <w:bCs/>
          <w:kern w:val="2"/>
          <w:sz w:val="24"/>
          <w:szCs w:val="24"/>
          <w:u w:val="none"/>
          <w:lang w:val="en-US" w:eastAsia="zh-CN" w:bidi="ar-SA"/>
        </w:rPr>
        <w:t>3.供应商的资格要求</w:t>
      </w:r>
      <w:bookmarkEnd w:id="30"/>
      <w:bookmarkEnd w:id="31"/>
      <w:bookmarkEnd w:id="32"/>
      <w:bookmarkEnd w:id="33"/>
      <w:bookmarkEnd w:id="34"/>
    </w:p>
    <w:p w14:paraId="231035DE">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3.1供应商是指响应谈判文件要求、参加竞争性谈判采购的法人、其他组织或者自然人。</w:t>
      </w:r>
    </w:p>
    <w:p w14:paraId="03157595">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3.2供应商应当符合【谈判须知前附表】规定的供应商资格条件。</w:t>
      </w:r>
    </w:p>
    <w:p w14:paraId="0D26C116">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 xml:space="preserve">3.3【谈判须知前附表】规定接受联合体形式的，供应商除应符合上述资格条件的规定外，还应遵守以下规定： </w:t>
      </w:r>
    </w:p>
    <w:p w14:paraId="23769F8D">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zh-CN" w:eastAsia="zh-CN" w:bidi="ar-SA"/>
        </w:rPr>
        <w:t>（l）联合体中有同类资质的供应商按照联合体分工承担相同工作的，应当按照资质等级较低的供应商确定资质等级。</w:t>
      </w:r>
    </w:p>
    <w:p w14:paraId="2FB423DD">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zh-CN" w:eastAsia="zh-CN" w:bidi="ar-SA"/>
        </w:rPr>
        <w:t>（2）联合体各方应按谈判文件提供的格式签订联合体协议书，明确联合体牵头人和各方的权利义务、合同工作量比例；</w:t>
      </w:r>
    </w:p>
    <w:p w14:paraId="7E172B44">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zh-CN" w:eastAsia="zh-CN" w:bidi="ar-SA"/>
        </w:rPr>
        <w:t>（3）联合体各方签订联合体协议书后，不得再单独参加或者与其他供应商组成新的联合体参加同一合同项下的采购活动。</w:t>
      </w:r>
    </w:p>
    <w:p w14:paraId="05C173DB">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35" w:name="_Toc29322_WPSOffice_Level3"/>
      <w:bookmarkStart w:id="36" w:name="_Toc3790"/>
      <w:bookmarkStart w:id="37" w:name="_Toc18921"/>
      <w:bookmarkStart w:id="38" w:name="_Toc24112_WPSOffice_Level3"/>
      <w:bookmarkStart w:id="39" w:name="_Toc15386"/>
      <w:r>
        <w:rPr>
          <w:rFonts w:hint="eastAsia" w:ascii="宋体" w:hAnsi="宋体" w:eastAsia="宋体" w:cs="宋体"/>
          <w:b/>
          <w:bCs/>
          <w:kern w:val="2"/>
          <w:sz w:val="24"/>
          <w:szCs w:val="24"/>
          <w:u w:val="none"/>
          <w:lang w:val="en-US" w:eastAsia="zh-CN" w:bidi="ar-SA"/>
        </w:rPr>
        <w:t>4.谈判费用</w:t>
      </w:r>
      <w:bookmarkEnd w:id="35"/>
      <w:bookmarkEnd w:id="36"/>
      <w:bookmarkEnd w:id="37"/>
      <w:bookmarkEnd w:id="38"/>
      <w:bookmarkEnd w:id="39"/>
      <w:r>
        <w:rPr>
          <w:rFonts w:hint="eastAsia" w:ascii="宋体" w:hAnsi="宋体" w:eastAsia="宋体" w:cs="宋体"/>
          <w:b/>
          <w:bCs/>
          <w:kern w:val="2"/>
          <w:sz w:val="24"/>
          <w:szCs w:val="24"/>
          <w:u w:val="none"/>
          <w:lang w:val="en-US" w:eastAsia="zh-CN" w:bidi="ar-SA"/>
        </w:rPr>
        <w:t xml:space="preserve"> </w:t>
      </w:r>
    </w:p>
    <w:p w14:paraId="34D375CA">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zh-CN" w:eastAsia="zh-CN" w:bidi="ar-SA"/>
        </w:rPr>
        <w:t>无论谈判的结果如何，供应商应自行承担所有与竞争性谈判采购活动有关的全部费用。</w:t>
      </w:r>
    </w:p>
    <w:p w14:paraId="4821C693">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lang w:val="en-US" w:eastAsia="zh-CN" w:bidi="ar-SA"/>
        </w:rPr>
      </w:pPr>
      <w:bookmarkStart w:id="40" w:name="_Toc34637766"/>
      <w:bookmarkStart w:id="41" w:name="_Toc2404_WPSOffice_Level2"/>
      <w:bookmarkStart w:id="42" w:name="_Toc19544"/>
      <w:bookmarkStart w:id="43" w:name="_Toc24356"/>
      <w:bookmarkStart w:id="44" w:name="_Toc4912_WPSOffice_Level2"/>
      <w:bookmarkStart w:id="45" w:name="_Toc28758"/>
      <w:bookmarkStart w:id="46" w:name="_Toc24182"/>
      <w:bookmarkStart w:id="47" w:name="_Toc19663_WPSOffice_Level2"/>
      <w:r>
        <w:rPr>
          <w:rFonts w:hint="eastAsia" w:ascii="黑体" w:hAnsi="黑体" w:eastAsia="黑体" w:cs="黑体"/>
          <w:b w:val="0"/>
          <w:bCs w:val="0"/>
          <w:kern w:val="2"/>
          <w:sz w:val="32"/>
          <w:szCs w:val="32"/>
          <w:lang w:val="en-US" w:eastAsia="zh-CN" w:bidi="ar-SA"/>
        </w:rPr>
        <w:t>二、谈判文件</w:t>
      </w:r>
      <w:bookmarkEnd w:id="40"/>
      <w:bookmarkEnd w:id="41"/>
      <w:bookmarkEnd w:id="42"/>
      <w:bookmarkEnd w:id="43"/>
      <w:bookmarkEnd w:id="44"/>
      <w:bookmarkEnd w:id="45"/>
      <w:bookmarkEnd w:id="46"/>
      <w:bookmarkEnd w:id="47"/>
    </w:p>
    <w:p w14:paraId="7499F89E">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48" w:name="_Toc1826"/>
      <w:bookmarkStart w:id="49" w:name="_Toc18786_WPSOffice_Level3"/>
      <w:bookmarkStart w:id="50" w:name="_Toc1611"/>
      <w:bookmarkStart w:id="51" w:name="_Toc14464"/>
      <w:bookmarkStart w:id="52" w:name="_Toc29785_WPSOffice_Level3"/>
      <w:r>
        <w:rPr>
          <w:rFonts w:hint="eastAsia" w:ascii="宋体" w:hAnsi="宋体" w:eastAsia="宋体" w:cs="宋体"/>
          <w:b/>
          <w:bCs/>
          <w:kern w:val="2"/>
          <w:sz w:val="24"/>
          <w:szCs w:val="24"/>
          <w:u w:val="none"/>
          <w:lang w:val="en-US" w:eastAsia="zh-CN" w:bidi="ar-SA"/>
        </w:rPr>
        <w:t>5.谈判文件的组成</w:t>
      </w:r>
      <w:bookmarkEnd w:id="48"/>
      <w:bookmarkEnd w:id="49"/>
      <w:bookmarkEnd w:id="50"/>
      <w:bookmarkEnd w:id="51"/>
      <w:bookmarkEnd w:id="52"/>
    </w:p>
    <w:p w14:paraId="7AF261F9">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5.1谈判文件由下列文件组成：</w:t>
      </w:r>
    </w:p>
    <w:p w14:paraId="40202224">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谈判邀请</w:t>
      </w:r>
    </w:p>
    <w:p w14:paraId="15A61E6E">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（2）谈判须知</w:t>
      </w:r>
    </w:p>
    <w:p w14:paraId="2F8187D7">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（3）采购需求</w:t>
      </w:r>
    </w:p>
    <w:p w14:paraId="32D7FC12">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（4）谈判响应文件格式</w:t>
      </w:r>
    </w:p>
    <w:p w14:paraId="6CD8F18A">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（5）政府采购项目合同书范本</w:t>
      </w:r>
    </w:p>
    <w:p w14:paraId="17C48C88">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5.2采购人、采购代理机构或者谈判小组在提交首次响应文件截止之日前对已发出的谈判文件进行的澄清或者修改，构成谈判文件的组成部分。</w:t>
      </w:r>
    </w:p>
    <w:p w14:paraId="4F806258">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5.3谈判文件中，谈判小组根据与供应商谈判情况可能实质性变动的内容见【谈判须知前附表】。对谈判文件作出的实质性变动是谈判文件的有效组成部分。</w:t>
      </w:r>
    </w:p>
    <w:p w14:paraId="0AD823D7">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53" w:name="_Toc25455_WPSOffice_Level3"/>
      <w:bookmarkStart w:id="54" w:name="_Toc1317"/>
      <w:bookmarkStart w:id="55" w:name="_Toc31604_WPSOffice_Level3"/>
      <w:bookmarkStart w:id="56" w:name="_Toc20648"/>
      <w:bookmarkStart w:id="57" w:name="_Toc18056"/>
      <w:r>
        <w:rPr>
          <w:rFonts w:hint="eastAsia" w:ascii="宋体" w:hAnsi="宋体" w:eastAsia="宋体" w:cs="宋体"/>
          <w:b/>
          <w:bCs/>
          <w:kern w:val="2"/>
          <w:sz w:val="24"/>
          <w:szCs w:val="24"/>
          <w:u w:val="none"/>
          <w:lang w:val="en-US" w:eastAsia="zh-CN" w:bidi="ar-SA"/>
        </w:rPr>
        <w:t>6.谈判文件的澄清</w:t>
      </w:r>
      <w:r>
        <w:rPr>
          <w:rFonts w:hint="eastAsia" w:ascii="宋体" w:hAnsi="宋体" w:eastAsia="宋体" w:cs="宋体"/>
          <w:b/>
          <w:bCs/>
          <w:kern w:val="2"/>
          <w:sz w:val="24"/>
          <w:szCs w:val="24"/>
          <w:u w:val="none"/>
          <w:lang w:val="zh-CN" w:eastAsia="zh-CN" w:bidi="ar-SA"/>
        </w:rPr>
        <w:t>或者</w:t>
      </w:r>
      <w:r>
        <w:rPr>
          <w:rFonts w:hint="eastAsia" w:ascii="宋体" w:hAnsi="宋体" w:eastAsia="宋体" w:cs="宋体"/>
          <w:b/>
          <w:bCs/>
          <w:kern w:val="2"/>
          <w:sz w:val="24"/>
          <w:szCs w:val="24"/>
          <w:u w:val="none"/>
          <w:lang w:val="en-US" w:eastAsia="zh-CN" w:bidi="ar-SA"/>
        </w:rPr>
        <w:t>修改</w:t>
      </w:r>
      <w:bookmarkEnd w:id="53"/>
      <w:bookmarkEnd w:id="54"/>
      <w:bookmarkEnd w:id="55"/>
      <w:bookmarkEnd w:id="56"/>
      <w:bookmarkEnd w:id="57"/>
    </w:p>
    <w:p w14:paraId="1A62020A">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6.1在提交首次响应文件截止之日前，采购人、采购代理机构或者谈判小组可以对已发出的谈判文件进行必要的澄清或者修改。</w:t>
      </w:r>
    </w:p>
    <w:p w14:paraId="0B375787">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6.2澄清或者修改的内容可能影响响应文件编制的，采购人、采购代理机构或者谈判小组应当在提交首次响应文件截止之日3个工作日前，以书面形式通知所有接收谈判文件的供应商，不足3个工作日的，顺延供应商提交首次响应文件截止时间。</w:t>
      </w:r>
    </w:p>
    <w:p w14:paraId="104773A9">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58" w:name="_Toc6866_WPSOffice_Level3"/>
      <w:bookmarkStart w:id="59" w:name="_Toc22815"/>
      <w:bookmarkStart w:id="60" w:name="_Toc27004"/>
      <w:bookmarkStart w:id="61" w:name="_Toc25126"/>
      <w:bookmarkStart w:id="62" w:name="_Toc30"/>
      <w:bookmarkStart w:id="63" w:name="_Toc4138_WPSOffice_Level3"/>
      <w:bookmarkStart w:id="64" w:name="_Toc34637767"/>
      <w:r>
        <w:rPr>
          <w:rFonts w:hint="eastAsia" w:ascii="宋体" w:hAnsi="宋体" w:eastAsia="宋体" w:cs="宋体"/>
          <w:b/>
          <w:bCs/>
          <w:kern w:val="2"/>
          <w:sz w:val="24"/>
          <w:szCs w:val="24"/>
          <w:u w:val="none"/>
          <w:lang w:val="en-US" w:eastAsia="zh-CN" w:bidi="ar-SA"/>
        </w:rPr>
        <w:t>7.谈判文件的询问或质疑</w:t>
      </w:r>
      <w:bookmarkEnd w:id="58"/>
      <w:bookmarkEnd w:id="59"/>
      <w:bookmarkEnd w:id="60"/>
      <w:bookmarkEnd w:id="61"/>
      <w:bookmarkEnd w:id="62"/>
      <w:bookmarkEnd w:id="63"/>
    </w:p>
    <w:p w14:paraId="4FD95408">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7.1供应商对谈判文件有疑问的，可以向采购人、采购代理机构提出询问。</w:t>
      </w:r>
    </w:p>
    <w:p w14:paraId="500CF46E">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7.2提出质疑的供应商应当符合《中华人民共和国政府采购法》第二十二条的相关规定，对谈判文件提出质疑的，应当在获取采购文件或者采购文件公告期限届满之日起7个工作日内，按法律法规及其规章的规定向采购人、采购代理机构书面提出质疑。</w:t>
      </w:r>
    </w:p>
    <w:p w14:paraId="3D05FBE3">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7.3供应商认为谈判文件使自己的权益受到损害的，应以书面形式提出质疑（不接受匿名质疑），供应商须在法定质疑期内一次性提出针对同一采购程序环节的质疑。</w:t>
      </w:r>
    </w:p>
    <w:p w14:paraId="6F441FD1">
      <w:pPr>
        <w:widowControl w:val="0"/>
        <w:wordWrap/>
        <w:adjustRightInd w:val="0"/>
        <w:snapToGrid w:val="0"/>
        <w:spacing w:before="157" w:beforeLines="50" w:line="560" w:lineRule="exact"/>
        <w:ind w:firstLine="640" w:firstLineChars="200"/>
        <w:jc w:val="center"/>
        <w:textAlignment w:val="auto"/>
        <w:outlineLvl w:val="1"/>
        <w:rPr>
          <w:rFonts w:hint="eastAsia" w:ascii="黑体" w:hAnsi="黑体" w:eastAsia="黑体" w:cs="黑体"/>
          <w:kern w:val="2"/>
          <w:sz w:val="32"/>
          <w:szCs w:val="32"/>
          <w:lang w:val="en-US" w:eastAsia="zh-CN" w:bidi="ar-SA"/>
        </w:rPr>
      </w:pPr>
      <w:bookmarkStart w:id="65" w:name="_Toc955_WPSOffice_Level2"/>
      <w:bookmarkStart w:id="66" w:name="_Toc23235_WPSOffice_Level2"/>
      <w:bookmarkStart w:id="67" w:name="_Toc5732_WPSOffice_Level2"/>
      <w:bookmarkStart w:id="68" w:name="_Toc28815"/>
      <w:bookmarkStart w:id="69" w:name="_Toc16902"/>
      <w:bookmarkStart w:id="70" w:name="_Toc22660"/>
      <w:r>
        <w:rPr>
          <w:rFonts w:hint="eastAsia" w:ascii="黑体" w:hAnsi="黑体" w:eastAsia="黑体" w:cs="黑体"/>
          <w:kern w:val="2"/>
          <w:sz w:val="32"/>
          <w:szCs w:val="32"/>
          <w:lang w:val="en-US" w:eastAsia="zh-CN" w:bidi="ar-SA"/>
        </w:rPr>
        <w:t>三、响应文件</w:t>
      </w:r>
      <w:bookmarkEnd w:id="64"/>
      <w:bookmarkEnd w:id="65"/>
      <w:bookmarkEnd w:id="66"/>
      <w:bookmarkEnd w:id="67"/>
      <w:bookmarkEnd w:id="68"/>
      <w:bookmarkEnd w:id="69"/>
      <w:bookmarkEnd w:id="70"/>
    </w:p>
    <w:p w14:paraId="7B05EDF0">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4"/>
          <w:szCs w:val="24"/>
          <w:u w:val="none"/>
          <w:lang w:val="en-US" w:eastAsia="zh-CN" w:bidi="ar-SA"/>
        </w:rPr>
      </w:pPr>
      <w:bookmarkStart w:id="71" w:name="_Toc25002"/>
      <w:bookmarkStart w:id="72" w:name="_Toc2475"/>
      <w:bookmarkStart w:id="73" w:name="_Toc17983"/>
      <w:bookmarkStart w:id="74" w:name="_Toc22063"/>
      <w:bookmarkStart w:id="75" w:name="_Toc10843_WPSOffice_Level3"/>
      <w:bookmarkStart w:id="76" w:name="_Toc1096_WPSOffice_Level3"/>
      <w:r>
        <w:rPr>
          <w:rFonts w:hint="eastAsia" w:ascii="宋体" w:hAnsi="宋体" w:eastAsia="宋体" w:cs="宋体"/>
          <w:b/>
          <w:bCs/>
          <w:kern w:val="2"/>
          <w:sz w:val="24"/>
          <w:szCs w:val="24"/>
          <w:u w:val="none"/>
          <w:lang w:val="en-US" w:eastAsia="zh-CN" w:bidi="ar-SA"/>
        </w:rPr>
        <w:t>8.一般要求</w:t>
      </w:r>
      <w:bookmarkEnd w:id="71"/>
      <w:bookmarkEnd w:id="72"/>
      <w:bookmarkEnd w:id="73"/>
      <w:bookmarkEnd w:id="74"/>
      <w:bookmarkEnd w:id="75"/>
      <w:bookmarkEnd w:id="76"/>
    </w:p>
    <w:p w14:paraId="2FE73CF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8.1供应商应仔细阅读谈判文件的所有内容，按谈判文件的要求编制响应文件，并保证所提供的全部资料的真实性，以使其响应文件对谈判文件做出实质性的响应。任何对谈判文件的忽略或误解不能作为响应文件存在缺陷或瑕疵的理由，其风险由供应商承担。</w:t>
      </w:r>
    </w:p>
    <w:p w14:paraId="5E4A3C2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8.2供应商提交的响应文件及供应商与采购人或采购代理机构、谈判小组就有关谈判的所有来往函电均使用中文。附有外文资料的，须翻译成中文并加盖供应商公章，若翻译的中文资料与外文资料存在差异和矛盾，则以中文资料为准。其准确性由供应商负责。</w:t>
      </w:r>
    </w:p>
    <w:p w14:paraId="1CA45BC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8.3除谈判文件中另有规定外，谈判响应文件所使用的度量衡单位，均须采用国家法定计量单位。未列明时应默认为我国法定计量单位。</w:t>
      </w:r>
    </w:p>
    <w:p w14:paraId="3DEB405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8.4响应文件应采用书面形式，电报、传真、电子邮件形式的响应文件概不接受。</w:t>
      </w:r>
    </w:p>
    <w:p w14:paraId="0A2676F8">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8.5供应商应按谈判文件中提供的响应文件格式进行填写。</w:t>
      </w:r>
    </w:p>
    <w:p w14:paraId="629B3FA8">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4"/>
          <w:szCs w:val="24"/>
          <w:lang w:val="en-US" w:eastAsia="zh-CN" w:bidi="ar-SA"/>
        </w:rPr>
      </w:pPr>
      <w:bookmarkStart w:id="77" w:name="_Toc20423_WPSOffice_Level3"/>
      <w:bookmarkStart w:id="78" w:name="_Toc12007"/>
      <w:bookmarkStart w:id="79" w:name="_Toc16030"/>
      <w:bookmarkStart w:id="80" w:name="_Toc31527"/>
      <w:bookmarkStart w:id="81" w:name="_Toc14527_WPSOffice_Level3"/>
      <w:r>
        <w:rPr>
          <w:rFonts w:hint="eastAsia" w:ascii="宋体" w:hAnsi="宋体" w:eastAsia="宋体" w:cs="宋体"/>
          <w:b/>
          <w:bCs/>
          <w:kern w:val="2"/>
          <w:sz w:val="24"/>
          <w:szCs w:val="24"/>
          <w:lang w:val="en-US" w:eastAsia="zh-CN" w:bidi="ar-SA"/>
        </w:rPr>
        <w:t>9.报价要求</w:t>
      </w:r>
      <w:bookmarkEnd w:id="77"/>
      <w:bookmarkEnd w:id="78"/>
      <w:bookmarkEnd w:id="79"/>
      <w:bookmarkEnd w:id="80"/>
      <w:bookmarkEnd w:id="81"/>
    </w:p>
    <w:p w14:paraId="68C180A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9.1供应商应当根据谈判文件“分项报价表”逐一报价；</w:t>
      </w:r>
    </w:p>
    <w:p w14:paraId="339DA35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9.2在首次报价表、分项报价表、最后报价表填写报价时应注意下列要求：</w:t>
      </w:r>
    </w:p>
    <w:p w14:paraId="4196D759">
      <w:pPr>
        <w:widowControl w:val="0"/>
        <w:wordWrap/>
        <w:adjustRightInd w:val="0"/>
        <w:snapToGrid w:val="0"/>
        <w:spacing w:line="560" w:lineRule="exact"/>
        <w:ind w:firstLine="480" w:firstLineChars="200"/>
        <w:jc w:val="left"/>
        <w:textAlignment w:val="auto"/>
        <w:rPr>
          <w:rFonts w:hint="eastAsia" w:ascii="宋体" w:hAnsi="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（1）采购需求要求的</w:t>
      </w:r>
      <w:r>
        <w:rPr>
          <w:rFonts w:hint="eastAsia" w:ascii="宋体" w:hAnsi="宋体" w:cs="宋体"/>
          <w:b w:val="0"/>
          <w:bCs w:val="0"/>
          <w:kern w:val="2"/>
          <w:sz w:val="24"/>
          <w:szCs w:val="24"/>
          <w:u w:val="none"/>
          <w:lang w:val="en-US" w:eastAsia="zh-CN" w:bidi="ar-SA"/>
        </w:rPr>
        <w:t>费用包括但不限于：产品费、检验费、手续费、包装</w:t>
      </w:r>
    </w:p>
    <w:p w14:paraId="750DE791">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费、运输费、保险费、培训费、售前售中售后服务费、税金</w:t>
      </w:r>
      <w:r>
        <w:rPr>
          <w:rFonts w:hint="eastAsia" w:ascii="宋体" w:hAnsi="宋体" w:eastAsia="宋体" w:cs="宋体"/>
          <w:b w:val="0"/>
          <w:bCs w:val="0"/>
          <w:kern w:val="2"/>
          <w:sz w:val="24"/>
          <w:szCs w:val="24"/>
          <w:u w:val="none"/>
          <w:lang w:val="en-US" w:eastAsia="zh-CN" w:bidi="ar-SA"/>
        </w:rPr>
        <w:t>及其它其他不可预见费等全部费用。</w:t>
      </w:r>
    </w:p>
    <w:p w14:paraId="17C2530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（2）所有根据合同或其它原因应由供应商交纳和支付的税款和费用。</w:t>
      </w:r>
    </w:p>
    <w:p w14:paraId="4D959BD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（3）供应商报价应为完成本竞争性谈判文件中所要求的货物所应包括内容的所有价格。</w:t>
      </w:r>
    </w:p>
    <w:p w14:paraId="61BD330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9.3</w:t>
      </w:r>
      <w:r>
        <w:rPr>
          <w:rFonts w:hint="eastAsia" w:ascii="宋体" w:hAnsi="宋体" w:eastAsia="宋体" w:cs="宋体"/>
          <w:b w:val="0"/>
          <w:bCs w:val="0"/>
          <w:kern w:val="2"/>
          <w:sz w:val="24"/>
          <w:szCs w:val="24"/>
          <w:u w:val="none"/>
          <w:lang w:val="zh-CN" w:eastAsia="zh-CN" w:bidi="ar-SA"/>
        </w:rPr>
        <w:t>供应商</w:t>
      </w:r>
      <w:r>
        <w:rPr>
          <w:rFonts w:hint="eastAsia" w:ascii="宋体" w:hAnsi="宋体" w:eastAsia="宋体" w:cs="宋体"/>
          <w:b w:val="0"/>
          <w:bCs w:val="0"/>
          <w:kern w:val="2"/>
          <w:sz w:val="24"/>
          <w:szCs w:val="24"/>
          <w:u w:val="none"/>
          <w:lang w:val="en-US" w:eastAsia="zh-CN" w:bidi="ar-SA"/>
        </w:rPr>
        <w:t>的每次报价均不得超过采购项目预算，否则视为无效响应。采购项目预算见【谈判须知前附表】。</w:t>
      </w:r>
    </w:p>
    <w:p w14:paraId="3FDF5AF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9.4供应商提交的最后报价在合同执行过程中是固定不变的，不得以任何理由予以变更。以可变动价格提交的报价将被认为是非实质响应而被拒绝。</w:t>
      </w:r>
    </w:p>
    <w:p w14:paraId="6C9D518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9.5谈判报价为总价。供应商须按要求填写谈判总报价，最后报价不得出现两个或两个以上的报价方案。 </w:t>
      </w:r>
    </w:p>
    <w:p w14:paraId="747AD2A8">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9.6报价币种为人民币。</w:t>
      </w:r>
    </w:p>
    <w:p w14:paraId="035C1534">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82" w:name="_Toc28436"/>
      <w:bookmarkStart w:id="83" w:name="_Toc30839"/>
      <w:bookmarkStart w:id="84" w:name="_Toc24956_WPSOffice_Level3"/>
      <w:bookmarkStart w:id="85" w:name="_Toc19609_WPSOffice_Level3"/>
      <w:bookmarkStart w:id="86" w:name="_Toc30481"/>
      <w:r>
        <w:rPr>
          <w:rFonts w:hint="eastAsia" w:ascii="宋体" w:hAnsi="宋体" w:eastAsia="宋体" w:cs="宋体"/>
          <w:b/>
          <w:bCs/>
          <w:kern w:val="2"/>
          <w:sz w:val="24"/>
          <w:szCs w:val="24"/>
          <w:u w:val="none"/>
          <w:lang w:val="en-US" w:eastAsia="zh-CN" w:bidi="ar-SA"/>
        </w:rPr>
        <w:t>10.保证金</w:t>
      </w:r>
      <w:bookmarkEnd w:id="82"/>
      <w:bookmarkEnd w:id="83"/>
      <w:bookmarkEnd w:id="84"/>
      <w:bookmarkEnd w:id="85"/>
      <w:bookmarkEnd w:id="86"/>
    </w:p>
    <w:p w14:paraId="5EC641B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10.1供应商应按【谈判须知前附表】的规定，在提交响应文件的截止时间前提交不少于本谈判文件规定的人民币金额的谈判保证金。谈判保证金应当以转账、支票、本票或者金融机构、担保机构出具的保函等非现金形式提交。供应商未按照谈判文件要求提交谈判保证金的，视为非实质性响应，其响应文件不予接受。谈判保证金所有递交方式均以到账时间为准。</w:t>
      </w:r>
    </w:p>
    <w:p w14:paraId="550552E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10.2</w:t>
      </w:r>
      <w:r>
        <w:rPr>
          <w:rFonts w:hint="eastAsia" w:ascii="宋体" w:hAnsi="宋体" w:eastAsia="宋体" w:cs="宋体"/>
          <w:b w:val="0"/>
          <w:bCs w:val="0"/>
          <w:kern w:val="2"/>
          <w:sz w:val="24"/>
          <w:szCs w:val="24"/>
          <w:u w:val="none"/>
          <w:lang w:val="zh-CN" w:eastAsia="zh-CN" w:bidi="ar-SA"/>
        </w:rPr>
        <w:t>供应商为联合体的，可以由联合体中的一方或者共同交纳保证金，其交纳的保证金，对联合体各方均具有约束力。</w:t>
      </w:r>
      <w:r>
        <w:rPr>
          <w:rFonts w:hint="eastAsia" w:ascii="宋体" w:hAnsi="宋体" w:eastAsia="宋体" w:cs="宋体"/>
          <w:b w:val="0"/>
          <w:bCs w:val="0"/>
          <w:kern w:val="2"/>
          <w:sz w:val="24"/>
          <w:szCs w:val="24"/>
          <w:u w:val="none"/>
          <w:lang w:val="en-US" w:eastAsia="zh-CN" w:bidi="ar-SA"/>
        </w:rPr>
        <w:t xml:space="preserve">                                           </w:t>
      </w:r>
    </w:p>
    <w:p w14:paraId="329F70C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10.3保证金的退还按以下规定办理：</w:t>
      </w:r>
    </w:p>
    <w:p w14:paraId="4C5E5F6D">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（1）成交供应商的保证金，在政府采购合同签订后5个工作日内退还，但因供应商自身原因导致无法退还的除外。</w:t>
      </w:r>
    </w:p>
    <w:p w14:paraId="77DCAAB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（2）未成交供应商的保证金，在成交通知书发出后5个工作日内退还。</w:t>
      </w:r>
    </w:p>
    <w:p w14:paraId="620D741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（3）终止竞争性谈判采购活动的，在发布项目终止公告后5个工作日内退还。</w:t>
      </w:r>
    </w:p>
    <w:p w14:paraId="3D1391ED">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10.4有下列情形之一的，保证金不予退还，并上缴同级财政国库：</w:t>
      </w:r>
    </w:p>
    <w:p w14:paraId="17E9822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（1）供应商在提交响应文件截止时间后撤回响应文件的；</w:t>
      </w:r>
    </w:p>
    <w:p w14:paraId="5CBE08D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（2）供应商在响应文件中提供虚假材料的；</w:t>
      </w:r>
    </w:p>
    <w:p w14:paraId="0AC207F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（3）除因不可抗力或谈判文件认可的情形以外，成交供应商不与采购人签订合同的； </w:t>
      </w:r>
    </w:p>
    <w:p w14:paraId="4FFB340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（4）供应商与采购人、其他供应商或者采购代理机构恶意串通的； </w:t>
      </w:r>
    </w:p>
    <w:p w14:paraId="6D5D366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（5）谈判文件规定的其他情形。</w:t>
      </w:r>
    </w:p>
    <w:p w14:paraId="78A0CA09">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4"/>
          <w:szCs w:val="24"/>
          <w:u w:val="none"/>
          <w:lang w:val="en-US" w:eastAsia="zh-CN" w:bidi="ar-SA"/>
        </w:rPr>
      </w:pPr>
      <w:bookmarkStart w:id="87" w:name="_Toc14144"/>
      <w:bookmarkStart w:id="88" w:name="_Toc29837"/>
      <w:bookmarkStart w:id="89" w:name="_Toc4945_WPSOffice_Level3"/>
      <w:bookmarkStart w:id="90" w:name="_Toc18765_WPSOffice_Level3"/>
      <w:bookmarkStart w:id="91" w:name="_Toc5897"/>
      <w:r>
        <w:rPr>
          <w:rFonts w:hint="eastAsia" w:ascii="宋体" w:hAnsi="宋体" w:eastAsia="宋体" w:cs="宋体"/>
          <w:b/>
          <w:bCs/>
          <w:kern w:val="2"/>
          <w:sz w:val="24"/>
          <w:szCs w:val="24"/>
          <w:u w:val="none"/>
          <w:lang w:val="en-US" w:eastAsia="zh-CN" w:bidi="ar-SA"/>
        </w:rPr>
        <w:t>11.响应文件的组成</w:t>
      </w:r>
      <w:bookmarkEnd w:id="87"/>
      <w:bookmarkEnd w:id="88"/>
      <w:bookmarkEnd w:id="89"/>
      <w:bookmarkEnd w:id="90"/>
      <w:bookmarkEnd w:id="91"/>
    </w:p>
    <w:p w14:paraId="3CDE150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11.1响应文件包括下列内容： </w:t>
      </w:r>
    </w:p>
    <w:p w14:paraId="69D2EE7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供应商应提交相关证明材料，作为其参加谈判和成交后有能力履行合同的证明。编写的谈判响应文件须包括以下内容（格式详见谈判文件第四部分内容）：</w:t>
      </w:r>
    </w:p>
    <w:p w14:paraId="1758303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11.1.1</w:t>
      </w:r>
      <w:r>
        <w:rPr>
          <w:rFonts w:hint="eastAsia" w:ascii="宋体" w:hAnsi="宋体" w:eastAsia="宋体" w:cs="宋体"/>
          <w:b w:val="0"/>
          <w:bCs w:val="0"/>
          <w:kern w:val="2"/>
          <w:sz w:val="24"/>
          <w:szCs w:val="24"/>
          <w:u w:val="none"/>
          <w:lang w:val="zh-CN" w:eastAsia="zh-CN" w:bidi="ar-SA"/>
        </w:rPr>
        <w:t>资格审查部分</w:t>
      </w:r>
    </w:p>
    <w:p w14:paraId="2754F7E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1、响应函</w:t>
      </w:r>
    </w:p>
    <w:p w14:paraId="4D416CA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2、法定代表人证明书</w:t>
      </w:r>
    </w:p>
    <w:p w14:paraId="2F03457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3、法定代表人授权书</w:t>
      </w:r>
    </w:p>
    <w:p w14:paraId="1DD322E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4、供应商承诺函</w:t>
      </w:r>
    </w:p>
    <w:p w14:paraId="3BC836B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5、供应商诚信承诺书</w:t>
      </w:r>
    </w:p>
    <w:p w14:paraId="7AC32C7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6、供应商资格证明文件</w:t>
      </w:r>
    </w:p>
    <w:p w14:paraId="79DE5D8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7、财务状况、缴纳税收和社会保障资金证明</w:t>
      </w:r>
    </w:p>
    <w:p w14:paraId="67D1816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8、无重大违法记录声明</w:t>
      </w:r>
    </w:p>
    <w:p w14:paraId="0F36014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9、谈判保证金证明</w:t>
      </w:r>
    </w:p>
    <w:p w14:paraId="5A6D5D3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11.1.2有效性、完整性、响应程度审查</w:t>
      </w:r>
      <w:r>
        <w:rPr>
          <w:rFonts w:hint="eastAsia" w:ascii="宋体" w:hAnsi="宋体" w:eastAsia="宋体" w:cs="宋体"/>
          <w:b w:val="0"/>
          <w:bCs w:val="0"/>
          <w:kern w:val="2"/>
          <w:sz w:val="24"/>
          <w:szCs w:val="24"/>
          <w:u w:val="none"/>
          <w:lang w:val="zh-CN" w:eastAsia="zh-CN" w:bidi="ar-SA"/>
        </w:rPr>
        <w:t>部分</w:t>
      </w:r>
    </w:p>
    <w:p w14:paraId="432586B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1、谈判首次报价表</w:t>
      </w:r>
    </w:p>
    <w:p w14:paraId="722BB4C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2、分项报价表</w:t>
      </w:r>
    </w:p>
    <w:p w14:paraId="63A6C23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3、技术规格响应表</w:t>
      </w:r>
    </w:p>
    <w:p w14:paraId="3A28CCBD">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4、具备履行合同所必须的设备和专业技术能力证明</w:t>
      </w:r>
    </w:p>
    <w:p w14:paraId="4519CC6B">
      <w:pPr>
        <w:widowControl w:val="0"/>
        <w:wordWrap/>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5、所投产品相关资料</w:t>
      </w:r>
    </w:p>
    <w:p w14:paraId="77333BB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cs="宋体"/>
          <w:b w:val="0"/>
          <w:bCs w:val="0"/>
          <w:kern w:val="2"/>
          <w:sz w:val="24"/>
          <w:szCs w:val="24"/>
          <w:u w:val="none"/>
          <w:lang w:val="en-US" w:eastAsia="zh-CN" w:bidi="ar-SA"/>
        </w:rPr>
        <w:t>6</w:t>
      </w:r>
      <w:r>
        <w:rPr>
          <w:rFonts w:hint="eastAsia" w:ascii="宋体" w:hAnsi="宋体" w:eastAsia="宋体" w:cs="宋体"/>
          <w:b w:val="0"/>
          <w:bCs w:val="0"/>
          <w:kern w:val="2"/>
          <w:sz w:val="24"/>
          <w:szCs w:val="24"/>
          <w:u w:val="none"/>
          <w:lang w:val="zh-CN" w:eastAsia="zh-CN" w:bidi="ar-SA"/>
        </w:rPr>
        <w:t>、</w:t>
      </w:r>
      <w:r>
        <w:rPr>
          <w:rFonts w:hint="eastAsia" w:ascii="宋体" w:hAnsi="宋体" w:cs="宋体"/>
          <w:b w:val="0"/>
          <w:bCs w:val="0"/>
          <w:kern w:val="2"/>
          <w:sz w:val="24"/>
          <w:szCs w:val="24"/>
          <w:u w:val="none"/>
          <w:lang w:val="en-US" w:eastAsia="zh-CN" w:bidi="ar-SA"/>
        </w:rPr>
        <w:t>中小企业声明函</w:t>
      </w:r>
    </w:p>
    <w:p w14:paraId="6E69F5CA">
      <w:pPr>
        <w:widowControl w:val="0"/>
        <w:wordWrap/>
        <w:adjustRightInd w:val="0"/>
        <w:snapToGrid w:val="0"/>
        <w:spacing w:line="560" w:lineRule="exact"/>
        <w:ind w:firstLine="480" w:firstLineChars="200"/>
        <w:jc w:val="left"/>
        <w:textAlignment w:val="auto"/>
        <w:rPr>
          <w:rFonts w:hint="eastAsia" w:ascii="宋体" w:hAnsi="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7</w:t>
      </w:r>
      <w:r>
        <w:rPr>
          <w:rFonts w:hint="eastAsia" w:ascii="宋体" w:hAnsi="宋体" w:eastAsia="宋体" w:cs="宋体"/>
          <w:b w:val="0"/>
          <w:bCs w:val="0"/>
          <w:kern w:val="2"/>
          <w:sz w:val="24"/>
          <w:szCs w:val="24"/>
          <w:u w:val="none"/>
          <w:lang w:val="zh-CN" w:eastAsia="zh-CN" w:bidi="ar-SA"/>
        </w:rPr>
        <w:t>、</w:t>
      </w:r>
      <w:r>
        <w:rPr>
          <w:rFonts w:hint="eastAsia" w:ascii="宋体" w:hAnsi="宋体" w:eastAsia="宋体" w:cs="宋体"/>
          <w:b w:val="0"/>
          <w:bCs w:val="0"/>
          <w:kern w:val="2"/>
          <w:sz w:val="24"/>
          <w:szCs w:val="24"/>
          <w:lang w:val="en-US" w:eastAsia="zh-CN" w:bidi="ar-SA"/>
        </w:rPr>
        <w:t>残疾人福利性单位声明函</w:t>
      </w:r>
    </w:p>
    <w:p w14:paraId="5503B31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u w:val="none"/>
          <w:lang w:val="en-US" w:eastAsia="zh-CN" w:bidi="ar-SA"/>
        </w:rPr>
        <w:t>8、</w:t>
      </w:r>
      <w:r>
        <w:rPr>
          <w:rFonts w:hint="default" w:ascii="宋体" w:hAnsi="宋体" w:eastAsia="宋体" w:cs="宋体"/>
          <w:b w:val="0"/>
          <w:bCs w:val="0"/>
          <w:kern w:val="2"/>
          <w:sz w:val="24"/>
          <w:szCs w:val="24"/>
          <w:lang w:val="en-US" w:eastAsia="zh-CN" w:bidi="ar-SA"/>
        </w:rPr>
        <w:t>关于符合本国产品标准的声明函</w:t>
      </w:r>
    </w:p>
    <w:p w14:paraId="36FE374B">
      <w:pPr>
        <w:widowControl w:val="0"/>
        <w:wordWrap/>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9、</w:t>
      </w:r>
      <w:r>
        <w:rPr>
          <w:rFonts w:hint="eastAsia" w:ascii="宋体" w:hAnsi="宋体" w:cs="宋体"/>
          <w:bCs w:val="0"/>
          <w:kern w:val="2"/>
          <w:sz w:val="24"/>
          <w:szCs w:val="24"/>
          <w:lang w:val="en-US" w:eastAsia="zh-CN" w:bidi="ar-SA"/>
        </w:rPr>
        <w:t>供应商认为在其他方面有必要说明的事项</w:t>
      </w:r>
    </w:p>
    <w:p w14:paraId="32410D0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10</w:t>
      </w:r>
      <w:r>
        <w:rPr>
          <w:rFonts w:hint="eastAsia" w:ascii="宋体" w:hAnsi="宋体" w:eastAsia="宋体" w:cs="宋体"/>
          <w:b w:val="0"/>
          <w:bCs w:val="0"/>
          <w:kern w:val="2"/>
          <w:sz w:val="24"/>
          <w:szCs w:val="24"/>
          <w:u w:val="none"/>
          <w:lang w:val="en-US" w:eastAsia="zh-CN" w:bidi="ar-SA"/>
        </w:rPr>
        <w:t>、谈判最后报价表</w:t>
      </w:r>
    </w:p>
    <w:p w14:paraId="40D7CBA5">
      <w:pPr>
        <w:widowControl w:val="0"/>
        <w:wordWrap/>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11、最终分项报价表</w:t>
      </w:r>
    </w:p>
    <w:p w14:paraId="05113BF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zh-CN" w:eastAsia="zh-CN" w:bidi="ar-SA"/>
        </w:rPr>
        <w:t>供应商须按上述内容、顺序和格式编制响应文件，并按要求编制目录、页码，并保证所提供的全部资料真实可信，自愿承担相应责任。</w:t>
      </w:r>
    </w:p>
    <w:p w14:paraId="59EC4C7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11.2在谈判过程中，供应商根据谈判小组书面形式要求提交的最后报价(或者重新提交的响应文件和最后报价)是响应文件的有效组成部分。</w:t>
      </w:r>
    </w:p>
    <w:p w14:paraId="089CBB90">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92" w:name="_Toc11674"/>
      <w:bookmarkStart w:id="93" w:name="_Toc14930_WPSOffice_Level3"/>
      <w:bookmarkStart w:id="94" w:name="_Toc6423"/>
      <w:bookmarkStart w:id="95" w:name="_Toc26621"/>
      <w:bookmarkStart w:id="96" w:name="_Toc3694_WPSOffice_Level3"/>
      <w:r>
        <w:rPr>
          <w:rFonts w:hint="eastAsia" w:ascii="宋体" w:hAnsi="宋体" w:eastAsia="宋体" w:cs="宋体"/>
          <w:b/>
          <w:bCs/>
          <w:kern w:val="2"/>
          <w:sz w:val="24"/>
          <w:szCs w:val="24"/>
          <w:u w:val="none"/>
          <w:lang w:val="en-US" w:eastAsia="zh-CN" w:bidi="ar-SA"/>
        </w:rPr>
        <w:t>12.响应文件有效期</w:t>
      </w:r>
      <w:bookmarkEnd w:id="92"/>
      <w:bookmarkEnd w:id="93"/>
      <w:bookmarkEnd w:id="94"/>
      <w:bookmarkEnd w:id="95"/>
      <w:bookmarkEnd w:id="96"/>
    </w:p>
    <w:p w14:paraId="2451B59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响应文件有效期见【谈判须知前附表】，在此期间响应文件对供应商具有法律约束力，从提交首次响应文件截止时间之日起计算。响应文件有效期不足的将被视为无效响应。</w:t>
      </w:r>
    </w:p>
    <w:p w14:paraId="3A926860">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97" w:name="_Toc8507_WPSOffice_Level3"/>
      <w:bookmarkStart w:id="98" w:name="_Toc17034"/>
      <w:bookmarkStart w:id="99" w:name="_Toc21033"/>
      <w:bookmarkStart w:id="100" w:name="_Toc31682_WPSOffice_Level3"/>
      <w:bookmarkStart w:id="101" w:name="_Toc20265"/>
      <w:r>
        <w:rPr>
          <w:rFonts w:hint="eastAsia" w:ascii="宋体" w:hAnsi="宋体" w:eastAsia="宋体" w:cs="宋体"/>
          <w:b/>
          <w:bCs/>
          <w:kern w:val="2"/>
          <w:sz w:val="24"/>
          <w:szCs w:val="24"/>
          <w:u w:val="none"/>
          <w:lang w:val="en-US" w:eastAsia="zh-CN" w:bidi="ar-SA"/>
        </w:rPr>
        <w:t>13.响应文件的签署及规定</w:t>
      </w:r>
      <w:bookmarkEnd w:id="97"/>
      <w:bookmarkEnd w:id="98"/>
      <w:bookmarkEnd w:id="99"/>
      <w:bookmarkEnd w:id="100"/>
      <w:bookmarkEnd w:id="101"/>
    </w:p>
    <w:p w14:paraId="0C27CDF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13.1响应文件应按谈判文件要求签字盖章。供应商代表可为供应商法定代表人(非法人组织为负责人或合伙人、个体工商户为负责人，谈判文件统称单位负责人)；供应商代表不是供应商的法定代表人（单位负责人）的，应提供法定代表人（单位负责人）授权委托书。</w:t>
      </w:r>
    </w:p>
    <w:p w14:paraId="4730DC8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13.2 </w:t>
      </w:r>
      <w:r>
        <w:rPr>
          <w:rFonts w:hint="eastAsia" w:ascii="宋体" w:hAnsi="宋体" w:eastAsia="宋体" w:cs="宋体"/>
          <w:b w:val="0"/>
          <w:bCs w:val="0"/>
          <w:kern w:val="2"/>
          <w:sz w:val="24"/>
          <w:szCs w:val="24"/>
          <w:u w:val="none"/>
          <w:lang w:val="zh-CN" w:eastAsia="zh-CN" w:bidi="ar-SA"/>
        </w:rPr>
        <w:t>供应商应按照谈判文件所提供的文件格式，分别填写谈判文件第四部分的内容，应分别注明所提供货物的名称、技术配置及参数、数量和价格等内容；谈判文件要求签字、盖章的地方必须由供应商的法定代表人或委托代理人签字、盖章。</w:t>
      </w:r>
    </w:p>
    <w:p w14:paraId="0086064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13.3响应文件不得行间插字，若有修改错漏处，应由供应商法定代表人或者其委托代理人签字、加盖公章。否则，将导致响应文件无效。</w:t>
      </w:r>
      <w:r>
        <w:rPr>
          <w:rFonts w:hint="eastAsia" w:ascii="宋体" w:hAnsi="宋体" w:eastAsia="宋体" w:cs="宋体"/>
          <w:b w:val="0"/>
          <w:bCs w:val="0"/>
          <w:kern w:val="2"/>
          <w:sz w:val="24"/>
          <w:szCs w:val="24"/>
          <w:u w:val="none"/>
          <w:lang w:val="zh-CN" w:eastAsia="zh-CN" w:bidi="ar-SA"/>
        </w:rPr>
        <w:t xml:space="preserve"> </w:t>
      </w:r>
    </w:p>
    <w:p w14:paraId="1B20902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13.4在谈判过程中，供应商按谈判文件规定和谈判小组要求提交的最后报价(或者重新提交的响应文件和最后报价)，须打印或用不褪色材料书写，并经供应商代表签字，或者加盖供应商单位公章。否则，将导致响应文件无效。</w:t>
      </w:r>
    </w:p>
    <w:p w14:paraId="31091EBF">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lang w:val="en-US" w:eastAsia="zh-CN" w:bidi="ar-SA"/>
        </w:rPr>
      </w:pPr>
      <w:bookmarkStart w:id="102" w:name="_Toc32627_WPSOffice_Level2"/>
      <w:bookmarkStart w:id="103" w:name="_Toc30575"/>
      <w:bookmarkStart w:id="104" w:name="_Toc7979"/>
      <w:bookmarkStart w:id="105" w:name="_Toc25869"/>
      <w:bookmarkStart w:id="106" w:name="_Toc34637768"/>
      <w:bookmarkStart w:id="107" w:name="_Toc31349_WPSOffice_Level2"/>
      <w:bookmarkStart w:id="108" w:name="_Toc24112_WPSOffice_Level2"/>
      <w:bookmarkStart w:id="109" w:name="_Toc8361"/>
      <w:r>
        <w:rPr>
          <w:rFonts w:hint="eastAsia" w:ascii="黑体" w:hAnsi="黑体" w:eastAsia="黑体" w:cs="黑体"/>
          <w:b w:val="0"/>
          <w:bCs w:val="0"/>
          <w:kern w:val="2"/>
          <w:sz w:val="32"/>
          <w:szCs w:val="32"/>
          <w:lang w:val="en-US" w:eastAsia="zh-CN" w:bidi="ar-SA"/>
        </w:rPr>
        <w:t>四、响应文件的递交</w:t>
      </w:r>
      <w:bookmarkEnd w:id="102"/>
      <w:bookmarkEnd w:id="103"/>
      <w:bookmarkEnd w:id="104"/>
      <w:bookmarkEnd w:id="105"/>
      <w:bookmarkEnd w:id="106"/>
      <w:bookmarkEnd w:id="107"/>
      <w:bookmarkEnd w:id="108"/>
      <w:bookmarkEnd w:id="109"/>
    </w:p>
    <w:p w14:paraId="4CB365EE">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10" w:name="_Toc6095"/>
      <w:bookmarkStart w:id="111" w:name="_Toc25546"/>
      <w:bookmarkStart w:id="112" w:name="_Toc20825_WPSOffice_Level3"/>
      <w:bookmarkStart w:id="113" w:name="_Toc4459"/>
      <w:bookmarkStart w:id="114" w:name="_Toc23622_WPSOffice_Level3"/>
      <w:r>
        <w:rPr>
          <w:rFonts w:hint="eastAsia" w:ascii="宋体" w:hAnsi="宋体" w:eastAsia="宋体" w:cs="宋体"/>
          <w:b/>
          <w:bCs/>
          <w:kern w:val="2"/>
          <w:sz w:val="24"/>
          <w:szCs w:val="24"/>
          <w:u w:val="none"/>
          <w:lang w:val="en-US" w:eastAsia="zh-CN" w:bidi="ar-SA"/>
        </w:rPr>
        <w:t>14.响应文件的密封和标记</w:t>
      </w:r>
      <w:bookmarkEnd w:id="110"/>
      <w:bookmarkEnd w:id="111"/>
      <w:bookmarkEnd w:id="112"/>
      <w:bookmarkEnd w:id="113"/>
      <w:bookmarkEnd w:id="114"/>
    </w:p>
    <w:p w14:paraId="756D9C4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bookmarkStart w:id="115" w:name="_Toc5660"/>
      <w:bookmarkStart w:id="116" w:name="_Toc7845_WPSOffice_Level3"/>
      <w:bookmarkStart w:id="117" w:name="_Toc18048"/>
      <w:bookmarkStart w:id="118" w:name="_Toc13231_WPSOffice_Level3"/>
      <w:bookmarkStart w:id="119" w:name="_Toc1241"/>
      <w:r>
        <w:rPr>
          <w:rFonts w:hint="eastAsia" w:ascii="宋体" w:hAnsi="宋体" w:eastAsia="宋体" w:cs="宋体"/>
          <w:b w:val="0"/>
          <w:bCs w:val="0"/>
          <w:kern w:val="2"/>
          <w:sz w:val="24"/>
          <w:szCs w:val="24"/>
          <w:u w:val="none"/>
          <w:lang w:val="en-US" w:eastAsia="zh-CN" w:bidi="ar-SA"/>
        </w:rPr>
        <w:t>本次招标采用线上提交电子响应文件的方式进行，电子响应文件必须在响应文件递交截止时间前上传至政采云平台。</w:t>
      </w:r>
    </w:p>
    <w:p w14:paraId="31C5EC7A">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r>
        <w:rPr>
          <w:rFonts w:hint="eastAsia" w:ascii="宋体" w:hAnsi="宋体" w:eastAsia="宋体" w:cs="宋体"/>
          <w:b/>
          <w:bCs/>
          <w:kern w:val="2"/>
          <w:sz w:val="24"/>
          <w:szCs w:val="24"/>
          <w:u w:val="none"/>
          <w:lang w:val="en-US" w:eastAsia="zh-CN" w:bidi="ar-SA"/>
        </w:rPr>
        <w:t>15.响应文件的递交与接收</w:t>
      </w:r>
      <w:bookmarkEnd w:id="115"/>
      <w:bookmarkEnd w:id="116"/>
      <w:bookmarkEnd w:id="117"/>
      <w:bookmarkEnd w:id="118"/>
      <w:bookmarkEnd w:id="119"/>
    </w:p>
    <w:p w14:paraId="00095450">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bookmarkStart w:id="120" w:name="_Toc19521_WPSOffice_Level3"/>
      <w:bookmarkStart w:id="121" w:name="_Toc3974"/>
      <w:bookmarkStart w:id="122" w:name="_Toc31959"/>
      <w:bookmarkStart w:id="123" w:name="_Toc17912"/>
      <w:bookmarkStart w:id="124" w:name="_Toc5063_WPSOffice_Level3"/>
      <w:r>
        <w:rPr>
          <w:rFonts w:hint="eastAsia" w:ascii="宋体" w:hAnsi="宋体" w:eastAsia="宋体" w:cs="宋体"/>
          <w:b w:val="0"/>
          <w:bCs w:val="0"/>
          <w:kern w:val="2"/>
          <w:sz w:val="24"/>
          <w:szCs w:val="24"/>
          <w:u w:val="none"/>
          <w:lang w:val="en-US" w:eastAsia="zh-CN" w:bidi="ar-SA"/>
        </w:rPr>
        <w:t>15.1 供应商应当在谈判文件要求提交响应文件的截止时间前，将响应文件上传至政采云响应客户端。</w:t>
      </w:r>
    </w:p>
    <w:p w14:paraId="1C836CC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15.2 供应商在谈判文件要求提交响应文件的截止时间及开标时间前，未将响应文件上传至政采云响应客户端、或文件解密失败的，视为无效响应。</w:t>
      </w:r>
    </w:p>
    <w:p w14:paraId="2B10A422">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r>
        <w:rPr>
          <w:rFonts w:hint="eastAsia" w:ascii="宋体" w:hAnsi="宋体" w:eastAsia="宋体" w:cs="宋体"/>
          <w:b/>
          <w:bCs/>
          <w:kern w:val="2"/>
          <w:sz w:val="24"/>
          <w:szCs w:val="24"/>
          <w:u w:val="none"/>
          <w:lang w:val="en-US" w:eastAsia="zh-CN" w:bidi="ar-SA"/>
        </w:rPr>
        <w:t>16.响应文件的</w:t>
      </w:r>
      <w:r>
        <w:rPr>
          <w:rFonts w:hint="eastAsia" w:ascii="宋体" w:hAnsi="宋体" w:eastAsia="宋体" w:cs="宋体"/>
          <w:b/>
          <w:bCs/>
          <w:kern w:val="2"/>
          <w:sz w:val="24"/>
          <w:szCs w:val="24"/>
          <w:u w:val="none"/>
          <w:lang w:val="zh-CN" w:eastAsia="zh-CN" w:bidi="ar-SA"/>
        </w:rPr>
        <w:t>补充、修改或者撤回</w:t>
      </w:r>
      <w:bookmarkEnd w:id="120"/>
      <w:bookmarkEnd w:id="121"/>
      <w:bookmarkEnd w:id="122"/>
      <w:bookmarkEnd w:id="123"/>
      <w:bookmarkEnd w:id="124"/>
    </w:p>
    <w:p w14:paraId="7DCA481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bookmarkStart w:id="125" w:name="_Toc32435"/>
      <w:bookmarkStart w:id="126" w:name="_Toc34637769"/>
      <w:r>
        <w:rPr>
          <w:rFonts w:hint="eastAsia" w:ascii="宋体" w:hAnsi="宋体" w:eastAsia="宋体" w:cs="宋体"/>
          <w:b w:val="0"/>
          <w:bCs w:val="0"/>
          <w:kern w:val="2"/>
          <w:sz w:val="24"/>
          <w:szCs w:val="24"/>
          <w:u w:val="none"/>
          <w:lang w:val="en-US" w:eastAsia="zh-CN" w:bidi="ar-SA"/>
        </w:rPr>
        <w:t>供应商在谈判截止时间前，可以对所递交的响应文件进行补充、修改或者撤回，并书面通知采购人或者采购代理机构。补充、修改的内容作为响应文件的组成部分，补充、修改的内容与响应文件不一致的，以补充、修改的内容为准。</w:t>
      </w:r>
      <w:bookmarkEnd w:id="125"/>
    </w:p>
    <w:p w14:paraId="0639C7A7">
      <w:pPr>
        <w:wordWrap/>
        <w:adjustRightInd w:val="0"/>
        <w:snapToGrid w:val="0"/>
        <w:spacing w:before="157" w:beforeLines="50" w:line="560" w:lineRule="exact"/>
        <w:jc w:val="center"/>
        <w:outlineLvl w:val="1"/>
        <w:rPr>
          <w:rFonts w:hint="eastAsia" w:ascii="黑体" w:hAnsi="黑体" w:eastAsia="黑体" w:cs="黑体"/>
          <w:b w:val="0"/>
          <w:bCs w:val="0"/>
          <w:kern w:val="2"/>
          <w:sz w:val="32"/>
          <w:szCs w:val="32"/>
          <w:lang w:val="en-US" w:eastAsia="zh-CN" w:bidi="ar-SA"/>
        </w:rPr>
      </w:pPr>
      <w:bookmarkStart w:id="127" w:name="_Toc18610_WPSOffice_Level2"/>
      <w:bookmarkStart w:id="128" w:name="_Toc32597"/>
      <w:bookmarkStart w:id="129" w:name="_Toc12974"/>
      <w:bookmarkStart w:id="130" w:name="_Toc31993"/>
      <w:bookmarkStart w:id="131" w:name="_Toc10968"/>
      <w:bookmarkStart w:id="132" w:name="_Toc29785_WPSOffice_Level2"/>
      <w:bookmarkStart w:id="133" w:name="_Toc25721_WPSOffice_Level2"/>
      <w:r>
        <w:rPr>
          <w:rFonts w:hint="eastAsia" w:ascii="黑体" w:hAnsi="黑体" w:eastAsia="黑体" w:cs="黑体"/>
          <w:b w:val="0"/>
          <w:bCs w:val="0"/>
          <w:kern w:val="2"/>
          <w:sz w:val="32"/>
          <w:szCs w:val="32"/>
          <w:lang w:val="en-US" w:eastAsia="zh-CN" w:bidi="ar-SA"/>
        </w:rPr>
        <w:t>五、响应文件的评审与谈判</w:t>
      </w:r>
      <w:bookmarkEnd w:id="126"/>
      <w:bookmarkEnd w:id="127"/>
      <w:bookmarkEnd w:id="128"/>
      <w:bookmarkEnd w:id="129"/>
      <w:bookmarkEnd w:id="130"/>
      <w:bookmarkEnd w:id="131"/>
      <w:bookmarkEnd w:id="132"/>
      <w:bookmarkEnd w:id="133"/>
    </w:p>
    <w:p w14:paraId="5A478999">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34" w:name="_Toc174"/>
      <w:bookmarkStart w:id="135" w:name="_Toc18713_WPSOffice_Level3"/>
      <w:bookmarkStart w:id="136" w:name="_Toc19596_WPSOffice_Level3"/>
      <w:bookmarkStart w:id="137" w:name="_Toc26446"/>
      <w:bookmarkStart w:id="138" w:name="_Toc13366"/>
      <w:r>
        <w:rPr>
          <w:rFonts w:hint="eastAsia" w:ascii="宋体" w:hAnsi="宋体" w:eastAsia="宋体" w:cs="宋体"/>
          <w:b/>
          <w:bCs/>
          <w:kern w:val="2"/>
          <w:sz w:val="24"/>
          <w:szCs w:val="24"/>
          <w:u w:val="none"/>
          <w:lang w:val="en-US" w:eastAsia="zh-CN" w:bidi="ar-SA"/>
        </w:rPr>
        <w:t>17.谈判小组</w:t>
      </w:r>
      <w:bookmarkEnd w:id="134"/>
      <w:bookmarkEnd w:id="135"/>
      <w:bookmarkEnd w:id="136"/>
      <w:bookmarkEnd w:id="137"/>
      <w:bookmarkEnd w:id="138"/>
    </w:p>
    <w:p w14:paraId="4CEF4E0D">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17.1竞争性谈判小组由采购人代表和评审专家共</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en-US" w:eastAsia="zh-CN" w:bidi="ar-SA"/>
        </w:rPr>
        <w:t>3</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none"/>
          <w:lang w:val="en-US" w:eastAsia="zh-CN" w:bidi="ar-SA"/>
        </w:rPr>
        <w:t>人组成（3人以上单数组成），其中评审专家</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en-US" w:eastAsia="zh-CN" w:bidi="ar-SA"/>
        </w:rPr>
        <w:t>2</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none"/>
          <w:lang w:val="en-US" w:eastAsia="zh-CN" w:bidi="ar-SA"/>
        </w:rPr>
        <w:t>名（评审专家人数不得少于竞争性谈判小组成员总数的2/3）。采购人不得以评审专家身份参加本采购项目的评审。谈判小组评审专家从政府采购评审专家库内相关专业的专家名单中随机抽取。</w:t>
      </w:r>
    </w:p>
    <w:p w14:paraId="0E9E97A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17.2谈判由采购代理机构负责组织，具体谈判事务由依法组建的谈判小组负责，并独立履行下列职责：</w:t>
      </w:r>
    </w:p>
    <w:p w14:paraId="69F25BC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（1）确认谈判文件；</w:t>
      </w:r>
    </w:p>
    <w:p w14:paraId="229DCDA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（2）审查供应商的响应文件并作出评价；</w:t>
      </w:r>
    </w:p>
    <w:p w14:paraId="229BE73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（3）要求供应商对谈判文件有关事项作出澄清或者说明；</w:t>
      </w:r>
    </w:p>
    <w:p w14:paraId="16954C91">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（4）编写评审报告；</w:t>
      </w:r>
    </w:p>
    <w:p w14:paraId="3DBD664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（5）确定成交候选人名单，以及根据采购人委托直接确定成交供应商；</w:t>
      </w:r>
    </w:p>
    <w:p w14:paraId="2AC25F9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（6）告知采购人、采购代理机构在评审过程中发现的供应商的违法违规行为。</w:t>
      </w:r>
    </w:p>
    <w:p w14:paraId="597F70C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17.3谈判小组应遵守并履行下列义务：</w:t>
      </w:r>
    </w:p>
    <w:p w14:paraId="021541D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（1）遵纪守法，客观、公正、廉洁地履行职责；</w:t>
      </w:r>
    </w:p>
    <w:p w14:paraId="5BB0433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（2）按照谈判文件规定的成交方法评审，对评审意见承担谈判小组成员责任；</w:t>
      </w:r>
    </w:p>
    <w:p w14:paraId="3F1212C0">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（3）对谈判响应文件、谈判情况和谈判中获悉的国家秘密、商业秘密保密；</w:t>
      </w:r>
    </w:p>
    <w:p w14:paraId="29145CD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（4）参与评审报告的起草；</w:t>
      </w:r>
    </w:p>
    <w:p w14:paraId="00D5288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（5）配合采购人、采购代理机构答复供应商提出的质疑；</w:t>
      </w:r>
    </w:p>
    <w:p w14:paraId="2867C94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（6）配合财政部门的投诉处理和监督检查工作。</w:t>
      </w:r>
    </w:p>
    <w:p w14:paraId="4FC1833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17.4谈判小组成员有下列情形之一的，应当回避：</w:t>
      </w:r>
    </w:p>
    <w:p w14:paraId="2C4E0C10">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（1）参加采购活动前 3 年内与供应商存在劳动关系；</w:t>
      </w:r>
    </w:p>
    <w:p w14:paraId="64FB980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（2）参加采购活动前 3 年内担任供应商的董事、监事；</w:t>
      </w:r>
    </w:p>
    <w:p w14:paraId="562505A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（3）参加采购活动前 3 年内是供应商的控股股东或者实际控制人；</w:t>
      </w:r>
    </w:p>
    <w:p w14:paraId="4C8A71E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（4）与供应商的法定代表人或者负责人有夫妻、直系血亲、三代以内旁系血亲或者近姻亲关系；</w:t>
      </w:r>
    </w:p>
    <w:p w14:paraId="3FF6F58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（5）与供应商有其他可能影响政府采购活动公平、公正进行的关系。</w:t>
      </w:r>
      <w:bookmarkStart w:id="139" w:name="_Toc16350_WPSOffice_Level3"/>
      <w:bookmarkStart w:id="140" w:name="_Toc19122"/>
    </w:p>
    <w:p w14:paraId="7E533D6C">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41" w:name="_Toc32601"/>
      <w:bookmarkStart w:id="142" w:name="_Toc22044_WPSOffice_Level3"/>
      <w:r>
        <w:rPr>
          <w:rFonts w:hint="eastAsia" w:ascii="宋体" w:hAnsi="宋体" w:eastAsia="宋体" w:cs="宋体"/>
          <w:b/>
          <w:bCs/>
          <w:kern w:val="2"/>
          <w:sz w:val="24"/>
          <w:szCs w:val="24"/>
          <w:u w:val="none"/>
          <w:lang w:val="en-US" w:eastAsia="zh-CN" w:bidi="ar-SA"/>
        </w:rPr>
        <w:t>18.响应文件审查</w:t>
      </w:r>
      <w:bookmarkEnd w:id="139"/>
      <w:bookmarkEnd w:id="140"/>
      <w:bookmarkEnd w:id="141"/>
      <w:bookmarkEnd w:id="142"/>
    </w:p>
    <w:p w14:paraId="57D57BA0">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18.1谈判小组应当对响应文件进行评审，并根据谈判文件规定的程序、评定成交的标准等事项与实质性响应谈判文件要求的供应商进行谈判。</w:t>
      </w:r>
    </w:p>
    <w:p w14:paraId="183A6B9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18.2在对供应商进行审查时，存在下列情况之一的，按无效处理：</w:t>
      </w:r>
    </w:p>
    <w:p w14:paraId="6592F1B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（1）不符合谈判文件第一部分谈判须知前附表“供应商资格条件”的；</w:t>
      </w:r>
    </w:p>
    <w:p w14:paraId="4995D7A0">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（2）未按第11.1.1款“</w:t>
      </w:r>
      <w:r>
        <w:rPr>
          <w:rFonts w:hint="eastAsia" w:ascii="宋体" w:hAnsi="宋体" w:eastAsia="宋体" w:cs="宋体"/>
          <w:b w:val="0"/>
          <w:bCs w:val="0"/>
          <w:kern w:val="2"/>
          <w:sz w:val="24"/>
          <w:szCs w:val="24"/>
          <w:u w:val="none"/>
          <w:lang w:val="zh-CN" w:eastAsia="zh-CN" w:bidi="ar-SA"/>
        </w:rPr>
        <w:t>资格审查部分</w:t>
      </w:r>
      <w:r>
        <w:rPr>
          <w:rFonts w:hint="eastAsia" w:ascii="宋体" w:hAnsi="宋体" w:eastAsia="宋体" w:cs="宋体"/>
          <w:b w:val="0"/>
          <w:bCs w:val="0"/>
          <w:kern w:val="2"/>
          <w:sz w:val="24"/>
          <w:szCs w:val="24"/>
          <w:u w:val="none"/>
          <w:lang w:val="en-US" w:eastAsia="zh-CN" w:bidi="ar-SA"/>
        </w:rPr>
        <w:t>”要求提供相关资料的；</w:t>
      </w:r>
    </w:p>
    <w:p w14:paraId="10AE9CF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（3）响应文件没有按谈判文件规定和要求签字、盖章的；</w:t>
      </w:r>
    </w:p>
    <w:p w14:paraId="61DCB05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（4）谈判有效期、交货期不能满足谈判文件要求的；</w:t>
      </w:r>
    </w:p>
    <w:p w14:paraId="79B2627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（5）谈判报价超过谈判文件规定的采购预算额度的；</w:t>
      </w:r>
    </w:p>
    <w:p w14:paraId="1E19496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（6）所提供产品的技术规格、技术标准不符合采购项目要求的；</w:t>
      </w:r>
    </w:p>
    <w:p w14:paraId="247496D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（7）谈判响应文件含有采购人不能接受的附加条件的；</w:t>
      </w:r>
    </w:p>
    <w:p w14:paraId="502A4A5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（8）响应文件不满足谈判文件实质性要求和条件的；</w:t>
      </w:r>
    </w:p>
    <w:p w14:paraId="530FD92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（9）谈判小组认为应按无效谈判处理的其他情况；</w:t>
      </w:r>
    </w:p>
    <w:p w14:paraId="41EBF59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（10）法律、法规规定的其他情形。</w:t>
      </w:r>
    </w:p>
    <w:p w14:paraId="5AC040FC">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43" w:name="_Toc17197"/>
      <w:bookmarkStart w:id="144" w:name="_Toc15500"/>
      <w:bookmarkStart w:id="145" w:name="_Toc1673_WPSOffice_Level3"/>
      <w:bookmarkStart w:id="146" w:name="_Toc11154"/>
      <w:bookmarkStart w:id="147" w:name="_Toc17887_WPSOffice_Level3"/>
      <w:r>
        <w:rPr>
          <w:rFonts w:hint="eastAsia" w:ascii="宋体" w:hAnsi="宋体" w:eastAsia="宋体" w:cs="宋体"/>
          <w:b/>
          <w:bCs/>
          <w:kern w:val="2"/>
          <w:sz w:val="24"/>
          <w:szCs w:val="24"/>
          <w:u w:val="none"/>
          <w:lang w:val="en-US" w:eastAsia="zh-CN" w:bidi="ar-SA"/>
        </w:rPr>
        <w:t>19.谈判程序</w:t>
      </w:r>
      <w:bookmarkEnd w:id="143"/>
      <w:bookmarkEnd w:id="144"/>
      <w:bookmarkEnd w:id="145"/>
      <w:bookmarkEnd w:id="146"/>
      <w:bookmarkEnd w:id="147"/>
    </w:p>
    <w:p w14:paraId="201F69E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19.1在谈判过程中，谈判小组所有成员集中与单一供应商分别进行谈判，负责审议所有通过资格条件供应商的谈判响应文件，给予所有参加谈判的供应商平等的谈判机会。供应商应派其代表参加谈判。在谈判过程中谈判的任何一方不得向他人透露与谈判有关的技术资料、价格或其他信息。</w:t>
      </w:r>
    </w:p>
    <w:p w14:paraId="416A8BE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19.2在谈判过程中，谈判小组可以根据谈判文件和谈判情况实质性变动技术标准及要求中的技术、服务要求以及合同草案条款，但不得变动谈判文件中的其他内容。实质性变动的内容，须经采购人代表确认，谈判小组将以书面形式将修改内容同时通知所有参加谈判的供应商。</w:t>
      </w:r>
    </w:p>
    <w:p w14:paraId="1BA72A6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19.3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738F40A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19.4响应文件中首次报价表内的报价为首次报价，根据技术、服务等满足谈判文件要求的情况，供应商可进行二次报价。</w:t>
      </w:r>
    </w:p>
    <w:p w14:paraId="14C8EFE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19.5谈判小组认为供应商的最后报价明显低于其他通过有效性、完整性、响应程度审查供应商的报价，有可能影响产品质量或者不能诚信履约的，应当要求其在谈判现场合理的时间内提供书面说明，必要时提交相关证明材料；供应商不能证明其报价合理性的，谈判小组应当将其作为无效谈判处理。</w:t>
      </w:r>
    </w:p>
    <w:p w14:paraId="1A914A4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19.6谈判工作在有关部门的监督下依法开展，任何单位和个人不得非法干预、影响谈判工作和谈判结果。</w:t>
      </w:r>
    </w:p>
    <w:p w14:paraId="434FD77E">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48" w:name="_Toc21836"/>
      <w:bookmarkStart w:id="149" w:name="_Toc14903"/>
      <w:bookmarkStart w:id="150" w:name="_Toc2176"/>
      <w:bookmarkStart w:id="151" w:name="_Toc24288_WPSOffice_Level3"/>
      <w:bookmarkStart w:id="152" w:name="_Toc25644_WPSOffice_Level3"/>
      <w:r>
        <w:rPr>
          <w:rFonts w:hint="eastAsia" w:ascii="宋体" w:hAnsi="宋体" w:eastAsia="宋体" w:cs="宋体"/>
          <w:b/>
          <w:bCs/>
          <w:kern w:val="2"/>
          <w:sz w:val="24"/>
          <w:szCs w:val="24"/>
          <w:u w:val="none"/>
          <w:lang w:val="en-US" w:eastAsia="zh-CN" w:bidi="ar-SA"/>
        </w:rPr>
        <w:t>20.澄清</w:t>
      </w:r>
      <w:bookmarkEnd w:id="148"/>
      <w:bookmarkEnd w:id="149"/>
      <w:bookmarkEnd w:id="150"/>
      <w:bookmarkEnd w:id="151"/>
      <w:bookmarkEnd w:id="152"/>
    </w:p>
    <w:p w14:paraId="47B5591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20.1谈判小组在对响应文件(包括首次提交的响应文件、重新提交的响应文件)的有效性、完整性和对谈判文件的响应程度进行审查时，可以要求供应商对响应文件中含义不明确、同类问题表述不一致或者有明显文字和计算错误的内容等作出必要的澄清、说明或者更正。</w:t>
      </w:r>
    </w:p>
    <w:p w14:paraId="10DBC868">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20.2供应商的澄清、说明或者更正响应文件应当采用书面形式，由法定代表人或其授权代表签字或者加盖公章。由授权代表签字的，应当附法定代表人授权书。供应商为自然人的，应当由本人签字并附身份证明，供应商的澄清、说明或者更正不得超出谈判文件的范围或者改变响应文件的实质性内容。</w:t>
      </w:r>
    </w:p>
    <w:p w14:paraId="7FE5B602">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53" w:name="_Toc21875"/>
      <w:bookmarkStart w:id="154" w:name="_Toc4997"/>
      <w:bookmarkStart w:id="155" w:name="_Toc8374"/>
      <w:bookmarkStart w:id="156" w:name="_Toc6898_WPSOffice_Level3"/>
      <w:bookmarkStart w:id="157" w:name="_Toc13262_WPSOffice_Level3"/>
      <w:r>
        <w:rPr>
          <w:rFonts w:hint="eastAsia" w:ascii="宋体" w:hAnsi="宋体" w:eastAsia="宋体" w:cs="宋体"/>
          <w:b/>
          <w:bCs/>
          <w:kern w:val="2"/>
          <w:sz w:val="24"/>
          <w:szCs w:val="24"/>
          <w:u w:val="none"/>
          <w:lang w:val="en-US" w:eastAsia="zh-CN" w:bidi="ar-SA"/>
        </w:rPr>
        <w:t>21.退出谈判</w:t>
      </w:r>
      <w:bookmarkEnd w:id="153"/>
      <w:bookmarkEnd w:id="154"/>
      <w:bookmarkEnd w:id="155"/>
      <w:bookmarkEnd w:id="156"/>
      <w:bookmarkEnd w:id="157"/>
    </w:p>
    <w:p w14:paraId="73DCB7E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在提交最后报价之前，可以根据谈判情况退出谈判，并由法定代表人或其授权代表签字或加盖公章书面通知采购人、采购代理机构或者谈判小组。采购人、采购代理机构按规定退还退出谈判的供应商的保证金。</w:t>
      </w:r>
    </w:p>
    <w:p w14:paraId="1D05C861">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58" w:name="_Toc32003"/>
      <w:bookmarkStart w:id="159" w:name="_Toc18169_WPSOffice_Level3"/>
      <w:bookmarkStart w:id="160" w:name="_Toc887"/>
      <w:bookmarkStart w:id="161" w:name="_Toc5048_WPSOffice_Level3"/>
      <w:bookmarkStart w:id="162" w:name="_Toc14748"/>
      <w:r>
        <w:rPr>
          <w:rFonts w:hint="eastAsia" w:ascii="宋体" w:hAnsi="宋体" w:eastAsia="宋体" w:cs="宋体"/>
          <w:b/>
          <w:bCs/>
          <w:kern w:val="2"/>
          <w:sz w:val="24"/>
          <w:szCs w:val="24"/>
          <w:u w:val="none"/>
          <w:lang w:val="en-US" w:eastAsia="zh-CN" w:bidi="ar-SA"/>
        </w:rPr>
        <w:t>22.最后报价</w:t>
      </w:r>
      <w:bookmarkEnd w:id="158"/>
      <w:bookmarkEnd w:id="159"/>
      <w:bookmarkEnd w:id="160"/>
      <w:bookmarkEnd w:id="161"/>
      <w:bookmarkEnd w:id="162"/>
    </w:p>
    <w:p w14:paraId="07B5B4E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22.1谈判结束后，符合谈判文件规定的实质性要求和条件的供应商不少于3家的，谈判小组应当要求符合谈判文件规定的实质性要求和条件的供应商在规定时间内提交最后报价。最后报价应由供应商代表签字或者加盖供应商单位公章。</w:t>
      </w:r>
    </w:p>
    <w:p w14:paraId="0AB78EE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22.2谈判文件不能详细列明采购需求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5752BF3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22.3最后报价的评审</w:t>
      </w:r>
    </w:p>
    <w:p w14:paraId="47FDDEE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（1）最后报价出现大写金额和小写金额不一致的，以大写金额为准。</w:t>
      </w:r>
    </w:p>
    <w:p w14:paraId="23A035B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（2）需落实政府采购政策的，按相关规定进行价格扣除。</w:t>
      </w:r>
    </w:p>
    <w:p w14:paraId="0F372D6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22.4最后报价如果高于其响应文件中的首次报价的，以最后报价为准。</w:t>
      </w:r>
    </w:p>
    <w:p w14:paraId="4032FE1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22.5采购人、采购代理机构在按规定公布供应商的最后报价前，不得公开供应商的技术资料、价格和其他信息。</w:t>
      </w:r>
    </w:p>
    <w:p w14:paraId="293AB46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22.6若最后报价时出现最低价相同的情形，谈判小组应召集报价相同的供应商进行再次报价。</w:t>
      </w:r>
    </w:p>
    <w:p w14:paraId="1394C652">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63" w:name="_Toc7275"/>
      <w:bookmarkStart w:id="164" w:name="_Toc1264"/>
      <w:bookmarkStart w:id="165" w:name="_Toc8242_WPSOffice_Level3"/>
      <w:bookmarkStart w:id="166" w:name="_Toc1797"/>
      <w:bookmarkStart w:id="167" w:name="_Toc16084_WPSOffice_Level3"/>
      <w:r>
        <w:rPr>
          <w:rFonts w:hint="eastAsia" w:ascii="宋体" w:hAnsi="宋体" w:eastAsia="宋体" w:cs="宋体"/>
          <w:b/>
          <w:bCs/>
          <w:kern w:val="2"/>
          <w:sz w:val="24"/>
          <w:szCs w:val="24"/>
          <w:u w:val="none"/>
          <w:lang w:val="en-US" w:eastAsia="zh-CN" w:bidi="ar-SA"/>
        </w:rPr>
        <w:t>23.确定成交供应商</w:t>
      </w:r>
      <w:bookmarkEnd w:id="163"/>
      <w:bookmarkEnd w:id="164"/>
      <w:bookmarkEnd w:id="165"/>
      <w:bookmarkEnd w:id="166"/>
      <w:bookmarkEnd w:id="167"/>
    </w:p>
    <w:p w14:paraId="021A3A5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23.1谈判小组应当从质量和服务均能满足采购文件实质性响应要求的供应商中，按照最后报价由低到高的顺序提出3名以上成交候选人，并编写评审报告。供应商最后报价涉及算术修正、需落实政府采购政策的，按上款规定由低到高顺序排序。</w:t>
      </w:r>
    </w:p>
    <w:p w14:paraId="63B73F5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23.2谈判小组应当根据评审记录和评审结果编写评审报告。评审报告应当由谈判小组全体人员签字认可。谈判小组成员对评审报告有异议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77071A7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23.3采购代理机构应当在评审结束后2个工作日内将评审报告送采购人确认。</w:t>
      </w:r>
    </w:p>
    <w:p w14:paraId="2B8F15C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23.4采购人应当在收到评审报告后5个工作日内，从评审报告提出的成交候选人中，根据质量和服务均能满足采购文件实质性响应要求且最后报价最低的原则确定成交供应商，也可以书面授权谈判小组直接确定成交供应商。</w:t>
      </w:r>
    </w:p>
    <w:p w14:paraId="550BC79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23.5采购人逾期未确定成交供应商且不提出异议的，视为确定评审报告提出的最后报价最低的供应商为成交供应商。</w:t>
      </w:r>
    </w:p>
    <w:p w14:paraId="3C47F6CA">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68" w:name="_Toc22823"/>
      <w:bookmarkStart w:id="169" w:name="_Toc17639_WPSOffice_Level3"/>
      <w:bookmarkStart w:id="170" w:name="_Toc10295"/>
      <w:bookmarkStart w:id="171" w:name="_Toc20869_WPSOffice_Level3"/>
      <w:bookmarkStart w:id="172" w:name="_Toc24684"/>
      <w:r>
        <w:rPr>
          <w:rFonts w:hint="eastAsia" w:ascii="宋体" w:hAnsi="宋体" w:eastAsia="宋体" w:cs="宋体"/>
          <w:b/>
          <w:bCs/>
          <w:kern w:val="2"/>
          <w:sz w:val="24"/>
          <w:szCs w:val="24"/>
          <w:u w:val="none"/>
          <w:lang w:val="en-US" w:eastAsia="zh-CN" w:bidi="ar-SA"/>
        </w:rPr>
        <w:t>24.重新评审</w:t>
      </w:r>
      <w:bookmarkEnd w:id="168"/>
      <w:bookmarkEnd w:id="169"/>
      <w:bookmarkEnd w:id="170"/>
      <w:bookmarkEnd w:id="171"/>
      <w:bookmarkEnd w:id="172"/>
    </w:p>
    <w:p w14:paraId="29DEBA6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24.1除资格审查认定错误和价格计算错误外，采购人、采购代理机构不以任何理由组织重新评审。</w:t>
      </w:r>
    </w:p>
    <w:p w14:paraId="096C9F38">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24.2采购人、采购代理机构发现谈判小组未按照谈判文件规定的评定成交标准进行评审的，应当重新开展采购活动，并同时书面报告同级财政部门。</w:t>
      </w:r>
    </w:p>
    <w:p w14:paraId="5EDF2245">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73" w:name="_Toc8463"/>
      <w:bookmarkStart w:id="174" w:name="_Toc3509"/>
      <w:bookmarkStart w:id="175" w:name="_Toc26374_WPSOffice_Level3"/>
      <w:bookmarkStart w:id="176" w:name="_Toc1388_WPSOffice_Level3"/>
      <w:bookmarkStart w:id="177" w:name="_Toc12673"/>
      <w:r>
        <w:rPr>
          <w:rFonts w:hint="eastAsia" w:ascii="宋体" w:hAnsi="宋体" w:eastAsia="宋体" w:cs="宋体"/>
          <w:b/>
          <w:bCs/>
          <w:kern w:val="2"/>
          <w:sz w:val="24"/>
          <w:szCs w:val="24"/>
          <w:u w:val="none"/>
          <w:lang w:val="en-US" w:eastAsia="zh-CN" w:bidi="ar-SA"/>
        </w:rPr>
        <w:t>25.谈判终止</w:t>
      </w:r>
      <w:bookmarkEnd w:id="173"/>
      <w:bookmarkEnd w:id="174"/>
      <w:bookmarkEnd w:id="175"/>
      <w:bookmarkEnd w:id="176"/>
      <w:bookmarkEnd w:id="177"/>
    </w:p>
    <w:p w14:paraId="34F21D7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25.1出现下列情形之一的，采购人、采购代理机构应当终止竞争性谈判采购活动，在指定的媒体上发布项目终止公告并说明原因，重新开展采购活动： </w:t>
      </w:r>
    </w:p>
    <w:p w14:paraId="0B1510D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（1）因情况变化，不再符合规定的竞争性谈判采购方式适用情形的；</w:t>
      </w:r>
    </w:p>
    <w:p w14:paraId="130C498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（2）出现影响采购公正的违法、违规行为的；</w:t>
      </w:r>
    </w:p>
    <w:p w14:paraId="637F15A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（3）在采购过程中符合谈判要求的供应商或者报价未超过采购预算的供应商不足3家的，或者提交最后报价的供应商少于3家的；</w:t>
      </w:r>
    </w:p>
    <w:p w14:paraId="12F4168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（4）因重大变故，采购任务取消的。</w:t>
      </w:r>
    </w:p>
    <w:p w14:paraId="66453B1F">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78" w:name="_Toc11721"/>
      <w:bookmarkStart w:id="179" w:name="_Toc18635_WPSOffice_Level3"/>
      <w:bookmarkStart w:id="180" w:name="_Toc32730"/>
      <w:bookmarkStart w:id="181" w:name="_Toc20574"/>
      <w:bookmarkStart w:id="182" w:name="_Toc20688_WPSOffice_Level3"/>
      <w:r>
        <w:rPr>
          <w:rFonts w:hint="eastAsia" w:ascii="宋体" w:hAnsi="宋体" w:eastAsia="宋体" w:cs="宋体"/>
          <w:b/>
          <w:bCs/>
          <w:kern w:val="2"/>
          <w:sz w:val="24"/>
          <w:szCs w:val="24"/>
          <w:u w:val="none"/>
          <w:lang w:val="en-US" w:eastAsia="zh-CN" w:bidi="ar-SA"/>
        </w:rPr>
        <w:t>26.串通情形认定及处理</w:t>
      </w:r>
      <w:bookmarkEnd w:id="178"/>
      <w:bookmarkEnd w:id="179"/>
      <w:bookmarkEnd w:id="180"/>
      <w:bookmarkEnd w:id="181"/>
      <w:bookmarkEnd w:id="182"/>
    </w:p>
    <w:p w14:paraId="0538F94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26.1供应商不得与采购人、采购代理机构、其他供应商恶意串通；不得向采购人、采购代理机构或者谈判小组成员行贿或者提供其他不正当利益；不得提供虚假材料谋取成交；不得以任何方式干扰、影响采购工作。</w:t>
      </w:r>
    </w:p>
    <w:p w14:paraId="2E76278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26.2有下列情形之一的，成交无效，对供应商</w:t>
      </w:r>
      <w:r>
        <w:rPr>
          <w:rFonts w:hint="eastAsia" w:ascii="宋体" w:hAnsi="宋体" w:eastAsia="宋体" w:cs="宋体"/>
          <w:b w:val="0"/>
          <w:bCs w:val="0"/>
          <w:kern w:val="2"/>
          <w:sz w:val="24"/>
          <w:szCs w:val="24"/>
          <w:u w:val="none"/>
          <w:lang w:val="zh-CN" w:eastAsia="zh-CN" w:bidi="ar-SA"/>
        </w:rPr>
        <w:t>依照《政府采购法》第七十七条的规定追究法律责任：</w:t>
      </w:r>
      <w:bookmarkStart w:id="183" w:name="_Toc34637770"/>
      <w:bookmarkStart w:id="184" w:name="_Toc22761"/>
    </w:p>
    <w:p w14:paraId="46688951">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供应商直接或者间接从采购人或者采购代理机构处获得其他供应商的相关情况并修改其响应文件；</w:t>
      </w:r>
    </w:p>
    <w:p w14:paraId="08D9E59A">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供应商按照采购人或者采购代理机构的授意撤换、修改响应文件；</w:t>
      </w:r>
    </w:p>
    <w:p w14:paraId="132F22CB">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供应商之间协商报价、技术方案等响应文件的实质性内容；</w:t>
      </w:r>
    </w:p>
    <w:p w14:paraId="1B166B8D">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属于同一集团、协会、商会等组织成员的供应商按照该组织要求协同参加政府采购活动；</w:t>
      </w:r>
    </w:p>
    <w:p w14:paraId="33A09DFF">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供应商之间事先约定由某一特定供应商成交；</w:t>
      </w:r>
    </w:p>
    <w:p w14:paraId="113298C2">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供应商之间商定部分供应商放弃参加政府采购活动或者放弃成交；</w:t>
      </w:r>
    </w:p>
    <w:p w14:paraId="5D32500C">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供应商与采购人或者采购代理机构之间、供应商相互之间，为谋求特定供应商成交或者排斥其他供应商的其他串通行为。</w:t>
      </w:r>
    </w:p>
    <w:p w14:paraId="2FABFB5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26.3 有下列情形之一的，视为供应商串通，其响应无效：</w:t>
      </w:r>
    </w:p>
    <w:p w14:paraId="00DA645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（1）不同供应商的响应文件由同一单位或者个人编制；</w:t>
      </w:r>
    </w:p>
    <w:p w14:paraId="249DDDF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（2）不同供应商委托同一单位或者个人办理谈判事宜；</w:t>
      </w:r>
    </w:p>
    <w:p w14:paraId="4D36F39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（3）不同供应商的响应文件载明的项目管理成员或者联系人员为同一人；</w:t>
      </w:r>
    </w:p>
    <w:p w14:paraId="7272394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（4）不同供应商的响应文件异常一致或者报价呈规律性差异；</w:t>
      </w:r>
    </w:p>
    <w:p w14:paraId="576F91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（5）不同供应商的响应文件相互混装；</w:t>
      </w:r>
    </w:p>
    <w:p w14:paraId="4E62CB8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黑体" w:hAnsi="黑体" w:eastAsia="黑体" w:cs="黑体"/>
          <w:b w:val="0"/>
          <w:bCs w:val="0"/>
          <w:kern w:val="2"/>
          <w:sz w:val="32"/>
          <w:szCs w:val="32"/>
          <w:highlight w:val="none"/>
          <w:lang w:val="en-US" w:eastAsia="zh-CN" w:bidi="ar-SA"/>
        </w:rPr>
      </w:pPr>
      <w:r>
        <w:rPr>
          <w:rFonts w:hint="eastAsia" w:ascii="宋体" w:hAnsi="宋体" w:eastAsia="宋体" w:cs="宋体"/>
          <w:b w:val="0"/>
          <w:bCs w:val="0"/>
          <w:kern w:val="2"/>
          <w:sz w:val="24"/>
          <w:szCs w:val="24"/>
          <w:u w:val="none"/>
          <w:lang w:val="en-US" w:eastAsia="zh-CN" w:bidi="ar-SA"/>
        </w:rPr>
        <w:t>（6）不同供应商的保证金从同一单位或者个人的账户转出。</w:t>
      </w:r>
      <w:r>
        <w:rPr>
          <w:rFonts w:hint="eastAsia" w:ascii="仿宋_GB2312" w:hAnsi="仿宋_GB2312" w:eastAsia="仿宋_GB2312" w:cs="仿宋_GB2312"/>
          <w:b w:val="0"/>
          <w:bCs w:val="0"/>
          <w:kern w:val="2"/>
          <w:sz w:val="28"/>
          <w:szCs w:val="28"/>
          <w:u w:val="none"/>
          <w:lang w:val="en-US" w:eastAsia="zh-CN" w:bidi="ar-SA"/>
        </w:rPr>
        <w:br w:type="textWrapping"/>
      </w:r>
      <w:r>
        <w:rPr>
          <w:rFonts w:hint="eastAsia" w:ascii="黑体" w:hAnsi="黑体" w:eastAsia="黑体" w:cs="黑体"/>
          <w:b w:val="0"/>
          <w:bCs w:val="0"/>
          <w:kern w:val="2"/>
          <w:sz w:val="32"/>
          <w:szCs w:val="32"/>
          <w:highlight w:val="none"/>
          <w:lang w:val="en-US" w:eastAsia="zh-CN" w:bidi="ar-SA"/>
        </w:rPr>
        <w:t xml:space="preserve">               六、成交结果信息公布与授予合同</w:t>
      </w:r>
      <w:bookmarkEnd w:id="183"/>
      <w:bookmarkEnd w:id="184"/>
    </w:p>
    <w:p w14:paraId="291B93FC">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85" w:name="_Toc28490"/>
      <w:bookmarkStart w:id="186" w:name="_Toc947"/>
      <w:bookmarkStart w:id="187" w:name="_Toc8339_WPSOffice_Level3"/>
      <w:bookmarkStart w:id="188" w:name="_Toc30784_WPSOffice_Level3"/>
      <w:bookmarkStart w:id="189" w:name="_Toc23126"/>
      <w:r>
        <w:rPr>
          <w:rFonts w:hint="eastAsia" w:ascii="宋体" w:hAnsi="宋体" w:eastAsia="宋体" w:cs="宋体"/>
          <w:b/>
          <w:bCs/>
          <w:kern w:val="2"/>
          <w:sz w:val="24"/>
          <w:szCs w:val="24"/>
          <w:u w:val="none"/>
          <w:lang w:val="en-US" w:eastAsia="zh-CN" w:bidi="ar-SA"/>
        </w:rPr>
        <w:t>27.成交信息的公布与通知</w:t>
      </w:r>
      <w:bookmarkEnd w:id="185"/>
      <w:bookmarkEnd w:id="186"/>
      <w:bookmarkEnd w:id="187"/>
      <w:bookmarkEnd w:id="188"/>
      <w:bookmarkEnd w:id="189"/>
    </w:p>
    <w:p w14:paraId="76509D6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27.1代理机构应自确定成交供应商之日起2个工作日内在青海政府采购信息网上公告成交结果，同时向成交供应商发出《成交通知书》。成交通知书对采购人和成交供应商具有同等法律效力。</w:t>
      </w:r>
    </w:p>
    <w:p w14:paraId="0AF93B2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27.2成交结果公告应当包括以下内容：</w:t>
      </w:r>
    </w:p>
    <w:p w14:paraId="6ECCCBF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（1）采购人和采购代理机构的名称、地址和联系方式；</w:t>
      </w:r>
    </w:p>
    <w:p w14:paraId="3F4346C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（2）项目名称和项目编号；</w:t>
      </w:r>
    </w:p>
    <w:p w14:paraId="45F5F13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（3）成交供应商名称、地址和成交金额；</w:t>
      </w:r>
    </w:p>
    <w:p w14:paraId="6FC9928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（4）主要成交标的的名称、规格型号、数量、单价、服务要求；</w:t>
      </w:r>
    </w:p>
    <w:p w14:paraId="524A5BB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（5）谈判小组成员名单。</w:t>
      </w:r>
    </w:p>
    <w:p w14:paraId="348EFE0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27.3《成交通知书》发出后，采购人不得违法改变采购结果，成交供应商无正当理由不得放弃。</w:t>
      </w:r>
    </w:p>
    <w:p w14:paraId="7C6EA684">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90" w:name="_Toc20586"/>
      <w:bookmarkStart w:id="191" w:name="_Toc5068_WPSOffice_Level3"/>
      <w:bookmarkStart w:id="192" w:name="_Toc13860_WPSOffice_Level3"/>
      <w:bookmarkStart w:id="193" w:name="_Toc29441"/>
      <w:bookmarkStart w:id="194" w:name="_Toc1580"/>
      <w:r>
        <w:rPr>
          <w:rFonts w:hint="eastAsia" w:ascii="宋体" w:hAnsi="宋体" w:eastAsia="宋体" w:cs="宋体"/>
          <w:b/>
          <w:bCs/>
          <w:kern w:val="2"/>
          <w:sz w:val="24"/>
          <w:szCs w:val="24"/>
          <w:u w:val="none"/>
          <w:lang w:val="en-US" w:eastAsia="zh-CN" w:bidi="ar-SA"/>
        </w:rPr>
        <w:t>28.授予合同</w:t>
      </w:r>
      <w:bookmarkEnd w:id="190"/>
      <w:bookmarkEnd w:id="191"/>
      <w:bookmarkEnd w:id="192"/>
      <w:bookmarkEnd w:id="193"/>
      <w:bookmarkEnd w:id="194"/>
    </w:p>
    <w:p w14:paraId="700D89C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28.1谈判文件、成交供应商的响应文件及其补充的响应文件、成交通知书等均为签订政府采购合同的依据。</w:t>
      </w:r>
    </w:p>
    <w:p w14:paraId="6065AA3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28.2采购人与成交供应商双方应当自《成交通知书》发出之日起30日内，按照谈判文件确定的合同文本以及采购标的、规格型号、采购金额、采购数量、技术和服务要求等事项签订政府采购合同。</w:t>
      </w:r>
    </w:p>
    <w:p w14:paraId="24F1EE8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28.3采购人不得向成交供应商提出超出谈判文件以外的任何要求作为订立合同的条件，不得与成交供应商订立背离谈判文件确定的合同文本以及采购标的、规格型号、采购金额、采购数量、技术和服务要求等实质性内容的协议。</w:t>
      </w:r>
    </w:p>
    <w:p w14:paraId="3BA1F24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bookmarkStart w:id="195" w:name="_Toc325726030"/>
      <w:bookmarkStart w:id="196" w:name="_Toc376936761"/>
      <w:r>
        <w:rPr>
          <w:rFonts w:hint="eastAsia" w:ascii="宋体" w:hAnsi="宋体" w:eastAsia="宋体" w:cs="宋体"/>
          <w:b w:val="0"/>
          <w:bCs w:val="0"/>
          <w:kern w:val="2"/>
          <w:sz w:val="24"/>
          <w:szCs w:val="24"/>
          <w:u w:val="none"/>
          <w:lang w:val="en-US" w:eastAsia="zh-CN" w:bidi="ar-SA"/>
        </w:rPr>
        <w:t>28.4采购人或采购代理机构应当自采购合同签订之日起2个工作日内，将采购合同在青海政府采购信息网上公告，但政府采购合同中涉及国家秘密、商业秘密的内容除外。</w:t>
      </w:r>
    </w:p>
    <w:p w14:paraId="04EB767E">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97" w:name="_Toc14343"/>
      <w:bookmarkStart w:id="198" w:name="_Toc8740_WPSOffice_Level3"/>
      <w:bookmarkStart w:id="199" w:name="_Toc16374"/>
      <w:bookmarkStart w:id="200" w:name="_Toc16258_WPSOffice_Level3"/>
      <w:bookmarkStart w:id="201" w:name="_Toc32538"/>
      <w:r>
        <w:rPr>
          <w:rFonts w:hint="eastAsia" w:ascii="宋体" w:hAnsi="宋体" w:eastAsia="宋体" w:cs="宋体"/>
          <w:b/>
          <w:bCs/>
          <w:kern w:val="2"/>
          <w:sz w:val="24"/>
          <w:szCs w:val="24"/>
          <w:u w:val="none"/>
          <w:lang w:val="en-US" w:eastAsia="zh-CN" w:bidi="ar-SA"/>
        </w:rPr>
        <w:t>29.履约验收</w:t>
      </w:r>
      <w:bookmarkEnd w:id="197"/>
      <w:bookmarkEnd w:id="198"/>
      <w:bookmarkEnd w:id="199"/>
      <w:bookmarkEnd w:id="200"/>
      <w:bookmarkEnd w:id="201"/>
    </w:p>
    <w:p w14:paraId="493E3F4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29.1履约保证金：</w:t>
      </w:r>
      <w:r>
        <w:rPr>
          <w:rFonts w:hint="eastAsia" w:ascii="宋体" w:hAnsi="宋体" w:cs="宋体"/>
          <w:b w:val="0"/>
          <w:bCs w:val="0"/>
          <w:kern w:val="2"/>
          <w:sz w:val="24"/>
          <w:szCs w:val="24"/>
          <w:u w:val="none"/>
          <w:lang w:val="en-US" w:eastAsia="zh-CN" w:bidi="ar-SA"/>
        </w:rPr>
        <w:t>详见合同</w:t>
      </w:r>
    </w:p>
    <w:p w14:paraId="3C35006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按照政府采购合同规定的技术、服务、安全标准组织对供应商履约情况进行验收，并出具验收书。验收书应当包括每一项技术、服务、安全标准的履约情况。</w:t>
      </w:r>
    </w:p>
    <w:p w14:paraId="7B0D014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29.3采购人可以邀请参加本项目的其他供应商或者第三方机构参与验收。参与验收的供应商或者第三方机构的意见作为验收书的参考资料一并存档。</w:t>
      </w:r>
    </w:p>
    <w:p w14:paraId="44B7371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29.4采购人应当加强履约管理，并按照采购合同约定，及时向成交供应商支付采购资金。对于成交供应商违反采购合同约定的行为，采购人应当及时处理，依法追究其违约责任。</w:t>
      </w:r>
    </w:p>
    <w:p w14:paraId="0F555F6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29.5采购人、采购代理机构应当建立真实完整的谈判档案，妥善保存谈判的相关资料。</w:t>
      </w:r>
    </w:p>
    <w:p w14:paraId="5F615887">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highlight w:val="none"/>
          <w:lang w:val="en-US" w:eastAsia="zh-CN" w:bidi="ar-SA"/>
        </w:rPr>
      </w:pPr>
      <w:bookmarkStart w:id="202" w:name="_Toc2728"/>
      <w:bookmarkStart w:id="203" w:name="_Toc31604_WPSOffice_Level2"/>
      <w:bookmarkStart w:id="204" w:name="_Toc32362"/>
      <w:bookmarkStart w:id="205" w:name="_Toc6881"/>
      <w:bookmarkStart w:id="206" w:name="_Toc2658_WPSOffice_Level2"/>
      <w:bookmarkStart w:id="207" w:name="_Toc4328"/>
      <w:bookmarkStart w:id="208" w:name="_Toc3517_WPSOffice_Level2"/>
      <w:r>
        <w:rPr>
          <w:rFonts w:hint="eastAsia" w:ascii="黑体" w:hAnsi="黑体" w:eastAsia="黑体" w:cs="黑体"/>
          <w:b w:val="0"/>
          <w:bCs w:val="0"/>
          <w:kern w:val="2"/>
          <w:sz w:val="32"/>
          <w:szCs w:val="32"/>
          <w:highlight w:val="none"/>
          <w:lang w:val="en-US" w:eastAsia="zh-CN" w:bidi="ar-SA"/>
        </w:rPr>
        <w:t>七、询问与质疑</w:t>
      </w:r>
      <w:bookmarkEnd w:id="195"/>
      <w:bookmarkEnd w:id="196"/>
      <w:bookmarkEnd w:id="202"/>
      <w:bookmarkEnd w:id="203"/>
      <w:bookmarkEnd w:id="204"/>
      <w:bookmarkEnd w:id="205"/>
      <w:bookmarkEnd w:id="206"/>
      <w:bookmarkEnd w:id="207"/>
      <w:bookmarkEnd w:id="208"/>
    </w:p>
    <w:p w14:paraId="048A0B5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209" w:name="_Toc29785"/>
      <w:bookmarkStart w:id="210" w:name="_Toc21641"/>
      <w:bookmarkStart w:id="211" w:name="_Toc25982_WPSOffice_Level3"/>
      <w:bookmarkStart w:id="212" w:name="_Toc14109"/>
      <w:bookmarkStart w:id="213" w:name="_Toc23314_WPSOffice_Level3"/>
      <w:r>
        <w:rPr>
          <w:rFonts w:hint="eastAsia" w:ascii="宋体" w:hAnsi="宋体" w:eastAsia="宋体" w:cs="宋体"/>
          <w:b/>
          <w:bCs/>
          <w:kern w:val="2"/>
          <w:sz w:val="24"/>
          <w:szCs w:val="24"/>
          <w:u w:val="none"/>
          <w:lang w:val="en-US" w:eastAsia="zh-CN" w:bidi="ar-SA"/>
        </w:rPr>
        <w:t>30.对采购过程、结果的询问及质疑</w:t>
      </w:r>
      <w:bookmarkEnd w:id="209"/>
      <w:bookmarkEnd w:id="210"/>
      <w:bookmarkEnd w:id="211"/>
      <w:bookmarkEnd w:id="212"/>
      <w:bookmarkEnd w:id="213"/>
    </w:p>
    <w:p w14:paraId="32B7612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30.1供应商对政府采购过程、结果有疑问的，可以向采购人、采购代理机构提出询问。</w:t>
      </w:r>
    </w:p>
    <w:p w14:paraId="4FB54A7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30.2参与所质疑项目的供应商认为采购过程、成交结果使自己的权益受到损害的，可以在知道或者应知其权益受到损害之日起7个工作日内，以书面形式向采购人、采购代理机构提出质疑。</w:t>
      </w:r>
    </w:p>
    <w:p w14:paraId="1270184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30.3供应商应在法定质疑期内一次性提出针对同一采购程序环节的质疑。</w:t>
      </w:r>
    </w:p>
    <w:p w14:paraId="7D9A7D8F">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highlight w:val="none"/>
          <w:lang w:val="en-US" w:eastAsia="zh-CN" w:bidi="ar-SA"/>
        </w:rPr>
      </w:pPr>
      <w:bookmarkStart w:id="214" w:name="_Toc4534"/>
      <w:bookmarkStart w:id="215" w:name="_Toc34637771"/>
      <w:bookmarkStart w:id="216" w:name="_Toc21832"/>
      <w:bookmarkStart w:id="217" w:name="_Toc6866_WPSOffice_Level2"/>
      <w:bookmarkStart w:id="218" w:name="_Toc9701_WPSOffice_Level2"/>
      <w:bookmarkStart w:id="219" w:name="_Toc22889"/>
      <w:bookmarkStart w:id="220" w:name="_Toc22201076"/>
      <w:bookmarkStart w:id="221" w:name="_Toc11509_WPSOffice_Level2"/>
      <w:bookmarkStart w:id="222" w:name="_Toc28133"/>
      <w:r>
        <w:rPr>
          <w:rFonts w:hint="eastAsia" w:ascii="黑体" w:hAnsi="黑体" w:eastAsia="黑体" w:cs="黑体"/>
          <w:b w:val="0"/>
          <w:bCs w:val="0"/>
          <w:kern w:val="2"/>
          <w:sz w:val="32"/>
          <w:szCs w:val="32"/>
          <w:highlight w:val="none"/>
          <w:lang w:val="en-US" w:eastAsia="zh-CN" w:bidi="ar-SA"/>
        </w:rPr>
        <w:t>八、政府采购政策</w:t>
      </w:r>
      <w:bookmarkEnd w:id="214"/>
      <w:bookmarkEnd w:id="215"/>
      <w:bookmarkEnd w:id="216"/>
      <w:bookmarkEnd w:id="217"/>
      <w:bookmarkEnd w:id="218"/>
      <w:bookmarkEnd w:id="219"/>
      <w:bookmarkEnd w:id="220"/>
      <w:bookmarkEnd w:id="221"/>
      <w:bookmarkEnd w:id="222"/>
    </w:p>
    <w:p w14:paraId="4682B664">
      <w:pPr>
        <w:pStyle w:val="4"/>
        <w:keepNext/>
        <w:keepLines/>
        <w:widowControl w:val="0"/>
        <w:wordWrap/>
        <w:adjustRightInd w:val="0"/>
        <w:snapToGrid w:val="0"/>
        <w:spacing w:before="157" w:beforeLines="50" w:after="0" w:line="560" w:lineRule="exact"/>
        <w:textAlignment w:val="auto"/>
        <w:outlineLvl w:val="2"/>
        <w:rPr>
          <w:rFonts w:hint="eastAsia" w:ascii="宋体" w:hAnsi="宋体" w:eastAsia="宋体" w:cs="宋体"/>
          <w:b/>
          <w:bCs/>
          <w:kern w:val="2"/>
          <w:sz w:val="24"/>
          <w:szCs w:val="24"/>
          <w:u w:val="none"/>
          <w:lang w:val="en-US" w:eastAsia="zh-CN" w:bidi="ar-SA"/>
        </w:rPr>
      </w:pPr>
      <w:bookmarkStart w:id="223" w:name="_Toc16893"/>
      <w:bookmarkStart w:id="224" w:name="_Toc22921"/>
      <w:bookmarkStart w:id="225" w:name="_Toc19360_WPSOffice_Level3"/>
      <w:bookmarkStart w:id="226" w:name="_Toc17253_WPSOffice_Level3"/>
      <w:bookmarkStart w:id="227" w:name="_Toc27584"/>
      <w:r>
        <w:rPr>
          <w:rFonts w:hint="eastAsia" w:ascii="宋体" w:hAnsi="宋体" w:eastAsia="宋体" w:cs="宋体"/>
          <w:b/>
          <w:bCs/>
          <w:kern w:val="2"/>
          <w:sz w:val="24"/>
          <w:szCs w:val="24"/>
          <w:u w:val="none"/>
          <w:lang w:val="en-US" w:eastAsia="zh-CN" w:bidi="ar-SA"/>
        </w:rPr>
        <w:t>31.政府采购政策</w:t>
      </w:r>
      <w:bookmarkEnd w:id="223"/>
      <w:bookmarkEnd w:id="224"/>
      <w:bookmarkEnd w:id="225"/>
      <w:bookmarkEnd w:id="226"/>
      <w:bookmarkEnd w:id="227"/>
    </w:p>
    <w:p w14:paraId="47F1F6A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31.1节能产品、环境标志产品的采购：</w:t>
      </w:r>
    </w:p>
    <w:p w14:paraId="7246B54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根据《关于调整优化节能产品、环境标志产品政府采购执行机制的通知》（财库〔2019〕9号）的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98A7DE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31.2价格评审优惠：</w:t>
      </w:r>
    </w:p>
    <w:p w14:paraId="201E17D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（1）根据《关于进一步加大政府采购支持中小企业力度的通知》(财库〔2022〕19 号)、《政府采购促进中小企业发展暂行办法》（财库〔2020〕46 号）的规定及《政府采购支持监狱企业发展有关问题的通知》（财库〔2014〕68 号）的要求，本项目对小型、微型企业、监狱企业和残疾人福利性单位报价给予</w:t>
      </w:r>
      <w:r>
        <w:rPr>
          <w:rFonts w:hint="eastAsia" w:ascii="宋体" w:hAnsi="宋体" w:eastAsia="宋体" w:cs="宋体"/>
          <w:b w:val="0"/>
          <w:bCs w:val="0"/>
          <w:kern w:val="2"/>
          <w:sz w:val="24"/>
          <w:szCs w:val="24"/>
          <w:u w:val="single"/>
          <w:lang w:val="en-US" w:eastAsia="zh-CN" w:bidi="ar-SA"/>
        </w:rPr>
        <w:t>10%</w:t>
      </w:r>
      <w:r>
        <w:rPr>
          <w:rFonts w:hint="eastAsia" w:ascii="宋体" w:hAnsi="宋体" w:eastAsia="宋体" w:cs="宋体"/>
          <w:b w:val="0"/>
          <w:bCs w:val="0"/>
          <w:kern w:val="2"/>
          <w:sz w:val="24"/>
          <w:szCs w:val="24"/>
          <w:u w:val="none"/>
          <w:lang w:val="en-US" w:eastAsia="zh-CN" w:bidi="ar-SA"/>
        </w:rPr>
        <w:t>的扣除，用扣除后的报价参与评审。供应商如符合“小型、微型企业”标准，应提供《中小企业声明函》，未提供声明函者不予认定。</w:t>
      </w:r>
    </w:p>
    <w:p w14:paraId="3857519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接受大中型企业与小微企业组成联合体或者允许大中型企业向一家或多家小微企业分包的采购项目，对于联合体协议或者分包意向协议约定小微企业的协议金额占到合同总金额30%以上的，对联合体或大中型企业的报价给与</w:t>
      </w:r>
      <w:r>
        <w:rPr>
          <w:rFonts w:hint="eastAsia" w:ascii="宋体" w:hAnsi="宋体" w:eastAsia="宋体" w:cs="宋体"/>
          <w:b w:val="0"/>
          <w:bCs w:val="0"/>
          <w:kern w:val="2"/>
          <w:sz w:val="24"/>
          <w:szCs w:val="24"/>
          <w:u w:val="single"/>
          <w:lang w:val="en-US" w:eastAsia="zh-CN" w:bidi="ar-SA"/>
        </w:rPr>
        <w:t>2%</w:t>
      </w:r>
      <w:r>
        <w:rPr>
          <w:rFonts w:hint="eastAsia" w:ascii="宋体" w:hAnsi="宋体" w:eastAsia="宋体" w:cs="宋体"/>
          <w:b w:val="0"/>
          <w:bCs w:val="0"/>
          <w:kern w:val="2"/>
          <w:sz w:val="24"/>
          <w:szCs w:val="24"/>
          <w:u w:val="none"/>
          <w:lang w:val="en-US" w:eastAsia="zh-CN" w:bidi="ar-SA"/>
        </w:rPr>
        <w:t>的扣除，用扣除后的价格参加评审</w:t>
      </w:r>
      <w:r>
        <w:rPr>
          <w:rFonts w:hint="eastAsia" w:ascii="宋体" w:hAnsi="宋体" w:cs="宋体"/>
          <w:b w:val="0"/>
          <w:bCs w:val="0"/>
          <w:kern w:val="2"/>
          <w:sz w:val="24"/>
          <w:szCs w:val="24"/>
          <w:u w:val="none"/>
          <w:lang w:val="en-US" w:eastAsia="zh-CN" w:bidi="ar-SA"/>
        </w:rPr>
        <w:t>。（本项目不适用）</w:t>
      </w:r>
    </w:p>
    <w:p w14:paraId="4EE4D69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（3）</w:t>
      </w:r>
      <w:r>
        <w:rPr>
          <w:rFonts w:hint="eastAsia" w:ascii="宋体" w:hAnsi="宋体" w:eastAsia="宋体" w:cs="宋体"/>
          <w:b w:val="0"/>
          <w:bCs w:val="0"/>
          <w:kern w:val="2"/>
          <w:sz w:val="24"/>
          <w:szCs w:val="24"/>
          <w:u w:val="none"/>
          <w:lang w:val="en-US" w:eastAsia="zh-CN" w:bidi="ar-SA"/>
        </w:rPr>
        <w:t xml:space="preserve">监狱企业、残疾人福利性单位视同小型、微型企业，享受评审中价格扣除等促进中小企业发展的政府采购政策。 </w:t>
      </w:r>
    </w:p>
    <w:p w14:paraId="0E58F35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31.3供应商同时符合小型、微型企业及监狱企业、残疾人福利性单位要求的，评审时只有一种类型享受价格评审优惠政策</w:t>
      </w:r>
      <w:r>
        <w:rPr>
          <w:rFonts w:hint="eastAsia" w:ascii="宋体" w:hAnsi="宋体" w:cs="宋体"/>
          <w:b w:val="0"/>
          <w:bCs w:val="0"/>
          <w:kern w:val="2"/>
          <w:sz w:val="24"/>
          <w:szCs w:val="24"/>
          <w:u w:val="none"/>
          <w:lang w:val="en-US" w:eastAsia="zh-CN" w:bidi="ar-SA"/>
        </w:rPr>
        <w:t>。</w:t>
      </w:r>
    </w:p>
    <w:p w14:paraId="685A07F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31.4响应文件符合本章前款规定的，供应商应提供相关证明资料，且所提供资料必须真实可信。如有虚假，将依法承担相应责任。</w:t>
      </w:r>
    </w:p>
    <w:p w14:paraId="0BF7015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31.5进口产品是指符合《政府采购进口产品管理办法》（财库〔2007〕119号）和《关于政府采购进口产品管理有关问题的通知》（财办库〔2008〕248号）文件规定的产品。除【谈判须知前附表】另有规定外，采购项目拒绝进口产品参加谈判。本款规定同意购买进口产品的，不限制满足谈判文件要求的国内产品参与谈判竞争。</w:t>
      </w:r>
    </w:p>
    <w:p w14:paraId="7F5EE04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31.6本款规定同意购买进口产品的，不限制满足谈判文件要求的国内产品参与谈判竞争</w:t>
      </w:r>
      <w:r>
        <w:rPr>
          <w:rFonts w:hint="eastAsia" w:ascii="宋体" w:hAnsi="宋体" w:cs="宋体"/>
          <w:b w:val="0"/>
          <w:bCs w:val="0"/>
          <w:kern w:val="2"/>
          <w:sz w:val="24"/>
          <w:szCs w:val="24"/>
          <w:u w:val="none"/>
          <w:lang w:val="en-US" w:eastAsia="zh-CN" w:bidi="ar-SA"/>
        </w:rPr>
        <w:t>。</w:t>
      </w:r>
    </w:p>
    <w:p w14:paraId="29E7116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一、本国产品标准</w:t>
      </w:r>
    </w:p>
    <w:p w14:paraId="5F351CD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本国产品应当符合以下条件：</w:t>
      </w:r>
    </w:p>
    <w:p w14:paraId="1ECBAEF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（一）在中国境内生产</w:t>
      </w:r>
    </w:p>
    <w:p w14:paraId="17C5EA9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产品应当在中国境内生产（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即在中华人民共和国关境内实现从原材料、组件到产品的属性改变。</w:t>
      </w:r>
    </w:p>
    <w:p w14:paraId="4527E2A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属性改变是指经过制造、加工或者组装等工序，产生完全不同于原材料、组件的新产品，并具有新的名称和特征（用途）。属性改变不包括以下细微操作：</w:t>
      </w:r>
    </w:p>
    <w:p w14:paraId="6E130F2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1.为确保产品在运输或者储存期间保持某种状态而进行的操作；</w:t>
      </w:r>
    </w:p>
    <w:p w14:paraId="1C34EFC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2.为产品运输或者销售进行的包装或者展示；</w:t>
      </w:r>
    </w:p>
    <w:p w14:paraId="09D44D3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3.在产品或者其包装上粘贴或者印刷品牌、标志、标识以及其他用于区别的标记；</w:t>
      </w:r>
    </w:p>
    <w:p w14:paraId="0A7BD1C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4.简单的上漆、磨光和分装；</w:t>
      </w:r>
    </w:p>
    <w:p w14:paraId="06FA350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5.其他不属于属性改变的情形。</w:t>
      </w:r>
    </w:p>
    <w:p w14:paraId="27070C3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（二）在中国境内生产的组件成本占比达到规定比例</w:t>
      </w:r>
    </w:p>
    <w:p w14:paraId="6B9C16C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产品在中国境内生产的组件成本占比应当达到规定比例，计算公式为：</w:t>
      </w:r>
    </w:p>
    <w:p w14:paraId="18C4365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kern w:val="2"/>
          <w:sz w:val="28"/>
          <w:szCs w:val="28"/>
          <w:u w:val="none"/>
          <w:lang w:val="en-US" w:eastAsia="zh-CN" w:bidi="ar-SA"/>
        </w:rPr>
      </w:pPr>
    </w:p>
    <w:p w14:paraId="6C0B6DF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default" w:ascii="仿宋_GB2312" w:hAnsi="仿宋_GB2312" w:eastAsia="仿宋_GB2312" w:cs="仿宋_GB2312"/>
          <w:b w:val="0"/>
          <w:bCs w:val="0"/>
          <w:kern w:val="2"/>
          <w:sz w:val="28"/>
          <w:szCs w:val="28"/>
          <w:u w:val="none"/>
          <w:lang w:val="en-US" w:eastAsia="zh-CN" w:bidi="ar-SA"/>
        </w:rPr>
      </w:pPr>
      <w:r>
        <w:drawing>
          <wp:anchor distT="0" distB="0" distL="114300" distR="114300" simplePos="0" relativeHeight="251659264" behindDoc="0" locked="0" layoutInCell="1" allowOverlap="1">
            <wp:simplePos x="0" y="0"/>
            <wp:positionH relativeFrom="column">
              <wp:posOffset>314325</wp:posOffset>
            </wp:positionH>
            <wp:positionV relativeFrom="paragraph">
              <wp:posOffset>-31115</wp:posOffset>
            </wp:positionV>
            <wp:extent cx="4829175" cy="762000"/>
            <wp:effectExtent l="0" t="0" r="9525" b="0"/>
            <wp:wrapSquare wrapText="bothSides"/>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8"/>
                    <a:stretch>
                      <a:fillRect/>
                    </a:stretch>
                  </pic:blipFill>
                  <pic:spPr>
                    <a:xfrm>
                      <a:off x="0" y="0"/>
                      <a:ext cx="4829175" cy="762000"/>
                    </a:xfrm>
                    <a:prstGeom prst="rect">
                      <a:avLst/>
                    </a:prstGeom>
                    <a:noFill/>
                    <a:ln>
                      <a:noFill/>
                    </a:ln>
                  </pic:spPr>
                </pic:pic>
              </a:graphicData>
            </a:graphic>
          </wp:anchor>
        </w:drawing>
      </w:r>
    </w:p>
    <w:p w14:paraId="36A861B0">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highlight w:val="none"/>
          <w:lang w:val="en-US" w:eastAsia="zh-CN" w:bidi="ar-SA"/>
        </w:rPr>
      </w:pPr>
      <w:bookmarkStart w:id="228" w:name="_Toc3719_WPSOffice_Level2"/>
      <w:bookmarkStart w:id="229" w:name="_Toc30960"/>
      <w:bookmarkStart w:id="230" w:name="_Toc10843_WPSOffice_Level2"/>
      <w:bookmarkStart w:id="231" w:name="_Toc15805"/>
      <w:bookmarkStart w:id="232" w:name="_Toc28078_WPSOffice_Level2"/>
      <w:bookmarkStart w:id="233" w:name="_Toc15316"/>
      <w:bookmarkStart w:id="234" w:name="_Toc34637772"/>
      <w:bookmarkStart w:id="235" w:name="_Toc22869"/>
    </w:p>
    <w:p w14:paraId="10FC83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EF5FA7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（三）特定产品的关键组件、关键工序符合相关要求</w:t>
      </w:r>
    </w:p>
    <w:p w14:paraId="6F70F49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对特定产品，在符合本通知第一条第（一）项和第（二）项条件的基础上，应当符合财政部会同有关行业主管部门确定的其关键组件、关键工序在中国境内生产、完成等要求。</w:t>
      </w:r>
    </w:p>
    <w:p w14:paraId="47C52E4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EE9E7B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二、本国产品标准的适用范围</w:t>
      </w:r>
    </w:p>
    <w:p w14:paraId="2BF6106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627A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三、对本国产品的支持政策</w:t>
      </w:r>
    </w:p>
    <w:p w14:paraId="2431E3B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政府采购活动中既有本国产品又有非本国产品参与竞争的，依法对本国产品给予价格评审优惠，对本国产品的报价给予20%的价格扣除，用扣除后的价格参与评审。</w:t>
      </w:r>
    </w:p>
    <w:p w14:paraId="60B877C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3AF97F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四、政策执行要求</w:t>
      </w:r>
    </w:p>
    <w:p w14:paraId="725CA0A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（一）产品在中国境内生产的组件成本核算规则。产品在中国境内生产的组件成本，按照《中国境内生产的组件成本核算基本规则》（见附件1）计算。</w:t>
      </w:r>
    </w:p>
    <w:p w14:paraId="2564A7A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D48785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采购人、采购代理机构应当随中标、成交结果同时公告中标、成交供应商提供的《声明函》或有关证明文件。</w:t>
      </w:r>
    </w:p>
    <w:p w14:paraId="1548E76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19094AB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（四）中华人民共和国缔结或者共同参加的国际条约、协定对政府采购中本国产品政策另有规定的，按照有关条约、协定执行。</w:t>
      </w:r>
    </w:p>
    <w:p w14:paraId="2B166F6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31.7</w:t>
      </w:r>
      <w:r>
        <w:rPr>
          <w:rFonts w:hint="eastAsia" w:ascii="宋体" w:hAnsi="宋体" w:eastAsia="宋体" w:cs="宋体"/>
          <w:b w:val="0"/>
          <w:bCs w:val="0"/>
          <w:kern w:val="2"/>
          <w:sz w:val="24"/>
          <w:szCs w:val="24"/>
          <w:u w:val="none"/>
          <w:lang w:val="zh-CN" w:eastAsia="zh-CN" w:bidi="ar-SA"/>
        </w:rPr>
        <w:t>在评审过程中，</w:t>
      </w:r>
      <w:r>
        <w:rPr>
          <w:rFonts w:hint="eastAsia" w:ascii="宋体" w:hAnsi="宋体" w:eastAsia="宋体" w:cs="宋体"/>
          <w:b w:val="0"/>
          <w:bCs w:val="0"/>
          <w:kern w:val="2"/>
          <w:sz w:val="24"/>
          <w:szCs w:val="24"/>
          <w:u w:val="none"/>
          <w:lang w:val="en-US" w:eastAsia="zh-CN" w:bidi="ar-SA"/>
        </w:rPr>
        <w:t>评标委员会成员对需要共同认定的事项存在争议的，应当按照少数服从多数的原则作出结论。持不同意见的评标委员会成员应当在评标报告上签署不同意见及理由，否则视为同意评标报告。</w:t>
      </w:r>
    </w:p>
    <w:p w14:paraId="4013A03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31.8</w:t>
      </w:r>
      <w:r>
        <w:rPr>
          <w:rFonts w:hint="eastAsia" w:ascii="宋体" w:hAnsi="宋体" w:eastAsia="宋体" w:cs="宋体"/>
          <w:b w:val="0"/>
          <w:bCs w:val="0"/>
          <w:kern w:val="2"/>
          <w:sz w:val="24"/>
          <w:szCs w:val="24"/>
          <w:u w:val="none"/>
          <w:lang w:val="zh-CN" w:eastAsia="zh-CN" w:bidi="ar-SA"/>
        </w:rPr>
        <w:t>评标委员会应当按照磋商文件中规定的评标方法和标准，对符合性审查合格的磋商响应文件进行商务和技术评估，综合比较与评价。</w:t>
      </w:r>
    </w:p>
    <w:p w14:paraId="6461F2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31.9政府采购异常低价审查</w:t>
      </w:r>
    </w:p>
    <w:p w14:paraId="6CD43A7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（1）采购人应当在采购文件中明确，政府采购评审中出现下列情形之一的，评审委员会应当启动异常低价投标（响应）审查程序： </w:t>
      </w:r>
    </w:p>
    <w:p w14:paraId="1968765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1.投标（响应）报价低于全部通过符合性审查供应商投标（响应）报价平均值50%的，即投标（响应）报价&lt;全部通过符合性审查供应商投标（响应）报价平均值×50%； </w:t>
      </w:r>
    </w:p>
    <w:p w14:paraId="7C7ACCB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2.投标（响应）报价低于通过符合性审查的次低报价供应商投标（响应）报价50%的，即投标（响应）报价&lt;通过符合性审查的次低报价供应商投标（响应）报价×50%； </w:t>
      </w:r>
    </w:p>
    <w:p w14:paraId="1C31253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3.投标（响应）报价低于采购项目最高限价45%的，即投标（响应）报价&lt;采购项目最高限价×45%； </w:t>
      </w:r>
    </w:p>
    <w:p w14:paraId="28CB9A2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4.评审委员会基于专业判断，认为供应商报价过低，有可能影响产品质量或者不能诚信履约的其他情形。 </w:t>
      </w:r>
    </w:p>
    <w:p w14:paraId="4012E61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相关法律法规对供应商报价有规定的，从其规定。 </w:t>
      </w:r>
    </w:p>
    <w:p w14:paraId="0B90B89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2279D75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88D2F5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0C4BC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 </w:t>
      </w:r>
    </w:p>
    <w:p w14:paraId="19C727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（3）各级财政部门应当加强对评审专家的指导和监管，进一步压实评审专家的责任。财政部门在投诉处理、监督检查中发现评审委员会未按规定对异常低价开展审查的，依法予以纠正并追究评审专家的法律责任</w:t>
      </w:r>
      <w:r>
        <w:rPr>
          <w:rFonts w:hint="eastAsia" w:ascii="宋体" w:hAnsi="宋体" w:eastAsia="宋体" w:cs="宋体"/>
          <w:b w:val="0"/>
          <w:bCs w:val="0"/>
          <w:kern w:val="2"/>
          <w:sz w:val="24"/>
          <w:szCs w:val="24"/>
          <w:u w:val="none"/>
          <w:lang w:val="zh-CN" w:eastAsia="zh-CN" w:bidi="ar-SA"/>
        </w:rPr>
        <w:t>。</w:t>
      </w:r>
    </w:p>
    <w:p w14:paraId="47D44926">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九、其他规定</w:t>
      </w:r>
      <w:bookmarkEnd w:id="228"/>
      <w:bookmarkEnd w:id="229"/>
      <w:bookmarkEnd w:id="230"/>
      <w:bookmarkEnd w:id="231"/>
      <w:bookmarkEnd w:id="232"/>
      <w:bookmarkEnd w:id="233"/>
      <w:bookmarkEnd w:id="234"/>
      <w:bookmarkEnd w:id="235"/>
    </w:p>
    <w:p w14:paraId="3E14E9A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kern w:val="2"/>
          <w:sz w:val="24"/>
          <w:szCs w:val="24"/>
          <w:u w:val="none"/>
          <w:lang w:val="en-US" w:eastAsia="zh-CN" w:bidi="ar-SA"/>
        </w:rPr>
      </w:pPr>
      <w:bookmarkStart w:id="236" w:name="_Toc10247"/>
      <w:bookmarkStart w:id="237" w:name="_Toc31158"/>
      <w:bookmarkStart w:id="238" w:name="_Toc10855"/>
      <w:bookmarkStart w:id="239" w:name="_Toc12390_WPSOffice_Level3"/>
      <w:bookmarkStart w:id="240" w:name="_Toc22185_WPSOffice_Level3"/>
      <w:r>
        <w:rPr>
          <w:rFonts w:hint="eastAsia" w:ascii="宋体" w:hAnsi="宋体" w:eastAsia="宋体" w:cs="宋体"/>
          <w:b/>
          <w:bCs/>
          <w:kern w:val="2"/>
          <w:sz w:val="24"/>
          <w:szCs w:val="24"/>
          <w:u w:val="none"/>
          <w:lang w:val="en-US" w:eastAsia="zh-CN" w:bidi="ar-SA"/>
        </w:rPr>
        <w:t>32.代理服务费</w:t>
      </w:r>
      <w:bookmarkEnd w:id="236"/>
      <w:bookmarkEnd w:id="237"/>
      <w:bookmarkEnd w:id="238"/>
      <w:bookmarkEnd w:id="239"/>
      <w:bookmarkEnd w:id="240"/>
    </w:p>
    <w:p w14:paraId="739E67F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按【谈判</w:t>
      </w:r>
      <w:r>
        <w:rPr>
          <w:rFonts w:hint="eastAsia" w:ascii="宋体" w:hAnsi="宋体" w:cs="宋体"/>
          <w:b w:val="0"/>
          <w:bCs w:val="0"/>
          <w:kern w:val="2"/>
          <w:sz w:val="24"/>
          <w:szCs w:val="24"/>
          <w:u w:val="none"/>
          <w:lang w:val="en-US" w:eastAsia="zh-CN" w:bidi="ar-SA"/>
        </w:rPr>
        <w:t>邀请</w:t>
      </w:r>
      <w:r>
        <w:rPr>
          <w:rFonts w:hint="eastAsia" w:ascii="宋体" w:hAnsi="宋体" w:eastAsia="宋体" w:cs="宋体"/>
          <w:b w:val="0"/>
          <w:bCs w:val="0"/>
          <w:kern w:val="2"/>
          <w:sz w:val="24"/>
          <w:szCs w:val="24"/>
          <w:u w:val="none"/>
          <w:lang w:val="en-US" w:eastAsia="zh-CN" w:bidi="ar-SA"/>
        </w:rPr>
        <w:t>】规定向采购代理机构交纳代理服务费。</w:t>
      </w:r>
    </w:p>
    <w:p w14:paraId="35A2C1B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kern w:val="2"/>
          <w:sz w:val="24"/>
          <w:szCs w:val="24"/>
          <w:u w:val="none"/>
          <w:lang w:val="en-US" w:eastAsia="zh-CN" w:bidi="ar-SA"/>
        </w:rPr>
      </w:pPr>
      <w:bookmarkStart w:id="241" w:name="_Toc27699_WPSOffice_Level3"/>
      <w:bookmarkStart w:id="242" w:name="_Toc18975"/>
      <w:bookmarkStart w:id="243" w:name="_Toc16758"/>
      <w:bookmarkStart w:id="244" w:name="_Toc14580"/>
      <w:bookmarkStart w:id="245" w:name="_Toc1461_WPSOffice_Level3"/>
      <w:r>
        <w:rPr>
          <w:rFonts w:hint="eastAsia" w:ascii="宋体" w:hAnsi="宋体" w:eastAsia="宋体" w:cs="宋体"/>
          <w:b/>
          <w:bCs/>
          <w:kern w:val="2"/>
          <w:sz w:val="24"/>
          <w:szCs w:val="24"/>
          <w:u w:val="none"/>
          <w:lang w:val="en-US" w:eastAsia="zh-CN" w:bidi="ar-SA"/>
        </w:rPr>
        <w:t>33.其他规定</w:t>
      </w:r>
      <w:bookmarkEnd w:id="241"/>
      <w:bookmarkEnd w:id="242"/>
      <w:bookmarkEnd w:id="243"/>
      <w:bookmarkEnd w:id="244"/>
      <w:bookmarkEnd w:id="245"/>
    </w:p>
    <w:p w14:paraId="538D9F4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谈判文件的其他规定见【谈判须知前附表】。</w:t>
      </w:r>
    </w:p>
    <w:p w14:paraId="2AF6D62F">
      <w:pPr>
        <w:pStyle w:val="2"/>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center"/>
        <w:textAlignment w:val="auto"/>
        <w:outlineLvl w:val="0"/>
        <w:rPr>
          <w:rFonts w:hint="eastAsia" w:ascii="宋体" w:hAnsi="宋体" w:eastAsia="宋体" w:cs="宋体"/>
          <w:b w:val="0"/>
          <w:bCs w:val="0"/>
          <w:sz w:val="44"/>
          <w:szCs w:val="44"/>
          <w:highlight w:val="none"/>
          <w:lang w:val="en-US" w:eastAsia="zh-CN"/>
        </w:rPr>
      </w:pPr>
      <w:bookmarkStart w:id="246" w:name="_Toc34637773"/>
      <w:bookmarkStart w:id="247" w:name="_Toc31765_WPSOffice_Level1"/>
      <w:bookmarkStart w:id="248" w:name="_Toc13204"/>
      <w:bookmarkStart w:id="249" w:name="_Toc7566"/>
      <w:bookmarkStart w:id="250" w:name="_Toc18130_WPSOffice_Level1"/>
      <w:bookmarkStart w:id="251" w:name="_Toc29561_WPSOffice_Level1"/>
      <w:bookmarkStart w:id="252" w:name="_Toc7780_WPSOffice_Level1"/>
      <w:bookmarkStart w:id="253" w:name="_Toc4912_WPSOffice_Level1"/>
      <w:bookmarkStart w:id="254" w:name="_Toc2404_WPSOffice_Level1"/>
      <w:bookmarkStart w:id="255" w:name="_Toc20750"/>
      <w:r>
        <w:rPr>
          <w:rFonts w:hint="eastAsia" w:ascii="华文中宋" w:hAnsi="华文中宋" w:eastAsia="华文中宋" w:cs="华文中宋"/>
          <w:b w:val="0"/>
          <w:bCs w:val="0"/>
          <w:sz w:val="44"/>
          <w:szCs w:val="44"/>
          <w:highlight w:val="none"/>
          <w:lang w:val="en-US" w:eastAsia="zh-CN"/>
        </w:rPr>
        <w:br w:type="page"/>
      </w:r>
      <w:bookmarkStart w:id="256" w:name="_Toc5886"/>
      <w:r>
        <w:rPr>
          <w:rFonts w:hint="eastAsia" w:ascii="宋体" w:hAnsi="宋体" w:eastAsia="宋体" w:cs="宋体"/>
          <w:b w:val="0"/>
          <w:bCs w:val="0"/>
          <w:color w:val="auto"/>
          <w:kern w:val="2"/>
          <w:sz w:val="36"/>
          <w:szCs w:val="36"/>
          <w:lang w:val="en-US" w:eastAsia="zh-CN" w:bidi="ar-SA"/>
        </w:rPr>
        <w:t>第三部分 采购需求</w:t>
      </w:r>
      <w:bookmarkEnd w:id="246"/>
      <w:bookmarkEnd w:id="247"/>
      <w:bookmarkEnd w:id="248"/>
      <w:bookmarkEnd w:id="249"/>
      <w:bookmarkEnd w:id="250"/>
      <w:bookmarkEnd w:id="251"/>
      <w:bookmarkEnd w:id="252"/>
      <w:bookmarkEnd w:id="253"/>
      <w:bookmarkEnd w:id="254"/>
      <w:bookmarkEnd w:id="255"/>
      <w:bookmarkEnd w:id="256"/>
    </w:p>
    <w:p w14:paraId="0DC9CF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kern w:val="2"/>
          <w:sz w:val="24"/>
          <w:szCs w:val="24"/>
          <w:u w:val="none"/>
          <w:lang w:val="en-US" w:eastAsia="zh-CN" w:bidi="ar-SA"/>
        </w:rPr>
      </w:pPr>
      <w:bookmarkStart w:id="257" w:name="_Toc8656"/>
      <w:bookmarkStart w:id="258" w:name="_Toc13326_WPSOffice_Level2"/>
      <w:bookmarkStart w:id="259" w:name="_Toc17070"/>
      <w:bookmarkStart w:id="260" w:name="_Toc19812_WPSOffice_Level2"/>
      <w:bookmarkStart w:id="261" w:name="_Toc515908232"/>
      <w:bookmarkStart w:id="262" w:name="_Toc4601"/>
      <w:bookmarkStart w:id="263" w:name="_Toc20423_WPSOffice_Level2"/>
      <w:bookmarkStart w:id="264" w:name="_Toc22976"/>
      <w:r>
        <w:rPr>
          <w:rFonts w:hint="eastAsia" w:ascii="宋体" w:hAnsi="宋体" w:eastAsia="宋体" w:cs="宋体"/>
          <w:b/>
          <w:bCs/>
          <w:kern w:val="2"/>
          <w:sz w:val="28"/>
          <w:szCs w:val="28"/>
          <w:u w:val="none"/>
          <w:lang w:val="zh-CN" w:eastAsia="zh-CN" w:bidi="ar-SA"/>
        </w:rPr>
        <w:t>十、响应说明</w:t>
      </w:r>
    </w:p>
    <w:bookmarkEnd w:id="257"/>
    <w:bookmarkEnd w:id="258"/>
    <w:bookmarkEnd w:id="259"/>
    <w:bookmarkEnd w:id="260"/>
    <w:bookmarkEnd w:id="261"/>
    <w:bookmarkEnd w:id="262"/>
    <w:bookmarkEnd w:id="263"/>
    <w:bookmarkEnd w:id="264"/>
    <w:p w14:paraId="385F68B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1.</w:t>
      </w:r>
      <w:r>
        <w:rPr>
          <w:rFonts w:hint="eastAsia" w:ascii="宋体" w:hAnsi="宋体" w:eastAsia="宋体" w:cs="宋体"/>
          <w:b w:val="0"/>
          <w:bCs w:val="0"/>
          <w:kern w:val="2"/>
          <w:sz w:val="24"/>
          <w:szCs w:val="24"/>
          <w:u w:val="none"/>
          <w:lang w:val="zh-CN" w:eastAsia="zh-CN" w:bidi="ar-SA"/>
        </w:rPr>
        <w:t>供应商可以按照谈判文件规定的包号选择响应，但必须对所响应包号中的所有内容作为一个整体进行响应，不能拆分或少报，</w:t>
      </w:r>
      <w:r>
        <w:rPr>
          <w:rFonts w:hint="eastAsia" w:ascii="宋体" w:hAnsi="宋体" w:eastAsia="宋体" w:cs="宋体"/>
          <w:b w:val="0"/>
          <w:bCs w:val="0"/>
          <w:kern w:val="2"/>
          <w:sz w:val="24"/>
          <w:szCs w:val="24"/>
          <w:u w:val="none"/>
          <w:lang w:val="en-US" w:eastAsia="zh-CN" w:bidi="ar-SA"/>
        </w:rPr>
        <w:t>如有缺项、漏项，其响应无效。</w:t>
      </w:r>
    </w:p>
    <w:p w14:paraId="76797DA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color w:val="FF000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2.</w:t>
      </w:r>
      <w:r>
        <w:rPr>
          <w:rFonts w:hint="eastAsia" w:ascii="宋体" w:hAnsi="宋体" w:eastAsia="宋体" w:cs="宋体"/>
          <w:b w:val="0"/>
          <w:bCs w:val="0"/>
          <w:color w:val="FF0000"/>
          <w:kern w:val="2"/>
          <w:sz w:val="24"/>
          <w:szCs w:val="24"/>
          <w:u w:val="none"/>
          <w:lang w:val="zh-CN" w:eastAsia="zh-CN" w:bidi="ar-SA"/>
        </w:rPr>
        <w:t>供应商必须如实填写“项目需求及技术参数表”（样表如下），在响应产品“技术参数”栏中列出所响应产品的具体技术参数、指标；如果与谈判文件中提供的产品检测报告、彩页等证明材料中的实质性响应情况不一致或直接复制谈判文件“技术参数”内容的，按无效响应处理。</w:t>
      </w:r>
    </w:p>
    <w:p w14:paraId="4827BDF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3.谈判</w:t>
      </w:r>
      <w:r>
        <w:rPr>
          <w:rFonts w:hint="eastAsia" w:ascii="宋体" w:hAnsi="宋体" w:eastAsia="宋体" w:cs="宋体"/>
          <w:b w:val="0"/>
          <w:bCs w:val="0"/>
          <w:kern w:val="2"/>
          <w:sz w:val="24"/>
          <w:szCs w:val="24"/>
          <w:u w:val="none"/>
          <w:lang w:val="zh-CN" w:eastAsia="zh-CN" w:bidi="ar-SA"/>
        </w:rPr>
        <w:t>内容中未特别标注为“原装进口”字样的产品，供应商必须提供国产产品；标注为“原装进口”字样的产品，供应商应该提供进口产品，但如果因信息不对称等原因，仍有满足采购需求的国内产品要求参与采购竞争的，可以提供国产产品，并且按照公平竞争原则实施采购。</w:t>
      </w:r>
    </w:p>
    <w:p w14:paraId="6EAE8B3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4.所提供产品或其任何一部分不得侵犯专利权、著作权、商标权和工业设计权等知识产权。</w:t>
      </w:r>
    </w:p>
    <w:p w14:paraId="2B90EF9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val="0"/>
          <w:bCs w:val="0"/>
          <w:kern w:val="2"/>
          <w:sz w:val="28"/>
          <w:szCs w:val="28"/>
          <w:u w:val="none"/>
          <w:lang w:val="zh-CN" w:eastAsia="zh-CN" w:bidi="ar-SA"/>
        </w:rPr>
      </w:pPr>
      <w:bookmarkStart w:id="265" w:name="_Toc22092"/>
      <w:bookmarkStart w:id="266" w:name="_Toc515908233"/>
      <w:bookmarkStart w:id="267" w:name="_Toc1475"/>
      <w:bookmarkStart w:id="268" w:name="_Toc16271_WPSOffice_Level2"/>
      <w:bookmarkStart w:id="269" w:name="_Toc28791"/>
      <w:bookmarkStart w:id="270" w:name="_Toc26560_WPSOffice_Level2"/>
      <w:bookmarkStart w:id="271" w:name="_Toc10839"/>
      <w:bookmarkStart w:id="272" w:name="_Toc19609_WPSOffice_Level2"/>
      <w:r>
        <w:rPr>
          <w:rFonts w:hint="eastAsia" w:ascii="宋体" w:hAnsi="宋体" w:cs="宋体"/>
          <w:b/>
          <w:bCs/>
          <w:kern w:val="2"/>
          <w:sz w:val="28"/>
          <w:szCs w:val="28"/>
          <w:u w:val="none"/>
          <w:lang w:val="en-US" w:eastAsia="zh-CN" w:bidi="ar-SA"/>
        </w:rPr>
        <w:t>十一</w:t>
      </w:r>
      <w:r>
        <w:rPr>
          <w:rFonts w:hint="eastAsia" w:ascii="宋体" w:hAnsi="宋体" w:eastAsia="宋体" w:cs="宋体"/>
          <w:b/>
          <w:bCs/>
          <w:kern w:val="2"/>
          <w:sz w:val="28"/>
          <w:szCs w:val="28"/>
          <w:u w:val="none"/>
          <w:lang w:val="zh-CN" w:eastAsia="zh-CN" w:bidi="ar-SA"/>
        </w:rPr>
        <w:t>、重要指标</w:t>
      </w:r>
      <w:bookmarkEnd w:id="265"/>
      <w:bookmarkEnd w:id="266"/>
      <w:bookmarkEnd w:id="267"/>
      <w:bookmarkEnd w:id="268"/>
      <w:bookmarkEnd w:id="269"/>
      <w:bookmarkEnd w:id="270"/>
      <w:bookmarkEnd w:id="271"/>
      <w:bookmarkEnd w:id="272"/>
    </w:p>
    <w:p w14:paraId="30CEF98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bookmarkStart w:id="273" w:name="_Toc18880"/>
      <w:r>
        <w:rPr>
          <w:rFonts w:hint="eastAsia" w:ascii="宋体" w:hAnsi="宋体" w:eastAsia="宋体" w:cs="宋体"/>
          <w:b w:val="0"/>
          <w:bCs w:val="0"/>
          <w:kern w:val="2"/>
          <w:sz w:val="24"/>
          <w:szCs w:val="24"/>
          <w:u w:val="none"/>
          <w:lang w:val="en-US" w:eastAsia="zh-CN" w:bidi="ar-SA"/>
        </w:rPr>
        <w:t>1.</w:t>
      </w:r>
      <w:r>
        <w:rPr>
          <w:rFonts w:hint="eastAsia" w:ascii="宋体" w:hAnsi="宋体" w:eastAsia="宋体" w:cs="宋体"/>
          <w:b w:val="0"/>
          <w:bCs w:val="0"/>
          <w:kern w:val="2"/>
          <w:sz w:val="24"/>
          <w:szCs w:val="24"/>
          <w:u w:val="none"/>
          <w:lang w:val="zh-CN" w:eastAsia="zh-CN" w:bidi="ar-SA"/>
        </w:rPr>
        <w:t>谈判文件在技术参数中列出了采购人可以接受的最低技术指标，供应商必须对“项目概况及技术参数表”中各项产品和指标进行实质性响应，所推荐的每一项产品在性能上不能低于所列的各项指标。否则，响应无效。</w:t>
      </w:r>
    </w:p>
    <w:p w14:paraId="0D130CD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2.</w:t>
      </w:r>
      <w:r>
        <w:rPr>
          <w:rFonts w:hint="eastAsia" w:ascii="宋体" w:hAnsi="宋体" w:eastAsia="宋体" w:cs="宋体"/>
          <w:b w:val="0"/>
          <w:bCs w:val="0"/>
          <w:kern w:val="2"/>
          <w:sz w:val="24"/>
          <w:szCs w:val="24"/>
          <w:u w:val="none"/>
          <w:lang w:val="zh-CN" w:eastAsia="zh-CN" w:bidi="ar-SA"/>
        </w:rPr>
        <w:t>谈判文件中凡需与原有设备、系统并机、兼容、匹配等要求的，请主动和采购人联系，取得原有设备、系统相关资料。若有谈判文件未提及或变更内容的，请及时与采购人或者采购代理机构联系。</w:t>
      </w:r>
    </w:p>
    <w:p w14:paraId="34361E8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w:t>
      </w:r>
      <w:r>
        <w:rPr>
          <w:rFonts w:hint="eastAsia" w:ascii="宋体" w:hAnsi="宋体" w:eastAsia="宋体" w:cs="宋体"/>
          <w:b w:val="0"/>
          <w:bCs w:val="0"/>
          <w:kern w:val="2"/>
          <w:sz w:val="24"/>
          <w:szCs w:val="24"/>
          <w:u w:val="none"/>
          <w:lang w:val="zh-CN" w:eastAsia="zh-CN" w:bidi="ar-SA"/>
        </w:rPr>
        <w:t>技术参数”中除注明签订合同时提供</w:t>
      </w:r>
      <w:r>
        <w:rPr>
          <w:rFonts w:hint="eastAsia" w:ascii="宋体" w:hAnsi="宋体" w:eastAsia="宋体" w:cs="宋体"/>
          <w:b w:val="0"/>
          <w:bCs w:val="0"/>
          <w:kern w:val="2"/>
          <w:sz w:val="24"/>
          <w:szCs w:val="24"/>
          <w:u w:val="none"/>
          <w:lang w:val="en-US" w:eastAsia="zh-CN" w:bidi="ar-SA"/>
        </w:rPr>
        <w:t>的相关授权、服务承诺等资料以外，其余相关资料在响应时必须附在响应文件中。</w:t>
      </w:r>
    </w:p>
    <w:p w14:paraId="514D8A4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4.商务要求</w:t>
      </w:r>
    </w:p>
    <w:p w14:paraId="4A8FA09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4.1</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en-US" w:eastAsia="zh-CN" w:bidi="ar-SA"/>
        </w:rPr>
        <w:t>交货地点：</w:t>
      </w:r>
      <w:r>
        <w:rPr>
          <w:rFonts w:hint="eastAsia" w:ascii="宋体" w:hAnsi="宋体" w:cs="宋体"/>
          <w:b w:val="0"/>
          <w:bCs w:val="0"/>
          <w:kern w:val="2"/>
          <w:sz w:val="24"/>
          <w:szCs w:val="24"/>
          <w:u w:val="none"/>
          <w:lang w:val="en-US" w:eastAsia="zh-CN" w:bidi="ar-SA"/>
        </w:rPr>
        <w:t>海南藏族自治州公安局</w:t>
      </w:r>
      <w:r>
        <w:rPr>
          <w:rFonts w:hint="eastAsia" w:ascii="宋体" w:hAnsi="宋体" w:eastAsia="宋体" w:cs="宋体"/>
          <w:b w:val="0"/>
          <w:bCs w:val="0"/>
          <w:kern w:val="2"/>
          <w:sz w:val="24"/>
          <w:szCs w:val="24"/>
          <w:u w:val="none"/>
          <w:lang w:val="en-US" w:eastAsia="zh-CN" w:bidi="ar-SA"/>
        </w:rPr>
        <w:t>；</w:t>
      </w:r>
    </w:p>
    <w:p w14:paraId="52D5A45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4.2</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en-US" w:eastAsia="zh-CN" w:bidi="ar-SA"/>
        </w:rPr>
        <w:t>合同履约期限：</w:t>
      </w:r>
      <w:r>
        <w:rPr>
          <w:rFonts w:hint="eastAsia" w:ascii="宋体" w:hAnsi="宋体" w:cs="宋体"/>
          <w:b w:val="0"/>
          <w:bCs w:val="0"/>
          <w:kern w:val="2"/>
          <w:sz w:val="24"/>
          <w:szCs w:val="24"/>
          <w:u w:val="none"/>
          <w:lang w:val="en-US" w:eastAsia="zh-CN" w:bidi="ar-SA"/>
        </w:rPr>
        <w:t>合同签订后60日内</w:t>
      </w:r>
      <w:r>
        <w:rPr>
          <w:rFonts w:hint="eastAsia" w:ascii="宋体" w:hAnsi="宋体" w:eastAsia="宋体" w:cs="宋体"/>
          <w:b w:val="0"/>
          <w:bCs w:val="0"/>
          <w:kern w:val="2"/>
          <w:sz w:val="24"/>
          <w:szCs w:val="24"/>
          <w:u w:val="none"/>
          <w:lang w:val="en-US" w:eastAsia="zh-CN" w:bidi="ar-SA"/>
        </w:rPr>
        <w:t>；</w:t>
      </w:r>
    </w:p>
    <w:p w14:paraId="4ADF555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4.3</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en-US" w:eastAsia="zh-CN" w:bidi="ar-SA"/>
        </w:rPr>
        <w:t>付款方式：详见“第五部分 青海省政府采购项目合同书范本”中“四、</w:t>
      </w:r>
    </w:p>
    <w:p w14:paraId="79D864A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付款方式”的规定。 </w:t>
      </w:r>
    </w:p>
    <w:p w14:paraId="13FEB63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5.验收标准：</w:t>
      </w:r>
    </w:p>
    <w:p w14:paraId="7DF967E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交货验收时，按照《青海省政府采购合同及履约验收监督管理办法》要求组织验收。若成交供应商提供的产品与投标参数存在较大差异，采购人可拒绝接收。</w:t>
      </w:r>
    </w:p>
    <w:p w14:paraId="099D102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签订合同时须提供投标产品生产厂家公开发布的产品资料或产品使用说明书或产品生产厂家技术白皮书或国家认可的第三方检测机构出具的检验报告、产品质量合格证等文件原件。若出现与响应文件中提供的产品资料不一致的情形，属于提供虚假材料谋取中标，依照《中华人民共和国政府采购法》等国家有关规定追究法律责任。</w:t>
      </w:r>
    </w:p>
    <w:p w14:paraId="7F6B51C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特殊要求验证：有特定的存储条件（如温度、湿度、避光等）或特殊运输要求的产品，将对运输过程的温湿度监控数据（如干冰、冷链运输时的温度记录）进行检查。</w:t>
      </w:r>
    </w:p>
    <w:p w14:paraId="4316C5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kern w:val="2"/>
          <w:sz w:val="24"/>
          <w:szCs w:val="24"/>
          <w:highlight w:val="yellow"/>
          <w:u w:val="none"/>
          <w:lang w:val="en-US" w:eastAsia="zh-CN" w:bidi="ar-SA"/>
        </w:rPr>
      </w:pPr>
    </w:p>
    <w:p w14:paraId="08B205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cs="宋体"/>
          <w:b/>
          <w:bCs/>
          <w:kern w:val="2"/>
          <w:sz w:val="28"/>
          <w:szCs w:val="28"/>
          <w:highlight w:val="none"/>
          <w:u w:val="none"/>
          <w:lang w:val="en-US" w:eastAsia="zh-CN" w:bidi="ar-SA"/>
        </w:rPr>
      </w:pPr>
      <w:r>
        <w:rPr>
          <w:rFonts w:hint="eastAsia" w:ascii="宋体" w:hAnsi="宋体" w:eastAsia="宋体" w:cs="宋体"/>
          <w:b/>
          <w:bCs/>
          <w:kern w:val="2"/>
          <w:sz w:val="28"/>
          <w:szCs w:val="28"/>
          <w:lang w:val="en-US" w:eastAsia="zh-CN" w:bidi="ar-SA"/>
        </w:rPr>
        <w:t>（一）</w:t>
      </w:r>
      <w:r>
        <w:rPr>
          <w:rFonts w:hint="eastAsia" w:ascii="宋体" w:hAnsi="宋体" w:cs="宋体"/>
          <w:b/>
          <w:bCs/>
          <w:kern w:val="2"/>
          <w:sz w:val="28"/>
          <w:szCs w:val="28"/>
          <w:highlight w:val="none"/>
          <w:u w:val="none"/>
          <w:lang w:val="en-US" w:eastAsia="zh-CN" w:bidi="ar-SA"/>
        </w:rPr>
        <w:t>项目概况</w:t>
      </w:r>
    </w:p>
    <w:p w14:paraId="541EDC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b w:val="0"/>
          <w:bCs w:val="0"/>
          <w:kern w:val="2"/>
          <w:sz w:val="24"/>
          <w:szCs w:val="24"/>
          <w:highlight w:val="none"/>
          <w:u w:val="none"/>
          <w:lang w:val="en-US" w:eastAsia="zh-CN" w:bidi="ar-SA"/>
        </w:rPr>
      </w:pPr>
      <w:r>
        <w:rPr>
          <w:rFonts w:hint="eastAsia" w:ascii="宋体" w:hAnsi="宋体" w:cs="宋体"/>
          <w:b w:val="0"/>
          <w:bCs w:val="0"/>
          <w:kern w:val="2"/>
          <w:sz w:val="24"/>
          <w:szCs w:val="24"/>
          <w:highlight w:val="none"/>
          <w:u w:val="none"/>
          <w:lang w:val="en-US" w:eastAsia="zh-CN" w:bidi="ar-SA"/>
        </w:rPr>
        <w:t>海南藏族自治州公安局海南州公安局警用装备采购（第三次）</w:t>
      </w:r>
      <w:r>
        <w:rPr>
          <w:rFonts w:hint="default" w:ascii="宋体" w:hAnsi="宋体" w:eastAsia="宋体" w:cs="宋体"/>
          <w:b w:val="0"/>
          <w:bCs w:val="0"/>
          <w:kern w:val="2"/>
          <w:sz w:val="24"/>
          <w:szCs w:val="24"/>
          <w:highlight w:val="none"/>
          <w:u w:val="none"/>
          <w:lang w:val="en-US" w:eastAsia="zh-CN" w:bidi="ar-SA"/>
        </w:rPr>
        <w:t>，采购预算额度为：256</w:t>
      </w:r>
      <w:r>
        <w:rPr>
          <w:rFonts w:hint="eastAsia" w:ascii="宋体" w:hAnsi="宋体" w:cs="宋体"/>
          <w:b w:val="0"/>
          <w:bCs w:val="0"/>
          <w:kern w:val="2"/>
          <w:sz w:val="24"/>
          <w:szCs w:val="24"/>
          <w:highlight w:val="none"/>
          <w:u w:val="none"/>
          <w:lang w:val="en-US" w:eastAsia="zh-CN" w:bidi="ar-SA"/>
        </w:rPr>
        <w:t>0</w:t>
      </w:r>
      <w:r>
        <w:rPr>
          <w:rFonts w:hint="default" w:ascii="宋体" w:hAnsi="宋体" w:eastAsia="宋体" w:cs="宋体"/>
          <w:b w:val="0"/>
          <w:bCs w:val="0"/>
          <w:kern w:val="2"/>
          <w:sz w:val="24"/>
          <w:szCs w:val="24"/>
          <w:highlight w:val="none"/>
          <w:u w:val="none"/>
          <w:lang w:val="en-US" w:eastAsia="zh-CN" w:bidi="ar-SA"/>
        </w:rPr>
        <w:t>000.00元</w:t>
      </w:r>
      <w:r>
        <w:rPr>
          <w:rFonts w:hint="eastAsia" w:ascii="宋体" w:hAnsi="宋体" w:cs="宋体"/>
          <w:b w:val="0"/>
          <w:bCs w:val="0"/>
          <w:kern w:val="2"/>
          <w:sz w:val="24"/>
          <w:szCs w:val="24"/>
          <w:highlight w:val="none"/>
          <w:u w:val="none"/>
          <w:lang w:val="en-US" w:eastAsia="zh-CN" w:bidi="ar-SA"/>
        </w:rPr>
        <w:t>，其中</w:t>
      </w:r>
      <w:r>
        <w:rPr>
          <w:rFonts w:hint="default" w:ascii="宋体" w:hAnsi="宋体" w:eastAsia="宋体" w:cs="宋体"/>
          <w:b w:val="0"/>
          <w:bCs w:val="0"/>
          <w:kern w:val="2"/>
          <w:sz w:val="24"/>
          <w:szCs w:val="24"/>
          <w:highlight w:val="none"/>
          <w:u w:val="none"/>
          <w:lang w:val="en-US" w:eastAsia="zh-CN" w:bidi="ar-SA"/>
        </w:rPr>
        <w:t>包一：727680.00</w:t>
      </w:r>
      <w:r>
        <w:rPr>
          <w:rFonts w:hint="eastAsia" w:ascii="宋体" w:hAnsi="宋体" w:cs="宋体"/>
          <w:b w:val="0"/>
          <w:bCs w:val="0"/>
          <w:kern w:val="2"/>
          <w:sz w:val="24"/>
          <w:szCs w:val="24"/>
          <w:highlight w:val="none"/>
          <w:u w:val="none"/>
          <w:lang w:val="en-US" w:eastAsia="zh-CN" w:bidi="ar-SA"/>
        </w:rPr>
        <w:t>，</w:t>
      </w:r>
      <w:r>
        <w:rPr>
          <w:rFonts w:hint="default" w:ascii="宋体" w:hAnsi="宋体" w:eastAsia="宋体" w:cs="宋体"/>
          <w:b w:val="0"/>
          <w:bCs w:val="0"/>
          <w:kern w:val="2"/>
          <w:sz w:val="24"/>
          <w:szCs w:val="24"/>
          <w:highlight w:val="none"/>
          <w:u w:val="none"/>
          <w:lang w:val="en-US" w:eastAsia="zh-CN" w:bidi="ar-SA"/>
        </w:rPr>
        <w:t>包二：1832320.00。具体内容及要求详见技术参数。</w:t>
      </w:r>
    </w:p>
    <w:p w14:paraId="61C1F6E5">
      <w:pPr>
        <w:widowControl w:val="0"/>
        <w:wordWrap/>
        <w:adjustRightInd w:val="0"/>
        <w:snapToGrid w:val="0"/>
        <w:spacing w:line="560" w:lineRule="exact"/>
        <w:jc w:val="center"/>
        <w:textAlignment w:val="auto"/>
        <w:rPr>
          <w:rFonts w:hint="eastAsia" w:ascii="宋体" w:hAnsi="宋体" w:cs="宋体"/>
          <w:b/>
          <w:bCs/>
          <w:kern w:val="2"/>
          <w:sz w:val="32"/>
          <w:szCs w:val="32"/>
          <w:highlight w:val="none"/>
          <w:lang w:val="en-US" w:eastAsia="zh-CN" w:bidi="ar-SA"/>
        </w:rPr>
        <w:sectPr>
          <w:footerReference r:id="rId5" w:type="default"/>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b/>
          <w:bCs/>
          <w:kern w:val="2"/>
          <w:sz w:val="32"/>
          <w:szCs w:val="32"/>
          <w:highlight w:val="none"/>
          <w:lang w:val="en-US" w:eastAsia="zh-CN" w:bidi="ar-SA"/>
        </w:rPr>
        <w:t xml:space="preserve">   </w:t>
      </w:r>
    </w:p>
    <w:p w14:paraId="573A4294">
      <w:pPr>
        <w:widowControl w:val="0"/>
        <w:wordWrap/>
        <w:adjustRightInd w:val="0"/>
        <w:snapToGrid w:val="0"/>
        <w:spacing w:line="560" w:lineRule="exact"/>
        <w:jc w:val="center"/>
        <w:textAlignment w:val="auto"/>
        <w:rPr>
          <w:rFonts w:hint="eastAsia" w:ascii="宋体" w:hAnsi="宋体" w:cs="宋体"/>
          <w:b/>
          <w:bCs/>
          <w:kern w:val="2"/>
          <w:sz w:val="28"/>
          <w:szCs w:val="28"/>
          <w:highlight w:val="none"/>
          <w:u w:val="none"/>
          <w:lang w:val="en-US" w:eastAsia="zh-CN" w:bidi="ar-SA"/>
        </w:rPr>
      </w:pPr>
      <w:r>
        <w:rPr>
          <w:rFonts w:hint="eastAsia" w:ascii="宋体" w:hAnsi="宋体" w:cs="宋体"/>
          <w:b/>
          <w:bCs/>
          <w:kern w:val="2"/>
          <w:sz w:val="28"/>
          <w:szCs w:val="28"/>
          <w:highlight w:val="none"/>
          <w:u w:val="none"/>
          <w:lang w:val="en-US" w:eastAsia="zh-CN" w:bidi="ar-SA"/>
        </w:rPr>
        <w:t>（二）技术参数</w:t>
      </w:r>
    </w:p>
    <w:p w14:paraId="6352B36C">
      <w:pPr>
        <w:widowControl w:val="0"/>
        <w:wordWrap/>
        <w:adjustRightInd w:val="0"/>
        <w:snapToGrid w:val="0"/>
        <w:spacing w:line="560" w:lineRule="exact"/>
        <w:jc w:val="center"/>
        <w:textAlignment w:val="auto"/>
        <w:rPr>
          <w:rFonts w:hint="eastAsia" w:ascii="宋体" w:hAnsi="宋体" w:cs="宋体"/>
          <w:b/>
          <w:bCs/>
          <w:kern w:val="2"/>
          <w:sz w:val="32"/>
          <w:szCs w:val="32"/>
          <w:highlight w:val="none"/>
          <w:lang w:val="en-US" w:eastAsia="zh-CN" w:bidi="ar-SA"/>
        </w:rPr>
      </w:pPr>
    </w:p>
    <w:tbl>
      <w:tblPr>
        <w:tblStyle w:val="19"/>
        <w:tblW w:w="15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
        <w:gridCol w:w="1000"/>
        <w:gridCol w:w="11705"/>
        <w:gridCol w:w="1031"/>
        <w:gridCol w:w="901"/>
      </w:tblGrid>
      <w:tr w14:paraId="4683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7CF6A9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00" w:type="dxa"/>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50699D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货物名称</w:t>
            </w:r>
          </w:p>
        </w:tc>
        <w:tc>
          <w:tcPr>
            <w:tcW w:w="11705" w:type="dxa"/>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71A2BD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参数</w:t>
            </w:r>
          </w:p>
        </w:tc>
        <w:tc>
          <w:tcPr>
            <w:tcW w:w="1031" w:type="dxa"/>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495606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901" w:type="dxa"/>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2A0CA3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r>
      <w:tr w14:paraId="18CE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15307" w:type="dxa"/>
            <w:gridSpan w:val="5"/>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50EAA309">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包一</w:t>
            </w:r>
          </w:p>
        </w:tc>
      </w:tr>
      <w:tr w14:paraId="7263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4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A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PC组合盾牌</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B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1、符合GA 422-2019《警用防暴盾牌》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2、一般要求：警用防暴盾牌(以下简称防暴盾牌)由盾体和握持装置等组成。防暴盾牌材料应无毒、对人体无自然伤害。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3、外观要求：防暴盾牌表面应光滑，无可视的凹坑、气泡、毛刺、尖角、划伤、斑点、脱漆及起皮等缺陷 。防暴盾牌的握持装置应无毛刺、尖角等缺陷， 便于握持、手感舒适。防暴盾牌上外露金属结构件应经表面处理，无锈蚀现象。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4、标识：防暴盾牌正面对应握持装置位置应有中文“警察”和英文“POLICE”字样，字样颜色为白色。中文“警察”字体为黑色，字高为 85mm±4mm,英文“POLICE”字体为ArialBlack,字高为55mm±3mm。防暴盾牌盾体上应有清晰永久性的产品标志，其内容应包括：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a)制造厂名称或商标；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b)产品名称；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c)产品代号和编号；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d)执行标准号；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e)使用有效期；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f)生产日期(年月)。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5、规格：S(小号)外形尺寸：(1210×560)±10mm, 防护面积≥0.67m²;L(大号)外形尺寸：(1610×560)±10mm, 防护面积≥0.9m²。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6、质量：S(小号)质量应≤6.8kg L(大号)质量应≤8.5kg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7、握把连接强度：握把与盾体间的连接应能承受1000N的拉力，不应有断裂、松动或脱落现象。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8、臂带连接强度：臂带的搭扣搭合好后，臂带与盾体间连接应能承受1000N的拉力，不应有脱落、松动、脱扣或臂带断裂现象。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9、透光率 ：透明防暴盾牌的盾体和非透明防暴盾牌的观察窗，其透光率应大于89%。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10、耐冲击强度：防暴盾牌应能承受240J动能的冲击，冲击后受力点不应有穿洞或在受力点半径50mm之外出现贯穿性开裂。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11、耐穿刺性能：防暴盾牌应承受170J动能的穿刺，穿刺后受力点不应有大于直径6mm穿洞或在受力点半径20mm之外出现贯穿性开裂。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12、耐击打强度：防暴盾牌应能承受线速度为18m/s±0.3m/s、能量为450J±13J的击打，击打后盾体不应破碎或出现长度大于50mm的贯穿性开裂，击打后盾体产生的最大凹陷深度应小于或等于30mm。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13、耐刀砍性能：防暴盾牌的上边沿应能抵御线速度为8.5m/s±0.5m/s、能量为120J±5J的击砍， 试验后刀砍痕迹深度应小于或等于25mm。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14、防护性能：在距离防暴盾牌8m处，使用12号猎枪弹、3 号弹珠进行枪击试验，在有效击中的情况下，盾牌应无破裂或穿透。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15、涂层附着力：具有涂层的防暴盾牌，其涂层附着力应大于或等于GB/T 9286-1998中3级的规定。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16、阻燃性能：未燃烧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17、温度适应性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（1）高温：防暴盾牌在环境温度55℃条件下，应符合防耐击打强度要求。（2）低温：防暴盾牌在环境温度-30℃条件下，应符合防耐击打强度要求。</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2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0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80C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1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4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防暴服</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5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1、一般要求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1.1.警用防暴服由防护的前胸、后背、裆部、上肢和下肢等防护部件组成，上肢防护部件含肩、上臂、肘和前臂等防护部件，下肢防护部件含大腿、膝、小腿、脚面和脚踝防护部件等。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1.2.防暴服穿着灵活，易于穿脱，穿着时可根据身高借助连接件调节，各部位连接件连接牢固。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1.3.防暴服的各防护部件采用随形设计，与人体相应部位相适应。防暴服使用的材料无刺激性异味。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1.4.前胸和后背防护部件的贴身部件可拆卸和清洗，连接和分离方便、可靠。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1.5.防护部件的各层采用可拆卸结构时，在明显位置标明防护面或贴身面。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2、外观要求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2.1.防暴服无皱褶、裂痕、破损、缺口、开线、漏针、线头等缺陷，金属材料进行防锈处理。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2.2.防暴服无锋利边缘和尖锐角刺。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防暴服上具有清晰永久性的产品标志，标志位置在后背防护部件内侧，内容包括：a）制造厂名称或商标、b）产品名称和代号、c）产品编号、d）执行标准号、e）生产日期（年月）、f）有效期、g）使用说明及注意事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3、颜色：防暴服颜色为藏蓝色。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4、防护面积：常规型、前胸及裆部≥1220m2、后背≥1200cm2）、上肢≥1920cm2、下肢≥3300cm2。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5、质量：常规型防暴服的质量小于7.15kg。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6、连接件可靠性：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6.1.连接带拉伸负荷2000N未断裂；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6.2.搭扣带扣合强度≥14.4N/cm2；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6.3.搭扣带耐用扣合强度≥9.5N/cm2；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6.4.主插扣拉伸负载500N未脱开、断裂；插拔500次后能正常使用。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7、耐冲击性能：防暴服的防护部件承受120J能力冲击，未破碎、无开裂。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8、能量吸收性能：防暴服的前胸、后背防护部件能承受100J能量冲击，且胶泥压痕深度小于或等于2.1mm。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9、防刺性能：使用GA 68-2019中规定的D1测试刀具、测试体以24J±0.5J撞击能量对防暴服的前胸、后背及裆部防护部件进行穿刺，在有效穿刺情况下，防暴服未穿透。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10、温度适应性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10.1.低温：将防暴服放入温度为-20℃±2℃恒温箱内保持4h后，防暴服的防护部件能承受120J能量冲击，未破碎、开裂。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10.2.高温：将防暴服放入温度为+55℃±2℃恒温箱内保持4h后，使用GA 68-2019中规定的D1测试刀具、测试体以24J±0.5J撞击能量对防暴服的前胸、后背及裆部防护部件进行穿刺，在有效穿刺情况下，防暴服未穿透。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11、阻燃性能：防护部件表面燃烧后未续燃。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12、特性：常规型防暴服，前胸和后背的防护层结构为塑料铸件，尼龙布做面料，前胸、后背及裆部处有防刺层，贴身面用发泡材料做缓冲。裆部防护层内结构为1层2.5㎜厚金属板+1层4.0mm厚泡沫。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13、执行标准：GA 420-2021《警用防暴服》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5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2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D60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6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5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警用约束叉</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E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1、符合《GA/T 1145-2014 警用约束叉》中的有关要求；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2、结构：由叉头、叉杆、连接部位和控制部位等组成；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3、尺寸：工作长度≥2000mm，携行长度：≤1300mm，叉杆握持部位直径：30mm-35mm，叉头闭合缝隙：闭合无缝隙。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4、质量：≤2.1kg；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5、状态装换时间：警用约束叉的携行状态与工作状态转换时间≤5s；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6、操作可靠性：约束叉经过1000次开启、闭合循环后，能正常使用。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提供公安部相关检验测试中心出具的检测合格报告，同时以上1-6项须全部体现在检测报告中，提供证明材料(复印件加盖生产厂家公章)。</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2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A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150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F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5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喊话器</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5E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1、符合GB/T 15211-2013《安全防范报警设备环境适应性要求和试验方法》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观：手持式多功能喊话器外壳塑料件应无缩水、毛刺、顶白、划伤、油印和变色现象，警徽标志和标签应正确、清晰。螺丝应无松动、打滑或拧不到位的现象。外壳应无生锈、变形等现象，各按键的弹性应良好、操作顺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3、尺寸：口径×长度：(230×350mm)±2mm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4、质量：≤1.4kg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5、最大功率：最大50W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6、传送距离：传送距离大于500m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7、频率响应：100Hz-10kHz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8、照明功能：可通过触发照明键开启内置手电筒进行照明。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9、录音时间≥240s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10、喊话时间：10h-20h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11、喊话器声级≥116dB(A)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12、充电时间≤8h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13、功能：喊话器为手持式；具有喊话、USB插口、照明、警报、录音、放音、音量大小 调节等功能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14、开关耐久性：喊话器开关触压1000次后应能正常使用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15、高温试验：经55℃±2℃高温2h后应能正常工作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16、低温试验：经-10℃±2℃高温2h后应能正常工作</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1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D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A70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A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8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警用急救箱</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1F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1、符合GB M281745标准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2、外观:急救箱表面应光滑、无可视的凹坑、突起、气泡、毛刺、尖角、划伤、斑点、脱胶及起皮等缺陷。外露金属结构应无锈蚀。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3、外箱材质：铝合金边框、PC面板、医用级PP托盘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4、外箱颜色：蓝色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5、产品标志：急救箱背面水平居中应有应有永久性铭牌：产品编号、产品型号、厂名厂址。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6、外形尺寸(长*宽*高)：355mm±5mm×185mm±5mm×205mm±5mm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7、质量：≤2.5kg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基本配置：听诊器1副、血压表1套、敷料镊1把、体温计1只、绷带1卷、止血带1根、脱脂纱布1包、脱脂药棉1包、橡皮胶布2卷、创口贴1包、医用棉签1包、碘酒1瓶、红贡1瓶、酒精棉球1袋、云南白药1瓶、硝酸甘油片1 瓶、乳胶医用手套2副、弹性绷带1卷、小剪刀1把、 口对口呼吸膜2片、一次性手套1包、医用镊子1把、医用PE固定胶布1卷、三角巾1个、安全别针5个、救生哨子1个、降温贴2个、医用口罩2个、烧伤敷贴2个、烫伤敷贴2个、急救毯1个、冰袋2个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9、抗跌落试验：箱体锁合后，从高度1.5m处向水泥地面跌落两次，跌落后锁体不应开启，箱体不应破损，内装物品不应散落。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10、盐雾试验：盐雾浓度：(5±1)%、测试溶液PH值：6.5～7.2(23℃±3℃) 喷雾量：(1.0～2.0mL/h/80cm2)、试验柜温度：(35.0℃±2.0℃)、驻留时间：72小时、试样摆放方式：倾斜15度</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0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8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67400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C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5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防暴铝合金盾牌</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F9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1、符合GA 422-2019《警用防暴盾牌》要求；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2、结构：防暴盾牌由盾体和握持装置等组成；盾体为金属材质，盾体上边缘有金属防砍包边，包边厚度为1.5mm，盾体厚度为2.8mm；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3、观察窗尺寸：240mm±5mm*120mm±5mm；透光率≥76%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4、盾牌尺寸：900±20mm*500mm±20mm；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5、防护面积：≥0.45m²；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6、质量：≤3.6kg；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7、握持装置的连接部件：能承受≥500N的拉力，不应有脱落、松动、脱扣或断裂现象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8、耐冲击强度：147J动能的冲击后,受力点不应有穿洞或在受力点半径50mm之外出现贯穿性开裂。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9、耐穿刺性能：147J动能的穿刺后，受力点穿洞直径≤1.7mm，受力点半径20mm之外未开裂；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10、耐击打强度：以18m/s士0.3m/s、能量为342J土13J击打，击打后盾体未破碎、开裂，最大凹陷深度≤40mm；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11、耐刀砍性能：以8.5m/s±0.5m/s、能量为100J±5J的击砍，击砍后刀砍痕迹深度应≤7mm；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12、涂层附着力：符合GB/T9286-1998中3级的规定；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13、阻燃性能：表面续燃时间未续燃；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14、温度适应性：-30℃～+55℃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B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D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6CD1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2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7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便携式警用围挡</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B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1、围挡由围挡布，骨架，携行包组成。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2、展开尺寸：≥高2000mm×宽2000mm；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3、收纳尺寸：≤1025MM*110MM*长60MM。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4、重量：≤4kg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5、状态转换时间：单片围挡展开或收缩时间≤25秒。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6、脱卸性能：围挡布与围挡框架应可脱卸更换。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7、警示横幅上的【警察执法】字样（字体：黑体）及【POLICELAW-ENFORCEMENT】字样（字体：Arial)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8、执行标准：GB/T3923.1-2013《纺织品 织物拉伸性能 第1部分:断裂强力和断裂伸长率的测定（条样法)》；GB/T3917.3-2009《纺织品 织物撕破性能 第3部分:梯形试样撕破强力的测定》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9.围挡由方管尺寸不低于 20mm*20mm*壁厚 2mm 的 6063-T6 铝合金材质骨架制成。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10.单片围挡四个角落采用共计 8 个的折叠支撑杆加固处理，每根管连接处由双面折叠扣加固处理。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11.反光条初始逆反射系数 cd/（1x·㎡）≥300。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4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F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B487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F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7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FAST头盔</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A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战术防暴头盔采用战术导轨设计，可根据使用场景自行加装战术配件，盔体采用高强度ABS材料制作而成，具有重量轻强度高等特点，适合公安、武警、特警等部门执勤或训练使用；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1.由盔体、导轨、墨鱼干、紧急解脱插口、连接扣具、缓冲系统、悬挂系统、防护面罩组成，面罩可自由拆卸；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2.主要材料：盔体高强度ABS，面罩高透光PC材质；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3.性能：具有强效的防撞、抗砸性能，面罩可提供防风防护作用；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4.缓冲系统：七衬垫设计，主要材料为拉毛绒面料覆盖高弹海绵。提供了佩戴的舒适性和撞击时的有效缓冲功能；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5.悬挂系统：织带采用高强丝与ABS扣具连接。紧急解脱插口方便紧急情况时及时取下头盔， 四点“H ”型结构给予了佩戴的稳定性和舒适感；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6.重量：约0.95kg；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7.佩带装置性能：佩戴结构应保证佩戴牢靠舒适，解脱方便。系带宽度为≥19.8mm。</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7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0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w:t>
            </w:r>
          </w:p>
        </w:tc>
      </w:tr>
      <w:tr w14:paraId="08CD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8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0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战术背心</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11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1.主体面料选用1000D双层复合面料，激光切割工艺，尽量轻量化，重量≥1.1KG,长≥35CM，宽≥29CM；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2.自主开发设计快拉扣，拆卸简单，只需要用力上拉拉手(防滑海帕龙材料)就可以打开，背心采用快拆设计，肩膀两个和腰部左右两个自主开发设计快拉扣，拆卸简单， (母扣中间扣位结构采用杠杆原理，尾部弹簧顶起，头部扣位扣到公扣的凹位)只需要用力上拉拉手(防滑海帕龙材料)就可以打开；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3.肩部快拆扣尺寸：≥57*51*12mm；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4.腰部快拆扣尺寸：≥120*57*12mm；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5.侧包围采用激光切割，透气性能好。人体工程学宽肩垫，使用舒适，肩垫表面激光MOLLE切割，可以挂载手电的等装备；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6.战术背心贴身部位采用透气性能非常好的鱼丝网材料，内侧镂空设计，保证了空气的流通，解决市场通病闷热问题；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7.背心可以装公安部标准的3-6级防弹板≤25*30规格。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C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C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5E1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1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B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背负式催泪驱散器</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4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1.产品容量：≥12L；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2.产品重量:≥20kg主要性能指标；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3.喷射方式续或间歇喷射雾状喷射，也可射流喷射；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4.射程≥20m；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5.覆盖面积:≥2000㎡以上;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6.装液量≥10L;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7.喷射时间:连续喷射为18s-30s;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8.工作压力：≥12MPa;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9.工作温度:-30℃-+50℃;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10.重量≥20kg;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有效期:三年。</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6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D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6899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1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7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多旋翼多功能无人机</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60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智能飞行电池≥1;智能电池箱≥1;图传模块≥1;增强图传模块≥2;背带支架套件≥1;螺旋桨≥1;减震球≥1;运输箱≥1;环扫激光雷达标定保护罩≥1;前桨叶收纳件≥1;后桨叶收纳件≥1;USB-C至USB-C 数据线≥1;USB-C至USB-C数据线≥1;电池≥1;接口胶塞≥2;胶塞螺丝（2×2）≥4。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2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5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1E9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4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6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多功能云台相机</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B5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维修工具套、清洁工具套装、保险三年。云台相机≥1、相机保护盖、≥64G存储卡、收纳箱、镜头清洁布。</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E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E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495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3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4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喊话器</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08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1.负载重量≤700g；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2.负载尺寸≤140×130×150mm；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3.防护等级≥IP54；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4.工作温度-20℃ 至 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5.存储温度-20℃ 至 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6.有效传播距离≥700 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7.最大响声压级1米处≥129 分贝；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8.实时喊话支持通过遥控器实时喊话；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9.收纳箱≥1。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F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D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592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C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3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照明模块</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DB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1.重量≤800g；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2.尺寸≤150×160×180mm；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3.能控制探照灯进行俯仰、横滚和平移运动；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4.防护等级≥IP54；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5.工作温度-20℃ 至 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6.存储温度-20℃ 至 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7.最高中心照度距离探照灯100m处，照度≥40 lux；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8.近光中心照度距离探照灯100m处，照度≥20 lux；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9.远光中心照度距离探照灯100m处，照度≥30 lux；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10.有效探照距离≥500 米（距离探照灯500m处的光照度应不低于2 lux）均有检测报告支撑；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11.镜片保护盖≥1；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12.收纳箱≥1；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13.擦镜布≥1。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F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2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BBB9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D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0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智能飞行电池</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BE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1.容量≥20000mAh；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2.能量≥900 Wh≤5000克；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3.电池到位检测当电池未安装到位时，应能对无人机进行阻飞并在遥控器上进行提示，均有检测报告支撑。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2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8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14:paraId="08CC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C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C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云台支架</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F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1.适配兼容多旋翼多功能无人机；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2.材质：碳钎维材质；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3.挂载重量：≥1.8kg；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4.双云台组件≥1；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5.备用减震球≥8；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6.维修工具套装≥1。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7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B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4E9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E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6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4G图传套件</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62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1.适配兼容多旋翼多功能无人机；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2.满足无人机和遥控器配备4G模块增强城市等复杂环境飞行;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3.增强图传模块≥3X1;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4.螺丝刀≥1。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C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C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F55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4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1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38MM电子投放器</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18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1.产品尺寸 ：≤152mm* 116mm*170mm；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2.产品重量 ：≤999g；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3.接口类型： ≤SKYPORT V2.0；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.系统功率 ：≤23W；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 xml:space="preserve">.工作温度： -20 ° 至 60 °；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.通道数 ：≤6；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.控制距离：与无人机通信距离一致；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.状态反馈：各通道状态实时回传；；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.支持弹种：≤38mm电击发烟雾弹、催泪瓦斯、爆震弹等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.安装方式 ：机腹卡扣式快速安装；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11</w:t>
            </w:r>
            <w:r>
              <w:rPr>
                <w:rFonts w:hint="eastAsia" w:ascii="宋体" w:hAnsi="宋体" w:eastAsia="宋体" w:cs="宋体"/>
                <w:i w:val="0"/>
                <w:iCs w:val="0"/>
                <w:color w:val="000000"/>
                <w:kern w:val="0"/>
                <w:sz w:val="18"/>
                <w:szCs w:val="18"/>
                <w:u w:val="none"/>
                <w:lang w:val="en-US" w:eastAsia="zh-CN" w:bidi="ar"/>
              </w:rPr>
              <w:t>.减震方式 ：独立弹簧内置减震；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.防护等级 ：≤IP43；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13</w:t>
            </w:r>
            <w:r>
              <w:rPr>
                <w:rFonts w:hint="eastAsia" w:ascii="宋体" w:hAnsi="宋体" w:eastAsia="宋体" w:cs="宋体"/>
                <w:i w:val="0"/>
                <w:iCs w:val="0"/>
                <w:color w:val="000000"/>
                <w:kern w:val="0"/>
                <w:sz w:val="18"/>
                <w:szCs w:val="18"/>
                <w:u w:val="none"/>
                <w:lang w:val="en-US" w:eastAsia="zh-CN" w:bidi="ar"/>
              </w:rPr>
              <w:t>.安全模式：设备上锁/装弹检测/上电检测。</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4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D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E6F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2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7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红蓝爆闪警灯</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7A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灯主体尺寸：≤ 120mm*60mm*65mm</w:t>
            </w:r>
          </w:p>
          <w:p w14:paraId="6889A4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安装方式：快拆</w:t>
            </w:r>
          </w:p>
          <w:p w14:paraId="38960D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角度调节：±45</w:t>
            </w:r>
          </w:p>
          <w:p w14:paraId="04BC7E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总重量：≤ 300</w:t>
            </w:r>
          </w:p>
          <w:p w14:paraId="66E219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爆闪模式：红蓝爆闪；红爆闪；蓝爆闪；黄爆闪；绿爆闪</w:t>
            </w:r>
          </w:p>
          <w:p w14:paraId="627E36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防护等级：≥IP54</w:t>
            </w:r>
          </w:p>
          <w:p w14:paraId="2E7663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工作温度：-20°C ～ +50°C</w:t>
            </w:r>
          </w:p>
          <w:p w14:paraId="1C25B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储存温度：-20°C ～ +60°C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提供检测报告</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B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1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818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6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D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四段抛投器</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9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1.重量：≤310g;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2.尺寸：≤76*98mm;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3.数字显像管显示上料位置;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4.单次飞行可完成抛投任务次数≥4;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5.单次抛投重量≥2kg;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6.总负载重量≥8kg;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7.防护等级：≤IP43;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8.工作温度：-20°C-+50°C;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9.可快速拆装；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10.控制：无人机链路，无需另外适配遥控器供电方式：无人机云台接口供电。</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2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0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652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D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7C9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户外电源</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12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1.净重≤ 23千克；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2.尺寸长≤448 毫米，宽≤226毫米，高≤334毫米；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3.端口数量交流电输出口≥4；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4.USB-C≥4；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5.USB-A≥4；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6.SDC≥2；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7.交流电输入口≥1；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8.最大使用海拔≥5000 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9.供电环境温度-10℃至45℃；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10.充电环境温度0℃至45℃；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11.存储环境温度-10℃至45℃。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D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A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BF9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2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5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无人机反制枪</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C0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便携式的"察打诱一体"无人机管制设备，通过频谱感知，无线电干扰，导航诱骗等技术实现对无人机的探测预警，身份识别，目标测向，位置获取，定向管制，驱离诱骗能力。搭载实时屏显，可实时侦察目标无人机状态信息；具备组网互联和设备位置回传定位能力，满足低空防御区智能化统一调度管控需求。</w:t>
            </w:r>
          </w:p>
          <w:p w14:paraId="02F229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探测单元</w:t>
            </w:r>
          </w:p>
          <w:p w14:paraId="68B231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工作模式 无源侦测 </w:t>
            </w:r>
          </w:p>
          <w:p w14:paraId="7A1C9B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工作频段 100MHz~6GHz </w:t>
            </w:r>
          </w:p>
          <w:p w14:paraId="1C39F9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探测半径 ≤500m~3000m </w:t>
            </w:r>
          </w:p>
          <w:p w14:paraId="1C72B9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探测目标数量 ≤10架次(同时) </w:t>
            </w:r>
          </w:p>
          <w:p w14:paraId="4F9B69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续航时间 ≤~5h </w:t>
            </w:r>
          </w:p>
          <w:p w14:paraId="361093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反制单元</w:t>
            </w:r>
          </w:p>
          <w:p w14:paraId="4B0B72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工作模式 无线电干扰 </w:t>
            </w:r>
          </w:p>
          <w:p w14:paraId="14879A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工作频段 无人机图传，遥控频段 </w:t>
            </w:r>
          </w:p>
          <w:p w14:paraId="2369AC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反制距离 500~1500m </w:t>
            </w:r>
          </w:p>
          <w:p w14:paraId="101730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诱骗频段 ≥GPS,GLONASS L1 </w:t>
            </w:r>
          </w:p>
          <w:p w14:paraId="144DD1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诱骗距离 500~1000m </w:t>
            </w:r>
          </w:p>
          <w:p w14:paraId="3F43093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机械参数</w:t>
            </w:r>
          </w:p>
          <w:p w14:paraId="3B6F55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尺寸 ≤(850mm*382mm*95mm)5mm </w:t>
            </w:r>
          </w:p>
          <w:p w14:paraId="3AA45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重量 ≤8.5kg</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7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3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035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7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4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卫星电话</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77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网络：天通一号卫星 + 4G 全网通（移动 / 联通 / 电信 2G/3G/4G），双卡双待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卫星语音：≤1.2kbps/2.4kbps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卫星短信：单条≤140字节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定位：北斗 </w:t>
            </w:r>
          </w:p>
          <w:p w14:paraId="3AD4BB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系统：Android 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CPU：≤ 八核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屏幕：≤2.6 英寸 TFT，≤240×320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内存：≤4GB RAM+64GB ROM，支持 128GB 扩展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摄像头：后置≤1300 万像素，带闪光灯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电池：≤5000mAh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待机：≥120 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卫星通话：≥6 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防护：≤IP68 防水防尘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工作温度：-20℃～+55℃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尺寸：≤166×26.5×74.5mm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重量：≤295g（不含配件）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接口：USB Type-C（充电 / 数据 / 耳机）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无线：蓝牙、Wi-Fi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传感器：重力、光线、距离、陀螺仪、磁传感器、气压计、温湿度传感器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功能：卫星 / 地面一键切换、可旋转可拆卸天线、实体按键、快充、OTA 升级</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8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B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DFC8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5307" w:type="dxa"/>
            <w:gridSpan w:val="5"/>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610B5B5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包二</w:t>
            </w:r>
          </w:p>
        </w:tc>
      </w:tr>
      <w:tr w14:paraId="6920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DE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3F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警用摩托车</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D3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一、货物总体要求</w:t>
            </w:r>
          </w:p>
          <w:p w14:paraId="1C46CA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1.所投警用摩托车须满足机动车登记注册上牌照要求（投标文件中须提供承诺书）。</w:t>
            </w:r>
          </w:p>
          <w:p w14:paraId="43DBC5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二、大排量警用两轮摩托车技术需求</w:t>
            </w:r>
          </w:p>
          <w:p w14:paraId="5A4C22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1、发动机型式：双缸，四冲程，液冷</w:t>
            </w:r>
          </w:p>
          <w:p w14:paraId="7BF62A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2、排量（ml）:650±1</w:t>
            </w:r>
          </w:p>
          <w:p w14:paraId="054A53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3、最大功率（kW）:≥45</w:t>
            </w:r>
          </w:p>
          <w:p w14:paraId="3A1135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4、最大扭矩（N•m）:≥56</w:t>
            </w:r>
          </w:p>
          <w:p w14:paraId="40A5B8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5、传动方式：链条传动</w:t>
            </w:r>
          </w:p>
          <w:p w14:paraId="5E947A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6、长×宽×高（mm）:2250×1000×1355（±10mm）</w:t>
            </w:r>
          </w:p>
          <w:p w14:paraId="3C3444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7、最小离地间隙（mm）：≤160</w:t>
            </w:r>
          </w:p>
          <w:p w14:paraId="3B62B0B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8、轴距（mm）：1420±10</w:t>
            </w:r>
          </w:p>
          <w:p w14:paraId="3A09C1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9、整备质量（kg）：≤260</w:t>
            </w:r>
          </w:p>
          <w:p w14:paraId="793282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10、油箱容积（L）:≥22</w:t>
            </w:r>
          </w:p>
          <w:p w14:paraId="12D0BF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11、最高车速（km/h）：≥120</w:t>
            </w:r>
          </w:p>
          <w:p w14:paraId="5553F0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12、制动系统配备ABS</w:t>
            </w:r>
          </w:p>
          <w:p w14:paraId="118A98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13、前4个警灯、后拉杆警灯、左右边箱、后尾箱，后警灯，保险杠</w:t>
            </w:r>
          </w:p>
          <w:p w14:paraId="43A78D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14、车身涂装：3M反光标识（定制）</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3E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91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辆</w:t>
            </w:r>
          </w:p>
        </w:tc>
      </w:tr>
      <w:tr w14:paraId="0CA39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77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1C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特巡警春秋骑行服</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89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上衣面料:50%±2%耐磨透气网+30%±2%168双股尼龙牛津布+20%±2%300D防水透气布，里料:100%透气网；</w:t>
            </w:r>
          </w:p>
          <w:p w14:paraId="219587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可拆内胆:100%210T防水尼龙布；晶格反光条+拉链；</w:t>
            </w:r>
          </w:p>
          <w:p w14:paraId="68992E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配五件套CE认证护具及前后警察反光标；</w:t>
            </w:r>
          </w:p>
          <w:p w14:paraId="77117A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颜色:黑色；</w:t>
            </w:r>
          </w:p>
          <w:p w14:paraId="2F73A8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尺码:M~5XL(其中5XL特制码适合110-125公斤个子)</w:t>
            </w:r>
          </w:p>
          <w:p w14:paraId="180D69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裤子面料:92%±5%绵纶+8%±5%氨纶四面弹面料；</w:t>
            </w:r>
          </w:p>
          <w:p w14:paraId="551B8DC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配两件套CE认证护具；</w:t>
            </w:r>
          </w:p>
          <w:p w14:paraId="26D968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颜色:黑色；</w:t>
            </w:r>
          </w:p>
          <w:p w14:paraId="55071D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尺码:M~5XL(其中5XL特制码适合110-125公斤个子)</w:t>
            </w:r>
          </w:p>
          <w:p w14:paraId="680FF7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适用对象:交警，辅警，城管，机动队。</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85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00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r>
      <w:tr w14:paraId="42997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5C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37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特巡警冬季骑行服</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EB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上衣面料:100%600D加密牛津布；里料:100%透气网；</w:t>
            </w:r>
          </w:p>
          <w:p w14:paraId="064B81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可拆内胆:90%±5%白鸭绒+10%±5%绒毛；晶格反光条+拉链；</w:t>
            </w:r>
          </w:p>
          <w:p w14:paraId="18F9C7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配五件套CE认证护具，另可选配护胸；</w:t>
            </w:r>
          </w:p>
          <w:p w14:paraId="1FBB4E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颜色:黑黄，黑色；</w:t>
            </w:r>
          </w:p>
          <w:p w14:paraId="760EA7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尺码:M~5XL(其中5XL特制码适合110-125公斤个子)；</w:t>
            </w:r>
          </w:p>
          <w:p w14:paraId="722824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裤子面料:100%600D加密牛津布；里料:100%透气网；</w:t>
            </w:r>
          </w:p>
          <w:p w14:paraId="26BE7B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可拆内胆:90%±5%白鸭绒+10%±5%绒毛；</w:t>
            </w:r>
          </w:p>
          <w:p w14:paraId="018E6E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配两件套CE认证护膝及EVA护胯；</w:t>
            </w:r>
          </w:p>
          <w:p w14:paraId="67CF1F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颜色:黑色；</w:t>
            </w:r>
          </w:p>
          <w:p w14:paraId="200A3A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尺码:M~5XL(其中5XL特制码适合110-125公斤个子)；</w:t>
            </w:r>
          </w:p>
          <w:p w14:paraId="048407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适用对象:交警，辅警，城管，机动队。</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A9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6E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r>
      <w:tr w14:paraId="28F8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E5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0A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骑行头盔（揭面盔）+骑警蓝牙通讯耳机</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9E5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一、骑行头盔（揭面盔）</w:t>
            </w:r>
          </w:p>
          <w:p w14:paraId="541A5A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材质:100%ABS原料+PC防雾镜片及可伸缩太阳镜片+EPS防护块+吸湿排汗可拆内胆；</w:t>
            </w:r>
          </w:p>
          <w:p w14:paraId="69FA12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功能:配快速按扣及前后通风设计；</w:t>
            </w:r>
          </w:p>
          <w:p w14:paraId="41F0D8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适合季节:春，夏，秋，冬；</w:t>
            </w:r>
          </w:p>
          <w:p w14:paraId="406037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颜色:白色，黑色；</w:t>
            </w:r>
          </w:p>
          <w:p w14:paraId="004F2B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码:L(55-56cm),XL(57-58cm),XXL(59-60cm),3XL(61-62cm),4XL(63-64cm)；</w:t>
            </w:r>
          </w:p>
          <w:p w14:paraId="24FCDBC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二、骑警蓝牙通讯耳机系统</w:t>
            </w:r>
          </w:p>
          <w:p w14:paraId="00EF896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w:t>
            </w:r>
            <w:r>
              <w:rPr>
                <w:rFonts w:hint="default" w:ascii="宋体" w:hAnsi="宋体" w:eastAsia="宋体" w:cs="宋体"/>
                <w:i w:val="0"/>
                <w:iCs w:val="0"/>
                <w:color w:val="000000"/>
                <w:kern w:val="0"/>
                <w:sz w:val="18"/>
                <w:szCs w:val="18"/>
                <w:u w:val="none"/>
                <w:lang w:val="en-US" w:eastAsia="zh-CN" w:bidi="ar"/>
              </w:rPr>
              <w:t>头盔对讲蓝牙耳机：</w:t>
            </w:r>
          </w:p>
          <w:p w14:paraId="6AC2092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蓝牙版本4.1</w:t>
            </w:r>
            <w:r>
              <w:rPr>
                <w:rFonts w:hint="eastAsia" w:ascii="宋体" w:hAnsi="宋体" w:eastAsia="宋体" w:cs="宋体"/>
                <w:i w:val="0"/>
                <w:iCs w:val="0"/>
                <w:color w:val="000000"/>
                <w:kern w:val="0"/>
                <w:sz w:val="18"/>
                <w:szCs w:val="18"/>
                <w:u w:val="none"/>
                <w:lang w:val="en-US" w:eastAsia="zh-CN" w:bidi="ar"/>
              </w:rPr>
              <w:t>及以上，</w:t>
            </w:r>
            <w:r>
              <w:rPr>
                <w:rFonts w:hint="default" w:ascii="宋体" w:hAnsi="宋体" w:eastAsia="宋体" w:cs="宋体"/>
                <w:i w:val="0"/>
                <w:iCs w:val="0"/>
                <w:color w:val="000000"/>
                <w:kern w:val="0"/>
                <w:sz w:val="18"/>
                <w:szCs w:val="18"/>
                <w:u w:val="none"/>
                <w:lang w:val="en-US" w:eastAsia="zh-CN" w:bidi="ar"/>
              </w:rPr>
              <w:t>支持协议HFP,HSP，SPP,PTT</w:t>
            </w:r>
          </w:p>
          <w:p w14:paraId="2ACB7EE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蓝牙射频等级：Class 1</w:t>
            </w:r>
          </w:p>
          <w:p w14:paraId="07CCAA6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发射功率：16dB</w:t>
            </w:r>
          </w:p>
          <w:p w14:paraId="63CBD0C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语音通信功能</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支持同时连接4路设备（对讲机，手机，车载台，喇叭喊话器）语音通话</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DSP消噪防啸叫</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时速150公里能保证清晰通话</w:t>
            </w:r>
          </w:p>
          <w:p w14:paraId="323E0DF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AGC自适应增益调整节电工作模式 </w:t>
            </w:r>
          </w:p>
          <w:p w14:paraId="4117B44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操作使用距离：</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 xml:space="preserve">10米  </w:t>
            </w:r>
          </w:p>
          <w:p w14:paraId="2006F09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r>
              <w:rPr>
                <w:rFonts w:hint="default" w:ascii="宋体" w:hAnsi="宋体" w:eastAsia="宋体" w:cs="宋体"/>
                <w:i w:val="0"/>
                <w:iCs w:val="0"/>
                <w:color w:val="000000"/>
                <w:kern w:val="0"/>
                <w:sz w:val="18"/>
                <w:szCs w:val="18"/>
                <w:u w:val="none"/>
                <w:lang w:val="en-US" w:eastAsia="zh-CN" w:bidi="ar"/>
              </w:rPr>
              <w:t xml:space="preserve">频率 :2.402~2.480GHz  </w:t>
            </w:r>
          </w:p>
          <w:p w14:paraId="6E3F44E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r>
              <w:rPr>
                <w:rFonts w:hint="default" w:ascii="宋体" w:hAnsi="宋体" w:eastAsia="宋体" w:cs="宋体"/>
                <w:i w:val="0"/>
                <w:iCs w:val="0"/>
                <w:color w:val="000000"/>
                <w:kern w:val="0"/>
                <w:sz w:val="18"/>
                <w:szCs w:val="18"/>
                <w:u w:val="none"/>
                <w:lang w:val="en-US" w:eastAsia="zh-CN" w:bidi="ar"/>
              </w:rPr>
              <w:t>内置电池容量：</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 xml:space="preserve">550mAh </w:t>
            </w:r>
          </w:p>
          <w:p w14:paraId="499818F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r>
              <w:rPr>
                <w:rFonts w:hint="default" w:ascii="宋体" w:hAnsi="宋体" w:eastAsia="宋体" w:cs="宋体"/>
                <w:i w:val="0"/>
                <w:iCs w:val="0"/>
                <w:color w:val="000000"/>
                <w:kern w:val="0"/>
                <w:sz w:val="18"/>
                <w:szCs w:val="18"/>
                <w:u w:val="none"/>
                <w:lang w:val="en-US" w:eastAsia="zh-CN" w:bidi="ar"/>
              </w:rPr>
              <w:t>支持7号干电池  3小时</w:t>
            </w:r>
          </w:p>
          <w:p w14:paraId="18FA30D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r>
              <w:rPr>
                <w:rFonts w:hint="default" w:ascii="宋体" w:hAnsi="宋体" w:eastAsia="宋体" w:cs="宋体"/>
                <w:i w:val="0"/>
                <w:iCs w:val="0"/>
                <w:color w:val="000000"/>
                <w:kern w:val="0"/>
                <w:sz w:val="18"/>
                <w:szCs w:val="18"/>
                <w:u w:val="none"/>
                <w:lang w:val="en-US" w:eastAsia="zh-CN" w:bidi="ar"/>
              </w:rPr>
              <w:t>工作时间：</w:t>
            </w:r>
            <w:r>
              <w:rPr>
                <w:rFonts w:hint="eastAsia" w:ascii="宋体" w:hAnsi="宋体" w:eastAsia="宋体" w:cs="宋体"/>
                <w:i w:val="0"/>
                <w:iCs w:val="0"/>
                <w:color w:val="000000"/>
                <w:kern w:val="0"/>
                <w:sz w:val="18"/>
                <w:szCs w:val="18"/>
                <w:u w:val="none"/>
                <w:lang w:val="en-US" w:eastAsia="zh-CN" w:bidi="ar"/>
              </w:rPr>
              <w:t>约</w:t>
            </w:r>
            <w:r>
              <w:rPr>
                <w:rFonts w:hint="default" w:ascii="宋体" w:hAnsi="宋体" w:eastAsia="宋体" w:cs="宋体"/>
                <w:i w:val="0"/>
                <w:iCs w:val="0"/>
                <w:color w:val="000000"/>
                <w:kern w:val="0"/>
                <w:sz w:val="18"/>
                <w:szCs w:val="18"/>
                <w:u w:val="none"/>
                <w:lang w:val="en-US" w:eastAsia="zh-CN" w:bidi="ar"/>
              </w:rPr>
              <w:t xml:space="preserve">10小时     </w:t>
            </w:r>
          </w:p>
          <w:p w14:paraId="6F03A4E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r>
              <w:rPr>
                <w:rFonts w:hint="default" w:ascii="宋体" w:hAnsi="宋体" w:eastAsia="宋体" w:cs="宋体"/>
                <w:i w:val="0"/>
                <w:iCs w:val="0"/>
                <w:color w:val="000000"/>
                <w:kern w:val="0"/>
                <w:sz w:val="18"/>
                <w:szCs w:val="18"/>
                <w:u w:val="none"/>
                <w:lang w:val="en-US" w:eastAsia="zh-CN" w:bidi="ar"/>
              </w:rPr>
              <w:t>待机时间</w:t>
            </w:r>
            <w:r>
              <w:rPr>
                <w:rFonts w:hint="eastAsia" w:ascii="宋体" w:hAnsi="宋体" w:eastAsia="宋体" w:cs="宋体"/>
                <w:i w:val="0"/>
                <w:iCs w:val="0"/>
                <w:color w:val="000000"/>
                <w:kern w:val="0"/>
                <w:sz w:val="18"/>
                <w:szCs w:val="18"/>
                <w:u w:val="none"/>
                <w:lang w:val="en-US" w:eastAsia="zh-CN" w:bidi="ar"/>
              </w:rPr>
              <w:t>约</w:t>
            </w:r>
            <w:r>
              <w:rPr>
                <w:rFonts w:hint="default" w:ascii="宋体" w:hAnsi="宋体" w:eastAsia="宋体" w:cs="宋体"/>
                <w:i w:val="0"/>
                <w:iCs w:val="0"/>
                <w:color w:val="000000"/>
                <w:kern w:val="0"/>
                <w:sz w:val="18"/>
                <w:szCs w:val="18"/>
                <w:u w:val="none"/>
                <w:lang w:val="en-US" w:eastAsia="zh-CN" w:bidi="ar"/>
              </w:rPr>
              <w:t>60小时</w:t>
            </w:r>
          </w:p>
          <w:p w14:paraId="61AC043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r>
              <w:rPr>
                <w:rFonts w:hint="default" w:ascii="宋体" w:hAnsi="宋体" w:eastAsia="宋体" w:cs="宋体"/>
                <w:i w:val="0"/>
                <w:iCs w:val="0"/>
                <w:color w:val="000000"/>
                <w:kern w:val="0"/>
                <w:sz w:val="18"/>
                <w:szCs w:val="18"/>
                <w:u w:val="none"/>
                <w:lang w:val="en-US" w:eastAsia="zh-CN" w:bidi="ar"/>
              </w:rPr>
              <w:t xml:space="preserve">防水等级：IP66    </w:t>
            </w:r>
          </w:p>
          <w:p w14:paraId="01392A0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w:t>
            </w:r>
            <w:r>
              <w:rPr>
                <w:rFonts w:hint="default" w:ascii="宋体" w:hAnsi="宋体" w:eastAsia="宋体" w:cs="宋体"/>
                <w:i w:val="0"/>
                <w:iCs w:val="0"/>
                <w:color w:val="000000"/>
                <w:kern w:val="0"/>
                <w:sz w:val="18"/>
                <w:szCs w:val="18"/>
                <w:u w:val="none"/>
                <w:lang w:val="en-US" w:eastAsia="zh-CN" w:bidi="ar"/>
              </w:rPr>
              <w:t>蓝牙肩咪</w:t>
            </w:r>
          </w:p>
          <w:p w14:paraId="7BEEDDD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 xml:space="preserve">支持蓝牙协议： HFP, HSP,A2DP,AVRCP </w:t>
            </w:r>
          </w:p>
          <w:p w14:paraId="2E67251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 xml:space="preserve">蓝牙射频等级：Class 2  </w:t>
            </w:r>
          </w:p>
          <w:p w14:paraId="3B411A2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麦克风类型：全指向DSP消噪麦克风</w:t>
            </w:r>
          </w:p>
          <w:p w14:paraId="1C132C7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支持耳机：兼容各种3.5mm类型插头的耳机</w:t>
            </w:r>
          </w:p>
          <w:p w14:paraId="2F1A623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电池类型：</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1600mA可充电锂电池</w:t>
            </w:r>
          </w:p>
          <w:p w14:paraId="51088D3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充电时间：约3小时</w:t>
            </w:r>
          </w:p>
          <w:p w14:paraId="7E829CB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r>
              <w:rPr>
                <w:rFonts w:hint="default" w:ascii="宋体" w:hAnsi="宋体" w:eastAsia="宋体" w:cs="宋体"/>
                <w:i w:val="0"/>
                <w:iCs w:val="0"/>
                <w:color w:val="000000"/>
                <w:kern w:val="0"/>
                <w:sz w:val="18"/>
                <w:szCs w:val="18"/>
                <w:u w:val="none"/>
                <w:lang w:val="en-US" w:eastAsia="zh-CN" w:bidi="ar"/>
              </w:rPr>
              <w:t>工作时间：约14小时</w:t>
            </w:r>
          </w:p>
          <w:p w14:paraId="76844E0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r>
              <w:rPr>
                <w:rFonts w:hint="default" w:ascii="宋体" w:hAnsi="宋体" w:eastAsia="宋体" w:cs="宋体"/>
                <w:i w:val="0"/>
                <w:iCs w:val="0"/>
                <w:color w:val="000000"/>
                <w:kern w:val="0"/>
                <w:sz w:val="18"/>
                <w:szCs w:val="18"/>
                <w:u w:val="none"/>
                <w:lang w:val="en-US" w:eastAsia="zh-CN" w:bidi="ar"/>
              </w:rPr>
              <w:t>防水等级：IP65</w:t>
            </w:r>
          </w:p>
          <w:p w14:paraId="4A86912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r>
              <w:rPr>
                <w:rFonts w:hint="default" w:ascii="宋体" w:hAnsi="宋体" w:eastAsia="宋体" w:cs="宋体"/>
                <w:i w:val="0"/>
                <w:iCs w:val="0"/>
                <w:color w:val="000000"/>
                <w:kern w:val="0"/>
                <w:sz w:val="18"/>
                <w:szCs w:val="18"/>
                <w:u w:val="none"/>
                <w:lang w:val="en-US" w:eastAsia="zh-CN" w:bidi="ar"/>
              </w:rPr>
              <w:t xml:space="preserve">频率 :2.402~2.480GHz       </w:t>
            </w:r>
          </w:p>
          <w:p w14:paraId="58C47C6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w:t>
            </w:r>
            <w:r>
              <w:rPr>
                <w:rFonts w:hint="default" w:ascii="宋体" w:hAnsi="宋体" w:eastAsia="宋体" w:cs="宋体"/>
                <w:i w:val="0"/>
                <w:iCs w:val="0"/>
                <w:color w:val="000000"/>
                <w:kern w:val="0"/>
                <w:sz w:val="18"/>
                <w:szCs w:val="18"/>
                <w:u w:val="none"/>
                <w:lang w:val="en-US" w:eastAsia="zh-CN" w:bidi="ar"/>
              </w:rPr>
              <w:t>蓝牙摩托车手柄摇控器：</w:t>
            </w:r>
          </w:p>
          <w:p w14:paraId="3669C4E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 xml:space="preserve">蓝牙标准2.1 </w:t>
            </w:r>
          </w:p>
          <w:p w14:paraId="0CC7E75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 xml:space="preserve">蓝牙支持蓝牙协议： SPP  </w:t>
            </w:r>
          </w:p>
          <w:p w14:paraId="524F953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 xml:space="preserve">蓝牙射频等级：Class 2  </w:t>
            </w:r>
          </w:p>
          <w:p w14:paraId="4E1A0D4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 xml:space="preserve">发射功率：4dB   灵敏度：-75dB  </w:t>
            </w:r>
          </w:p>
          <w:p w14:paraId="56C0B4B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操作使用距离：配蓝牙适配器</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 xml:space="preserve">10米  </w:t>
            </w:r>
          </w:p>
          <w:p w14:paraId="75AED15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 xml:space="preserve">频率 :2.402~2.80GHz      </w:t>
            </w:r>
          </w:p>
          <w:p w14:paraId="21CB0C0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r>
              <w:rPr>
                <w:rFonts w:hint="default" w:ascii="宋体" w:hAnsi="宋体" w:eastAsia="宋体" w:cs="宋体"/>
                <w:i w:val="0"/>
                <w:iCs w:val="0"/>
                <w:color w:val="000000"/>
                <w:kern w:val="0"/>
                <w:sz w:val="18"/>
                <w:szCs w:val="18"/>
                <w:u w:val="none"/>
                <w:lang w:val="en-US" w:eastAsia="zh-CN" w:bidi="ar"/>
              </w:rPr>
              <w:t>通过摩托车取电，无需充电。</w:t>
            </w:r>
          </w:p>
          <w:p w14:paraId="5E67EC2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w:t>
            </w:r>
            <w:r>
              <w:rPr>
                <w:rFonts w:hint="default" w:ascii="宋体" w:hAnsi="宋体" w:eastAsia="宋体" w:cs="宋体"/>
                <w:i w:val="0"/>
                <w:iCs w:val="0"/>
                <w:color w:val="000000"/>
                <w:kern w:val="0"/>
                <w:sz w:val="18"/>
                <w:szCs w:val="18"/>
                <w:u w:val="none"/>
                <w:lang w:val="en-US" w:eastAsia="zh-CN" w:bidi="ar"/>
              </w:rPr>
              <w:t>喇叭喊话器：</w:t>
            </w:r>
          </w:p>
          <w:p w14:paraId="6DD4382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 xml:space="preserve">支持蓝牙协议：AGHFP,AGHSP  </w:t>
            </w:r>
          </w:p>
          <w:p w14:paraId="0F9E0AE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 xml:space="preserve">蓝牙射频等级：Class 2  </w:t>
            </w:r>
          </w:p>
          <w:p w14:paraId="3889468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 xml:space="preserve">发射功率：4dB   灵敏度：-75dB  </w:t>
            </w:r>
          </w:p>
          <w:p w14:paraId="419FA20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操作使用距离：配蓝牙耳机</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 xml:space="preserve">50米  </w:t>
            </w:r>
          </w:p>
          <w:p w14:paraId="673793A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 xml:space="preserve">频率 :2.402~2.480GHz      </w:t>
            </w:r>
          </w:p>
          <w:p w14:paraId="7D68B33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连接摩托车上的12V供电自动充电。</w:t>
            </w:r>
          </w:p>
          <w:p w14:paraId="30D215C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w:t>
            </w:r>
            <w:r>
              <w:rPr>
                <w:rFonts w:hint="default" w:ascii="宋体" w:hAnsi="宋体" w:eastAsia="宋体" w:cs="宋体"/>
                <w:i w:val="0"/>
                <w:iCs w:val="0"/>
                <w:color w:val="000000"/>
                <w:kern w:val="0"/>
                <w:sz w:val="18"/>
                <w:szCs w:val="18"/>
                <w:u w:val="none"/>
                <w:lang w:val="en-US" w:eastAsia="zh-CN" w:bidi="ar"/>
              </w:rPr>
              <w:t>对讲机蓝牙适配器：</w:t>
            </w:r>
          </w:p>
          <w:p w14:paraId="71BBC3D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 xml:space="preserve">支持蓝牙协议： AGHFP, SPP  </w:t>
            </w:r>
          </w:p>
          <w:p w14:paraId="263836B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 xml:space="preserve">蓝牙射频等级：Class 2  </w:t>
            </w:r>
          </w:p>
          <w:p w14:paraId="7F69A26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 xml:space="preserve">发射功率：4dB   灵敏度：-75dB  </w:t>
            </w:r>
          </w:p>
          <w:p w14:paraId="6E2E253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操作使用距离：配蓝牙适配器</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 xml:space="preserve">10米  </w:t>
            </w:r>
          </w:p>
          <w:p w14:paraId="0D7935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 xml:space="preserve">频率 :2.402~2.480GHz      </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9C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5C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顶</w:t>
            </w:r>
          </w:p>
        </w:tc>
      </w:tr>
      <w:tr w14:paraId="33FD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D9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BC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骑行靴（四季防水靴）</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AF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面料:100%头层防水牛皮配尼龙拉链；</w:t>
            </w:r>
          </w:p>
          <w:p w14:paraId="2310AC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里料:100%透气三明治网；</w:t>
            </w:r>
          </w:p>
          <w:p w14:paraId="7093DF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底面:100%橡胶配防臭吸震鞋垫，踝骨处配有护具保护片配有反光条；</w:t>
            </w:r>
          </w:p>
          <w:p w14:paraId="212FAD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颜色:黑色；</w:t>
            </w:r>
          </w:p>
          <w:p w14:paraId="1DD620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尺码:36~46。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2E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ED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w:t>
            </w:r>
          </w:p>
        </w:tc>
      </w:tr>
      <w:tr w14:paraId="03C7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4F8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30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骑行手套（春夏秋款）</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DD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面料:50%±2%尼龙+30%±2%山羊皮+15%±2%碳纤维+5%±2%超纤；</w:t>
            </w:r>
          </w:p>
          <w:p w14:paraId="16CB46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里料:100%涤纶网布；</w:t>
            </w:r>
          </w:p>
          <w:p w14:paraId="4130CC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3D人体工程学设计，舒适性强；</w:t>
            </w:r>
          </w:p>
          <w:p w14:paraId="2DFB6D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食指带触屏及手背有反光条设计；</w:t>
            </w:r>
          </w:p>
          <w:p w14:paraId="4AF635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适合季节:春，夏，秋；</w:t>
            </w:r>
          </w:p>
          <w:p w14:paraId="41A86C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颜色:荧光黄；</w:t>
            </w:r>
          </w:p>
          <w:p w14:paraId="6E98FE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黑色尺码:S~XXXL。</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B4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0F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w:t>
            </w:r>
          </w:p>
        </w:tc>
      </w:tr>
      <w:tr w14:paraId="7298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BFC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2F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骑行手套（冬季防水保暖）</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6B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面料:30%±2%420D塔丝龙+30%±2%300D防水透气布+30%±2%超纤+10%±2%山羊皮；</w:t>
            </w:r>
          </w:p>
          <w:p w14:paraId="32D019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里料:100%抓绒布；</w:t>
            </w:r>
          </w:p>
          <w:p w14:paraId="79B8C9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3D人体工程学设计，舒适性强；</w:t>
            </w:r>
          </w:p>
          <w:p w14:paraId="5412BA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功能:防水保暖性强；</w:t>
            </w:r>
          </w:p>
          <w:p w14:paraId="676880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颜色:荧光黄；</w:t>
            </w:r>
          </w:p>
          <w:p w14:paraId="073CA0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尺码:M~XXXL。</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E5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6B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w:t>
            </w:r>
          </w:p>
        </w:tc>
      </w:tr>
      <w:tr w14:paraId="7D09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767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23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多地形运输车</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B6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车辆采用轮式8×8驱动方式，敞篷、承载式车身，无悬架结构形式。装蓬杆、篷布。乘员6人。全车由动力系统、综合传动系统、电气系统、制动系统、行驶系统、操纵系统、车身系统、内外饰及上装系统组成。发动机类型：全铝合金、直列四缸、四冲程、水冷、涡轮增压、高压共轨柴油机。</w:t>
            </w:r>
          </w:p>
          <w:p w14:paraId="710EEC6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排量：≥1400cc</w:t>
            </w:r>
          </w:p>
          <w:p w14:paraId="24F224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最大功率：≥64kW(4200r/min)</w:t>
            </w:r>
          </w:p>
          <w:p w14:paraId="035D80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最大扭矩：≥180N*m(1800～2400r/min)</w:t>
            </w:r>
          </w:p>
          <w:p w14:paraId="2AC84B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变速箱：5档，倒挡加空挡</w:t>
            </w:r>
          </w:p>
          <w:p w14:paraId="30CBCA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驱动系统：8×8全时驱动，采用方向盘操控。</w:t>
            </w:r>
          </w:p>
          <w:p w14:paraId="4381A0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转向：液压驱动转向系统可实现车轴中心转向。</w:t>
            </w:r>
          </w:p>
          <w:p w14:paraId="2ECC65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车辆尺寸（长×宽×高）：3900×1800×1900mm（不含附件）±3%</w:t>
            </w:r>
          </w:p>
          <w:p w14:paraId="22C2A3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车体材质：全车表面车身材质强度达到或超过BP900（附件除外）。</w:t>
            </w:r>
          </w:p>
          <w:p w14:paraId="24C618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0</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轴距：≥760mm×3</w:t>
            </w:r>
          </w:p>
          <w:p w14:paraId="78E297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前悬/后悬：840/720</w:t>
            </w:r>
          </w:p>
          <w:p w14:paraId="64251E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最小离地间隙：≥250mm</w:t>
            </w:r>
          </w:p>
          <w:p w14:paraId="0A34E7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接近角：≥45°</w:t>
            </w:r>
          </w:p>
          <w:p w14:paraId="6281C8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离去角：≥45°</w:t>
            </w:r>
          </w:p>
          <w:p w14:paraId="3F77B0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整备质量：≤1850kg</w:t>
            </w:r>
          </w:p>
          <w:p w14:paraId="1591CC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陆地装载质量：≥1000kg</w:t>
            </w:r>
          </w:p>
          <w:p w14:paraId="557893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涉水载重：≥800kg，</w:t>
            </w:r>
          </w:p>
          <w:p w14:paraId="58AA73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车顶抗压力最大载荷：≥40KN或4吨</w:t>
            </w:r>
          </w:p>
          <w:p w14:paraId="2D2C70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最高车速：≥60km/h，</w:t>
            </w:r>
          </w:p>
          <w:p w14:paraId="34BA34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0</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最大爬坡度：≥32°转弯半径：中心转向</w:t>
            </w:r>
          </w:p>
          <w:p w14:paraId="2289DC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最大驻坡能力（%）≥40</w:t>
            </w:r>
          </w:p>
          <w:p w14:paraId="58FD47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制动型式：液压盘式制动/脚操纵</w:t>
            </w:r>
          </w:p>
          <w:p w14:paraId="2B7272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垂直越障高度：≥300mm</w:t>
            </w:r>
          </w:p>
          <w:p w14:paraId="241AF6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越壕宽度：≥1000mm，现场越壕验收</w:t>
            </w:r>
          </w:p>
          <w:p w14:paraId="5CC826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涉水深度：具有浮渡能力，水上速度≥4Km/h</w:t>
            </w:r>
          </w:p>
          <w:p w14:paraId="4BF93A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油箱容积：≥85L</w:t>
            </w:r>
          </w:p>
          <w:p w14:paraId="55C258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乘员：≥6人</w:t>
            </w:r>
          </w:p>
          <w:p w14:paraId="7C5D96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最大牵引力≥3吨</w:t>
            </w:r>
          </w:p>
          <w:p w14:paraId="02339E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遥控绞盘拉力≥27kN磅（过载保护，防水IP67）</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C5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F1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辆</w:t>
            </w:r>
          </w:p>
        </w:tc>
      </w:tr>
      <w:tr w14:paraId="4AD12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EFE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E1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山地摩托车</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ED6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1.长×宽×高(mm):2300×1260×1400（±3%）</w:t>
            </w:r>
          </w:p>
          <w:p w14:paraId="4E9400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2.最大功率(KW):≥23/6600rpm</w:t>
            </w:r>
          </w:p>
          <w:p w14:paraId="3CD9B2E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3.整备质量(kg):400±2%</w:t>
            </w:r>
          </w:p>
          <w:p w14:paraId="5E64FF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4.最大爬坡度(%):≥60</w:t>
            </w:r>
          </w:p>
          <w:p w14:paraId="07BC36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5.装载质量(kg)≥250</w:t>
            </w:r>
          </w:p>
          <w:p w14:paraId="5048E1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6.油箱容积(L):≥23</w:t>
            </w:r>
          </w:p>
          <w:p w14:paraId="1B4FAD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7.最高车速(km/h):≥80</w:t>
            </w:r>
          </w:p>
          <w:p w14:paraId="5DFF9E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8.最小离地间隙(mm):≥210</w:t>
            </w:r>
          </w:p>
          <w:p w14:paraId="6DC186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9.悬挂系统:前/后双A臂独立悬架</w:t>
            </w:r>
          </w:p>
          <w:p w14:paraId="686998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10.发动机型式:单缸、四冲程、水冷、CVT无极变速汽油机</w:t>
            </w:r>
          </w:p>
          <w:p w14:paraId="71DAD8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11.排量(cc):≥500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21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EB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辆</w:t>
            </w:r>
          </w:p>
        </w:tc>
      </w:tr>
    </w:tbl>
    <w:p w14:paraId="1C54DFCC">
      <w:pPr>
        <w:widowControl w:val="0"/>
        <w:wordWrap/>
        <w:adjustRightInd w:val="0"/>
        <w:snapToGrid w:val="0"/>
        <w:spacing w:line="560" w:lineRule="exact"/>
        <w:jc w:val="center"/>
        <w:textAlignment w:val="auto"/>
        <w:rPr>
          <w:rFonts w:hint="eastAsia" w:ascii="宋体" w:hAnsi="宋体" w:cs="宋体"/>
          <w:b/>
          <w:bCs/>
          <w:kern w:val="2"/>
          <w:sz w:val="32"/>
          <w:szCs w:val="32"/>
          <w:highlight w:val="none"/>
          <w:lang w:val="en-US" w:eastAsia="zh-CN" w:bidi="ar-SA"/>
        </w:rPr>
        <w:sectPr>
          <w:pgSz w:w="16838" w:h="11906" w:orient="landscape"/>
          <w:pgMar w:top="1474" w:right="1984" w:bottom="1474" w:left="1871"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273"/>
    <w:p w14:paraId="14B72D62">
      <w:pPr>
        <w:pStyle w:val="2"/>
        <w:widowControl w:val="0"/>
        <w:numPr>
          <w:ilvl w:val="0"/>
          <w:numId w:val="0"/>
        </w:numPr>
        <w:wordWrap/>
        <w:adjustRightInd w:val="0"/>
        <w:snapToGrid w:val="0"/>
        <w:spacing w:before="157" w:beforeLines="50" w:line="360" w:lineRule="auto"/>
        <w:jc w:val="center"/>
        <w:outlineLvl w:val="0"/>
        <w:rPr>
          <w:rFonts w:hint="eastAsia" w:ascii="宋体"/>
          <w:b/>
          <w:color w:val="000000"/>
          <w:sz w:val="32"/>
          <w:szCs w:val="32"/>
        </w:rPr>
      </w:pPr>
      <w:bookmarkStart w:id="274" w:name="_Toc18208_WPSOffice_Level1"/>
      <w:bookmarkStart w:id="275" w:name="_Toc6923_WPSOffice_Level1"/>
      <w:bookmarkStart w:id="276" w:name="_Toc31138"/>
      <w:bookmarkStart w:id="277" w:name="_Toc15487_WPSOffice_Level1"/>
      <w:bookmarkStart w:id="278" w:name="_Toc22544"/>
      <w:bookmarkStart w:id="279" w:name="_Toc18643_WPSOffice_Level1"/>
      <w:bookmarkStart w:id="280" w:name="_Toc1325"/>
      <w:bookmarkStart w:id="281" w:name="_Toc5732_WPSOffice_Level1"/>
      <w:bookmarkStart w:id="282" w:name="_Toc955_WPSOffice_Level1"/>
      <w:r>
        <w:rPr>
          <w:rFonts w:hint="eastAsia" w:ascii="宋体" w:hAnsi="宋体" w:eastAsia="宋体" w:cs="宋体"/>
          <w:b w:val="0"/>
          <w:bCs w:val="0"/>
          <w:color w:val="auto"/>
          <w:sz w:val="32"/>
          <w:szCs w:val="32"/>
          <w:lang w:eastAsia="zh-CN"/>
        </w:rPr>
        <w:t>第四部分</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lang w:eastAsia="zh-CN"/>
        </w:rPr>
        <w:t>谈判响应文件格式</w:t>
      </w:r>
      <w:bookmarkEnd w:id="274"/>
      <w:bookmarkEnd w:id="275"/>
      <w:bookmarkEnd w:id="276"/>
      <w:bookmarkEnd w:id="277"/>
      <w:bookmarkEnd w:id="278"/>
      <w:bookmarkEnd w:id="279"/>
      <w:bookmarkEnd w:id="280"/>
      <w:bookmarkEnd w:id="281"/>
      <w:bookmarkEnd w:id="282"/>
    </w:p>
    <w:p w14:paraId="20164AA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1"/>
        <w:rPr>
          <w:rFonts w:hint="eastAsia" w:ascii="黑体" w:hAnsi="黑体" w:eastAsia="黑体" w:cs="黑体"/>
          <w:kern w:val="2"/>
          <w:sz w:val="32"/>
          <w:szCs w:val="32"/>
          <w:lang w:val="en-US" w:eastAsia="zh-CN" w:bidi="ar-SA"/>
        </w:rPr>
      </w:pPr>
      <w:bookmarkStart w:id="283" w:name="_Toc12691_WPSOffice_Level2"/>
      <w:bookmarkStart w:id="284" w:name="_Toc2376"/>
      <w:bookmarkStart w:id="285" w:name="_Toc11968"/>
      <w:bookmarkStart w:id="286" w:name="_Toc4945_WPSOffice_Level2"/>
      <w:bookmarkStart w:id="287" w:name="_Toc20166_WPSOffice_Level2"/>
      <w:r>
        <w:rPr>
          <w:rFonts w:hint="eastAsia" w:ascii="黑体" w:hAnsi="黑体" w:eastAsia="黑体" w:cs="黑体"/>
          <w:kern w:val="2"/>
          <w:sz w:val="32"/>
          <w:szCs w:val="32"/>
          <w:lang w:val="en-US" w:eastAsia="zh-CN" w:bidi="ar-SA"/>
        </w:rPr>
        <w:t>十二、谈判响应文件的组成</w:t>
      </w:r>
      <w:bookmarkEnd w:id="283"/>
      <w:bookmarkEnd w:id="284"/>
      <w:bookmarkEnd w:id="285"/>
      <w:bookmarkEnd w:id="286"/>
      <w:bookmarkEnd w:id="287"/>
    </w:p>
    <w:p w14:paraId="3E36973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_Toc27464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附件1：响应函</w:t>
      </w:r>
      <w:r>
        <w:rPr>
          <w:rFonts w:hint="eastAsia" w:ascii="宋体" w:hAnsi="宋体" w:eastAsia="宋体" w:cs="宋体"/>
          <w:kern w:val="2"/>
          <w:sz w:val="24"/>
          <w:szCs w:val="24"/>
          <w:lang w:val="en-US" w:eastAsia="zh-CN" w:bidi="ar-SA"/>
        </w:rPr>
        <w:fldChar w:fldCharType="end"/>
      </w:r>
    </w:p>
    <w:p w14:paraId="734B2293">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_Toc9845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附件2：法定代表人证明书</w:t>
      </w:r>
      <w:r>
        <w:rPr>
          <w:rFonts w:hint="eastAsia" w:ascii="宋体" w:hAnsi="宋体" w:eastAsia="宋体" w:cs="宋体"/>
          <w:kern w:val="2"/>
          <w:sz w:val="24"/>
          <w:szCs w:val="24"/>
          <w:lang w:val="en-US" w:eastAsia="zh-CN" w:bidi="ar-SA"/>
        </w:rPr>
        <w:fldChar w:fldCharType="end"/>
      </w:r>
    </w:p>
    <w:p w14:paraId="313FC401">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_Toc23551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附件3：法定代表人授权书</w:t>
      </w:r>
      <w:r>
        <w:rPr>
          <w:rFonts w:hint="eastAsia" w:ascii="宋体" w:hAnsi="宋体" w:eastAsia="宋体" w:cs="宋体"/>
          <w:kern w:val="2"/>
          <w:sz w:val="24"/>
          <w:szCs w:val="24"/>
          <w:lang w:val="en-US" w:eastAsia="zh-CN" w:bidi="ar-SA"/>
        </w:rPr>
        <w:fldChar w:fldCharType="end"/>
      </w:r>
    </w:p>
    <w:p w14:paraId="31771373">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_Toc19298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附件4：供应商承诺函</w:t>
      </w:r>
      <w:r>
        <w:rPr>
          <w:rFonts w:hint="eastAsia" w:ascii="宋体" w:hAnsi="宋体" w:eastAsia="宋体" w:cs="宋体"/>
          <w:kern w:val="2"/>
          <w:sz w:val="24"/>
          <w:szCs w:val="24"/>
          <w:lang w:val="en-US" w:eastAsia="zh-CN" w:bidi="ar-SA"/>
        </w:rPr>
        <w:fldChar w:fldCharType="end"/>
      </w:r>
    </w:p>
    <w:p w14:paraId="0F0D0126">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_Toc15780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附件5：供应商诚信承诺书</w:t>
      </w:r>
      <w:r>
        <w:rPr>
          <w:rFonts w:hint="eastAsia" w:ascii="宋体" w:hAnsi="宋体" w:eastAsia="宋体" w:cs="宋体"/>
          <w:kern w:val="2"/>
          <w:sz w:val="24"/>
          <w:szCs w:val="24"/>
          <w:lang w:val="en-US" w:eastAsia="zh-CN" w:bidi="ar-SA"/>
        </w:rPr>
        <w:fldChar w:fldCharType="end"/>
      </w:r>
    </w:p>
    <w:p w14:paraId="68C1ED33">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_Toc5195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附件6：供应商资格证明文件</w:t>
      </w:r>
      <w:r>
        <w:rPr>
          <w:rFonts w:hint="eastAsia" w:ascii="宋体" w:hAnsi="宋体" w:eastAsia="宋体" w:cs="宋体"/>
          <w:kern w:val="2"/>
          <w:sz w:val="24"/>
          <w:szCs w:val="24"/>
          <w:lang w:val="en-US" w:eastAsia="zh-CN" w:bidi="ar-SA"/>
        </w:rPr>
        <w:fldChar w:fldCharType="end"/>
      </w:r>
    </w:p>
    <w:p w14:paraId="55D021DA">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_Toc31744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附件7：财务状况、缴纳税收和社会保障资金证明</w:t>
      </w:r>
      <w:r>
        <w:rPr>
          <w:rFonts w:hint="eastAsia" w:ascii="宋体" w:hAnsi="宋体" w:eastAsia="宋体" w:cs="宋体"/>
          <w:kern w:val="2"/>
          <w:sz w:val="24"/>
          <w:szCs w:val="24"/>
          <w:lang w:val="en-US" w:eastAsia="zh-CN" w:bidi="ar-SA"/>
        </w:rPr>
        <w:fldChar w:fldCharType="end"/>
      </w:r>
    </w:p>
    <w:p w14:paraId="661AEE58">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_Toc26128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附件8：无重大违法记录声明</w:t>
      </w:r>
      <w:r>
        <w:rPr>
          <w:rFonts w:hint="eastAsia" w:ascii="宋体" w:hAnsi="宋体" w:eastAsia="宋体" w:cs="宋体"/>
          <w:kern w:val="2"/>
          <w:sz w:val="24"/>
          <w:szCs w:val="24"/>
          <w:lang w:val="en-US" w:eastAsia="zh-CN" w:bidi="ar-SA"/>
        </w:rPr>
        <w:fldChar w:fldCharType="end"/>
      </w:r>
    </w:p>
    <w:p w14:paraId="25D62D42">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_Toc22471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附件9：谈判</w:t>
      </w:r>
      <w:r>
        <w:rPr>
          <w:rFonts w:hint="eastAsia" w:ascii="宋体" w:hAnsi="宋体" w:eastAsia="宋体" w:cs="宋体"/>
          <w:bCs w:val="0"/>
          <w:kern w:val="2"/>
          <w:sz w:val="24"/>
          <w:szCs w:val="24"/>
          <w:lang w:val="zh-CN" w:eastAsia="zh-CN" w:bidi="ar-SA"/>
        </w:rPr>
        <w:t>保证金证明</w:t>
      </w:r>
      <w:r>
        <w:rPr>
          <w:rFonts w:hint="eastAsia" w:ascii="宋体" w:hAnsi="宋体" w:eastAsia="宋体" w:cs="宋体"/>
          <w:kern w:val="2"/>
          <w:sz w:val="24"/>
          <w:szCs w:val="24"/>
          <w:lang w:val="en-US" w:eastAsia="zh-CN" w:bidi="ar-SA"/>
        </w:rPr>
        <w:fldChar w:fldCharType="end"/>
      </w:r>
    </w:p>
    <w:p w14:paraId="3744CF81">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_Toc30881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附件10：谈判首次报价表</w:t>
      </w:r>
      <w:r>
        <w:rPr>
          <w:rFonts w:hint="eastAsia" w:ascii="宋体" w:hAnsi="宋体" w:eastAsia="宋体" w:cs="宋体"/>
          <w:kern w:val="2"/>
          <w:sz w:val="24"/>
          <w:szCs w:val="24"/>
          <w:lang w:val="en-US" w:eastAsia="zh-CN" w:bidi="ar-SA"/>
        </w:rPr>
        <w:fldChar w:fldCharType="end"/>
      </w:r>
    </w:p>
    <w:p w14:paraId="50FDDDBE">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_Toc25351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附件11：分项报价表</w:t>
      </w:r>
      <w:r>
        <w:rPr>
          <w:rFonts w:hint="eastAsia" w:ascii="宋体" w:hAnsi="宋体" w:eastAsia="宋体" w:cs="宋体"/>
          <w:kern w:val="2"/>
          <w:sz w:val="24"/>
          <w:szCs w:val="24"/>
          <w:lang w:val="en-US" w:eastAsia="zh-CN" w:bidi="ar-SA"/>
        </w:rPr>
        <w:fldChar w:fldCharType="end"/>
      </w:r>
    </w:p>
    <w:p w14:paraId="07F08E3D">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lang w:val="en-US" w:eastAsia="zh-CN"/>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_Toc28715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附件12：技术规格响应表</w:t>
      </w:r>
      <w:r>
        <w:rPr>
          <w:rFonts w:hint="eastAsia" w:ascii="宋体" w:hAnsi="宋体" w:eastAsia="宋体" w:cs="宋体"/>
          <w:kern w:val="2"/>
          <w:sz w:val="24"/>
          <w:szCs w:val="24"/>
          <w:lang w:val="en-US" w:eastAsia="zh-CN" w:bidi="ar-SA"/>
        </w:rPr>
        <w:fldChar w:fldCharType="end"/>
      </w:r>
    </w:p>
    <w:p w14:paraId="1A9B72FA">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附件13：具备履行合同所必须的设备和专业技术能力证明</w:t>
      </w:r>
      <w:r>
        <w:rPr>
          <w:rFonts w:hint="eastAsia" w:ascii="宋体" w:hAnsi="宋体" w:eastAsia="宋体" w:cs="宋体"/>
          <w:kern w:val="2"/>
          <w:sz w:val="24"/>
          <w:szCs w:val="24"/>
          <w:lang w:val="en-US" w:eastAsia="zh-CN" w:bidi="ar-SA"/>
        </w:rPr>
        <w:fldChar w:fldCharType="end"/>
      </w:r>
    </w:p>
    <w:p w14:paraId="7936A2C0">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lang w:val="en-US" w:eastAsia="zh-CN"/>
        </w:rPr>
      </w:pPr>
      <w:r>
        <w:rPr>
          <w:rFonts w:hint="eastAsia" w:ascii="宋体" w:hAnsi="宋体" w:eastAsia="宋体" w:cs="宋体"/>
          <w:kern w:val="2"/>
          <w:sz w:val="24"/>
          <w:szCs w:val="24"/>
          <w:lang w:val="en-US" w:eastAsia="zh-CN" w:bidi="ar-SA"/>
        </w:rPr>
        <w:t>附件14：所投产品相关资料</w:t>
      </w:r>
    </w:p>
    <w:p w14:paraId="2B94EE3E">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_Toc17566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：中小企业声明函</w:t>
      </w:r>
      <w:r>
        <w:rPr>
          <w:rFonts w:hint="eastAsia" w:ascii="宋体" w:hAnsi="宋体" w:eastAsia="宋体" w:cs="宋体"/>
          <w:kern w:val="2"/>
          <w:sz w:val="24"/>
          <w:szCs w:val="24"/>
          <w:lang w:val="en-US" w:eastAsia="zh-CN" w:bidi="ar-SA"/>
        </w:rPr>
        <w:fldChar w:fldCharType="end"/>
      </w:r>
    </w:p>
    <w:p w14:paraId="0E5BFA49">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_Toc21988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：残疾人福利性单位声明函</w:t>
      </w:r>
    </w:p>
    <w:p w14:paraId="275A8CC5">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zh-CN" w:eastAsia="zh-CN" w:bidi="ar-SA"/>
        </w:rPr>
        <w:t>关于符合本国产品标准的声明函</w:t>
      </w:r>
    </w:p>
    <w:p w14:paraId="02638AD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：供应商认为在其他方面有必要说明的事项</w:t>
      </w:r>
    </w:p>
    <w:p w14:paraId="57540CCC">
      <w:pPr>
        <w:widowControl w:val="0"/>
        <w:wordWrap/>
        <w:adjustRightInd w:val="0"/>
        <w:snapToGrid w:val="0"/>
        <w:spacing w:line="560" w:lineRule="exact"/>
        <w:ind w:firstLine="48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：最后报价表</w:t>
      </w:r>
      <w:r>
        <w:rPr>
          <w:rFonts w:hint="eastAsia" w:ascii="宋体" w:hAnsi="宋体" w:eastAsia="宋体" w:cs="宋体"/>
          <w:kern w:val="2"/>
          <w:sz w:val="24"/>
          <w:szCs w:val="24"/>
          <w:lang w:val="en-US" w:eastAsia="zh-CN" w:bidi="ar-SA"/>
        </w:rPr>
        <w:fldChar w:fldCharType="end"/>
      </w:r>
    </w:p>
    <w:p w14:paraId="4F08B61E">
      <w:pPr>
        <w:widowControl w:val="0"/>
        <w:wordWrap/>
        <w:adjustRightInd w:val="0"/>
        <w:snapToGrid w:val="0"/>
        <w:spacing w:line="560" w:lineRule="exact"/>
        <w:jc w:val="center"/>
        <w:textAlignment w:val="auto"/>
        <w:outlineLvl w:val="1"/>
        <w:rPr>
          <w:rFonts w:hint="eastAsia" w:ascii="黑体" w:hAnsi="黑体" w:eastAsia="黑体" w:cs="黑体"/>
          <w:kern w:val="2"/>
          <w:sz w:val="32"/>
          <w:szCs w:val="32"/>
          <w:lang w:val="en-US" w:eastAsia="zh-CN" w:bidi="ar-SA"/>
        </w:rPr>
      </w:pPr>
      <w:bookmarkStart w:id="288" w:name="_Toc11918"/>
      <w:bookmarkStart w:id="289" w:name="_Toc1684_WPSOffice_Level2"/>
      <w:bookmarkStart w:id="290" w:name="_Toc5252_WPSOffice_Level2"/>
      <w:bookmarkStart w:id="291" w:name="_Toc14930_WPSOffice_Level2"/>
      <w:bookmarkStart w:id="292" w:name="_Toc8795"/>
    </w:p>
    <w:p w14:paraId="460B51DB">
      <w:pPr>
        <w:widowControl w:val="0"/>
        <w:wordWrap/>
        <w:adjustRightInd w:val="0"/>
        <w:snapToGrid w:val="0"/>
        <w:spacing w:line="560" w:lineRule="exact"/>
        <w:jc w:val="center"/>
        <w:textAlignment w:val="auto"/>
        <w:outlineLvl w:val="1"/>
        <w:rPr>
          <w:rFonts w:hint="eastAsia" w:ascii="黑体" w:hAnsi="黑体" w:eastAsia="黑体" w:cs="黑体"/>
          <w:kern w:val="2"/>
          <w:sz w:val="32"/>
          <w:szCs w:val="32"/>
          <w:lang w:val="en-US" w:eastAsia="zh-CN" w:bidi="ar-SA"/>
        </w:rPr>
      </w:pPr>
    </w:p>
    <w:p w14:paraId="23CEFAE3">
      <w:pPr>
        <w:widowControl w:val="0"/>
        <w:wordWrap/>
        <w:adjustRightInd w:val="0"/>
        <w:snapToGrid w:val="0"/>
        <w:spacing w:line="560" w:lineRule="exact"/>
        <w:jc w:val="center"/>
        <w:textAlignment w:val="auto"/>
        <w:outlineLvl w:val="1"/>
        <w:rPr>
          <w:rFonts w:hint="eastAsia" w:ascii="黑体" w:hAnsi="黑体" w:eastAsia="黑体" w:cs="黑体"/>
          <w:kern w:val="2"/>
          <w:sz w:val="32"/>
          <w:szCs w:val="32"/>
          <w:lang w:val="en-US" w:eastAsia="zh-CN" w:bidi="ar-SA"/>
        </w:rPr>
      </w:pPr>
    </w:p>
    <w:p w14:paraId="732A5373">
      <w:pPr>
        <w:widowControl w:val="0"/>
        <w:wordWrap/>
        <w:adjustRightInd w:val="0"/>
        <w:snapToGrid w:val="0"/>
        <w:spacing w:line="560" w:lineRule="exact"/>
        <w:jc w:val="center"/>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十三、谈判响应文件</w:t>
      </w:r>
      <w:bookmarkEnd w:id="288"/>
      <w:bookmarkEnd w:id="289"/>
      <w:bookmarkEnd w:id="290"/>
      <w:bookmarkEnd w:id="291"/>
      <w:bookmarkEnd w:id="292"/>
    </w:p>
    <w:p w14:paraId="3210BFA1">
      <w:pPr>
        <w:wordWrap/>
        <w:spacing w:before="157" w:beforeLines="50" w:line="560" w:lineRule="exact"/>
        <w:ind w:firstLine="1285" w:firstLineChars="400"/>
        <w:rPr>
          <w:rFonts w:hint="eastAsia" w:ascii="仿宋_GB2312" w:hAnsi="仿宋_GB2312" w:eastAsia="仿宋_GB2312" w:cs="仿宋_GB2312"/>
          <w:b/>
          <w:color w:val="000000"/>
          <w:sz w:val="32"/>
          <w:szCs w:val="32"/>
        </w:rPr>
      </w:pPr>
      <w:bookmarkStart w:id="293" w:name="_Toc28269_WPSOffice_Level3"/>
    </w:p>
    <w:p w14:paraId="6679ECBF">
      <w:pPr>
        <w:wordWrap/>
        <w:spacing w:before="157" w:beforeLines="50" w:line="560" w:lineRule="exact"/>
        <w:ind w:firstLine="2610" w:firstLineChars="500"/>
        <w:jc w:val="left"/>
        <w:outlineLvl w:val="9"/>
        <w:rPr>
          <w:rFonts w:hint="eastAsia" w:ascii="仿宋_GB2312" w:hAnsi="仿宋_GB2312" w:eastAsia="仿宋_GB2312" w:cs="仿宋_GB2312"/>
          <w:b/>
          <w:color w:val="000000"/>
          <w:sz w:val="52"/>
          <w:szCs w:val="52"/>
        </w:rPr>
      </w:pPr>
      <w:bookmarkStart w:id="294" w:name="_Toc31682_WPSOffice_Level2"/>
      <w:bookmarkStart w:id="295" w:name="_Toc10997_WPSOffice_Level2"/>
      <w:r>
        <w:rPr>
          <w:rFonts w:hint="eastAsia" w:ascii="仿宋_GB2312" w:hAnsi="仿宋_GB2312" w:eastAsia="仿宋_GB2312" w:cs="仿宋_GB2312"/>
          <w:b/>
          <w:color w:val="000000"/>
          <w:sz w:val="52"/>
          <w:szCs w:val="52"/>
        </w:rPr>
        <w:t>青海省政府采购项目</w:t>
      </w:r>
      <w:bookmarkEnd w:id="293"/>
      <w:bookmarkEnd w:id="294"/>
      <w:bookmarkEnd w:id="295"/>
    </w:p>
    <w:p w14:paraId="3BFD278E">
      <w:pPr>
        <w:wordWrap/>
        <w:spacing w:before="157" w:beforeLines="50" w:line="560" w:lineRule="exact"/>
        <w:ind w:firstLine="3654" w:firstLineChars="700"/>
        <w:jc w:val="left"/>
        <w:outlineLvl w:val="9"/>
        <w:rPr>
          <w:rFonts w:hint="eastAsia" w:ascii="仿宋_GB2312" w:hAnsi="仿宋_GB2312" w:eastAsia="仿宋_GB2312" w:cs="仿宋_GB2312"/>
          <w:b/>
          <w:color w:val="000000"/>
          <w:sz w:val="52"/>
          <w:szCs w:val="52"/>
        </w:rPr>
      </w:pPr>
      <w:bookmarkStart w:id="296" w:name="_Toc25378_WPSOffice_Level2"/>
      <w:bookmarkStart w:id="297" w:name="_Toc23622_WPSOffice_Level2"/>
      <w:r>
        <w:rPr>
          <w:rFonts w:hint="eastAsia" w:ascii="仿宋_GB2312" w:hAnsi="仿宋_GB2312" w:eastAsia="仿宋_GB2312" w:cs="仿宋_GB2312"/>
          <w:b/>
          <w:color w:val="000000"/>
          <w:sz w:val="52"/>
          <w:szCs w:val="52"/>
        </w:rPr>
        <w:t>谈判响应文件</w:t>
      </w:r>
      <w:bookmarkEnd w:id="296"/>
      <w:bookmarkEnd w:id="297"/>
    </w:p>
    <w:p w14:paraId="586BA7C2">
      <w:pPr>
        <w:wordWrap/>
        <w:adjustRightInd w:val="0"/>
        <w:spacing w:before="157" w:beforeLines="50" w:line="560" w:lineRule="exact"/>
        <w:ind w:firstLine="3052" w:firstLineChars="950"/>
        <w:textAlignment w:val="baseline"/>
        <w:outlineLvl w:val="9"/>
        <w:rPr>
          <w:rFonts w:hint="eastAsia" w:ascii="仿宋_GB2312" w:hAnsi="仿宋_GB2312" w:eastAsia="仿宋_GB2312" w:cs="仿宋_GB2312"/>
          <w:b/>
          <w:bCs/>
          <w:color w:val="000000"/>
          <w:sz w:val="32"/>
          <w:szCs w:val="32"/>
        </w:rPr>
      </w:pPr>
      <w:bookmarkStart w:id="298" w:name="_Toc28825_WPSOffice_Level2"/>
      <w:bookmarkStart w:id="299" w:name="_Toc13231_WPSOffice_Level2"/>
    </w:p>
    <w:p w14:paraId="3BA1118B">
      <w:pPr>
        <w:wordWrap/>
        <w:adjustRightInd w:val="0"/>
        <w:spacing w:before="157" w:beforeLines="50" w:line="560" w:lineRule="exact"/>
        <w:ind w:firstLine="3052" w:firstLineChars="950"/>
        <w:textAlignment w:val="baseline"/>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val="0"/>
          <w:bCs w:val="0"/>
          <w:kern w:val="2"/>
          <w:sz w:val="32"/>
          <w:szCs w:val="32"/>
          <w:lang w:val="en-US" w:eastAsia="zh-CN" w:bidi="ar-SA"/>
        </w:rPr>
        <w:t>资格审查部分</w:t>
      </w:r>
      <w:r>
        <w:rPr>
          <w:rFonts w:hint="eastAsia" w:ascii="仿宋_GB2312" w:hAnsi="仿宋_GB2312" w:eastAsia="仿宋_GB2312" w:cs="仿宋_GB2312"/>
          <w:b/>
          <w:bCs/>
          <w:color w:val="000000"/>
          <w:sz w:val="32"/>
          <w:szCs w:val="32"/>
        </w:rPr>
        <w:t>）</w:t>
      </w:r>
      <w:bookmarkEnd w:id="298"/>
      <w:bookmarkEnd w:id="299"/>
    </w:p>
    <w:p w14:paraId="1AAE9C33">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5A252E65">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70F6D1FC">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2C95CE39">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lang w:eastAsia="zh-CN"/>
        </w:rPr>
      </w:pPr>
      <w:bookmarkStart w:id="300" w:name="_Toc19521_WPSOffice_Level2"/>
      <w:bookmarkStart w:id="301" w:name="_Toc29803_WPSOffice_Level2"/>
      <w:r>
        <w:rPr>
          <w:rFonts w:hint="eastAsia" w:ascii="仿宋_GB2312" w:hAnsi="仿宋_GB2312" w:eastAsia="仿宋_GB2312" w:cs="仿宋_GB2312"/>
          <w:b/>
          <w:bCs/>
          <w:color w:val="000000"/>
          <w:sz w:val="32"/>
          <w:szCs w:val="32"/>
        </w:rPr>
        <w:t>采购项目编号:</w:t>
      </w:r>
      <w:bookmarkEnd w:id="300"/>
      <w:bookmarkEnd w:id="301"/>
    </w:p>
    <w:p w14:paraId="434B7F86">
      <w:pPr>
        <w:wordWrap/>
        <w:spacing w:before="157" w:beforeLines="50" w:line="560" w:lineRule="exact"/>
        <w:ind w:left="2530" w:hanging="2249" w:hangingChars="700"/>
        <w:jc w:val="left"/>
        <w:outlineLvl w:val="9"/>
        <w:rPr>
          <w:rFonts w:hint="eastAsia" w:ascii="仿宋_GB2312" w:hAnsi="仿宋_GB2312" w:eastAsia="仿宋_GB2312" w:cs="仿宋_GB2312"/>
          <w:b/>
          <w:bCs/>
          <w:color w:val="000000"/>
          <w:sz w:val="32"/>
          <w:szCs w:val="32"/>
        </w:rPr>
      </w:pPr>
      <w:bookmarkStart w:id="302" w:name="_Toc18713_WPSOffice_Level2"/>
      <w:bookmarkStart w:id="303" w:name="_Toc14786_WPSOffice_Level2"/>
      <w:r>
        <w:rPr>
          <w:rFonts w:hint="eastAsia" w:ascii="仿宋_GB2312" w:hAnsi="仿宋_GB2312" w:eastAsia="仿宋_GB2312" w:cs="仿宋_GB2312"/>
          <w:b/>
          <w:bCs/>
          <w:color w:val="000000"/>
          <w:sz w:val="32"/>
          <w:szCs w:val="32"/>
        </w:rPr>
        <w:t>采购项目名称:</w:t>
      </w:r>
      <w:bookmarkEnd w:id="302"/>
      <w:bookmarkEnd w:id="303"/>
      <w:r>
        <w:rPr>
          <w:rFonts w:hint="eastAsia" w:ascii="仿宋_GB2312" w:hAnsi="仿宋_GB2312" w:eastAsia="仿宋_GB2312" w:cs="仿宋_GB2312"/>
          <w:b/>
          <w:bCs/>
          <w:color w:val="000000"/>
          <w:sz w:val="32"/>
          <w:szCs w:val="32"/>
        </w:rPr>
        <w:t xml:space="preserve"> </w:t>
      </w:r>
    </w:p>
    <w:p w14:paraId="34F8B4F1">
      <w:pPr>
        <w:wordWrap/>
        <w:spacing w:before="157" w:beforeLines="50" w:line="560" w:lineRule="exact"/>
        <w:ind w:left="2530" w:hanging="2249" w:hangingChars="700"/>
        <w:jc w:val="left"/>
        <w:outlineLvl w:val="9"/>
        <w:rPr>
          <w:rFonts w:hint="eastAsia" w:ascii="仿宋_GB2312" w:hAnsi="仿宋_GB2312" w:eastAsia="仿宋_GB2312" w:cs="仿宋_GB2312"/>
          <w:b/>
          <w:bCs/>
          <w:color w:val="000000"/>
          <w:sz w:val="32"/>
          <w:szCs w:val="32"/>
          <w:lang w:eastAsia="zh-CN"/>
        </w:rPr>
      </w:pPr>
      <w:bookmarkStart w:id="304" w:name="_Toc22044_WPSOffice_Level2"/>
      <w:bookmarkStart w:id="305" w:name="_Toc14087_WPSOffice_Level2"/>
      <w:r>
        <w:rPr>
          <w:rFonts w:hint="eastAsia" w:ascii="仿宋_GB2312" w:hAnsi="仿宋_GB2312" w:eastAsia="仿宋_GB2312" w:cs="仿宋_GB2312"/>
          <w:b/>
          <w:bCs/>
          <w:color w:val="000000"/>
          <w:sz w:val="32"/>
          <w:szCs w:val="32"/>
          <w:lang w:eastAsia="zh-CN"/>
        </w:rPr>
        <w:t>供应商名称：</w:t>
      </w:r>
      <w:bookmarkEnd w:id="304"/>
      <w:bookmarkEnd w:id="305"/>
    </w:p>
    <w:p w14:paraId="4F4DC1C2">
      <w:pPr>
        <w:wordWrap/>
        <w:spacing w:before="157" w:beforeLines="50" w:line="560" w:lineRule="exact"/>
        <w:jc w:val="center"/>
        <w:outlineLvl w:val="9"/>
        <w:rPr>
          <w:rFonts w:hint="eastAsia" w:ascii="仿宋_GB2312" w:hAnsi="仿宋_GB2312" w:eastAsia="仿宋_GB2312" w:cs="仿宋_GB2312"/>
          <w:b/>
          <w:bCs/>
          <w:color w:val="000000"/>
          <w:sz w:val="32"/>
          <w:szCs w:val="32"/>
        </w:rPr>
      </w:pPr>
    </w:p>
    <w:p w14:paraId="3D2B1B7A">
      <w:pPr>
        <w:wordWrap/>
        <w:spacing w:before="157" w:beforeLines="50" w:line="560" w:lineRule="exact"/>
        <w:jc w:val="center"/>
        <w:outlineLvl w:val="9"/>
        <w:rPr>
          <w:rFonts w:hint="eastAsia" w:ascii="仿宋_GB2312" w:hAnsi="仿宋_GB2312" w:eastAsia="仿宋_GB2312" w:cs="仿宋_GB2312"/>
          <w:b/>
          <w:color w:val="000000"/>
          <w:sz w:val="32"/>
          <w:szCs w:val="32"/>
        </w:rPr>
      </w:pPr>
      <w:bookmarkStart w:id="306" w:name="_Toc1142_WPSOffice_Level3"/>
      <w:r>
        <w:rPr>
          <w:rFonts w:hint="eastAsia" w:ascii="仿宋_GB2312" w:hAnsi="仿宋_GB2312" w:eastAsia="仿宋_GB2312" w:cs="仿宋_GB2312"/>
          <w:b/>
          <w:color w:val="000000"/>
          <w:sz w:val="32"/>
          <w:szCs w:val="32"/>
        </w:rPr>
        <w:t>年  月  日</w:t>
      </w:r>
      <w:bookmarkEnd w:id="306"/>
    </w:p>
    <w:p w14:paraId="21B3AB14">
      <w:pPr>
        <w:widowControl/>
        <w:wordWrap/>
        <w:snapToGrid w:val="0"/>
        <w:spacing w:before="157" w:beforeLines="50" w:line="560" w:lineRule="exact"/>
        <w:jc w:val="left"/>
        <w:outlineLvl w:val="9"/>
        <w:rPr>
          <w:rFonts w:hint="eastAsia" w:ascii="宋体"/>
          <w:b/>
          <w:color w:val="000000"/>
          <w:sz w:val="28"/>
          <w:szCs w:val="28"/>
        </w:rPr>
      </w:pPr>
    </w:p>
    <w:p w14:paraId="2D29BD97">
      <w:pPr>
        <w:widowControl/>
        <w:wordWrap/>
        <w:snapToGrid w:val="0"/>
        <w:spacing w:before="157" w:beforeLines="50" w:line="560" w:lineRule="exact"/>
        <w:jc w:val="left"/>
        <w:outlineLvl w:val="2"/>
        <w:rPr>
          <w:rFonts w:ascii="宋体"/>
          <w:b/>
          <w:color w:val="000000"/>
          <w:sz w:val="28"/>
          <w:szCs w:val="28"/>
        </w:rPr>
      </w:pPr>
    </w:p>
    <w:p w14:paraId="2D65E929">
      <w:pPr>
        <w:widowControl/>
        <w:wordWrap/>
        <w:snapToGrid w:val="0"/>
        <w:spacing w:before="157" w:beforeLines="50" w:line="560" w:lineRule="exact"/>
        <w:jc w:val="left"/>
        <w:outlineLvl w:val="2"/>
        <w:rPr>
          <w:rFonts w:ascii="宋体"/>
          <w:b/>
          <w:color w:val="000000"/>
          <w:sz w:val="28"/>
          <w:szCs w:val="28"/>
        </w:rPr>
      </w:pPr>
    </w:p>
    <w:p w14:paraId="39C8B3B7">
      <w:pPr>
        <w:widowControl/>
        <w:wordWrap/>
        <w:snapToGrid w:val="0"/>
        <w:spacing w:before="157" w:beforeLines="50" w:line="560" w:lineRule="exact"/>
        <w:jc w:val="left"/>
        <w:outlineLvl w:val="2"/>
        <w:rPr>
          <w:rFonts w:hint="eastAsia" w:ascii="宋体" w:hAnsi="宋体" w:cs="宋体"/>
          <w:b/>
          <w:color w:val="000000"/>
          <w:sz w:val="32"/>
          <w:szCs w:val="32"/>
        </w:rPr>
      </w:pPr>
      <w:bookmarkStart w:id="307" w:name="_Toc32479_WPSOffice_Level3"/>
      <w:bookmarkStart w:id="308" w:name="_Toc19203"/>
      <w:bookmarkStart w:id="309" w:name="_Toc27464"/>
      <w:bookmarkStart w:id="310" w:name="_Toc27578"/>
      <w:bookmarkStart w:id="311" w:name="_Toc27597"/>
      <w:r>
        <w:rPr>
          <w:rFonts w:hint="eastAsia" w:ascii="宋体" w:hAnsi="宋体" w:eastAsia="宋体" w:cs="宋体"/>
          <w:b/>
          <w:color w:val="000000"/>
          <w:sz w:val="32"/>
          <w:szCs w:val="32"/>
          <w:lang w:eastAsia="zh-CN"/>
        </w:rPr>
        <w:t>附件1：响应函</w:t>
      </w:r>
      <w:bookmarkEnd w:id="307"/>
      <w:bookmarkEnd w:id="308"/>
      <w:bookmarkEnd w:id="309"/>
      <w:bookmarkEnd w:id="310"/>
      <w:bookmarkEnd w:id="311"/>
    </w:p>
    <w:p w14:paraId="5599D418">
      <w:pPr>
        <w:widowControl w:val="0"/>
        <w:wordWrap/>
        <w:spacing w:before="157" w:beforeLines="50" w:line="560" w:lineRule="exact"/>
        <w:ind w:firstLine="3710" w:firstLineChars="1155"/>
        <w:jc w:val="both"/>
        <w:textAlignment w:val="auto"/>
        <w:outlineLvl w:val="9"/>
        <w:rPr>
          <w:rFonts w:hint="eastAsia" w:ascii="宋体" w:hAnsi="宋体" w:eastAsia="宋体" w:cs="宋体"/>
          <w:b/>
          <w:color w:val="000000"/>
          <w:sz w:val="32"/>
          <w:szCs w:val="32"/>
        </w:rPr>
      </w:pPr>
      <w:bookmarkStart w:id="312" w:name="_Toc22598_WPSOffice_Level2"/>
      <w:bookmarkStart w:id="313" w:name="_Toc24288_WPSOffice_Level2"/>
      <w:r>
        <w:rPr>
          <w:rFonts w:hint="eastAsia" w:ascii="宋体" w:hAnsi="宋体" w:eastAsia="宋体" w:cs="宋体"/>
          <w:b/>
          <w:color w:val="000000"/>
          <w:sz w:val="32"/>
          <w:szCs w:val="32"/>
          <w:lang w:eastAsia="zh-CN"/>
        </w:rPr>
        <w:t>响</w:t>
      </w:r>
      <w:r>
        <w:rPr>
          <w:rFonts w:hint="eastAsia" w:ascii="宋体" w:hAnsi="宋体" w:eastAsia="宋体" w:cs="宋体"/>
          <w:b/>
          <w:color w:val="000000"/>
          <w:sz w:val="32"/>
          <w:szCs w:val="32"/>
          <w:lang w:val="en-US" w:eastAsia="zh-CN"/>
        </w:rPr>
        <w:t xml:space="preserve"> </w:t>
      </w:r>
      <w:r>
        <w:rPr>
          <w:rFonts w:hint="eastAsia" w:ascii="宋体" w:hAnsi="宋体" w:eastAsia="宋体" w:cs="宋体"/>
          <w:b/>
          <w:color w:val="000000"/>
          <w:sz w:val="32"/>
          <w:szCs w:val="32"/>
          <w:lang w:eastAsia="zh-CN"/>
        </w:rPr>
        <w:t>应</w:t>
      </w:r>
      <w:r>
        <w:rPr>
          <w:rFonts w:hint="eastAsia" w:ascii="宋体" w:hAnsi="宋体" w:eastAsia="宋体" w:cs="宋体"/>
          <w:b/>
          <w:color w:val="000000"/>
          <w:sz w:val="32"/>
          <w:szCs w:val="32"/>
          <w:lang w:val="en-US" w:eastAsia="zh-CN"/>
        </w:rPr>
        <w:t xml:space="preserve"> </w:t>
      </w:r>
      <w:r>
        <w:rPr>
          <w:rFonts w:hint="eastAsia" w:ascii="宋体" w:hAnsi="宋体" w:eastAsia="宋体" w:cs="宋体"/>
          <w:b/>
          <w:color w:val="000000"/>
          <w:sz w:val="32"/>
          <w:szCs w:val="32"/>
        </w:rPr>
        <w:t>函</w:t>
      </w:r>
      <w:bookmarkEnd w:id="312"/>
      <w:bookmarkEnd w:id="313"/>
    </w:p>
    <w:p w14:paraId="35C292AD">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kern w:val="2"/>
          <w:sz w:val="24"/>
          <w:szCs w:val="24"/>
          <w:u w:val="none"/>
          <w:lang w:val="zh-CN" w:eastAsia="zh-CN" w:bidi="ar-SA"/>
        </w:rPr>
      </w:pPr>
      <w:bookmarkStart w:id="314" w:name="_Toc16867_WPSOffice_Level2"/>
      <w:r>
        <w:rPr>
          <w:rFonts w:hint="eastAsia" w:ascii="宋体" w:hAnsi="宋体" w:eastAsia="宋体" w:cs="宋体"/>
          <w:b/>
          <w:bCs/>
          <w:kern w:val="2"/>
          <w:sz w:val="24"/>
          <w:szCs w:val="24"/>
          <w:u w:val="none"/>
          <w:lang w:val="zh-CN" w:eastAsia="zh-CN" w:bidi="ar-SA"/>
        </w:rPr>
        <w:t>致：</w:t>
      </w:r>
      <w:bookmarkEnd w:id="314"/>
      <w:r>
        <w:rPr>
          <w:rFonts w:hint="eastAsia" w:ascii="宋体" w:hAnsi="宋体" w:eastAsia="宋体" w:cs="宋体"/>
          <w:b/>
          <w:bCs/>
          <w:kern w:val="2"/>
          <w:sz w:val="24"/>
          <w:szCs w:val="24"/>
          <w:u w:val="single"/>
          <w:lang w:val="zh-CN" w:eastAsia="zh-CN" w:bidi="ar-SA"/>
        </w:rPr>
        <w:t>青海国德招标代理有限公司</w:t>
      </w:r>
    </w:p>
    <w:p w14:paraId="7A4A0AC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我们收到 </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en-US" w:eastAsia="zh-CN" w:bidi="ar-SA"/>
        </w:rPr>
        <w:t>（项目名称及编号）</w:t>
      </w:r>
      <w:r>
        <w:rPr>
          <w:rFonts w:hint="eastAsia" w:ascii="宋体" w:hAnsi="宋体" w:eastAsia="宋体" w:cs="宋体"/>
          <w:b w:val="0"/>
          <w:bCs w:val="0"/>
          <w:kern w:val="2"/>
          <w:sz w:val="24"/>
          <w:szCs w:val="24"/>
          <w:u w:val="none"/>
          <w:lang w:val="zh-CN" w:eastAsia="zh-CN" w:bidi="ar-SA"/>
        </w:rPr>
        <w:t>谈判文件，经研究，法定代表人</w:t>
      </w:r>
      <w:r>
        <w:rPr>
          <w:rFonts w:hint="eastAsia" w:ascii="宋体" w:hAnsi="宋体" w:eastAsia="宋体" w:cs="宋体"/>
          <w:b w:val="0"/>
          <w:bCs w:val="0"/>
          <w:kern w:val="2"/>
          <w:sz w:val="24"/>
          <w:szCs w:val="24"/>
          <w:u w:val="single"/>
          <w:lang w:val="zh-CN" w:eastAsia="zh-CN" w:bidi="ar-SA"/>
        </w:rPr>
        <w:t>（姓名、职务）</w:t>
      </w:r>
      <w:r>
        <w:rPr>
          <w:rFonts w:hint="eastAsia" w:ascii="宋体" w:hAnsi="宋体" w:eastAsia="宋体" w:cs="宋体"/>
          <w:b w:val="0"/>
          <w:bCs w:val="0"/>
          <w:kern w:val="2"/>
          <w:sz w:val="24"/>
          <w:szCs w:val="24"/>
          <w:u w:val="none"/>
          <w:lang w:val="zh-CN" w:eastAsia="zh-CN" w:bidi="ar-SA"/>
        </w:rPr>
        <w:t>正式授权</w:t>
      </w:r>
      <w:r>
        <w:rPr>
          <w:rFonts w:hint="eastAsia" w:ascii="宋体" w:hAnsi="宋体" w:eastAsia="宋体" w:cs="宋体"/>
          <w:b w:val="0"/>
          <w:bCs w:val="0"/>
          <w:kern w:val="2"/>
          <w:sz w:val="24"/>
          <w:szCs w:val="24"/>
          <w:u w:val="single"/>
          <w:lang w:val="zh-CN" w:eastAsia="zh-CN" w:bidi="ar-SA"/>
        </w:rPr>
        <w:t>（委托代理人姓名、职务）</w:t>
      </w:r>
      <w:r>
        <w:rPr>
          <w:rFonts w:hint="eastAsia" w:ascii="宋体" w:hAnsi="宋体" w:eastAsia="宋体" w:cs="宋体"/>
          <w:b w:val="0"/>
          <w:bCs w:val="0"/>
          <w:kern w:val="2"/>
          <w:sz w:val="24"/>
          <w:szCs w:val="24"/>
          <w:u w:val="none"/>
          <w:lang w:val="zh-CN" w:eastAsia="zh-CN" w:bidi="ar-SA"/>
        </w:rPr>
        <w:t>代表供应商</w:t>
      </w:r>
      <w:r>
        <w:rPr>
          <w:rFonts w:hint="eastAsia" w:ascii="宋体" w:hAnsi="宋体" w:eastAsia="宋体" w:cs="宋体"/>
          <w:b w:val="0"/>
          <w:bCs w:val="0"/>
          <w:kern w:val="2"/>
          <w:sz w:val="24"/>
          <w:szCs w:val="24"/>
          <w:u w:val="single"/>
          <w:lang w:val="zh-CN" w:eastAsia="zh-CN" w:bidi="ar-SA"/>
        </w:rPr>
        <w:t>（供应商名称、地址）</w:t>
      </w:r>
      <w:r>
        <w:rPr>
          <w:rFonts w:hint="eastAsia" w:ascii="宋体" w:hAnsi="宋体" w:eastAsia="宋体" w:cs="宋体"/>
          <w:b w:val="0"/>
          <w:bCs w:val="0"/>
          <w:kern w:val="2"/>
          <w:sz w:val="24"/>
          <w:szCs w:val="24"/>
          <w:u w:val="none"/>
          <w:lang w:val="zh-CN" w:eastAsia="zh-CN" w:bidi="ar-SA"/>
        </w:rPr>
        <w:t xml:space="preserve">提交谈判响应文件。    </w:t>
      </w:r>
    </w:p>
    <w:p w14:paraId="3C2C7CA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据此函，签字代表宣布同意如下：</w:t>
      </w:r>
    </w:p>
    <w:p w14:paraId="6D01802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1、我方已详阅谈判文件的全部内容，包括澄清、修改条款等有关附件，承诺对其完全理解并接受。</w:t>
      </w:r>
    </w:p>
    <w:p w14:paraId="7FFED14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2、若在响应文件发出后，我方在响应文件有效期内撤回或成交后不签约的，谈判保证金将被贵方没收。</w:t>
      </w:r>
    </w:p>
    <w:p w14:paraId="120342D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3、我方同意按照贵方要求提供与谈判有关的一切数据或资料，理解并接受贵方制定的评标办法。</w:t>
      </w:r>
    </w:p>
    <w:p w14:paraId="399972E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4、与本次竞争性谈判有关的一切正式往来通讯请寄：</w:t>
      </w:r>
    </w:p>
    <w:p w14:paraId="522E905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地址：_______________   邮编：______________</w:t>
      </w:r>
    </w:p>
    <w:p w14:paraId="0AF9729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电话：_______________   传真：______________</w:t>
      </w:r>
    </w:p>
    <w:p w14:paraId="12C67E4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法定代表人姓名： ___________ 职务：_________</w:t>
      </w:r>
    </w:p>
    <w:p w14:paraId="7856B8B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zh-CN" w:eastAsia="zh-CN" w:bidi="ar-SA"/>
        </w:rPr>
        <w:t xml:space="preserve">             </w:t>
      </w:r>
      <w:bookmarkStart w:id="315" w:name="_Toc1506_WPSOffice_Level3"/>
      <w:r>
        <w:rPr>
          <w:rFonts w:hint="eastAsia" w:ascii="宋体" w:hAnsi="宋体" w:eastAsia="宋体" w:cs="宋体"/>
          <w:b w:val="0"/>
          <w:bCs w:val="0"/>
          <w:kern w:val="2"/>
          <w:sz w:val="24"/>
          <w:szCs w:val="24"/>
          <w:u w:val="none"/>
          <w:lang w:val="en-US" w:eastAsia="zh-CN" w:bidi="ar-SA"/>
        </w:rPr>
        <w:t xml:space="preserve">        </w:t>
      </w:r>
    </w:p>
    <w:p w14:paraId="294E4EA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       </w:t>
      </w:r>
      <w:bookmarkStart w:id="316" w:name="_Toc28112_WPSOffice_Level3"/>
    </w:p>
    <w:p w14:paraId="34EDDBE4">
      <w:pPr>
        <w:keepNext w:val="0"/>
        <w:keepLines w:val="0"/>
        <w:pageBreakBefore w:val="0"/>
        <w:widowControl w:val="0"/>
        <w:kinsoku/>
        <w:wordWrap/>
        <w:overflowPunct/>
        <w:topLinePunct w:val="0"/>
        <w:autoSpaceDE/>
        <w:autoSpaceDN/>
        <w:bidi w:val="0"/>
        <w:adjustRightInd w:val="0"/>
        <w:snapToGrid w:val="0"/>
        <w:spacing w:after="240" w:line="360" w:lineRule="auto"/>
        <w:ind w:firstLine="3360" w:firstLineChars="14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单位名称：</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（公章）</w:t>
      </w:r>
      <w:bookmarkEnd w:id="315"/>
      <w:bookmarkEnd w:id="316"/>
    </w:p>
    <w:p w14:paraId="373A927B">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        </w:t>
      </w:r>
      <w:bookmarkStart w:id="317" w:name="_Toc28651_WPSOffice_Level3"/>
      <w:bookmarkStart w:id="318" w:name="_Toc6385_WPSOffice_Level3"/>
      <w:r>
        <w:rPr>
          <w:rFonts w:hint="eastAsia" w:ascii="宋体" w:hAnsi="宋体" w:eastAsia="宋体" w:cs="宋体"/>
          <w:b w:val="0"/>
          <w:bCs w:val="0"/>
          <w:kern w:val="2"/>
          <w:sz w:val="24"/>
          <w:szCs w:val="24"/>
          <w:u w:val="none"/>
          <w:lang w:val="en-US" w:eastAsia="zh-CN" w:bidi="ar-SA"/>
        </w:rPr>
        <w:t xml:space="preserve">        </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法定代表人或委托代理人：</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（签字或盖章）</w:t>
      </w:r>
      <w:bookmarkEnd w:id="317"/>
      <w:bookmarkEnd w:id="318"/>
    </w:p>
    <w:p w14:paraId="0F6ECD5D">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            </w:t>
      </w:r>
      <w:r>
        <w:rPr>
          <w:rFonts w:hint="eastAsia" w:ascii="宋体" w:hAnsi="宋体" w:eastAsia="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 xml:space="preserve">  </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 xml:space="preserve"> </w:t>
      </w:r>
      <w:bookmarkStart w:id="319" w:name="_Toc130_WPSOffice_Level3"/>
      <w:bookmarkStart w:id="320" w:name="_Toc13325_WPSOffice_Level3"/>
      <w:r>
        <w:rPr>
          <w:rFonts w:hint="eastAsia" w:ascii="宋体" w:hAnsi="宋体" w:eastAsia="宋体" w:cs="宋体"/>
          <w:b w:val="0"/>
          <w:bCs w:val="0"/>
          <w:kern w:val="2"/>
          <w:sz w:val="24"/>
          <w:szCs w:val="24"/>
          <w:u w:val="none"/>
          <w:lang w:val="zh-CN" w:eastAsia="zh-CN" w:bidi="ar-SA"/>
        </w:rPr>
        <w:t>年   月  日</w:t>
      </w:r>
      <w:bookmarkEnd w:id="319"/>
      <w:bookmarkEnd w:id="320"/>
    </w:p>
    <w:p w14:paraId="5F5BF35C">
      <w:pPr>
        <w:widowControl/>
        <w:wordWrap/>
        <w:snapToGrid w:val="0"/>
        <w:spacing w:before="157" w:beforeLines="50" w:line="560" w:lineRule="exact"/>
        <w:jc w:val="left"/>
        <w:outlineLvl w:val="2"/>
        <w:rPr>
          <w:rFonts w:hint="eastAsia" w:ascii="宋体" w:hAnsi="宋体" w:cs="宋体"/>
          <w:b/>
          <w:bCs/>
          <w:color w:val="000000"/>
          <w:sz w:val="32"/>
          <w:szCs w:val="32"/>
        </w:rPr>
      </w:pPr>
      <w:bookmarkStart w:id="321" w:name="_Toc20882_WPSOffice_Level3"/>
      <w:bookmarkStart w:id="322" w:name="_Toc26257_WPSOffice_Level2"/>
      <w:bookmarkStart w:id="323" w:name="_Toc12487"/>
      <w:bookmarkStart w:id="324" w:name="_Toc3082"/>
      <w:bookmarkStart w:id="325" w:name="_Toc17887_WPSOffice_Level2"/>
      <w:bookmarkStart w:id="326" w:name="_Toc16050"/>
      <w:bookmarkStart w:id="327" w:name="_Toc9845"/>
      <w:r>
        <w:rPr>
          <w:rFonts w:hint="eastAsia" w:ascii="宋体" w:hAnsi="宋体" w:eastAsia="宋体" w:cs="宋体"/>
          <w:b/>
          <w:color w:val="000000"/>
          <w:sz w:val="32"/>
          <w:szCs w:val="32"/>
          <w:lang w:eastAsia="zh-CN"/>
        </w:rPr>
        <w:t>附件2：法定代表人证明书</w:t>
      </w:r>
      <w:bookmarkEnd w:id="321"/>
      <w:bookmarkEnd w:id="322"/>
      <w:bookmarkEnd w:id="323"/>
      <w:bookmarkEnd w:id="324"/>
      <w:bookmarkEnd w:id="325"/>
      <w:bookmarkEnd w:id="326"/>
      <w:bookmarkEnd w:id="327"/>
    </w:p>
    <w:p w14:paraId="46431BB6">
      <w:pPr>
        <w:widowControl w:val="0"/>
        <w:wordWrap/>
        <w:spacing w:before="157" w:beforeLines="50" w:line="360" w:lineRule="auto"/>
        <w:ind w:firstLine="2891" w:firstLineChars="900"/>
        <w:jc w:val="both"/>
        <w:textAlignment w:val="auto"/>
        <w:outlineLvl w:val="9"/>
        <w:rPr>
          <w:rFonts w:hint="eastAsia" w:ascii="宋体" w:hAnsi="宋体" w:eastAsia="宋体" w:cs="宋体"/>
          <w:b/>
          <w:color w:val="000000"/>
          <w:sz w:val="32"/>
          <w:szCs w:val="32"/>
          <w:lang w:eastAsia="zh-CN"/>
        </w:rPr>
      </w:pPr>
      <w:bookmarkStart w:id="328" w:name="_Toc14917_WPSOffice_Level1"/>
      <w:bookmarkStart w:id="329" w:name="_Toc32036_WPSOffice_Level1"/>
      <w:bookmarkStart w:id="330" w:name="_Toc6898_WPSOffice_Level2"/>
      <w:bookmarkStart w:id="331" w:name="_Toc28170_WPSOffice_Level2"/>
      <w:r>
        <w:rPr>
          <w:rFonts w:hint="eastAsia" w:ascii="宋体" w:hAnsi="宋体" w:eastAsia="宋体" w:cs="宋体"/>
          <w:b/>
          <w:color w:val="000000"/>
          <w:sz w:val="32"/>
          <w:szCs w:val="32"/>
          <w:lang w:eastAsia="zh-CN"/>
        </w:rPr>
        <w:t>法定代表人证明书</w:t>
      </w:r>
      <w:bookmarkEnd w:id="328"/>
      <w:bookmarkEnd w:id="329"/>
      <w:bookmarkEnd w:id="330"/>
      <w:bookmarkEnd w:id="331"/>
    </w:p>
    <w:p w14:paraId="0908D623">
      <w:pPr>
        <w:keepNext w:val="0"/>
        <w:keepLines w:val="0"/>
        <w:pageBreakBefore w:val="0"/>
        <w:widowControl w:val="0"/>
        <w:kinsoku/>
        <w:wordWrap/>
        <w:overflowPunct/>
        <w:topLinePunct w:val="0"/>
        <w:autoSpaceDE/>
        <w:autoSpaceDN/>
        <w:bidi w:val="0"/>
        <w:adjustRightInd w:val="0"/>
        <w:snapToGrid w:val="0"/>
        <w:spacing w:after="240" w:line="360" w:lineRule="auto"/>
        <w:jc w:val="left"/>
        <w:textAlignment w:val="auto"/>
        <w:rPr>
          <w:rFonts w:hint="eastAsia" w:ascii="宋体" w:hAnsi="宋体" w:eastAsia="宋体" w:cs="宋体"/>
          <w:b/>
          <w:bCs/>
          <w:kern w:val="2"/>
          <w:sz w:val="24"/>
          <w:szCs w:val="24"/>
          <w:u w:val="none"/>
          <w:lang w:val="zh-CN" w:eastAsia="zh-CN" w:bidi="ar-SA"/>
        </w:rPr>
      </w:pPr>
      <w:r>
        <w:rPr>
          <w:rFonts w:hint="eastAsia" w:ascii="宋体" w:hAnsi="宋体" w:eastAsia="宋体" w:cs="宋体"/>
          <w:b/>
          <w:bCs/>
          <w:kern w:val="2"/>
          <w:sz w:val="24"/>
          <w:szCs w:val="24"/>
          <w:u w:val="none"/>
          <w:lang w:val="zh-CN" w:eastAsia="zh-CN" w:bidi="ar-SA"/>
        </w:rPr>
        <w:t>致：</w:t>
      </w:r>
      <w:r>
        <w:rPr>
          <w:rFonts w:hint="eastAsia" w:ascii="宋体" w:hAnsi="宋体" w:eastAsia="宋体" w:cs="宋体"/>
          <w:b/>
          <w:bCs/>
          <w:kern w:val="2"/>
          <w:sz w:val="24"/>
          <w:szCs w:val="24"/>
          <w:u w:val="single"/>
          <w:lang w:val="zh-CN" w:eastAsia="zh-CN" w:bidi="ar-SA"/>
        </w:rPr>
        <w:t>青海国德招标代理有限公司</w:t>
      </w:r>
    </w:p>
    <w:p w14:paraId="53116279">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  </w:t>
      </w:r>
      <w:r>
        <w:rPr>
          <w:rFonts w:hint="eastAsia" w:ascii="宋体" w:hAnsi="宋体" w:eastAsia="宋体" w:cs="宋体"/>
          <w:b w:val="0"/>
          <w:bCs w:val="0"/>
          <w:kern w:val="2"/>
          <w:sz w:val="24"/>
          <w:szCs w:val="24"/>
          <w:u w:val="single"/>
          <w:lang w:val="zh-CN" w:eastAsia="zh-CN" w:bidi="ar-SA"/>
        </w:rPr>
        <w:t xml:space="preserve">（法定代表人姓名）  </w:t>
      </w:r>
      <w:r>
        <w:rPr>
          <w:rFonts w:hint="eastAsia" w:ascii="宋体" w:hAnsi="宋体" w:eastAsia="宋体" w:cs="宋体"/>
          <w:b w:val="0"/>
          <w:bCs w:val="0"/>
          <w:kern w:val="2"/>
          <w:sz w:val="24"/>
          <w:szCs w:val="24"/>
          <w:u w:val="none"/>
          <w:lang w:val="zh-CN" w:eastAsia="zh-CN" w:bidi="ar-SA"/>
        </w:rPr>
        <w:t>现任我单位</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职务，为法定代表人，特此证明。</w:t>
      </w:r>
    </w:p>
    <w:p w14:paraId="57EA90B8">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法定代表人基本情况：</w:t>
      </w:r>
    </w:p>
    <w:p w14:paraId="03BDE47E">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single"/>
          <w:lang w:val="zh-CN" w:eastAsia="zh-CN" w:bidi="ar-SA"/>
        </w:rPr>
      </w:pPr>
      <w:r>
        <w:rPr>
          <w:rFonts w:hint="eastAsia" w:ascii="宋体" w:hAnsi="宋体" w:eastAsia="宋体" w:cs="宋体"/>
          <w:b w:val="0"/>
          <w:bCs w:val="0"/>
          <w:kern w:val="2"/>
          <w:sz w:val="24"/>
          <w:szCs w:val="24"/>
          <w:u w:val="none"/>
          <w:lang w:val="zh-CN" w:eastAsia="zh-CN" w:bidi="ar-SA"/>
        </w:rPr>
        <w:t>性别：</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年龄：</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 xml:space="preserve">  民族：</w:t>
      </w:r>
      <w:r>
        <w:rPr>
          <w:rFonts w:hint="eastAsia" w:ascii="宋体" w:hAnsi="宋体" w:eastAsia="宋体" w:cs="宋体"/>
          <w:b w:val="0"/>
          <w:bCs w:val="0"/>
          <w:kern w:val="2"/>
          <w:sz w:val="24"/>
          <w:szCs w:val="24"/>
          <w:u w:val="single"/>
          <w:lang w:val="zh-CN" w:eastAsia="zh-CN" w:bidi="ar-SA"/>
        </w:rPr>
        <w:t xml:space="preserve">     </w:t>
      </w:r>
    </w:p>
    <w:p w14:paraId="2FB1D625">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single"/>
          <w:lang w:val="zh-CN" w:eastAsia="zh-CN" w:bidi="ar-SA"/>
        </w:rPr>
      </w:pPr>
      <w:r>
        <w:rPr>
          <w:rFonts w:hint="eastAsia" w:ascii="宋体" w:hAnsi="宋体" w:eastAsia="宋体" w:cs="宋体"/>
          <w:b w:val="0"/>
          <w:bCs w:val="0"/>
          <w:kern w:val="2"/>
          <w:sz w:val="24"/>
          <w:szCs w:val="24"/>
          <w:u w:val="none"/>
          <w:lang w:val="zh-CN" w:eastAsia="zh-CN" w:bidi="ar-SA"/>
        </w:rPr>
        <w:t>地址：</w:t>
      </w:r>
      <w:r>
        <w:rPr>
          <w:rFonts w:hint="eastAsia" w:ascii="宋体" w:hAnsi="宋体" w:eastAsia="宋体" w:cs="宋体"/>
          <w:b w:val="0"/>
          <w:bCs w:val="0"/>
          <w:kern w:val="2"/>
          <w:sz w:val="24"/>
          <w:szCs w:val="24"/>
          <w:u w:val="single"/>
          <w:lang w:val="zh-CN" w:eastAsia="zh-CN" w:bidi="ar-SA"/>
        </w:rPr>
        <w:t xml:space="preserve">                             </w:t>
      </w:r>
    </w:p>
    <w:p w14:paraId="483D68FD">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身份证号码：</w:t>
      </w:r>
      <w:r>
        <w:rPr>
          <w:rFonts w:hint="eastAsia" w:ascii="宋体" w:hAnsi="宋体" w:eastAsia="宋体" w:cs="宋体"/>
          <w:b w:val="0"/>
          <w:bCs w:val="0"/>
          <w:kern w:val="2"/>
          <w:sz w:val="24"/>
          <w:szCs w:val="24"/>
          <w:u w:val="single"/>
          <w:lang w:val="zh-CN" w:eastAsia="zh-CN" w:bidi="ar-SA"/>
        </w:rPr>
        <w:t xml:space="preserve">                       </w:t>
      </w:r>
    </w:p>
    <w:p w14:paraId="2BFF78A3">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附法定代表人第二代身份证双面扫描或其他身份证明材料（复印件）</w:t>
      </w:r>
    </w:p>
    <w:p w14:paraId="06374999">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color w:val="000000"/>
          <w:kern w:val="0"/>
          <w:sz w:val="24"/>
          <w:szCs w:val="24"/>
        </w:rPr>
      </w:pPr>
    </w:p>
    <w:p w14:paraId="6DA04D7D">
      <w:pPr>
        <w:pStyle w:val="18"/>
        <w:rPr>
          <w:rFonts w:hint="eastAsia" w:ascii="宋体" w:hAnsi="宋体" w:eastAsia="宋体" w:cs="宋体"/>
          <w:color w:val="000000"/>
          <w:kern w:val="0"/>
          <w:sz w:val="24"/>
          <w:szCs w:val="24"/>
        </w:rPr>
      </w:pPr>
    </w:p>
    <w:p w14:paraId="4532BFE2">
      <w:pPr>
        <w:rPr>
          <w:rFonts w:hint="eastAsia" w:ascii="宋体" w:hAnsi="宋体" w:eastAsia="宋体" w:cs="宋体"/>
          <w:color w:val="000000"/>
          <w:kern w:val="0"/>
          <w:sz w:val="24"/>
          <w:szCs w:val="24"/>
        </w:rPr>
      </w:pPr>
    </w:p>
    <w:p w14:paraId="4FF85BAE">
      <w:pPr>
        <w:pStyle w:val="18"/>
        <w:rPr>
          <w:rFonts w:hint="eastAsia" w:ascii="宋体" w:hAnsi="宋体" w:eastAsia="宋体" w:cs="宋体"/>
          <w:color w:val="000000"/>
          <w:kern w:val="0"/>
          <w:sz w:val="24"/>
          <w:szCs w:val="24"/>
        </w:rPr>
      </w:pPr>
    </w:p>
    <w:p w14:paraId="6C5C3BD6">
      <w:pPr>
        <w:rPr>
          <w:rFonts w:hint="eastAsia" w:ascii="宋体" w:hAnsi="宋体" w:eastAsia="宋体" w:cs="宋体"/>
          <w:sz w:val="24"/>
          <w:szCs w:val="24"/>
        </w:rPr>
      </w:pPr>
    </w:p>
    <w:p w14:paraId="52A42163">
      <w:pPr>
        <w:keepNext w:val="0"/>
        <w:keepLines w:val="0"/>
        <w:pageBreakBefore w:val="0"/>
        <w:widowControl w:val="0"/>
        <w:kinsoku/>
        <w:wordWrap/>
        <w:overflowPunct/>
        <w:topLinePunct w:val="0"/>
        <w:autoSpaceDE/>
        <w:autoSpaceDN/>
        <w:bidi w:val="0"/>
        <w:adjustRightInd w:val="0"/>
        <w:snapToGrid w:val="0"/>
        <w:spacing w:after="240" w:line="360" w:lineRule="auto"/>
        <w:ind w:firstLine="3360" w:firstLineChars="14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单位名称：</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（公章）</w:t>
      </w:r>
    </w:p>
    <w:p w14:paraId="3F52ABD4">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        </w:t>
      </w:r>
      <w:r>
        <w:rPr>
          <w:rFonts w:hint="eastAsia" w:ascii="宋体" w:hAnsi="宋体" w:eastAsia="宋体" w:cs="宋体"/>
          <w:b w:val="0"/>
          <w:bCs w:val="0"/>
          <w:kern w:val="2"/>
          <w:sz w:val="24"/>
          <w:szCs w:val="24"/>
          <w:u w:val="none"/>
          <w:lang w:val="en-US" w:eastAsia="zh-CN" w:bidi="ar-SA"/>
        </w:rPr>
        <w:t xml:space="preserve">        </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法定代表人：</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（签字或盖章）</w:t>
      </w:r>
    </w:p>
    <w:p w14:paraId="45525FCF">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            </w:t>
      </w:r>
      <w:r>
        <w:rPr>
          <w:rFonts w:hint="eastAsia" w:ascii="宋体" w:hAnsi="宋体" w:eastAsia="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 xml:space="preserve">   </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年   月  日</w:t>
      </w:r>
    </w:p>
    <w:p w14:paraId="3DB8DD02">
      <w:pPr>
        <w:wordWrap/>
        <w:spacing w:before="157" w:beforeLines="50" w:line="560" w:lineRule="exact"/>
        <w:ind w:right="480"/>
        <w:jc w:val="right"/>
        <w:outlineLvl w:val="9"/>
        <w:rPr>
          <w:rFonts w:hint="eastAsia" w:ascii="宋体"/>
          <w:b/>
          <w:color w:val="000000"/>
          <w:sz w:val="36"/>
          <w:szCs w:val="36"/>
        </w:rPr>
      </w:pPr>
    </w:p>
    <w:p w14:paraId="4BA8EECC">
      <w:pPr>
        <w:widowControl/>
        <w:wordWrap/>
        <w:snapToGrid w:val="0"/>
        <w:spacing w:before="157" w:beforeLines="50" w:line="560" w:lineRule="exact"/>
        <w:jc w:val="left"/>
        <w:outlineLvl w:val="2"/>
        <w:rPr>
          <w:rFonts w:hint="eastAsia" w:ascii="宋体" w:hAnsi="宋体" w:eastAsia="宋体" w:cs="宋体"/>
          <w:b/>
          <w:color w:val="000000"/>
          <w:sz w:val="28"/>
          <w:szCs w:val="28"/>
          <w:lang w:eastAsia="zh-CN"/>
        </w:rPr>
      </w:pPr>
      <w:bookmarkStart w:id="332" w:name="_Toc21545_WPSOffice_Level3"/>
      <w:bookmarkStart w:id="333" w:name="_Toc18183"/>
      <w:bookmarkStart w:id="334" w:name="_Toc27782"/>
      <w:bookmarkStart w:id="335" w:name="_Toc31901"/>
      <w:bookmarkStart w:id="336" w:name="_Toc23035_WPSOffice_Level2"/>
      <w:bookmarkStart w:id="337" w:name="_Toc23551"/>
    </w:p>
    <w:p w14:paraId="08202AB2">
      <w:pPr>
        <w:widowControl/>
        <w:wordWrap/>
        <w:snapToGrid w:val="0"/>
        <w:spacing w:before="157" w:beforeLines="50" w:line="560" w:lineRule="exact"/>
        <w:jc w:val="left"/>
        <w:outlineLvl w:val="2"/>
        <w:rPr>
          <w:rFonts w:hint="eastAsia" w:ascii="宋体" w:hAnsi="宋体" w:eastAsia="宋体" w:cs="宋体"/>
          <w:b/>
          <w:color w:val="000000"/>
          <w:sz w:val="32"/>
          <w:szCs w:val="32"/>
        </w:rPr>
      </w:pPr>
      <w:r>
        <w:rPr>
          <w:rFonts w:hint="eastAsia" w:ascii="宋体" w:hAnsi="宋体" w:eastAsia="宋体" w:cs="宋体"/>
          <w:b/>
          <w:color w:val="000000"/>
          <w:sz w:val="32"/>
          <w:szCs w:val="32"/>
          <w:lang w:eastAsia="zh-CN"/>
        </w:rPr>
        <w:t>附件3：法定代表人授权书</w:t>
      </w:r>
      <w:bookmarkEnd w:id="332"/>
      <w:bookmarkEnd w:id="333"/>
      <w:bookmarkEnd w:id="334"/>
      <w:bookmarkEnd w:id="335"/>
      <w:bookmarkEnd w:id="336"/>
      <w:bookmarkEnd w:id="337"/>
    </w:p>
    <w:p w14:paraId="52D62B01">
      <w:pPr>
        <w:widowControl w:val="0"/>
        <w:wordWrap/>
        <w:spacing w:before="157" w:beforeLines="50" w:line="560" w:lineRule="exact"/>
        <w:ind w:firstLine="2891" w:firstLineChars="900"/>
        <w:jc w:val="both"/>
        <w:textAlignment w:val="auto"/>
        <w:outlineLvl w:val="9"/>
        <w:rPr>
          <w:rFonts w:hint="eastAsia" w:ascii="宋体" w:hAnsi="宋体" w:eastAsia="宋体" w:cs="宋体"/>
          <w:b/>
          <w:color w:val="000000"/>
          <w:sz w:val="32"/>
          <w:szCs w:val="32"/>
          <w:lang w:eastAsia="zh-CN"/>
        </w:rPr>
      </w:pPr>
      <w:bookmarkStart w:id="338" w:name="_Toc1148_WPSOffice_Level3"/>
      <w:bookmarkStart w:id="339" w:name="_Toc26434_WPSOffice_Level2"/>
      <w:bookmarkStart w:id="340" w:name="_Toc5048_WPSOffice_Level2"/>
      <w:r>
        <w:rPr>
          <w:rFonts w:hint="eastAsia" w:ascii="宋体" w:hAnsi="宋体" w:eastAsia="宋体" w:cs="宋体"/>
          <w:b/>
          <w:color w:val="000000"/>
          <w:sz w:val="32"/>
          <w:szCs w:val="32"/>
          <w:lang w:eastAsia="zh-CN"/>
        </w:rPr>
        <w:t>法定代表人授权书</w:t>
      </w:r>
      <w:bookmarkEnd w:id="338"/>
      <w:bookmarkEnd w:id="339"/>
      <w:bookmarkEnd w:id="340"/>
    </w:p>
    <w:p w14:paraId="0A3626C1">
      <w:pPr>
        <w:keepNext w:val="0"/>
        <w:keepLines w:val="0"/>
        <w:pageBreakBefore w:val="0"/>
        <w:widowControl w:val="0"/>
        <w:kinsoku/>
        <w:wordWrap/>
        <w:overflowPunct/>
        <w:topLinePunct w:val="0"/>
        <w:autoSpaceDE/>
        <w:autoSpaceDN/>
        <w:bidi w:val="0"/>
        <w:adjustRightInd/>
        <w:snapToGrid/>
        <w:spacing w:after="240" w:line="360" w:lineRule="auto"/>
        <w:ind w:firstLine="198" w:firstLineChars="82"/>
        <w:textAlignment w:val="auto"/>
        <w:outlineLvl w:val="9"/>
        <w:rPr>
          <w:rFonts w:hint="eastAsia" w:ascii="宋体" w:hAnsi="宋体" w:eastAsia="宋体" w:cs="宋体"/>
          <w:color w:val="000000"/>
          <w:sz w:val="24"/>
          <w:szCs w:val="24"/>
          <w:u w:val="single"/>
        </w:rPr>
      </w:pPr>
      <w:bookmarkStart w:id="341" w:name="_Toc6307_WPSOffice_Level2"/>
      <w:bookmarkStart w:id="342" w:name="_Toc16084_WPSOffice_Level2"/>
      <w:bookmarkStart w:id="343" w:name="_Toc25306_WPSOffice_Level2"/>
      <w:r>
        <w:rPr>
          <w:rFonts w:hint="eastAsia" w:ascii="宋体" w:hAnsi="宋体" w:eastAsia="宋体" w:cs="宋体"/>
          <w:b/>
          <w:bCs/>
          <w:color w:val="000000"/>
          <w:sz w:val="24"/>
          <w:szCs w:val="24"/>
        </w:rPr>
        <w:t>致：</w:t>
      </w:r>
      <w:bookmarkEnd w:id="341"/>
      <w:bookmarkEnd w:id="342"/>
      <w:bookmarkEnd w:id="343"/>
      <w:r>
        <w:rPr>
          <w:rFonts w:hint="eastAsia" w:ascii="宋体" w:hAnsi="宋体" w:eastAsia="宋体" w:cs="宋体"/>
          <w:b/>
          <w:bCs/>
          <w:color w:val="000000"/>
          <w:sz w:val="24"/>
          <w:szCs w:val="24"/>
          <w:u w:val="single"/>
          <w:lang w:eastAsia="zh-CN"/>
        </w:rPr>
        <w:t>青海国德招标代理有限公司</w:t>
      </w:r>
    </w:p>
    <w:p w14:paraId="05F6B69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（供应商名称）  </w:t>
      </w:r>
      <w:r>
        <w:rPr>
          <w:rFonts w:hint="eastAsia" w:ascii="宋体" w:hAnsi="宋体" w:eastAsia="宋体" w:cs="宋体"/>
          <w:color w:val="000000"/>
          <w:sz w:val="24"/>
          <w:szCs w:val="24"/>
        </w:rPr>
        <w:t>系中华人民共和国合法企业，法定地址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57CF1F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（法定代表人姓名）   </w:t>
      </w:r>
      <w:r>
        <w:rPr>
          <w:rFonts w:hint="eastAsia" w:ascii="宋体" w:hAnsi="宋体" w:eastAsia="宋体" w:cs="宋体"/>
          <w:color w:val="000000"/>
          <w:sz w:val="24"/>
          <w:szCs w:val="24"/>
        </w:rPr>
        <w:t>特授权</w:t>
      </w:r>
      <w:r>
        <w:rPr>
          <w:rFonts w:hint="eastAsia" w:ascii="宋体" w:hAnsi="宋体" w:eastAsia="宋体" w:cs="宋体"/>
          <w:color w:val="000000"/>
          <w:sz w:val="24"/>
          <w:szCs w:val="24"/>
          <w:u w:val="single"/>
        </w:rPr>
        <w:t xml:space="preserve"> （委托代理人姓名）    </w:t>
      </w:r>
      <w:r>
        <w:rPr>
          <w:rFonts w:hint="eastAsia" w:ascii="宋体" w:hAnsi="宋体" w:eastAsia="宋体" w:cs="宋体"/>
          <w:color w:val="000000"/>
          <w:sz w:val="24"/>
          <w:szCs w:val="24"/>
        </w:rPr>
        <w:t>代表我单位全权办理针对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项目的</w:t>
      </w:r>
      <w:r>
        <w:rPr>
          <w:rFonts w:hint="eastAsia" w:ascii="宋体" w:hAnsi="宋体" w:eastAsia="宋体" w:cs="宋体"/>
          <w:color w:val="000000"/>
          <w:sz w:val="24"/>
          <w:szCs w:val="24"/>
          <w:lang w:eastAsia="zh-CN"/>
        </w:rPr>
        <w:t>谈判、答疑</w:t>
      </w:r>
      <w:r>
        <w:rPr>
          <w:rFonts w:hint="eastAsia" w:ascii="宋体" w:hAnsi="宋体" w:eastAsia="宋体" w:cs="宋体"/>
          <w:color w:val="000000"/>
          <w:sz w:val="24"/>
          <w:szCs w:val="24"/>
        </w:rPr>
        <w:t>等具体工作，并签署全部有关的文件、资料。</w:t>
      </w:r>
    </w:p>
    <w:p w14:paraId="56442B3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我单位对被授权人的签名负全部责任。</w:t>
      </w:r>
    </w:p>
    <w:p w14:paraId="5D209B6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在撤销授权的书面通知以前，本授权书一直有效，被授权人签署的所有文件（在授权书有效期内签署的）不因授权的撤销而失效。</w:t>
      </w:r>
    </w:p>
    <w:p w14:paraId="1244A91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授权期限：自</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日起至</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日止。</w:t>
      </w:r>
    </w:p>
    <w:p w14:paraId="15B579A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被授权人联系电话：</w:t>
      </w:r>
      <w:r>
        <w:rPr>
          <w:rFonts w:hint="eastAsia" w:ascii="宋体" w:hAnsi="宋体" w:eastAsia="宋体" w:cs="宋体"/>
          <w:color w:val="000000"/>
          <w:sz w:val="24"/>
          <w:szCs w:val="24"/>
          <w:u w:val="single"/>
        </w:rPr>
        <w:t xml:space="preserve">          </w:t>
      </w:r>
    </w:p>
    <w:p w14:paraId="4FAD27AC">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被授权人（委托代理人）签字或盖章：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职务：</w:t>
      </w:r>
      <w:r>
        <w:rPr>
          <w:rFonts w:hint="eastAsia" w:ascii="宋体" w:hAnsi="宋体" w:eastAsia="宋体" w:cs="宋体"/>
          <w:color w:val="000000"/>
          <w:sz w:val="24"/>
          <w:szCs w:val="24"/>
          <w:u w:val="single"/>
        </w:rPr>
        <w:t xml:space="preserve">            </w:t>
      </w:r>
    </w:p>
    <w:p w14:paraId="3F8D4FC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授权人（法定代表人）签字或盖章：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职务：</w:t>
      </w:r>
      <w:r>
        <w:rPr>
          <w:rFonts w:hint="eastAsia" w:ascii="宋体" w:hAnsi="宋体" w:eastAsia="宋体" w:cs="宋体"/>
          <w:color w:val="000000"/>
          <w:sz w:val="24"/>
          <w:szCs w:val="24"/>
          <w:u w:val="single"/>
        </w:rPr>
        <w:t xml:space="preserve">            </w:t>
      </w:r>
    </w:p>
    <w:p w14:paraId="2E093B8A">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附被授权人第二代身份证双面扫描（或复印）件</w:t>
      </w:r>
    </w:p>
    <w:p w14:paraId="347432E8">
      <w:pPr>
        <w:keepNext w:val="0"/>
        <w:keepLines w:val="0"/>
        <w:pageBreakBefore w:val="0"/>
        <w:widowControl w:val="0"/>
        <w:kinsoku/>
        <w:wordWrap/>
        <w:overflowPunct/>
        <w:topLinePunct w:val="0"/>
        <w:autoSpaceDE/>
        <w:autoSpaceDN/>
        <w:bidi w:val="0"/>
        <w:adjustRightInd/>
        <w:snapToGrid/>
        <w:spacing w:after="240" w:line="360" w:lineRule="auto"/>
        <w:ind w:firstLine="2400" w:firstLineChars="1000"/>
        <w:jc w:val="both"/>
        <w:textAlignment w:val="auto"/>
        <w:outlineLvl w:val="9"/>
        <w:rPr>
          <w:rFonts w:hint="eastAsia" w:ascii="宋体" w:hAnsi="宋体" w:eastAsia="宋体" w:cs="宋体"/>
          <w:b w:val="0"/>
          <w:bCs/>
          <w:color w:val="000000"/>
          <w:sz w:val="24"/>
          <w:szCs w:val="24"/>
        </w:rPr>
      </w:pPr>
      <w:bookmarkStart w:id="344" w:name="_Toc13837_WPSOffice_Level3"/>
    </w:p>
    <w:p w14:paraId="7CB05A48">
      <w:pPr>
        <w:keepNext w:val="0"/>
        <w:keepLines w:val="0"/>
        <w:pageBreakBefore w:val="0"/>
        <w:widowControl w:val="0"/>
        <w:kinsoku/>
        <w:wordWrap/>
        <w:overflowPunct/>
        <w:topLinePunct w:val="0"/>
        <w:autoSpaceDE/>
        <w:autoSpaceDN/>
        <w:bidi w:val="0"/>
        <w:adjustRightInd/>
        <w:snapToGrid/>
        <w:spacing w:after="240" w:line="360" w:lineRule="auto"/>
        <w:ind w:firstLine="2400" w:firstLineChars="1000"/>
        <w:jc w:val="both"/>
        <w:textAlignment w:val="auto"/>
        <w:outlineLvl w:val="9"/>
        <w:rPr>
          <w:rFonts w:hint="eastAsia" w:ascii="宋体" w:hAnsi="宋体" w:eastAsia="宋体" w:cs="宋体"/>
          <w:b w:val="0"/>
          <w:bCs/>
          <w:color w:val="000000"/>
          <w:sz w:val="24"/>
          <w:szCs w:val="24"/>
        </w:rPr>
      </w:pPr>
    </w:p>
    <w:bookmarkEnd w:id="344"/>
    <w:p w14:paraId="67D29B43">
      <w:pPr>
        <w:keepNext w:val="0"/>
        <w:keepLines w:val="0"/>
        <w:pageBreakBefore w:val="0"/>
        <w:widowControl w:val="0"/>
        <w:kinsoku/>
        <w:wordWrap/>
        <w:overflowPunct/>
        <w:topLinePunct w:val="0"/>
        <w:autoSpaceDE/>
        <w:autoSpaceDN/>
        <w:bidi w:val="0"/>
        <w:adjustRightInd/>
        <w:snapToGrid/>
        <w:spacing w:after="240" w:line="360" w:lineRule="auto"/>
        <w:ind w:firstLine="3840" w:firstLineChars="160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单位</w:t>
      </w:r>
      <w:r>
        <w:rPr>
          <w:rFonts w:hint="eastAsia" w:ascii="宋体" w:hAnsi="宋体" w:eastAsia="宋体" w:cs="宋体"/>
          <w:b w:val="0"/>
          <w:bCs/>
          <w:color w:val="000000"/>
          <w:sz w:val="24"/>
          <w:szCs w:val="24"/>
          <w:lang w:eastAsia="zh-CN"/>
        </w:rPr>
        <w:t>名称</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（公章）</w:t>
      </w:r>
    </w:p>
    <w:p w14:paraId="59B3544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法定代表人或委托代理人：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（签字或盖章）</w:t>
      </w:r>
    </w:p>
    <w:p w14:paraId="2190D007">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年   月  日</w:t>
      </w:r>
    </w:p>
    <w:p w14:paraId="7A6DA795">
      <w:pPr>
        <w:widowControl/>
        <w:wordWrap/>
        <w:snapToGrid w:val="0"/>
        <w:spacing w:before="157" w:beforeLines="50" w:line="560" w:lineRule="exact"/>
        <w:jc w:val="left"/>
        <w:outlineLvl w:val="2"/>
        <w:rPr>
          <w:rFonts w:hint="eastAsia" w:ascii="宋体" w:hAnsi="宋体" w:eastAsia="宋体" w:cs="宋体"/>
          <w:b/>
          <w:color w:val="000000"/>
          <w:sz w:val="32"/>
          <w:szCs w:val="32"/>
          <w:lang w:eastAsia="zh-CN"/>
        </w:rPr>
      </w:pPr>
      <w:bookmarkStart w:id="345" w:name="_Toc16704"/>
      <w:bookmarkStart w:id="346" w:name="_Toc7737_WPSOffice_Level3"/>
      <w:bookmarkStart w:id="347" w:name="_Toc30919"/>
      <w:bookmarkStart w:id="348" w:name="_Toc26653_WPSOffice_Level3"/>
      <w:bookmarkStart w:id="349" w:name="_Toc23618"/>
      <w:bookmarkStart w:id="350" w:name="_Toc19298"/>
      <w:r>
        <w:rPr>
          <w:rFonts w:hint="eastAsia" w:ascii="宋体" w:hAnsi="宋体" w:eastAsia="宋体" w:cs="宋体"/>
          <w:b/>
          <w:color w:val="000000"/>
          <w:sz w:val="32"/>
          <w:szCs w:val="32"/>
          <w:lang w:eastAsia="zh-CN"/>
        </w:rPr>
        <w:t>附件4：供应商承诺函</w:t>
      </w:r>
      <w:bookmarkEnd w:id="345"/>
      <w:bookmarkEnd w:id="346"/>
      <w:bookmarkEnd w:id="347"/>
      <w:bookmarkEnd w:id="348"/>
      <w:bookmarkEnd w:id="349"/>
      <w:bookmarkEnd w:id="350"/>
    </w:p>
    <w:p w14:paraId="47D26271">
      <w:pPr>
        <w:widowControl w:val="0"/>
        <w:wordWrap/>
        <w:spacing w:before="157" w:beforeLines="50" w:line="360" w:lineRule="auto"/>
        <w:ind w:firstLine="2891" w:firstLineChars="900"/>
        <w:jc w:val="both"/>
        <w:textAlignment w:val="auto"/>
        <w:outlineLvl w:val="9"/>
        <w:rPr>
          <w:rFonts w:hint="eastAsia" w:ascii="宋体" w:hAnsi="宋体" w:eastAsia="宋体" w:cs="宋体"/>
          <w:b/>
          <w:color w:val="000000"/>
          <w:sz w:val="32"/>
          <w:szCs w:val="32"/>
          <w:lang w:eastAsia="zh-CN"/>
        </w:rPr>
      </w:pPr>
      <w:bookmarkStart w:id="351" w:name="_Toc17639_WPSOffice_Level2"/>
      <w:bookmarkStart w:id="352" w:name="_Toc2453_WPSOffice_Level2"/>
      <w:bookmarkStart w:id="353" w:name="_Toc27597_WPSOffice_Level3"/>
      <w:r>
        <w:rPr>
          <w:rFonts w:hint="eastAsia" w:ascii="宋体" w:hAnsi="宋体" w:eastAsia="宋体" w:cs="宋体"/>
          <w:b/>
          <w:color w:val="000000"/>
          <w:sz w:val="32"/>
          <w:szCs w:val="32"/>
          <w:lang w:eastAsia="zh-CN"/>
        </w:rPr>
        <w:t>供应商承诺函</w:t>
      </w:r>
      <w:bookmarkEnd w:id="351"/>
      <w:bookmarkEnd w:id="352"/>
      <w:bookmarkEnd w:id="353"/>
    </w:p>
    <w:p w14:paraId="122D63A3">
      <w:pPr>
        <w:keepNext w:val="0"/>
        <w:keepLines w:val="0"/>
        <w:pageBreakBefore w:val="0"/>
        <w:widowControl w:val="0"/>
        <w:kinsoku/>
        <w:wordWrap/>
        <w:overflowPunct/>
        <w:topLinePunct w:val="0"/>
        <w:autoSpaceDE/>
        <w:autoSpaceDN/>
        <w:bidi w:val="0"/>
        <w:adjustRightInd/>
        <w:snapToGrid/>
        <w:spacing w:after="240" w:line="360" w:lineRule="auto"/>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u w:val="single"/>
          <w:lang w:eastAsia="zh-CN"/>
        </w:rPr>
        <w:t>青海国德招标代理有限公司</w:t>
      </w:r>
    </w:p>
    <w:p w14:paraId="377F5BB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关于贵方</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年</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月</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日</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eastAsia="zh-CN"/>
        </w:rPr>
        <w:t>（项目名称及编号）</w:t>
      </w:r>
      <w:r>
        <w:rPr>
          <w:rFonts w:hint="eastAsia" w:ascii="宋体" w:hAnsi="宋体" w:eastAsia="宋体" w:cs="宋体"/>
          <w:b w:val="0"/>
          <w:bCs w:val="0"/>
          <w:color w:val="000000"/>
          <w:sz w:val="24"/>
          <w:szCs w:val="24"/>
        </w:rPr>
        <w:t>采购项目，本签字人愿意参加</w:t>
      </w:r>
      <w:r>
        <w:rPr>
          <w:rFonts w:hint="eastAsia" w:ascii="宋体" w:hAnsi="宋体" w:eastAsia="宋体" w:cs="宋体"/>
          <w:b w:val="0"/>
          <w:bCs w:val="0"/>
          <w:color w:val="000000"/>
          <w:sz w:val="24"/>
          <w:szCs w:val="24"/>
          <w:lang w:eastAsia="zh-CN"/>
        </w:rPr>
        <w:t>谈判</w:t>
      </w:r>
      <w:r>
        <w:rPr>
          <w:rFonts w:hint="eastAsia" w:ascii="宋体" w:hAnsi="宋体" w:eastAsia="宋体" w:cs="宋体"/>
          <w:b w:val="0"/>
          <w:bCs w:val="0"/>
          <w:color w:val="000000"/>
          <w:sz w:val="24"/>
          <w:szCs w:val="24"/>
        </w:rPr>
        <w:t>，提供采购一览表中要求的所有产品，并证实提交的所有资料是准确的和真实的。同时，我代表</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（供应商名称）</w:t>
      </w:r>
      <w:r>
        <w:rPr>
          <w:rFonts w:hint="eastAsia" w:ascii="宋体" w:hAnsi="宋体" w:eastAsia="宋体" w:cs="宋体"/>
          <w:b w:val="0"/>
          <w:bCs w:val="0"/>
          <w:color w:val="000000"/>
          <w:sz w:val="24"/>
          <w:szCs w:val="24"/>
        </w:rPr>
        <w:t>，在此作如下承诺：</w:t>
      </w:r>
    </w:p>
    <w:p w14:paraId="6882304E">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1、完全理解和接受谈判文件的一切规定和要求；</w:t>
      </w:r>
    </w:p>
    <w:p w14:paraId="70879FD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2、若</w:t>
      </w:r>
      <w:r>
        <w:rPr>
          <w:rFonts w:hint="eastAsia" w:ascii="宋体" w:hAnsi="宋体" w:eastAsia="宋体" w:cs="宋体"/>
          <w:b w:val="0"/>
          <w:bCs w:val="0"/>
          <w:color w:val="000000"/>
          <w:sz w:val="24"/>
          <w:szCs w:val="24"/>
          <w:lang w:eastAsia="zh-CN"/>
        </w:rPr>
        <w:t>成交</w:t>
      </w:r>
      <w:r>
        <w:rPr>
          <w:rFonts w:hint="eastAsia" w:ascii="宋体" w:hAnsi="宋体" w:eastAsia="宋体" w:cs="宋体"/>
          <w:b w:val="0"/>
          <w:bCs w:val="0"/>
          <w:color w:val="000000"/>
          <w:sz w:val="24"/>
          <w:szCs w:val="24"/>
        </w:rPr>
        <w:t>，我方将按照谈判文件的具体规定与采购人签订采购合同，并且严格履行合同义务，按时交货，提供优质的产品和服务。如果在合同执行过程中，发现质量、数量出现问题，我方一定尽快更换或补退货，并承担相应的经济责任；</w:t>
      </w:r>
    </w:p>
    <w:p w14:paraId="49EA3BF5">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3、我方保证甲方在使用该产品或其任何一部分时，不受第三方提出的侵犯专利权、著作权、商标权和工业设计权等知识产权的起诉，若有</w:t>
      </w:r>
      <w:r>
        <w:rPr>
          <w:rFonts w:hint="eastAsia" w:ascii="宋体" w:hAnsi="宋体" w:eastAsia="宋体" w:cs="宋体"/>
          <w:b w:val="0"/>
          <w:bCs w:val="0"/>
          <w:color w:val="000000"/>
          <w:sz w:val="24"/>
          <w:szCs w:val="24"/>
          <w:lang w:eastAsia="zh-CN"/>
        </w:rPr>
        <w:t>违反</w:t>
      </w:r>
      <w:r>
        <w:rPr>
          <w:rFonts w:hint="eastAsia" w:ascii="宋体" w:hAnsi="宋体" w:eastAsia="宋体" w:cs="宋体"/>
          <w:b w:val="0"/>
          <w:bCs w:val="0"/>
          <w:color w:val="000000"/>
          <w:sz w:val="24"/>
          <w:szCs w:val="24"/>
        </w:rPr>
        <w:t>，愿承担相应的一切责任。</w:t>
      </w:r>
    </w:p>
    <w:p w14:paraId="58CF614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4、我方承诺，除谈判文件中规定的优质产品外，所投的产品均为国产产品，且均符合国家强制性标准。若有不实，愿承担相应的责任。</w:t>
      </w:r>
    </w:p>
    <w:p w14:paraId="2CEDE1D4">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5、在整个谈判过程中我方若有违规行为，贵方可按谈判文件之规定给予处罚，我方完全接受。</w:t>
      </w:r>
    </w:p>
    <w:p w14:paraId="0244BF98">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left"/>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val="0"/>
          <w:color w:val="000000"/>
          <w:sz w:val="24"/>
          <w:szCs w:val="24"/>
        </w:rPr>
        <w:t>6、若成交，本承诺将成为合同不可分割的一部分，与合同具有同等的法律效力。</w:t>
      </w:r>
      <w:bookmarkStart w:id="354" w:name="_Toc29941_WPSOffice_Level3"/>
      <w:bookmarkStart w:id="355" w:name="_Toc11979_WPSOffice_Level3"/>
    </w:p>
    <w:p w14:paraId="65E6D962">
      <w:pPr>
        <w:keepNext w:val="0"/>
        <w:keepLines w:val="0"/>
        <w:pageBreakBefore w:val="0"/>
        <w:widowControl w:val="0"/>
        <w:kinsoku/>
        <w:wordWrap/>
        <w:overflowPunct/>
        <w:topLinePunct w:val="0"/>
        <w:autoSpaceDE/>
        <w:autoSpaceDN/>
        <w:bidi w:val="0"/>
        <w:adjustRightInd/>
        <w:snapToGrid/>
        <w:spacing w:after="240" w:line="360" w:lineRule="auto"/>
        <w:ind w:firstLine="3840" w:firstLineChars="160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单位</w:t>
      </w:r>
      <w:r>
        <w:rPr>
          <w:rFonts w:hint="eastAsia" w:ascii="宋体" w:hAnsi="宋体" w:eastAsia="宋体" w:cs="宋体"/>
          <w:b w:val="0"/>
          <w:bCs/>
          <w:color w:val="000000"/>
          <w:sz w:val="24"/>
          <w:szCs w:val="24"/>
          <w:lang w:eastAsia="zh-CN"/>
        </w:rPr>
        <w:t>名称</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（公章）</w:t>
      </w:r>
      <w:bookmarkEnd w:id="354"/>
      <w:bookmarkEnd w:id="355"/>
    </w:p>
    <w:p w14:paraId="79D12265">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bookmarkStart w:id="356" w:name="_Toc15106_WPSOffice_Level3"/>
      <w:bookmarkStart w:id="357" w:name="_Toc22507_WPSOffice_Level3"/>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法定代表人或委托代理人：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（签字或盖章）</w:t>
      </w:r>
      <w:bookmarkEnd w:id="356"/>
      <w:bookmarkEnd w:id="357"/>
    </w:p>
    <w:p w14:paraId="73F1B5F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bookmarkStart w:id="358" w:name="_Toc24254_WPSOffice_Level3"/>
      <w:r>
        <w:rPr>
          <w:rFonts w:hint="eastAsia" w:ascii="宋体" w:hAnsi="宋体" w:eastAsia="宋体" w:cs="宋体"/>
          <w:b w:val="0"/>
          <w:bCs/>
          <w:color w:val="000000"/>
          <w:sz w:val="24"/>
          <w:szCs w:val="24"/>
          <w:lang w:val="en-US" w:eastAsia="zh-CN"/>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 xml:space="preserve"> </w:t>
      </w:r>
      <w:bookmarkStart w:id="359" w:name="_Toc9343_WPSOffice_Level3"/>
      <w:r>
        <w:rPr>
          <w:rFonts w:hint="eastAsia" w:ascii="宋体" w:hAnsi="宋体" w:eastAsia="宋体" w:cs="宋体"/>
          <w:b w:val="0"/>
          <w:bCs/>
          <w:color w:val="000000"/>
          <w:sz w:val="24"/>
          <w:szCs w:val="24"/>
        </w:rPr>
        <w:t>年   月  日</w:t>
      </w:r>
      <w:bookmarkEnd w:id="358"/>
      <w:bookmarkEnd w:id="359"/>
    </w:p>
    <w:p w14:paraId="5757FC77">
      <w:pPr>
        <w:widowControl/>
        <w:wordWrap/>
        <w:snapToGrid w:val="0"/>
        <w:spacing w:before="157" w:beforeLines="50" w:line="560" w:lineRule="exact"/>
        <w:outlineLvl w:val="1"/>
        <w:rPr>
          <w:rFonts w:hint="eastAsia" w:ascii="宋体" w:hAnsi="宋体" w:eastAsia="宋体" w:cs="宋体"/>
          <w:b/>
          <w:color w:val="000000"/>
          <w:sz w:val="32"/>
          <w:szCs w:val="32"/>
        </w:rPr>
      </w:pPr>
      <w:r>
        <w:rPr>
          <w:rFonts w:ascii="宋体"/>
          <w:b/>
          <w:color w:val="000000"/>
          <w:sz w:val="28"/>
          <w:szCs w:val="28"/>
        </w:rPr>
        <w:br w:type="page"/>
      </w:r>
      <w:bookmarkStart w:id="360" w:name="_Toc26773_WPSOffice_Level3"/>
      <w:bookmarkStart w:id="361" w:name="_Toc6416"/>
      <w:bookmarkStart w:id="362" w:name="_Toc20884"/>
      <w:bookmarkStart w:id="363" w:name="_Toc25740"/>
      <w:bookmarkStart w:id="364" w:name="_Toc653_WPSOffice_Level3"/>
      <w:bookmarkStart w:id="365" w:name="_Toc15780"/>
      <w:r>
        <w:rPr>
          <w:rFonts w:hint="eastAsia" w:ascii="宋体" w:hAnsi="宋体" w:eastAsia="宋体" w:cs="宋体"/>
          <w:b/>
          <w:color w:val="000000"/>
          <w:sz w:val="32"/>
          <w:szCs w:val="32"/>
          <w:lang w:eastAsia="zh-CN"/>
        </w:rPr>
        <w:t>附件5：供应商诚信承诺书</w:t>
      </w:r>
      <w:bookmarkEnd w:id="360"/>
      <w:bookmarkEnd w:id="361"/>
      <w:bookmarkEnd w:id="362"/>
      <w:bookmarkEnd w:id="363"/>
      <w:bookmarkEnd w:id="364"/>
      <w:bookmarkEnd w:id="365"/>
    </w:p>
    <w:p w14:paraId="1F840F80">
      <w:pPr>
        <w:wordWrap/>
        <w:spacing w:before="157" w:beforeLines="50" w:line="560" w:lineRule="exact"/>
        <w:jc w:val="center"/>
        <w:outlineLvl w:val="9"/>
        <w:rPr>
          <w:rFonts w:hint="eastAsia" w:ascii="宋体" w:hAnsi="宋体" w:eastAsia="宋体" w:cs="宋体"/>
          <w:b/>
          <w:color w:val="000000"/>
          <w:sz w:val="32"/>
          <w:szCs w:val="32"/>
        </w:rPr>
      </w:pPr>
      <w:bookmarkStart w:id="366" w:name="_Toc22989_WPSOffice_Level3"/>
      <w:bookmarkStart w:id="367" w:name="_Toc22537_WPSOffice_Level3"/>
      <w:r>
        <w:rPr>
          <w:rFonts w:hint="eastAsia" w:ascii="宋体" w:hAnsi="宋体" w:eastAsia="宋体" w:cs="宋体"/>
          <w:b/>
          <w:color w:val="000000"/>
          <w:sz w:val="32"/>
          <w:szCs w:val="32"/>
          <w:lang w:eastAsia="zh-CN"/>
        </w:rPr>
        <w:t>供应商诚信承诺书</w:t>
      </w:r>
      <w:bookmarkEnd w:id="366"/>
      <w:bookmarkEnd w:id="367"/>
    </w:p>
    <w:p w14:paraId="348A9B0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sz w:val="24"/>
          <w:szCs w:val="24"/>
          <w:u w:val="single"/>
          <w:lang w:eastAsia="zh-CN"/>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u w:val="single"/>
          <w:lang w:eastAsia="zh-CN"/>
        </w:rPr>
        <w:t>青海国德招标代理有限公司</w:t>
      </w:r>
    </w:p>
    <w:p w14:paraId="70739F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为了诚实、客观、有序地参与青海省政府采购活动，愿就以下内容作出承诺：</w:t>
      </w:r>
    </w:p>
    <w:p w14:paraId="2682C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、自觉遵守各项法律、法规、规章、制度以及社会公德，维护廉洁环境，与同场竞争的供应商平等参加政府采购活动。</w:t>
      </w:r>
    </w:p>
    <w:p w14:paraId="1E5F1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、参加青海省政府采购中心组织的政府采购活动时，严格按照谈判文件的规定和要求提供所需的相关材料，并对所提供的各类资料的真实性负责，不虚假</w:t>
      </w:r>
      <w:r>
        <w:rPr>
          <w:rFonts w:hint="eastAsia" w:ascii="宋体" w:hAnsi="宋体" w:eastAsia="宋体" w:cs="宋体"/>
          <w:b w:val="0"/>
          <w:bCs w:val="0"/>
          <w:color w:val="000000"/>
          <w:sz w:val="24"/>
          <w:szCs w:val="24"/>
          <w:lang w:eastAsia="zh-CN"/>
        </w:rPr>
        <w:t>响应</w:t>
      </w:r>
      <w:r>
        <w:rPr>
          <w:rFonts w:hint="eastAsia" w:ascii="宋体" w:hAnsi="宋体" w:eastAsia="宋体" w:cs="宋体"/>
          <w:b w:val="0"/>
          <w:bCs w:val="0"/>
          <w:color w:val="000000"/>
          <w:sz w:val="24"/>
          <w:szCs w:val="24"/>
        </w:rPr>
        <w:t>，不虚列业绩。</w:t>
      </w:r>
    </w:p>
    <w:p w14:paraId="613DFD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、尊重参与政府采购活动各相关方的合法行为，接受政府采购活动依法形成的意见、结果。</w:t>
      </w:r>
    </w:p>
    <w:p w14:paraId="538053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4</w:t>
      </w:r>
      <w:r>
        <w:rPr>
          <w:rFonts w:hint="eastAsia" w:ascii="宋体" w:hAnsi="宋体" w:eastAsia="宋体" w:cs="宋体"/>
          <w:b w:val="0"/>
          <w:bCs w:val="0"/>
          <w:color w:val="000000"/>
          <w:sz w:val="24"/>
          <w:szCs w:val="24"/>
        </w:rPr>
        <w:t>、依法参加政府采购活动，不围标、串标，维护市场秩序，不提供“三无”产品、以次充好。</w:t>
      </w:r>
    </w:p>
    <w:p w14:paraId="23871B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5</w:t>
      </w:r>
      <w:r>
        <w:rPr>
          <w:rFonts w:hint="eastAsia" w:ascii="宋体" w:hAnsi="宋体" w:eastAsia="宋体" w:cs="宋体"/>
          <w:b w:val="0"/>
          <w:bCs w:val="0"/>
          <w:color w:val="000000"/>
          <w:sz w:val="24"/>
          <w:szCs w:val="24"/>
        </w:rPr>
        <w:t>、积极推动政府采购活动健康开展，对采购活动有疑问、异议时，按法律规定的程序实名（加盖单位</w:t>
      </w:r>
      <w:r>
        <w:rPr>
          <w:rFonts w:hint="eastAsia" w:ascii="宋体" w:hAnsi="宋体" w:eastAsia="宋体" w:cs="宋体"/>
          <w:b w:val="0"/>
          <w:bCs w:val="0"/>
          <w:color w:val="000000"/>
          <w:sz w:val="24"/>
          <w:szCs w:val="24"/>
          <w:lang w:eastAsia="zh-CN"/>
        </w:rPr>
        <w:t>公</w:t>
      </w:r>
      <w:r>
        <w:rPr>
          <w:rFonts w:hint="eastAsia" w:ascii="宋体" w:hAnsi="宋体" w:eastAsia="宋体" w:cs="宋体"/>
          <w:b w:val="0"/>
          <w:bCs w:val="0"/>
          <w:color w:val="000000"/>
          <w:sz w:val="24"/>
          <w:szCs w:val="24"/>
        </w:rPr>
        <w:t>章和法定代表人签名）反映情况，不恶意中伤、无事生非，以和谐、平等的心态参加政府采购活动。</w:t>
      </w:r>
    </w:p>
    <w:p w14:paraId="5ED425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6</w:t>
      </w:r>
      <w:r>
        <w:rPr>
          <w:rFonts w:hint="eastAsia" w:ascii="宋体" w:hAnsi="宋体" w:eastAsia="宋体" w:cs="宋体"/>
          <w:b w:val="0"/>
          <w:bCs w:val="0"/>
          <w:color w:val="000000"/>
          <w:sz w:val="24"/>
          <w:szCs w:val="24"/>
        </w:rPr>
        <w:t>、认真履行成交供应商应承担的责任和义务，全面执行采购合同规定的各项内容，保质保量地按时提供采购物品。</w:t>
      </w:r>
    </w:p>
    <w:p w14:paraId="566489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若本企业（单位）发生有悖于上述承诺的行为，愿意接受《中华人民共和国政府采购法》和《政府采购法实施条例》中对供应商的相关处理。</w:t>
      </w:r>
    </w:p>
    <w:p w14:paraId="41FB15B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_GB2312" w:hAnsi="仿宋_GB2312" w:eastAsia="仿宋_GB2312" w:cs="仿宋_GB2312"/>
          <w:b w:val="0"/>
          <w:bCs/>
          <w:color w:val="000000"/>
          <w:sz w:val="28"/>
          <w:szCs w:val="28"/>
        </w:rPr>
      </w:pPr>
      <w:r>
        <w:rPr>
          <w:rFonts w:hint="eastAsia" w:ascii="宋体" w:hAnsi="宋体" w:eastAsia="宋体" w:cs="宋体"/>
          <w:b w:val="0"/>
          <w:bCs w:val="0"/>
          <w:color w:val="000000"/>
          <w:sz w:val="24"/>
          <w:szCs w:val="24"/>
        </w:rPr>
        <w:t>本承诺是采购项目谈判响应文件的组成部分。</w:t>
      </w:r>
      <w:bookmarkStart w:id="368" w:name="_Toc2830_WPSOffice_Level3"/>
      <w:bookmarkStart w:id="369" w:name="_Toc23784_WPSOffice_Level3"/>
    </w:p>
    <w:p w14:paraId="08C3D83B">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303CBF75">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bookmarkEnd w:id="368"/>
      <w:bookmarkEnd w:id="369"/>
    </w:p>
    <w:p w14:paraId="1DADDE6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w:t>
      </w:r>
      <w:bookmarkStart w:id="370" w:name="_Toc13573_WPSOffice_Level3"/>
      <w:bookmarkStart w:id="371" w:name="_Toc25026_WPSOffice_Level3"/>
      <w:r>
        <w:rPr>
          <w:rFonts w:hint="eastAsia" w:ascii="宋体" w:hAnsi="宋体" w:eastAsia="宋体" w:cs="宋体"/>
          <w:b w:val="0"/>
          <w:bCs w:val="0"/>
          <w:color w:val="000000"/>
          <w:sz w:val="24"/>
          <w:szCs w:val="24"/>
        </w:rPr>
        <w:t>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bookmarkEnd w:id="370"/>
      <w:bookmarkEnd w:id="371"/>
    </w:p>
    <w:p w14:paraId="063C865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bookmarkStart w:id="372" w:name="_Toc5564_WPSOffice_Level3"/>
      <w:r>
        <w:rPr>
          <w:rFonts w:hint="eastAsia" w:ascii="宋体" w:hAnsi="宋体" w:eastAsia="宋体" w:cs="宋体"/>
          <w:b w:val="0"/>
          <w:bCs w:val="0"/>
          <w:color w:val="000000"/>
          <w:sz w:val="24"/>
          <w:szCs w:val="24"/>
          <w:lang w:val="en-US" w:eastAsia="zh-CN"/>
        </w:rPr>
        <w:t xml:space="preserve">                      </w:t>
      </w:r>
      <w:bookmarkStart w:id="373" w:name="_Toc12645_WPSOffice_Level3"/>
      <w:r>
        <w:rPr>
          <w:rFonts w:hint="eastAsia" w:ascii="宋体" w:hAnsi="宋体" w:eastAsia="宋体" w:cs="宋体"/>
          <w:b w:val="0"/>
          <w:bCs w:val="0"/>
          <w:color w:val="000000"/>
          <w:sz w:val="24"/>
          <w:szCs w:val="24"/>
        </w:rPr>
        <w:t>年   月  日</w:t>
      </w:r>
      <w:bookmarkEnd w:id="372"/>
      <w:bookmarkEnd w:id="373"/>
    </w:p>
    <w:p w14:paraId="2DC1EF36">
      <w:pPr>
        <w:wordWrap/>
        <w:spacing w:before="157" w:beforeLines="50" w:line="560" w:lineRule="exact"/>
        <w:jc w:val="left"/>
        <w:outlineLvl w:val="9"/>
        <w:rPr>
          <w:rFonts w:hint="eastAsia" w:ascii="宋体" w:hAnsi="宋体" w:eastAsia="宋体" w:cs="宋体"/>
          <w:b/>
          <w:color w:val="000000"/>
          <w:sz w:val="32"/>
          <w:szCs w:val="32"/>
          <w:lang w:eastAsia="zh-CN"/>
        </w:rPr>
      </w:pPr>
      <w:bookmarkStart w:id="374" w:name="_Toc8368_WPSOffice_Level3"/>
      <w:bookmarkStart w:id="375" w:name="_Toc16847"/>
      <w:bookmarkStart w:id="376" w:name="_Toc19930_WPSOffice_Level3"/>
      <w:bookmarkStart w:id="377" w:name="_Toc5195"/>
      <w:bookmarkStart w:id="378" w:name="_Toc25242"/>
      <w:bookmarkStart w:id="379" w:name="_Toc6033"/>
      <w:r>
        <w:rPr>
          <w:rFonts w:hint="eastAsia" w:ascii="宋体" w:hAnsi="宋体" w:eastAsia="宋体" w:cs="宋体"/>
          <w:b/>
          <w:color w:val="000000"/>
          <w:sz w:val="32"/>
          <w:szCs w:val="32"/>
          <w:lang w:eastAsia="zh-CN"/>
        </w:rPr>
        <w:t>附件6：供应商资格证明文件</w:t>
      </w:r>
      <w:bookmarkEnd w:id="374"/>
      <w:bookmarkEnd w:id="375"/>
      <w:bookmarkEnd w:id="376"/>
      <w:bookmarkEnd w:id="377"/>
      <w:bookmarkEnd w:id="378"/>
      <w:bookmarkEnd w:id="379"/>
    </w:p>
    <w:p w14:paraId="552B9662">
      <w:pPr>
        <w:wordWrap/>
        <w:spacing w:before="157" w:beforeLines="50" w:line="560" w:lineRule="exact"/>
        <w:jc w:val="center"/>
        <w:outlineLvl w:val="9"/>
        <w:rPr>
          <w:rFonts w:hint="eastAsia" w:ascii="宋体" w:hAnsi="宋体" w:eastAsia="宋体" w:cs="宋体"/>
          <w:b/>
          <w:color w:val="000000"/>
          <w:sz w:val="32"/>
          <w:szCs w:val="32"/>
          <w:lang w:eastAsia="zh-CN"/>
        </w:rPr>
      </w:pPr>
      <w:bookmarkStart w:id="380" w:name="_Toc9360_WPSOffice_Level3"/>
      <w:bookmarkStart w:id="381" w:name="_Toc23997_WPSOffice_Level3"/>
      <w:r>
        <w:rPr>
          <w:rFonts w:hint="eastAsia" w:ascii="宋体" w:hAnsi="宋体" w:eastAsia="宋体" w:cs="宋体"/>
          <w:b/>
          <w:color w:val="000000"/>
          <w:sz w:val="32"/>
          <w:szCs w:val="32"/>
          <w:lang w:eastAsia="zh-CN"/>
        </w:rPr>
        <w:t>供应商资格证明文件</w:t>
      </w:r>
      <w:bookmarkEnd w:id="380"/>
      <w:bookmarkEnd w:id="381"/>
    </w:p>
    <w:p w14:paraId="3D17B67D">
      <w:pPr>
        <w:widowControl w:val="0"/>
        <w:wordWrap/>
        <w:adjustRightInd/>
        <w:snapToGrid/>
        <w:spacing w:line="560" w:lineRule="exact"/>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资格证明材料包括：提供有效的营业执照、税务登记证、机构代码证或三证（五证）合一统一社会代码证及其他资格证明文件（扫描或复印件）。</w:t>
      </w:r>
    </w:p>
    <w:p w14:paraId="08297755">
      <w:pPr>
        <w:widowControl w:val="0"/>
        <w:wordWrap/>
        <w:adjustRightInd/>
        <w:snapToGrid/>
        <w:spacing w:line="560" w:lineRule="exact"/>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63FE4322">
      <w:pPr>
        <w:widowControl w:val="0"/>
        <w:wordWrap/>
        <w:adjustRightInd/>
        <w:snapToGrid/>
        <w:spacing w:line="560" w:lineRule="exact"/>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2、根据采购项目内容，提供供应商的相关资质证书、许可证等。</w:t>
      </w:r>
    </w:p>
    <w:p w14:paraId="14B8A103">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p>
    <w:p w14:paraId="2C72A1CD">
      <w:pPr>
        <w:widowControl/>
        <w:wordWrap/>
        <w:snapToGrid w:val="0"/>
        <w:spacing w:before="157" w:beforeLines="50" w:line="560" w:lineRule="exact"/>
        <w:outlineLvl w:val="9"/>
        <w:rPr>
          <w:rFonts w:hint="eastAsia" w:ascii="宋体"/>
          <w:b/>
          <w:color w:val="000000"/>
          <w:sz w:val="28"/>
          <w:szCs w:val="28"/>
        </w:rPr>
      </w:pPr>
    </w:p>
    <w:p w14:paraId="6C85CC1B">
      <w:pPr>
        <w:pStyle w:val="18"/>
        <w:rPr>
          <w:rFonts w:hint="eastAsia" w:ascii="宋体"/>
          <w:b/>
          <w:color w:val="000000"/>
          <w:sz w:val="28"/>
          <w:szCs w:val="28"/>
        </w:rPr>
      </w:pPr>
    </w:p>
    <w:p w14:paraId="785D0D74">
      <w:pPr>
        <w:rPr>
          <w:rFonts w:hint="eastAsia" w:ascii="宋体"/>
          <w:b/>
          <w:color w:val="000000"/>
          <w:sz w:val="28"/>
          <w:szCs w:val="28"/>
        </w:rPr>
      </w:pPr>
    </w:p>
    <w:p w14:paraId="4D520F48">
      <w:pPr>
        <w:pStyle w:val="18"/>
        <w:rPr>
          <w:rFonts w:hint="eastAsia"/>
        </w:rPr>
      </w:pPr>
    </w:p>
    <w:p w14:paraId="5FF11505">
      <w:pPr>
        <w:widowControl/>
        <w:wordWrap/>
        <w:snapToGrid w:val="0"/>
        <w:spacing w:before="157" w:beforeLines="50" w:line="560" w:lineRule="exact"/>
        <w:outlineLvl w:val="9"/>
        <w:rPr>
          <w:rFonts w:hint="eastAsia" w:ascii="宋体"/>
          <w:b/>
          <w:color w:val="000000"/>
          <w:sz w:val="28"/>
          <w:szCs w:val="28"/>
        </w:rPr>
      </w:pPr>
    </w:p>
    <w:p w14:paraId="3FFC50D9">
      <w:pPr>
        <w:widowControl/>
        <w:wordWrap/>
        <w:snapToGrid w:val="0"/>
        <w:spacing w:before="157" w:beforeLines="50" w:line="560" w:lineRule="exact"/>
        <w:outlineLvl w:val="9"/>
        <w:rPr>
          <w:rFonts w:hint="eastAsia" w:ascii="宋体"/>
          <w:b/>
          <w:color w:val="000000"/>
          <w:sz w:val="28"/>
          <w:szCs w:val="28"/>
        </w:rPr>
      </w:pPr>
    </w:p>
    <w:p w14:paraId="79FDAB07">
      <w:pPr>
        <w:keepNext w:val="0"/>
        <w:keepLines w:val="0"/>
        <w:pageBreakBefore w:val="0"/>
        <w:widowControl/>
        <w:kinsoku/>
        <w:wordWrap/>
        <w:overflowPunct/>
        <w:topLinePunct w:val="0"/>
        <w:autoSpaceDE/>
        <w:autoSpaceDN/>
        <w:bidi w:val="0"/>
        <w:adjustRightInd/>
        <w:snapToGrid w:val="0"/>
        <w:spacing w:before="157" w:beforeLines="50" w:line="360" w:lineRule="auto"/>
        <w:textAlignment w:val="auto"/>
        <w:outlineLvl w:val="1"/>
        <w:rPr>
          <w:rFonts w:hint="eastAsia" w:ascii="宋体" w:hAnsi="宋体" w:eastAsia="宋体" w:cs="宋体"/>
          <w:b/>
          <w:color w:val="000000"/>
          <w:sz w:val="28"/>
          <w:szCs w:val="28"/>
          <w:lang w:eastAsia="zh-CN"/>
        </w:rPr>
      </w:pPr>
      <w:bookmarkStart w:id="382" w:name="_Toc31744"/>
      <w:bookmarkStart w:id="383" w:name="_Toc12925"/>
      <w:bookmarkStart w:id="384" w:name="_Toc29082_WPSOffice_Level3"/>
      <w:bookmarkStart w:id="385" w:name="_Toc6573"/>
      <w:bookmarkStart w:id="386" w:name="_Toc5898"/>
      <w:bookmarkStart w:id="387" w:name="_Toc7499_WPSOffice_Level3"/>
    </w:p>
    <w:p w14:paraId="31E0B61F">
      <w:pPr>
        <w:keepNext w:val="0"/>
        <w:keepLines w:val="0"/>
        <w:pageBreakBefore w:val="0"/>
        <w:widowControl/>
        <w:kinsoku/>
        <w:wordWrap/>
        <w:overflowPunct/>
        <w:topLinePunct w:val="0"/>
        <w:autoSpaceDE/>
        <w:autoSpaceDN/>
        <w:bidi w:val="0"/>
        <w:adjustRightInd/>
        <w:snapToGrid w:val="0"/>
        <w:spacing w:before="157" w:beforeLines="50" w:line="360" w:lineRule="auto"/>
        <w:textAlignment w:val="auto"/>
        <w:outlineLvl w:val="1"/>
        <w:rPr>
          <w:rFonts w:hint="eastAsia" w:ascii="宋体" w:hAnsi="宋体" w:eastAsia="宋体" w:cs="宋体"/>
          <w:b/>
          <w:color w:val="000000"/>
          <w:sz w:val="32"/>
          <w:szCs w:val="32"/>
        </w:rPr>
      </w:pPr>
      <w:r>
        <w:rPr>
          <w:rFonts w:hint="eastAsia" w:ascii="宋体" w:hAnsi="宋体" w:eastAsia="宋体" w:cs="宋体"/>
          <w:b/>
          <w:color w:val="000000"/>
          <w:sz w:val="32"/>
          <w:szCs w:val="32"/>
          <w:lang w:eastAsia="zh-CN"/>
        </w:rPr>
        <w:t>附件7：财务状况、缴纳税收和社会保障资金证明</w:t>
      </w:r>
      <w:bookmarkEnd w:id="382"/>
      <w:bookmarkEnd w:id="383"/>
      <w:bookmarkEnd w:id="384"/>
      <w:bookmarkEnd w:id="385"/>
      <w:bookmarkEnd w:id="386"/>
      <w:bookmarkEnd w:id="387"/>
    </w:p>
    <w:p w14:paraId="3B86FF61">
      <w:pPr>
        <w:keepNext w:val="0"/>
        <w:keepLines w:val="0"/>
        <w:pageBreakBefore w:val="0"/>
        <w:kinsoku/>
        <w:wordWrap/>
        <w:overflowPunct/>
        <w:topLinePunct w:val="0"/>
        <w:autoSpaceDE/>
        <w:autoSpaceDN/>
        <w:bidi w:val="0"/>
        <w:adjustRightInd/>
        <w:spacing w:before="157" w:beforeLines="50" w:line="360" w:lineRule="auto"/>
        <w:jc w:val="center"/>
        <w:textAlignment w:val="auto"/>
        <w:outlineLvl w:val="9"/>
        <w:rPr>
          <w:rFonts w:hint="eastAsia" w:ascii="宋体" w:hAnsi="宋体" w:eastAsia="宋体" w:cs="宋体"/>
          <w:b/>
          <w:color w:val="000000"/>
          <w:sz w:val="32"/>
          <w:szCs w:val="32"/>
        </w:rPr>
      </w:pPr>
      <w:bookmarkStart w:id="388" w:name="_Toc2355_WPSOffice_Level3"/>
      <w:bookmarkStart w:id="389" w:name="_Toc22184_WPSOffice_Level3"/>
      <w:r>
        <w:rPr>
          <w:rFonts w:hint="eastAsia" w:ascii="宋体" w:hAnsi="宋体" w:eastAsia="宋体" w:cs="宋体"/>
          <w:b/>
          <w:color w:val="000000"/>
          <w:sz w:val="32"/>
          <w:szCs w:val="32"/>
          <w:lang w:eastAsia="zh-CN"/>
        </w:rPr>
        <w:t>财务状况、缴纳税收和社会保障资金证明</w:t>
      </w:r>
      <w:bookmarkEnd w:id="388"/>
      <w:bookmarkEnd w:id="389"/>
    </w:p>
    <w:p w14:paraId="1BFA1612">
      <w:pPr>
        <w:keepNext w:val="0"/>
        <w:keepLines w:val="0"/>
        <w:pageBreakBefore w:val="0"/>
        <w:kinsoku/>
        <w:wordWrap/>
        <w:overflowPunct/>
        <w:topLinePunct w:val="0"/>
        <w:autoSpaceDE/>
        <w:autoSpaceDN/>
        <w:bidi w:val="0"/>
        <w:adjustRightInd/>
        <w:spacing w:before="78" w:line="360" w:lineRule="auto"/>
        <w:ind w:left="8" w:right="220" w:firstLine="498"/>
        <w:textAlignment w:val="auto"/>
        <w:rPr>
          <w:rFonts w:hint="eastAsia" w:ascii="宋体" w:hAnsi="宋体" w:eastAsia="宋体" w:cs="宋体"/>
          <w:sz w:val="24"/>
          <w:szCs w:val="24"/>
          <w:lang w:eastAsia="zh-CN"/>
        </w:rPr>
      </w:pPr>
      <w:r>
        <w:rPr>
          <w:rFonts w:hint="eastAsia" w:ascii="宋体" w:hAnsi="宋体" w:eastAsia="宋体" w:cs="宋体"/>
          <w:sz w:val="24"/>
          <w:szCs w:val="24"/>
        </w:rPr>
        <w:t>按照《政府采购法》第22条规定提供以下相关材料</w:t>
      </w:r>
      <w:r>
        <w:rPr>
          <w:rFonts w:hint="eastAsia" w:ascii="宋体" w:hAnsi="宋体" w:eastAsia="宋体" w:cs="宋体"/>
          <w:sz w:val="24"/>
          <w:szCs w:val="24"/>
          <w:lang w:eastAsia="zh-CN"/>
        </w:rPr>
        <w:t>：</w:t>
      </w:r>
    </w:p>
    <w:p w14:paraId="5222C462">
      <w:pPr>
        <w:keepNext w:val="0"/>
        <w:keepLines w:val="0"/>
        <w:pageBreakBefore w:val="0"/>
        <w:kinsoku/>
        <w:wordWrap/>
        <w:overflowPunct/>
        <w:topLinePunct w:val="0"/>
        <w:autoSpaceDE/>
        <w:autoSpaceDN/>
        <w:bidi w:val="0"/>
        <w:adjustRightInd/>
        <w:spacing w:before="78" w:line="360" w:lineRule="auto"/>
        <w:ind w:left="8" w:right="220" w:firstLine="498"/>
        <w:textAlignment w:val="auto"/>
        <w:rPr>
          <w:rFonts w:ascii="宋体" w:hAnsi="宋体" w:eastAsia="宋体" w:cs="宋体"/>
          <w:sz w:val="24"/>
          <w:szCs w:val="24"/>
        </w:rPr>
      </w:pPr>
      <w:r>
        <w:rPr>
          <w:rFonts w:ascii="宋体" w:hAnsi="宋体" w:eastAsia="宋体" w:cs="宋体"/>
          <w:sz w:val="24"/>
          <w:szCs w:val="24"/>
        </w:rPr>
        <w:t>1、供应商是法人的，提供</w:t>
      </w:r>
      <w:r>
        <w:rPr>
          <w:rFonts w:ascii="宋体" w:hAnsi="宋体" w:eastAsia="宋体" w:cs="宋体"/>
          <w:spacing w:val="-46"/>
          <w:sz w:val="24"/>
          <w:szCs w:val="24"/>
        </w:rPr>
        <w:t xml:space="preserve"> </w:t>
      </w:r>
      <w:r>
        <w:rPr>
          <w:rFonts w:ascii="宋体" w:hAnsi="宋体" w:eastAsia="宋体" w:cs="宋体"/>
          <w:sz w:val="24"/>
          <w:szCs w:val="24"/>
        </w:rPr>
        <w:t>2024</w:t>
      </w:r>
      <w:r>
        <w:rPr>
          <w:rFonts w:ascii="宋体" w:hAnsi="宋体" w:eastAsia="宋体" w:cs="宋体"/>
          <w:spacing w:val="-49"/>
          <w:sz w:val="24"/>
          <w:szCs w:val="24"/>
        </w:rPr>
        <w:t xml:space="preserve"> </w:t>
      </w:r>
      <w:r>
        <w:rPr>
          <w:rFonts w:ascii="宋体" w:hAnsi="宋体" w:eastAsia="宋体" w:cs="宋体"/>
          <w:sz w:val="24"/>
          <w:szCs w:val="24"/>
        </w:rPr>
        <w:t>年</w:t>
      </w:r>
      <w:r>
        <w:rPr>
          <w:rFonts w:hint="eastAsia" w:ascii="宋体" w:hAnsi="宋体" w:eastAsia="宋体" w:cs="宋体"/>
          <w:sz w:val="24"/>
          <w:szCs w:val="24"/>
          <w:lang w:val="en-US" w:eastAsia="zh-CN"/>
        </w:rPr>
        <w:t>或2025年</w:t>
      </w:r>
      <w:r>
        <w:rPr>
          <w:rFonts w:ascii="宋体" w:hAnsi="宋体" w:eastAsia="宋体" w:cs="宋体"/>
          <w:sz w:val="24"/>
          <w:szCs w:val="24"/>
        </w:rPr>
        <w:t>度经审计的财务状况报告，包括资产负债表</w:t>
      </w:r>
      <w:r>
        <w:rPr>
          <w:rFonts w:ascii="宋体" w:hAnsi="宋体" w:eastAsia="宋体" w:cs="宋体"/>
          <w:spacing w:val="-1"/>
          <w:sz w:val="24"/>
          <w:szCs w:val="24"/>
        </w:rPr>
        <w:t>、利润</w:t>
      </w:r>
      <w:r>
        <w:rPr>
          <w:rFonts w:ascii="宋体" w:hAnsi="宋体" w:eastAsia="宋体" w:cs="宋体"/>
          <w:spacing w:val="1"/>
          <w:sz w:val="24"/>
          <w:szCs w:val="24"/>
        </w:rPr>
        <w:t>表、现金流量表及其附注，或其基本开户银行本年度出具的资信证明；供应商是其他组织</w:t>
      </w:r>
      <w:r>
        <w:rPr>
          <w:rFonts w:ascii="宋体" w:hAnsi="宋体" w:eastAsia="宋体" w:cs="宋体"/>
          <w:sz w:val="24"/>
          <w:szCs w:val="24"/>
        </w:rPr>
        <w:t>和自然人，没有经审计的财务报告，可以提供基本开户</w:t>
      </w:r>
      <w:r>
        <w:rPr>
          <w:rFonts w:ascii="宋体" w:hAnsi="宋体" w:eastAsia="宋体" w:cs="宋体"/>
          <w:spacing w:val="-1"/>
          <w:sz w:val="24"/>
          <w:szCs w:val="24"/>
        </w:rPr>
        <w:t>银行出具的资信证明。</w:t>
      </w:r>
    </w:p>
    <w:p w14:paraId="5431CE71">
      <w:pPr>
        <w:pStyle w:val="8"/>
        <w:keepNext w:val="0"/>
        <w:keepLines w:val="0"/>
        <w:pageBreakBefore w:val="0"/>
        <w:kinsoku/>
        <w:wordWrap/>
        <w:overflowPunct/>
        <w:topLinePunct w:val="0"/>
        <w:autoSpaceDE/>
        <w:autoSpaceDN/>
        <w:bidi w:val="0"/>
        <w:adjustRightInd/>
        <w:spacing w:line="360" w:lineRule="auto"/>
        <w:textAlignment w:val="auto"/>
      </w:pPr>
    </w:p>
    <w:p w14:paraId="3D9E4981">
      <w:pPr>
        <w:keepNext w:val="0"/>
        <w:keepLines w:val="0"/>
        <w:pageBreakBefore w:val="0"/>
        <w:kinsoku/>
        <w:wordWrap/>
        <w:overflowPunct/>
        <w:topLinePunct w:val="0"/>
        <w:autoSpaceDE/>
        <w:autoSpaceDN/>
        <w:bidi w:val="0"/>
        <w:adjustRightInd/>
        <w:spacing w:before="79" w:line="360" w:lineRule="auto"/>
        <w:ind w:left="8" w:right="220" w:firstLine="483"/>
        <w:textAlignment w:val="auto"/>
        <w:rPr>
          <w:rFonts w:ascii="宋体" w:hAnsi="宋体" w:eastAsia="宋体" w:cs="宋体"/>
          <w:sz w:val="24"/>
          <w:szCs w:val="24"/>
        </w:rPr>
      </w:pPr>
      <w:r>
        <w:rPr>
          <w:rFonts w:ascii="宋体" w:hAnsi="宋体" w:eastAsia="宋体" w:cs="宋体"/>
          <w:spacing w:val="-3"/>
          <w:sz w:val="24"/>
          <w:szCs w:val="24"/>
        </w:rPr>
        <w:t>2、提供近半年任意</w:t>
      </w:r>
      <w:r>
        <w:rPr>
          <w:rFonts w:ascii="宋体" w:hAnsi="宋体" w:eastAsia="宋体" w:cs="宋体"/>
          <w:spacing w:val="-39"/>
          <w:sz w:val="24"/>
          <w:szCs w:val="24"/>
        </w:rPr>
        <w:t xml:space="preserve"> </w:t>
      </w:r>
      <w:r>
        <w:rPr>
          <w:rFonts w:hint="eastAsia" w:ascii="宋体" w:hAnsi="宋体" w:cs="宋体"/>
          <w:spacing w:val="-3"/>
          <w:sz w:val="24"/>
          <w:szCs w:val="24"/>
          <w:lang w:val="en-US" w:eastAsia="zh-CN"/>
        </w:rPr>
        <w:t>1</w:t>
      </w:r>
      <w:r>
        <w:rPr>
          <w:rFonts w:ascii="宋体" w:hAnsi="宋体" w:eastAsia="宋体" w:cs="宋体"/>
          <w:spacing w:val="-3"/>
          <w:sz w:val="24"/>
          <w:szCs w:val="24"/>
        </w:rPr>
        <w:t>个月的依法缴纳税收和社会保障资金记录的证明材料，或相关行</w:t>
      </w:r>
      <w:r>
        <w:rPr>
          <w:rFonts w:ascii="宋体" w:hAnsi="宋体" w:eastAsia="宋体" w:cs="宋体"/>
          <w:spacing w:val="1"/>
          <w:sz w:val="24"/>
          <w:szCs w:val="24"/>
        </w:rPr>
        <w:t>政机关出具无欠缴应纳税款或社会保障资金的证明材料。依法免税或不需要缴纳社会保障</w:t>
      </w:r>
      <w:r>
        <w:rPr>
          <w:rFonts w:ascii="宋体" w:hAnsi="宋体" w:eastAsia="宋体" w:cs="宋体"/>
          <w:sz w:val="24"/>
          <w:szCs w:val="24"/>
        </w:rPr>
        <w:t>资金的供应商，应提供相应文件证明其依法免税或不需</w:t>
      </w:r>
      <w:r>
        <w:rPr>
          <w:rFonts w:ascii="宋体" w:hAnsi="宋体" w:eastAsia="宋体" w:cs="宋体"/>
          <w:spacing w:val="-1"/>
          <w:sz w:val="24"/>
          <w:szCs w:val="24"/>
        </w:rPr>
        <w:t>要缴纳社会保障资金。</w:t>
      </w:r>
    </w:p>
    <w:p w14:paraId="49DD6636">
      <w:pPr>
        <w:wordWrap/>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p>
    <w:p w14:paraId="768F000A">
      <w:pPr>
        <w:widowControl/>
        <w:wordWrap/>
        <w:adjustRightInd/>
        <w:snapToGrid w:val="0"/>
        <w:spacing w:line="560" w:lineRule="exact"/>
        <w:textAlignment w:val="auto"/>
        <w:outlineLvl w:val="9"/>
        <w:rPr>
          <w:rFonts w:hint="eastAsia" w:ascii="仿宋_GB2312" w:hAnsi="仿宋_GB2312" w:eastAsia="仿宋_GB2312" w:cs="仿宋_GB2312"/>
          <w:color w:val="000000"/>
          <w:sz w:val="32"/>
          <w:szCs w:val="32"/>
        </w:rPr>
      </w:pPr>
    </w:p>
    <w:p w14:paraId="296C2FE1">
      <w:pPr>
        <w:widowControl/>
        <w:wordWrap/>
        <w:snapToGrid w:val="0"/>
        <w:spacing w:before="157" w:beforeLines="50" w:line="560" w:lineRule="exact"/>
        <w:outlineLvl w:val="9"/>
        <w:rPr>
          <w:rFonts w:hint="eastAsia" w:ascii="宋体" w:hAnsi="宋体"/>
          <w:color w:val="000000"/>
          <w:sz w:val="21"/>
          <w:szCs w:val="21"/>
        </w:rPr>
      </w:pPr>
    </w:p>
    <w:p w14:paraId="7096485D">
      <w:pPr>
        <w:tabs>
          <w:tab w:val="left" w:pos="168"/>
        </w:tabs>
        <w:wordWrap/>
        <w:adjustRightInd w:val="0"/>
        <w:spacing w:before="157" w:beforeLines="50" w:line="560" w:lineRule="exact"/>
        <w:ind w:firstLine="480" w:firstLineChars="200"/>
        <w:textAlignment w:val="baseline"/>
        <w:rPr>
          <w:rFonts w:hint="eastAsia" w:ascii="宋体" w:hAnsi="宋体"/>
          <w:color w:val="000000"/>
          <w:sz w:val="24"/>
        </w:rPr>
      </w:pPr>
    </w:p>
    <w:p w14:paraId="487A97FD">
      <w:pPr>
        <w:widowControl/>
        <w:wordWrap/>
        <w:snapToGrid w:val="0"/>
        <w:spacing w:before="157" w:beforeLines="50" w:line="560" w:lineRule="exact"/>
        <w:outlineLvl w:val="1"/>
        <w:rPr>
          <w:rFonts w:hint="eastAsia" w:ascii="宋体" w:hAnsi="宋体"/>
          <w:b/>
          <w:color w:val="000000"/>
          <w:sz w:val="24"/>
        </w:rPr>
      </w:pPr>
    </w:p>
    <w:p w14:paraId="30B700B9">
      <w:pPr>
        <w:wordWrap/>
        <w:spacing w:before="157" w:beforeLines="50" w:line="560" w:lineRule="exact"/>
        <w:rPr>
          <w:rFonts w:hint="eastAsia" w:ascii="宋体" w:hAnsi="宋体"/>
          <w:b/>
          <w:bCs/>
          <w:color w:val="000000"/>
          <w:sz w:val="28"/>
          <w:szCs w:val="28"/>
        </w:rPr>
      </w:pPr>
    </w:p>
    <w:p w14:paraId="70E75048">
      <w:pPr>
        <w:wordWrap/>
        <w:spacing w:before="157" w:beforeLines="50" w:line="560" w:lineRule="exact"/>
        <w:rPr>
          <w:rFonts w:hint="eastAsia" w:ascii="宋体" w:hAnsi="宋体"/>
          <w:b/>
          <w:bCs/>
          <w:color w:val="000000"/>
          <w:sz w:val="28"/>
          <w:szCs w:val="28"/>
        </w:rPr>
      </w:pPr>
    </w:p>
    <w:p w14:paraId="52ED33BD">
      <w:pPr>
        <w:wordWrap/>
        <w:spacing w:before="157" w:beforeLines="50" w:line="560" w:lineRule="exact"/>
        <w:rPr>
          <w:rFonts w:hint="eastAsia" w:ascii="宋体" w:hAnsi="宋体"/>
          <w:b/>
          <w:bCs/>
          <w:color w:val="000000"/>
          <w:sz w:val="28"/>
          <w:szCs w:val="28"/>
        </w:rPr>
      </w:pPr>
    </w:p>
    <w:p w14:paraId="00431482">
      <w:pPr>
        <w:wordWrap/>
        <w:spacing w:before="157" w:beforeLines="50" w:line="560" w:lineRule="exact"/>
        <w:rPr>
          <w:rFonts w:hint="eastAsia" w:ascii="宋体" w:hAnsi="宋体"/>
          <w:b/>
          <w:bCs/>
          <w:color w:val="000000"/>
          <w:sz w:val="28"/>
          <w:szCs w:val="28"/>
        </w:rPr>
      </w:pPr>
    </w:p>
    <w:p w14:paraId="7D40DF3E">
      <w:pPr>
        <w:keepNext w:val="0"/>
        <w:keepLines w:val="0"/>
        <w:pageBreakBefore w:val="0"/>
        <w:widowControl/>
        <w:kinsoku/>
        <w:wordWrap/>
        <w:overflowPunct/>
        <w:topLinePunct w:val="0"/>
        <w:autoSpaceDE/>
        <w:autoSpaceDN/>
        <w:bidi w:val="0"/>
        <w:adjustRightInd/>
        <w:snapToGrid/>
        <w:spacing w:before="157" w:beforeLines="50" w:line="560" w:lineRule="exact"/>
        <w:jc w:val="left"/>
        <w:textAlignment w:val="auto"/>
        <w:outlineLvl w:val="9"/>
        <w:rPr>
          <w:rFonts w:hint="eastAsia" w:ascii="宋体" w:hAnsi="宋体" w:eastAsia="宋体" w:cs="宋体"/>
          <w:b/>
          <w:color w:val="000000"/>
          <w:sz w:val="32"/>
          <w:szCs w:val="32"/>
          <w:lang w:val="zh-CN" w:eastAsia="zh-CN"/>
        </w:rPr>
      </w:pPr>
      <w:bookmarkStart w:id="390" w:name="_Toc21984"/>
      <w:bookmarkStart w:id="391" w:name="_Toc16098"/>
      <w:bookmarkStart w:id="392" w:name="_Toc26128"/>
      <w:bookmarkStart w:id="393" w:name="_Toc17387_WPSOffice_Level3"/>
      <w:bookmarkStart w:id="394" w:name="_Toc13266"/>
      <w:bookmarkStart w:id="395" w:name="_Toc22959_WPSOffice_Level3"/>
      <w:r>
        <w:rPr>
          <w:rFonts w:hint="eastAsia" w:ascii="宋体" w:hAnsi="宋体" w:eastAsia="宋体" w:cs="宋体"/>
          <w:b/>
          <w:color w:val="000000"/>
          <w:sz w:val="32"/>
          <w:szCs w:val="32"/>
          <w:lang w:val="zh-CN" w:eastAsia="zh-CN"/>
        </w:rPr>
        <w:t>附件8：</w:t>
      </w:r>
      <w:bookmarkEnd w:id="390"/>
      <w:r>
        <w:rPr>
          <w:rFonts w:hint="eastAsia" w:ascii="宋体" w:hAnsi="宋体" w:eastAsia="宋体" w:cs="宋体"/>
          <w:b/>
          <w:color w:val="000000"/>
          <w:sz w:val="32"/>
          <w:szCs w:val="32"/>
          <w:lang w:val="zh-CN" w:eastAsia="zh-CN"/>
        </w:rPr>
        <w:t>无重大违法记录声明</w:t>
      </w:r>
      <w:bookmarkEnd w:id="391"/>
      <w:bookmarkEnd w:id="392"/>
      <w:bookmarkEnd w:id="393"/>
    </w:p>
    <w:p w14:paraId="4DFCC3BF">
      <w:pPr>
        <w:keepNext w:val="0"/>
        <w:keepLines w:val="0"/>
        <w:pageBreakBefore w:val="0"/>
        <w:widowControl/>
        <w:kinsoku/>
        <w:wordWrap/>
        <w:overflowPunct/>
        <w:topLinePunct w:val="0"/>
        <w:autoSpaceDE/>
        <w:autoSpaceDN/>
        <w:bidi w:val="0"/>
        <w:adjustRightInd/>
        <w:snapToGrid/>
        <w:spacing w:before="157" w:beforeLines="50" w:after="0" w:line="560" w:lineRule="exact"/>
        <w:jc w:val="center"/>
        <w:textAlignment w:val="auto"/>
        <w:outlineLvl w:val="9"/>
        <w:rPr>
          <w:rFonts w:hint="eastAsia" w:ascii="宋体" w:hAnsi="宋体" w:eastAsia="宋体" w:cs="宋体"/>
          <w:b/>
          <w:bCs w:val="0"/>
          <w:color w:val="000000"/>
          <w:sz w:val="32"/>
          <w:szCs w:val="32"/>
          <w:lang w:val="zh-CN"/>
        </w:rPr>
      </w:pPr>
      <w:bookmarkStart w:id="396" w:name="_Toc25610_WPSOffice_Level3"/>
      <w:r>
        <w:rPr>
          <w:rFonts w:hint="eastAsia" w:ascii="宋体" w:hAnsi="宋体" w:eastAsia="宋体" w:cs="宋体"/>
          <w:b/>
          <w:color w:val="000000"/>
          <w:sz w:val="32"/>
          <w:szCs w:val="32"/>
          <w:lang w:val="zh-CN" w:eastAsia="zh-CN"/>
        </w:rPr>
        <w:t>无重大违法记录声明</w:t>
      </w:r>
      <w:bookmarkEnd w:id="396"/>
    </w:p>
    <w:p w14:paraId="46C21F16">
      <w:pPr>
        <w:keepNext w:val="0"/>
        <w:keepLines w:val="0"/>
        <w:pageBreakBefore w:val="0"/>
        <w:widowControl w:val="0"/>
        <w:kinsoku/>
        <w:wordWrap/>
        <w:overflowPunct/>
        <w:topLinePunct w:val="0"/>
        <w:autoSpaceDE/>
        <w:autoSpaceDN/>
        <w:bidi w:val="0"/>
        <w:adjustRightInd/>
        <w:snapToGrid/>
        <w:spacing w:after="240" w:line="360" w:lineRule="auto"/>
        <w:textAlignment w:val="auto"/>
        <w:outlineLvl w:val="9"/>
        <w:rPr>
          <w:rFonts w:hint="eastAsia" w:ascii="宋体" w:hAnsi="宋体" w:eastAsia="宋体" w:cs="宋体"/>
          <w:b/>
          <w:bCs/>
          <w:color w:val="000000"/>
          <w:sz w:val="24"/>
          <w:szCs w:val="24"/>
        </w:rPr>
      </w:pPr>
      <w:r>
        <w:rPr>
          <w:rFonts w:hint="eastAsia" w:ascii="宋体" w:hAnsi="宋体" w:cs="宋体"/>
          <w:b/>
          <w:bCs/>
          <w:color w:val="000000"/>
          <w:kern w:val="0"/>
          <w:lang w:val="en-US" w:eastAsia="zh-CN"/>
        </w:rPr>
        <w:t xml:space="preserve">  </w:t>
      </w: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u w:val="single"/>
          <w:lang w:eastAsia="zh-CN"/>
        </w:rPr>
        <w:t>青海国德招标代理有限公司</w:t>
      </w:r>
    </w:p>
    <w:p w14:paraId="521479D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rPr>
        <w:t>我单位参加本次政府采购项目活动前三年内，在经营活动中无重大违法活动记录，符合《政府采购法》规定的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资格条</w:t>
      </w:r>
      <w:r>
        <w:rPr>
          <w:rFonts w:hint="eastAsia" w:ascii="宋体" w:hAnsi="宋体" w:eastAsia="宋体" w:cs="宋体"/>
          <w:color w:val="000000"/>
          <w:sz w:val="24"/>
          <w:szCs w:val="24"/>
          <w:shd w:val="clear" w:color="auto" w:fill="FFFFFF"/>
        </w:rPr>
        <w:t>件。我方对此声明负全部法律责任。</w:t>
      </w:r>
    </w:p>
    <w:p w14:paraId="38A917A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78EEAFAE">
      <w:pPr>
        <w:widowControl w:val="0"/>
        <w:wordWrap/>
        <w:autoSpaceDE w:val="0"/>
        <w:autoSpaceDN w:val="0"/>
        <w:adjustRightInd/>
        <w:snapToGrid/>
        <w:spacing w:line="560" w:lineRule="exact"/>
        <w:jc w:val="left"/>
        <w:textAlignment w:val="auto"/>
        <w:outlineLvl w:val="9"/>
        <w:rPr>
          <w:rFonts w:hint="eastAsia" w:ascii="仿宋_GB2312" w:hAnsi="仿宋_GB2312" w:eastAsia="仿宋_GB2312" w:cs="仿宋_GB2312"/>
          <w:color w:val="000000"/>
          <w:kern w:val="0"/>
          <w:sz w:val="32"/>
          <w:szCs w:val="32"/>
          <w:lang w:val="zh-CN"/>
        </w:rPr>
      </w:pPr>
    </w:p>
    <w:p w14:paraId="2C28E682">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000000"/>
          <w:sz w:val="32"/>
          <w:szCs w:val="32"/>
          <w:lang w:val="en-US" w:eastAsia="zh-CN"/>
        </w:rPr>
      </w:pPr>
    </w:p>
    <w:p w14:paraId="611FE17E">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000000"/>
          <w:sz w:val="32"/>
          <w:szCs w:val="32"/>
          <w:lang w:val="en-US" w:eastAsia="zh-CN"/>
        </w:rPr>
      </w:pPr>
    </w:p>
    <w:p w14:paraId="4959A709">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 xml:space="preserve">               </w:t>
      </w:r>
    </w:p>
    <w:p w14:paraId="0B74AC64">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000000"/>
          <w:sz w:val="32"/>
          <w:szCs w:val="32"/>
          <w:lang w:val="en-US" w:eastAsia="zh-CN"/>
        </w:rPr>
      </w:pPr>
    </w:p>
    <w:p w14:paraId="6D48C862">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p>
    <w:p w14:paraId="1699E16C">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p>
    <w:p w14:paraId="76E9A78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   月  日</w:t>
      </w:r>
    </w:p>
    <w:p w14:paraId="60FCADDF">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000000"/>
          <w:sz w:val="32"/>
          <w:szCs w:val="32"/>
        </w:rPr>
      </w:pPr>
    </w:p>
    <w:p w14:paraId="7A1268EC">
      <w:pPr>
        <w:pStyle w:val="17"/>
        <w:wordWrap/>
        <w:spacing w:before="157" w:beforeLines="50" w:after="0" w:line="560" w:lineRule="exact"/>
        <w:jc w:val="left"/>
        <w:outlineLvl w:val="9"/>
        <w:rPr>
          <w:rFonts w:hint="eastAsia" w:ascii="楷体_GB2312" w:hAnsi="楷体_GB2312" w:eastAsia="楷体_GB2312" w:cs="楷体_GB2312"/>
          <w:b/>
          <w:bCs w:val="0"/>
          <w:color w:val="000000"/>
          <w:kern w:val="2"/>
          <w:sz w:val="32"/>
          <w:szCs w:val="32"/>
          <w:lang w:val="en-US" w:eastAsia="zh-CN" w:bidi="ar-SA"/>
        </w:rPr>
      </w:pPr>
      <w:bookmarkStart w:id="397" w:name="_Toc22471"/>
      <w:bookmarkStart w:id="398" w:name="_Toc24810"/>
      <w:bookmarkStart w:id="399" w:name="_Toc132_WPSOffice_Level3"/>
    </w:p>
    <w:p w14:paraId="6556A4C3">
      <w:pPr>
        <w:pStyle w:val="17"/>
        <w:wordWrap/>
        <w:spacing w:before="157" w:beforeLines="50" w:after="0" w:line="560" w:lineRule="exact"/>
        <w:jc w:val="left"/>
        <w:outlineLvl w:val="9"/>
        <w:rPr>
          <w:rFonts w:hint="eastAsia" w:ascii="楷体_GB2312" w:hAnsi="楷体_GB2312" w:eastAsia="楷体_GB2312" w:cs="楷体_GB2312"/>
          <w:b/>
          <w:bCs w:val="0"/>
          <w:color w:val="000000"/>
          <w:kern w:val="2"/>
          <w:sz w:val="32"/>
          <w:szCs w:val="32"/>
          <w:lang w:val="en-US" w:eastAsia="zh-CN" w:bidi="ar-SA"/>
        </w:rPr>
      </w:pPr>
    </w:p>
    <w:p w14:paraId="0BB87333">
      <w:pPr>
        <w:pStyle w:val="17"/>
        <w:wordWrap/>
        <w:spacing w:before="157" w:beforeLines="50" w:after="0" w:line="560" w:lineRule="exact"/>
        <w:jc w:val="left"/>
        <w:outlineLvl w:val="9"/>
        <w:rPr>
          <w:rFonts w:hint="eastAsia" w:ascii="楷体_GB2312" w:hAnsi="楷体_GB2312" w:eastAsia="楷体_GB2312" w:cs="楷体_GB2312"/>
          <w:b/>
          <w:bCs w:val="0"/>
          <w:color w:val="000000"/>
          <w:kern w:val="2"/>
          <w:sz w:val="32"/>
          <w:szCs w:val="32"/>
          <w:lang w:val="en-US" w:eastAsia="zh-CN" w:bidi="ar-SA"/>
        </w:rPr>
      </w:pPr>
    </w:p>
    <w:p w14:paraId="3CDB3DC8">
      <w:pPr>
        <w:pStyle w:val="17"/>
        <w:wordWrap/>
        <w:spacing w:before="157" w:beforeLines="50" w:after="0" w:line="560" w:lineRule="exact"/>
        <w:jc w:val="left"/>
        <w:outlineLvl w:val="9"/>
        <w:rPr>
          <w:rFonts w:hint="eastAsia" w:ascii="宋体" w:hAnsi="宋体" w:cs="宋体"/>
          <w:color w:val="000000"/>
          <w:sz w:val="32"/>
          <w:szCs w:val="32"/>
          <w:lang w:val="zh-CN"/>
        </w:rPr>
      </w:pPr>
      <w:r>
        <w:rPr>
          <w:rFonts w:hint="eastAsia" w:ascii="宋体" w:hAnsi="宋体" w:eastAsia="宋体" w:cs="宋体"/>
          <w:b/>
          <w:bCs w:val="0"/>
          <w:color w:val="000000"/>
          <w:kern w:val="2"/>
          <w:sz w:val="32"/>
          <w:szCs w:val="32"/>
          <w:lang w:val="en-US" w:eastAsia="zh-CN" w:bidi="ar-SA"/>
        </w:rPr>
        <w:t>附件9：谈判</w:t>
      </w:r>
      <w:r>
        <w:rPr>
          <w:rFonts w:hint="eastAsia" w:ascii="宋体" w:hAnsi="宋体" w:eastAsia="宋体" w:cs="宋体"/>
          <w:b/>
          <w:bCs w:val="0"/>
          <w:color w:val="000000"/>
          <w:kern w:val="2"/>
          <w:sz w:val="32"/>
          <w:szCs w:val="32"/>
          <w:lang w:val="zh-CN" w:eastAsia="zh-CN" w:bidi="ar-SA"/>
        </w:rPr>
        <w:t>保证金证明</w:t>
      </w:r>
      <w:bookmarkEnd w:id="394"/>
      <w:bookmarkEnd w:id="395"/>
      <w:bookmarkEnd w:id="397"/>
      <w:bookmarkEnd w:id="398"/>
      <w:bookmarkEnd w:id="399"/>
    </w:p>
    <w:p w14:paraId="03A4A5BA">
      <w:pPr>
        <w:wordWrap/>
        <w:spacing w:before="157" w:beforeLines="50" w:line="560" w:lineRule="exact"/>
        <w:jc w:val="center"/>
        <w:outlineLvl w:val="9"/>
        <w:rPr>
          <w:rFonts w:hint="eastAsia" w:ascii="宋体" w:hAnsi="宋体" w:cs="宋体"/>
          <w:b/>
          <w:bCs/>
          <w:color w:val="000000"/>
          <w:kern w:val="0"/>
          <w:sz w:val="32"/>
          <w:szCs w:val="32"/>
          <w:lang w:val="zh-CN"/>
        </w:rPr>
      </w:pPr>
      <w:bookmarkStart w:id="400" w:name="_Toc27502_WPSOffice_Level3"/>
      <w:r>
        <w:rPr>
          <w:rFonts w:hint="eastAsia" w:ascii="宋体" w:hAnsi="宋体" w:eastAsia="宋体" w:cs="宋体"/>
          <w:b/>
          <w:color w:val="000000"/>
          <w:sz w:val="32"/>
          <w:szCs w:val="32"/>
          <w:lang w:val="zh-CN" w:eastAsia="zh-CN"/>
        </w:rPr>
        <w:t>谈判保证金证明</w:t>
      </w:r>
      <w:bookmarkEnd w:id="400"/>
    </w:p>
    <w:p w14:paraId="55A75D3E">
      <w:pPr>
        <w:widowControl w:val="0"/>
        <w:wordWrap/>
        <w:autoSpaceDE w:val="0"/>
        <w:autoSpaceDN w:val="0"/>
        <w:adjustRightInd/>
        <w:snapToGrid/>
        <w:spacing w:line="560" w:lineRule="exact"/>
        <w:textAlignment w:val="auto"/>
        <w:outlineLvl w:val="9"/>
        <w:rPr>
          <w:rFonts w:hint="eastAsia" w:ascii="宋体" w:hAnsi="宋体" w:eastAsia="宋体" w:cs="宋体"/>
          <w:b/>
          <w:bCs/>
          <w:color w:val="000000"/>
          <w:kern w:val="0"/>
          <w:sz w:val="24"/>
          <w:szCs w:val="24"/>
          <w:lang w:val="zh-CN"/>
        </w:rPr>
      </w:pPr>
      <w:bookmarkStart w:id="401" w:name="_Toc1388_WPSOffice_Level2"/>
      <w:bookmarkStart w:id="402" w:name="_Toc12243_WPSOffice_Level2"/>
      <w:bookmarkStart w:id="403" w:name="_Toc21234_WPSOffice_Level2"/>
      <w:r>
        <w:rPr>
          <w:rFonts w:hint="eastAsia" w:ascii="宋体" w:hAnsi="宋体" w:eastAsia="宋体" w:cs="宋体"/>
          <w:b/>
          <w:bCs/>
          <w:color w:val="000000"/>
          <w:sz w:val="24"/>
          <w:szCs w:val="24"/>
          <w:u w:val="none"/>
          <w:lang w:val="zh-CN" w:eastAsia="zh-CN"/>
        </w:rPr>
        <w:t>致：</w:t>
      </w:r>
      <w:bookmarkEnd w:id="401"/>
      <w:bookmarkEnd w:id="402"/>
      <w:bookmarkEnd w:id="403"/>
      <w:r>
        <w:rPr>
          <w:rFonts w:hint="eastAsia" w:ascii="宋体" w:hAnsi="宋体" w:eastAsia="宋体" w:cs="宋体"/>
          <w:b/>
          <w:bCs/>
          <w:color w:val="000000"/>
          <w:sz w:val="24"/>
          <w:szCs w:val="24"/>
          <w:u w:val="single"/>
          <w:lang w:eastAsia="zh-CN"/>
        </w:rPr>
        <w:t>青海国德招标代理有限公司</w:t>
      </w:r>
    </w:p>
    <w:p w14:paraId="7B334155">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我方为</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zh-CN"/>
        </w:rPr>
        <w:t>（采购项目名称）项目（采购项目编号为：</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 xml:space="preserve">）递交保证金人民币 </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（大写：人民币</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元）已于</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年</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月</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日以转账方式汇入你方账户。</w:t>
      </w:r>
    </w:p>
    <w:p w14:paraId="61F34AA0">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附</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lang w:val="zh-CN"/>
        </w:rPr>
        <w:t>保证金交款证明复印件（加盖公章）</w:t>
      </w:r>
    </w:p>
    <w:p w14:paraId="449ABE82">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退还保证金时请按以下内容汇入至我方账户（同递交保证金账户）。若因提供内容不全、错误等原因导致该项目保证金未能及时退还或退还过程中发生错误，我方将承担全部责任和损失。</w:t>
      </w:r>
    </w:p>
    <w:p w14:paraId="796DE523">
      <w:pPr>
        <w:widowControl w:val="0"/>
        <w:wordWrap/>
        <w:autoSpaceDE w:val="0"/>
        <w:autoSpaceDN w:val="0"/>
        <w:adjustRightInd/>
        <w:snapToGrid/>
        <w:spacing w:line="560" w:lineRule="exact"/>
        <w:ind w:firstLine="36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户    名：</w:t>
      </w:r>
    </w:p>
    <w:p w14:paraId="535F835D">
      <w:pPr>
        <w:widowControl w:val="0"/>
        <w:wordWrap/>
        <w:autoSpaceDE w:val="0"/>
        <w:autoSpaceDN w:val="0"/>
        <w:adjustRightInd/>
        <w:snapToGrid/>
        <w:spacing w:line="560" w:lineRule="exact"/>
        <w:ind w:firstLine="36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开户银行：</w:t>
      </w:r>
    </w:p>
    <w:p w14:paraId="3A48166B">
      <w:pPr>
        <w:widowControl w:val="0"/>
        <w:wordWrap/>
        <w:autoSpaceDE w:val="0"/>
        <w:autoSpaceDN w:val="0"/>
        <w:adjustRightInd/>
        <w:snapToGrid/>
        <w:spacing w:line="560" w:lineRule="exact"/>
        <w:ind w:firstLine="36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开户帐号：</w:t>
      </w:r>
    </w:p>
    <w:p w14:paraId="11E69C99">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0041447F">
      <w:pPr>
        <w:keepNext w:val="0"/>
        <w:keepLines w:val="0"/>
        <w:pageBreakBefore w:val="0"/>
        <w:widowControl w:val="0"/>
        <w:kinsoku/>
        <w:wordWrap/>
        <w:overflowPunct/>
        <w:topLinePunct w:val="0"/>
        <w:autoSpaceDE/>
        <w:autoSpaceDN/>
        <w:bidi w:val="0"/>
        <w:adjustRightInd/>
        <w:snapToGrid/>
        <w:spacing w:after="240" w:line="360" w:lineRule="auto"/>
        <w:ind w:firstLine="0" w:firstLineChars="0"/>
        <w:textAlignment w:val="auto"/>
        <w:outlineLvl w:val="9"/>
        <w:rPr>
          <w:rFonts w:hint="eastAsia" w:ascii="宋体" w:hAnsi="宋体" w:eastAsia="宋体" w:cs="宋体"/>
          <w:b w:val="0"/>
          <w:bCs w:val="0"/>
          <w:color w:val="000000"/>
          <w:sz w:val="24"/>
          <w:szCs w:val="24"/>
        </w:rPr>
      </w:pPr>
    </w:p>
    <w:p w14:paraId="4C8DBCA8">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66A01B6F">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39DB20AD">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p>
    <w:p w14:paraId="5243B2D4">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p>
    <w:p w14:paraId="696C4D56">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仿宋_GB2312" w:hAnsi="仿宋_GB2312" w:eastAsia="仿宋_GB2312" w:cs="仿宋_GB2312"/>
          <w:b w:val="0"/>
          <w:bCs/>
          <w:color w:val="000000"/>
          <w:sz w:val="32"/>
          <w:szCs w:val="32"/>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   月  日</w:t>
      </w:r>
    </w:p>
    <w:p w14:paraId="6B0717B8">
      <w:pPr>
        <w:wordWrap/>
        <w:autoSpaceDE w:val="0"/>
        <w:autoSpaceDN w:val="0"/>
        <w:spacing w:before="157" w:beforeLines="50" w:line="560" w:lineRule="exact"/>
        <w:outlineLvl w:val="9"/>
        <w:rPr>
          <w:rFonts w:hint="eastAsia" w:ascii="宋体" w:hAnsi="宋体" w:cs="宋体"/>
          <w:b/>
          <w:bCs/>
          <w:color w:val="000000"/>
          <w:kern w:val="0"/>
          <w:lang w:val="zh-CN"/>
        </w:rPr>
      </w:pPr>
    </w:p>
    <w:p w14:paraId="570B6976">
      <w:pPr>
        <w:wordWrap/>
        <w:spacing w:before="157" w:beforeLines="50" w:line="560" w:lineRule="exact"/>
        <w:rPr>
          <w:rFonts w:hint="eastAsia" w:ascii="仿宋_GB2312" w:hAnsi="宋体" w:eastAsia="仿宋_GB2312"/>
          <w:b/>
          <w:color w:val="000000"/>
          <w:sz w:val="52"/>
          <w:szCs w:val="52"/>
        </w:rPr>
      </w:pPr>
    </w:p>
    <w:p w14:paraId="43D742C7">
      <w:pPr>
        <w:keepNext w:val="0"/>
        <w:keepLines w:val="0"/>
        <w:pageBreakBefore w:val="0"/>
        <w:widowControl w:val="0"/>
        <w:kinsoku/>
        <w:wordWrap/>
        <w:overflowPunct/>
        <w:topLinePunct w:val="0"/>
        <w:autoSpaceDE/>
        <w:autoSpaceDN/>
        <w:bidi w:val="0"/>
        <w:adjustRightInd/>
        <w:snapToGrid/>
        <w:spacing w:before="157" w:beforeLines="50" w:line="560" w:lineRule="exact"/>
        <w:ind w:firstLine="0" w:firstLineChars="0"/>
        <w:jc w:val="center"/>
        <w:textAlignment w:val="auto"/>
        <w:outlineLvl w:val="9"/>
        <w:rPr>
          <w:rFonts w:hint="eastAsia" w:ascii="仿宋_GB2312" w:hAnsi="仿宋_GB2312" w:eastAsia="仿宋_GB2312" w:cs="仿宋_GB2312"/>
          <w:b/>
          <w:color w:val="000000"/>
          <w:sz w:val="48"/>
          <w:szCs w:val="48"/>
        </w:rPr>
      </w:pPr>
      <w:bookmarkStart w:id="404" w:name="_Toc20688_WPSOffice_Level2"/>
      <w:bookmarkStart w:id="405" w:name="_Toc24560_WPSOffice_Level2"/>
      <w:r>
        <w:rPr>
          <w:rFonts w:hint="eastAsia" w:ascii="仿宋_GB2312" w:hAnsi="仿宋_GB2312" w:eastAsia="仿宋_GB2312" w:cs="仿宋_GB2312"/>
          <w:b/>
          <w:color w:val="000000"/>
          <w:sz w:val="48"/>
          <w:szCs w:val="48"/>
        </w:rPr>
        <w:t>青海省政府采购项目</w:t>
      </w:r>
      <w:bookmarkEnd w:id="404"/>
      <w:bookmarkEnd w:id="405"/>
    </w:p>
    <w:p w14:paraId="708111FE">
      <w:pPr>
        <w:keepNext w:val="0"/>
        <w:keepLines w:val="0"/>
        <w:pageBreakBefore w:val="0"/>
        <w:widowControl w:val="0"/>
        <w:kinsoku/>
        <w:wordWrap/>
        <w:overflowPunct/>
        <w:topLinePunct w:val="0"/>
        <w:autoSpaceDE/>
        <w:autoSpaceDN/>
        <w:bidi w:val="0"/>
        <w:adjustRightInd/>
        <w:snapToGrid/>
        <w:spacing w:before="157" w:beforeLines="50" w:line="560" w:lineRule="exact"/>
        <w:ind w:firstLine="0" w:firstLineChars="0"/>
        <w:jc w:val="center"/>
        <w:textAlignment w:val="auto"/>
        <w:outlineLvl w:val="9"/>
        <w:rPr>
          <w:rFonts w:hint="eastAsia" w:ascii="仿宋_GB2312" w:hAnsi="仿宋_GB2312" w:eastAsia="仿宋_GB2312" w:cs="仿宋_GB2312"/>
          <w:b/>
          <w:color w:val="000000"/>
          <w:sz w:val="48"/>
          <w:szCs w:val="48"/>
        </w:rPr>
      </w:pPr>
      <w:bookmarkStart w:id="406" w:name="_Toc30784_WPSOffice_Level2"/>
      <w:bookmarkStart w:id="407" w:name="_Toc1190_WPSOffice_Level2"/>
      <w:r>
        <w:rPr>
          <w:rFonts w:hint="eastAsia" w:ascii="仿宋_GB2312" w:hAnsi="仿宋_GB2312" w:eastAsia="仿宋_GB2312" w:cs="仿宋_GB2312"/>
          <w:b/>
          <w:color w:val="000000"/>
          <w:sz w:val="48"/>
          <w:szCs w:val="48"/>
        </w:rPr>
        <w:t>谈判响应文件</w:t>
      </w:r>
      <w:bookmarkEnd w:id="406"/>
      <w:bookmarkEnd w:id="407"/>
    </w:p>
    <w:p w14:paraId="6E9396BE">
      <w:pPr>
        <w:wordWrap/>
        <w:adjustRightInd w:val="0"/>
        <w:spacing w:before="157" w:beforeLines="50" w:line="560" w:lineRule="exact"/>
        <w:jc w:val="center"/>
        <w:textAlignment w:val="baseline"/>
        <w:outlineLvl w:val="9"/>
        <w:rPr>
          <w:rFonts w:hint="eastAsia" w:ascii="仿宋_GB2312" w:hAnsi="仿宋_GB2312" w:eastAsia="仿宋_GB2312" w:cs="仿宋_GB2312"/>
          <w:b/>
          <w:bCs/>
          <w:color w:val="000000"/>
          <w:sz w:val="32"/>
          <w:szCs w:val="32"/>
        </w:rPr>
      </w:pPr>
      <w:bookmarkStart w:id="408" w:name="_Toc5068_WPSOffice_Level2"/>
      <w:bookmarkStart w:id="409" w:name="_Toc24224_WPSOffice_Level2"/>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val="0"/>
          <w:bCs w:val="0"/>
          <w:kern w:val="2"/>
          <w:sz w:val="32"/>
          <w:szCs w:val="32"/>
          <w:lang w:val="en-US" w:eastAsia="zh-CN" w:bidi="ar-SA"/>
        </w:rPr>
        <w:t>有效性、完整性、响应程度审查部分</w:t>
      </w:r>
      <w:r>
        <w:rPr>
          <w:rFonts w:hint="eastAsia" w:ascii="仿宋_GB2312" w:hAnsi="仿宋_GB2312" w:eastAsia="仿宋_GB2312" w:cs="仿宋_GB2312"/>
          <w:b/>
          <w:bCs/>
          <w:color w:val="000000"/>
          <w:sz w:val="32"/>
          <w:szCs w:val="32"/>
        </w:rPr>
        <w:t>）</w:t>
      </w:r>
      <w:bookmarkEnd w:id="408"/>
      <w:bookmarkEnd w:id="409"/>
    </w:p>
    <w:p w14:paraId="57E11A46">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43102FB8">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2F20420B">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2530C9E4">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lang w:eastAsia="zh-CN"/>
        </w:rPr>
      </w:pPr>
      <w:bookmarkStart w:id="410" w:name="_Toc14028_WPSOffice_Level2"/>
      <w:bookmarkStart w:id="411" w:name="_Toc16258_WPSOffice_Level2"/>
      <w:r>
        <w:rPr>
          <w:rFonts w:hint="eastAsia" w:ascii="仿宋_GB2312" w:hAnsi="仿宋_GB2312" w:eastAsia="仿宋_GB2312" w:cs="仿宋_GB2312"/>
          <w:b/>
          <w:bCs/>
          <w:color w:val="000000"/>
          <w:sz w:val="32"/>
          <w:szCs w:val="32"/>
        </w:rPr>
        <w:t>采购项目编号:</w:t>
      </w:r>
      <w:bookmarkEnd w:id="410"/>
      <w:bookmarkEnd w:id="411"/>
    </w:p>
    <w:p w14:paraId="1390AA51">
      <w:pPr>
        <w:wordWrap/>
        <w:spacing w:before="157" w:beforeLines="50" w:line="560" w:lineRule="exact"/>
        <w:ind w:left="2530" w:hanging="2249" w:hangingChars="700"/>
        <w:jc w:val="left"/>
        <w:outlineLvl w:val="9"/>
        <w:rPr>
          <w:rFonts w:hint="eastAsia" w:ascii="仿宋_GB2312" w:hAnsi="仿宋_GB2312" w:eastAsia="仿宋_GB2312" w:cs="仿宋_GB2312"/>
          <w:b/>
          <w:bCs/>
          <w:color w:val="000000"/>
          <w:sz w:val="32"/>
          <w:szCs w:val="32"/>
        </w:rPr>
      </w:pPr>
      <w:bookmarkStart w:id="412" w:name="_Toc173_WPSOffice_Level2"/>
      <w:bookmarkStart w:id="413" w:name="_Toc25982_WPSOffice_Level2"/>
      <w:r>
        <w:rPr>
          <w:rFonts w:hint="eastAsia" w:ascii="仿宋_GB2312" w:hAnsi="仿宋_GB2312" w:eastAsia="仿宋_GB2312" w:cs="仿宋_GB2312"/>
          <w:b/>
          <w:bCs/>
          <w:color w:val="000000"/>
          <w:sz w:val="32"/>
          <w:szCs w:val="32"/>
        </w:rPr>
        <w:t>采购项目名称:</w:t>
      </w:r>
      <w:bookmarkEnd w:id="412"/>
      <w:bookmarkEnd w:id="413"/>
      <w:r>
        <w:rPr>
          <w:rFonts w:hint="eastAsia" w:ascii="仿宋_GB2312" w:hAnsi="仿宋_GB2312" w:eastAsia="仿宋_GB2312" w:cs="仿宋_GB2312"/>
          <w:b/>
          <w:bCs/>
          <w:color w:val="000000"/>
          <w:sz w:val="32"/>
          <w:szCs w:val="32"/>
        </w:rPr>
        <w:t xml:space="preserve"> </w:t>
      </w:r>
    </w:p>
    <w:p w14:paraId="55A21510">
      <w:pPr>
        <w:wordWrap/>
        <w:spacing w:before="157" w:beforeLines="50" w:line="560" w:lineRule="exact"/>
        <w:ind w:left="2530" w:hanging="2249" w:hangingChars="700"/>
        <w:jc w:val="left"/>
        <w:outlineLvl w:val="9"/>
        <w:rPr>
          <w:rFonts w:hint="eastAsia" w:ascii="仿宋_GB2312" w:hAnsi="仿宋_GB2312" w:eastAsia="仿宋_GB2312" w:cs="仿宋_GB2312"/>
          <w:b/>
          <w:bCs/>
          <w:color w:val="000000"/>
          <w:sz w:val="32"/>
          <w:szCs w:val="32"/>
          <w:lang w:eastAsia="zh-CN"/>
        </w:rPr>
      </w:pPr>
      <w:bookmarkStart w:id="414" w:name="_Toc24014_WPSOffice_Level2"/>
      <w:bookmarkStart w:id="415" w:name="_Toc19360_WPSOffice_Level2"/>
      <w:r>
        <w:rPr>
          <w:rFonts w:hint="eastAsia" w:ascii="仿宋_GB2312" w:hAnsi="仿宋_GB2312" w:eastAsia="仿宋_GB2312" w:cs="仿宋_GB2312"/>
          <w:b/>
          <w:bCs/>
          <w:color w:val="000000"/>
          <w:sz w:val="32"/>
          <w:szCs w:val="32"/>
          <w:lang w:eastAsia="zh-CN"/>
        </w:rPr>
        <w:t>供应商名称：</w:t>
      </w:r>
      <w:bookmarkEnd w:id="414"/>
      <w:bookmarkEnd w:id="415"/>
    </w:p>
    <w:p w14:paraId="1B9C8A29">
      <w:pPr>
        <w:wordWrap/>
        <w:spacing w:before="157" w:beforeLines="50" w:line="560" w:lineRule="exact"/>
        <w:jc w:val="center"/>
        <w:outlineLvl w:val="9"/>
        <w:rPr>
          <w:rFonts w:hint="eastAsia" w:ascii="仿宋_GB2312" w:hAnsi="仿宋_GB2312" w:eastAsia="仿宋_GB2312" w:cs="仿宋_GB2312"/>
          <w:b/>
          <w:bCs/>
          <w:color w:val="000000"/>
          <w:sz w:val="32"/>
          <w:szCs w:val="32"/>
        </w:rPr>
      </w:pPr>
    </w:p>
    <w:p w14:paraId="2AA3D94F">
      <w:pPr>
        <w:wordWrap/>
        <w:spacing w:before="157" w:beforeLines="50" w:line="560" w:lineRule="exact"/>
        <w:jc w:val="center"/>
        <w:outlineLvl w:val="9"/>
        <w:rPr>
          <w:rFonts w:hint="eastAsia" w:ascii="仿宋_GB2312" w:hAnsi="仿宋_GB2312" w:eastAsia="仿宋_GB2312" w:cs="仿宋_GB2312"/>
          <w:b/>
          <w:color w:val="000000"/>
          <w:sz w:val="32"/>
          <w:szCs w:val="32"/>
        </w:rPr>
      </w:pPr>
      <w:bookmarkStart w:id="416" w:name="_Toc17697_WPSOffice_Level3"/>
      <w:r>
        <w:rPr>
          <w:rFonts w:hint="eastAsia" w:ascii="仿宋_GB2312" w:hAnsi="仿宋_GB2312" w:eastAsia="仿宋_GB2312" w:cs="仿宋_GB2312"/>
          <w:b/>
          <w:color w:val="000000"/>
          <w:sz w:val="32"/>
          <w:szCs w:val="32"/>
        </w:rPr>
        <w:t>年  月  日</w:t>
      </w:r>
      <w:bookmarkEnd w:id="416"/>
    </w:p>
    <w:p w14:paraId="010835EA">
      <w:pPr>
        <w:widowControl/>
        <w:wordWrap/>
        <w:snapToGrid w:val="0"/>
        <w:spacing w:before="157" w:beforeLines="50" w:line="560" w:lineRule="exact"/>
        <w:outlineLvl w:val="9"/>
        <w:rPr>
          <w:rFonts w:hint="eastAsia" w:ascii="宋体"/>
          <w:b/>
          <w:color w:val="000000"/>
          <w:sz w:val="28"/>
          <w:szCs w:val="28"/>
        </w:rPr>
      </w:pPr>
    </w:p>
    <w:p w14:paraId="56472FCC">
      <w:pPr>
        <w:widowControl/>
        <w:wordWrap/>
        <w:snapToGrid/>
        <w:spacing w:before="157" w:beforeLines="50" w:line="560" w:lineRule="exact"/>
        <w:jc w:val="left"/>
        <w:outlineLvl w:val="9"/>
        <w:rPr>
          <w:rFonts w:hint="eastAsia" w:ascii="宋体" w:hAnsi="宋体" w:cs="宋体"/>
          <w:b/>
          <w:color w:val="000000"/>
          <w:sz w:val="32"/>
          <w:szCs w:val="32"/>
          <w:lang w:val="zh-CN"/>
        </w:rPr>
      </w:pPr>
      <w:r>
        <w:rPr>
          <w:rFonts w:ascii="宋体"/>
          <w:b/>
          <w:color w:val="000000"/>
          <w:sz w:val="28"/>
          <w:szCs w:val="28"/>
        </w:rPr>
        <w:br w:type="page"/>
      </w:r>
      <w:bookmarkStart w:id="417" w:name="_Toc3360"/>
      <w:bookmarkStart w:id="418" w:name="_Toc13416_WPSOffice_Level3"/>
      <w:bookmarkStart w:id="419" w:name="_Toc18715"/>
      <w:bookmarkStart w:id="420" w:name="_Toc2646_WPSOffice_Level3"/>
      <w:bookmarkStart w:id="421" w:name="_Toc30881"/>
      <w:bookmarkStart w:id="422" w:name="_Toc28116"/>
      <w:r>
        <w:rPr>
          <w:rFonts w:hint="eastAsia" w:ascii="宋体" w:hAnsi="宋体" w:eastAsia="宋体" w:cs="宋体"/>
          <w:b/>
          <w:bCs w:val="0"/>
          <w:color w:val="000000"/>
          <w:kern w:val="2"/>
          <w:sz w:val="32"/>
          <w:szCs w:val="32"/>
          <w:lang w:val="zh-CN" w:eastAsia="zh-CN" w:bidi="ar-SA"/>
        </w:rPr>
        <w:t>附件10：谈判首次报价表</w:t>
      </w:r>
      <w:bookmarkEnd w:id="417"/>
      <w:bookmarkEnd w:id="418"/>
      <w:bookmarkEnd w:id="419"/>
      <w:bookmarkEnd w:id="420"/>
      <w:bookmarkEnd w:id="421"/>
      <w:bookmarkEnd w:id="422"/>
    </w:p>
    <w:p w14:paraId="0B469E11">
      <w:pPr>
        <w:wordWrap/>
        <w:spacing w:before="157" w:beforeLines="50" w:line="560" w:lineRule="exact"/>
        <w:jc w:val="center"/>
        <w:outlineLvl w:val="9"/>
        <w:rPr>
          <w:rFonts w:hint="eastAsia" w:ascii="宋体" w:hAnsi="宋体" w:cs="宋体"/>
          <w:b/>
          <w:color w:val="000000"/>
          <w:sz w:val="32"/>
          <w:szCs w:val="32"/>
          <w:lang w:val="zh-CN"/>
        </w:rPr>
      </w:pPr>
      <w:bookmarkStart w:id="423" w:name="_Toc17322_WPSOffice_Level1"/>
      <w:bookmarkStart w:id="424" w:name="_Toc17115_WPSOffice_Level3"/>
      <w:bookmarkStart w:id="425" w:name="_Toc8724_WPSOffice_Level1"/>
      <w:r>
        <w:rPr>
          <w:rFonts w:hint="eastAsia" w:ascii="宋体" w:hAnsi="宋体" w:eastAsia="宋体" w:cs="宋体"/>
          <w:b/>
          <w:color w:val="000000"/>
          <w:sz w:val="32"/>
          <w:szCs w:val="32"/>
          <w:lang w:val="zh-CN" w:eastAsia="zh-CN"/>
        </w:rPr>
        <w:t>谈判首次报价表</w:t>
      </w:r>
      <w:bookmarkEnd w:id="423"/>
      <w:bookmarkEnd w:id="424"/>
      <w:bookmarkEnd w:id="425"/>
    </w:p>
    <w:p w14:paraId="21BA642A">
      <w:pPr>
        <w:widowControl w:val="0"/>
        <w:wordWrap/>
        <w:snapToGrid/>
        <w:spacing w:line="560" w:lineRule="exact"/>
        <w:outlineLvl w:val="9"/>
        <w:rPr>
          <w:rFonts w:hint="eastAsia" w:ascii="宋体" w:hAnsi="宋体" w:eastAsia="宋体" w:cs="宋体"/>
          <w:b w:val="0"/>
          <w:bCs/>
          <w:color w:val="000000"/>
          <w:sz w:val="24"/>
          <w:szCs w:val="24"/>
        </w:rPr>
      </w:pPr>
      <w:bookmarkStart w:id="426" w:name="_Toc14507_WPSOffice_Level2"/>
      <w:r>
        <w:rPr>
          <w:rFonts w:hint="eastAsia" w:ascii="宋体" w:hAnsi="宋体" w:eastAsia="宋体" w:cs="宋体"/>
          <w:b w:val="0"/>
          <w:bCs/>
          <w:color w:val="000000"/>
          <w:sz w:val="24"/>
          <w:szCs w:val="24"/>
        </w:rPr>
        <w:t>供应商名称：</w:t>
      </w:r>
      <w:bookmarkEnd w:id="426"/>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单位：人民币(元)</w:t>
      </w:r>
    </w:p>
    <w:tbl>
      <w:tblPr>
        <w:tblStyle w:val="19"/>
        <w:tblpPr w:leftFromText="180" w:rightFromText="180" w:vertAnchor="text" w:horzAnchor="margin" w:tblpXSpec="left" w:tblpY="14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2717"/>
        <w:gridCol w:w="2670"/>
        <w:gridCol w:w="1560"/>
      </w:tblGrid>
      <w:tr w14:paraId="1D8A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092" w:type="dxa"/>
            <w:vAlign w:val="center"/>
          </w:tcPr>
          <w:p w14:paraId="44AAC200">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项目名称</w:t>
            </w:r>
          </w:p>
        </w:tc>
        <w:tc>
          <w:tcPr>
            <w:tcW w:w="2717" w:type="dxa"/>
            <w:vAlign w:val="center"/>
          </w:tcPr>
          <w:p w14:paraId="2E7D2822">
            <w:pPr>
              <w:widowControl w:val="0"/>
              <w:wordWrap/>
              <w:adjustRightInd w:val="0"/>
              <w:snapToGrid/>
              <w:spacing w:line="560" w:lineRule="exact"/>
              <w:jc w:val="center"/>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首次</w:t>
            </w:r>
            <w:r>
              <w:rPr>
                <w:rFonts w:hint="eastAsia" w:ascii="宋体" w:hAnsi="宋体" w:eastAsia="宋体" w:cs="宋体"/>
                <w:b w:val="0"/>
                <w:bCs/>
                <w:color w:val="000000"/>
                <w:sz w:val="24"/>
                <w:szCs w:val="24"/>
              </w:rPr>
              <w:t>报价</w:t>
            </w:r>
          </w:p>
        </w:tc>
        <w:tc>
          <w:tcPr>
            <w:tcW w:w="2670" w:type="dxa"/>
            <w:vAlign w:val="center"/>
          </w:tcPr>
          <w:p w14:paraId="38801AE3">
            <w:pPr>
              <w:widowControl w:val="0"/>
              <w:wordWrap/>
              <w:adjustRightInd w:val="0"/>
              <w:snapToGrid/>
              <w:spacing w:line="560" w:lineRule="exact"/>
              <w:ind w:firstLine="120" w:firstLineChars="50"/>
              <w:jc w:val="center"/>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交货期</w:t>
            </w:r>
          </w:p>
        </w:tc>
        <w:tc>
          <w:tcPr>
            <w:tcW w:w="1560" w:type="dxa"/>
            <w:vAlign w:val="center"/>
          </w:tcPr>
          <w:p w14:paraId="5EA7281E">
            <w:pPr>
              <w:widowControl w:val="0"/>
              <w:wordWrap/>
              <w:adjustRightInd w:val="0"/>
              <w:snapToGrid/>
              <w:spacing w:line="560" w:lineRule="exact"/>
              <w:ind w:left="274" w:leftChars="16" w:hanging="240" w:hangingChars="100"/>
              <w:jc w:val="center"/>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备注</w:t>
            </w:r>
          </w:p>
        </w:tc>
      </w:tr>
      <w:tr w14:paraId="2280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092" w:type="dxa"/>
            <w:vMerge w:val="restart"/>
            <w:vAlign w:val="center"/>
          </w:tcPr>
          <w:p w14:paraId="40BD245E">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000000"/>
                <w:sz w:val="24"/>
                <w:szCs w:val="24"/>
              </w:rPr>
            </w:pPr>
          </w:p>
        </w:tc>
        <w:tc>
          <w:tcPr>
            <w:tcW w:w="2717" w:type="dxa"/>
            <w:vAlign w:val="top"/>
          </w:tcPr>
          <w:p w14:paraId="187CB7B4">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大写：</w:t>
            </w:r>
          </w:p>
        </w:tc>
        <w:tc>
          <w:tcPr>
            <w:tcW w:w="2670" w:type="dxa"/>
            <w:vMerge w:val="restart"/>
            <w:vAlign w:val="top"/>
          </w:tcPr>
          <w:p w14:paraId="1ED52D0C">
            <w:pPr>
              <w:widowControl w:val="0"/>
              <w:wordWrap/>
              <w:adjustRightInd w:val="0"/>
              <w:snapToGrid/>
              <w:spacing w:line="560" w:lineRule="exact"/>
              <w:ind w:firstLine="196" w:firstLineChars="82"/>
              <w:textAlignment w:val="baseline"/>
              <w:outlineLvl w:val="9"/>
              <w:rPr>
                <w:rFonts w:hint="eastAsia" w:ascii="宋体" w:hAnsi="宋体" w:eastAsia="宋体" w:cs="宋体"/>
                <w:b w:val="0"/>
                <w:bCs/>
                <w:color w:val="000000"/>
                <w:sz w:val="24"/>
                <w:szCs w:val="24"/>
              </w:rPr>
            </w:pPr>
          </w:p>
        </w:tc>
        <w:tc>
          <w:tcPr>
            <w:tcW w:w="1560" w:type="dxa"/>
            <w:vMerge w:val="restart"/>
            <w:vAlign w:val="top"/>
          </w:tcPr>
          <w:p w14:paraId="6BF785AF">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p>
        </w:tc>
      </w:tr>
      <w:tr w14:paraId="5182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92" w:type="dxa"/>
            <w:vMerge w:val="continue"/>
            <w:vAlign w:val="center"/>
          </w:tcPr>
          <w:p w14:paraId="59BE9C9A">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000000"/>
                <w:sz w:val="24"/>
                <w:szCs w:val="24"/>
              </w:rPr>
            </w:pPr>
          </w:p>
        </w:tc>
        <w:tc>
          <w:tcPr>
            <w:tcW w:w="2717" w:type="dxa"/>
            <w:vAlign w:val="top"/>
          </w:tcPr>
          <w:p w14:paraId="5CB7AEFF">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小写：</w:t>
            </w:r>
          </w:p>
        </w:tc>
        <w:tc>
          <w:tcPr>
            <w:tcW w:w="2670" w:type="dxa"/>
            <w:vMerge w:val="continue"/>
            <w:vAlign w:val="top"/>
          </w:tcPr>
          <w:p w14:paraId="0C38DAD5">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000000"/>
                <w:sz w:val="24"/>
                <w:szCs w:val="24"/>
              </w:rPr>
            </w:pPr>
          </w:p>
        </w:tc>
        <w:tc>
          <w:tcPr>
            <w:tcW w:w="1560" w:type="dxa"/>
            <w:vMerge w:val="continue"/>
            <w:vAlign w:val="top"/>
          </w:tcPr>
          <w:p w14:paraId="7CFBF959">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p>
        </w:tc>
      </w:tr>
      <w:tr w14:paraId="0B04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039" w:type="dxa"/>
            <w:gridSpan w:val="4"/>
            <w:vAlign w:val="center"/>
          </w:tcPr>
          <w:p w14:paraId="1E05BF1E">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其他承诺及需要说明的事项：</w:t>
            </w:r>
          </w:p>
        </w:tc>
      </w:tr>
    </w:tbl>
    <w:p w14:paraId="7CEA43A2">
      <w:pPr>
        <w:widowControl w:val="0"/>
        <w:wordWrap/>
        <w:snapToGrid/>
        <w:spacing w:line="560" w:lineRule="exac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注：1、填写此表时不得改变表格形式。</w:t>
      </w:r>
    </w:p>
    <w:p w14:paraId="2852B09B">
      <w:pPr>
        <w:widowControl w:val="0"/>
        <w:wordWrap/>
        <w:adjustRightInd w:val="0"/>
        <w:snapToGrid w:val="0"/>
        <w:spacing w:line="5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报价为总价。包括</w:t>
      </w:r>
      <w:r>
        <w:rPr>
          <w:rFonts w:hint="eastAsia" w:ascii="宋体" w:hAnsi="宋体" w:cs="宋体"/>
          <w:b w:val="0"/>
          <w:bCs w:val="0"/>
          <w:kern w:val="2"/>
          <w:sz w:val="24"/>
          <w:szCs w:val="24"/>
          <w:u w:val="none"/>
          <w:lang w:val="en-US" w:eastAsia="zh-CN" w:bidi="ar-SA"/>
        </w:rPr>
        <w:t>产品费、检验费、手续费、包装费、运输费、保险费、培训费、售前售中售后服务费、税金</w:t>
      </w:r>
      <w:r>
        <w:rPr>
          <w:rFonts w:hint="eastAsia" w:ascii="宋体" w:hAnsi="宋体" w:eastAsia="宋体" w:cs="宋体"/>
          <w:b w:val="0"/>
          <w:bCs w:val="0"/>
          <w:kern w:val="2"/>
          <w:sz w:val="24"/>
          <w:szCs w:val="24"/>
          <w:u w:val="none"/>
          <w:lang w:val="en-US" w:eastAsia="zh-CN" w:bidi="ar-SA"/>
        </w:rPr>
        <w:t>及其它其他不可预见费等全部费用。</w:t>
      </w:r>
    </w:p>
    <w:p w14:paraId="708F9ECA">
      <w:pPr>
        <w:widowControl w:val="0"/>
        <w:wordWrap/>
        <w:snapToGrid/>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3、“交货期”是指产品能够交付使用的具体时间。</w:t>
      </w:r>
    </w:p>
    <w:p w14:paraId="53620FA9">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6F7B0C8B">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564A0366">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57DDE8A5">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032BDD40">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p>
    <w:p w14:paraId="442F0C3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p>
    <w:p w14:paraId="7E0EFA7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仿宋_GB2312" w:hAnsi="仿宋_GB2312" w:eastAsia="仿宋_GB2312" w:cs="仿宋_GB2312"/>
          <w:b w:val="0"/>
          <w:bCs/>
          <w:color w:val="000000"/>
          <w:sz w:val="32"/>
          <w:szCs w:val="32"/>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   月  日</w:t>
      </w:r>
    </w:p>
    <w:p w14:paraId="7D47E7B1">
      <w:pPr>
        <w:widowControl/>
        <w:wordWrap/>
        <w:snapToGrid/>
        <w:spacing w:before="157" w:beforeLines="50" w:line="560" w:lineRule="exact"/>
        <w:jc w:val="left"/>
        <w:outlineLvl w:val="9"/>
        <w:rPr>
          <w:rFonts w:hint="eastAsia" w:ascii="宋体" w:hAnsi="宋体" w:eastAsia="宋体" w:cs="宋体"/>
          <w:b/>
          <w:color w:val="000000"/>
          <w:sz w:val="32"/>
          <w:szCs w:val="32"/>
          <w:lang w:val="zh-CN"/>
        </w:rPr>
      </w:pPr>
      <w:r>
        <w:rPr>
          <w:rFonts w:ascii="宋体"/>
          <w:b/>
          <w:color w:val="000000"/>
          <w:sz w:val="28"/>
          <w:szCs w:val="28"/>
        </w:rPr>
        <w:br w:type="page"/>
      </w:r>
      <w:bookmarkStart w:id="427" w:name="_Toc7532"/>
      <w:bookmarkStart w:id="428" w:name="_Toc18824_WPSOffice_Level3"/>
      <w:bookmarkStart w:id="429" w:name="_Toc3352_WPSOffice_Level3"/>
      <w:bookmarkStart w:id="430" w:name="_Toc25351"/>
      <w:bookmarkStart w:id="431" w:name="_Toc13192"/>
      <w:bookmarkStart w:id="432" w:name="_Toc31202"/>
      <w:r>
        <w:rPr>
          <w:rFonts w:hint="eastAsia" w:ascii="宋体" w:hAnsi="宋体" w:eastAsia="宋体" w:cs="宋体"/>
          <w:b/>
          <w:bCs w:val="0"/>
          <w:color w:val="000000"/>
          <w:kern w:val="2"/>
          <w:sz w:val="32"/>
          <w:szCs w:val="32"/>
          <w:lang w:val="zh-CN" w:eastAsia="zh-CN" w:bidi="ar-SA"/>
        </w:rPr>
        <w:t>附件11：分项报价表</w:t>
      </w:r>
      <w:bookmarkEnd w:id="427"/>
      <w:bookmarkEnd w:id="428"/>
      <w:bookmarkEnd w:id="429"/>
      <w:bookmarkEnd w:id="430"/>
      <w:bookmarkEnd w:id="431"/>
      <w:bookmarkEnd w:id="432"/>
    </w:p>
    <w:p w14:paraId="2B2EA5C4">
      <w:pPr>
        <w:widowControl/>
        <w:wordWrap/>
        <w:spacing w:before="157" w:beforeLines="50" w:line="560" w:lineRule="exact"/>
        <w:jc w:val="center"/>
        <w:outlineLvl w:val="9"/>
        <w:rPr>
          <w:rFonts w:hint="eastAsia" w:ascii="宋体" w:hAnsi="宋体" w:eastAsia="宋体" w:cs="宋体"/>
          <w:b/>
          <w:color w:val="000000"/>
          <w:sz w:val="32"/>
          <w:szCs w:val="32"/>
          <w:lang w:val="zh-CN"/>
        </w:rPr>
      </w:pPr>
      <w:bookmarkStart w:id="433" w:name="_Toc19937_WPSOffice_Level1"/>
      <w:bookmarkStart w:id="434" w:name="_Toc31256_WPSOffice_Level3"/>
      <w:bookmarkStart w:id="435" w:name="_Toc12587_WPSOffice_Level1"/>
      <w:r>
        <w:rPr>
          <w:rFonts w:hint="eastAsia" w:ascii="宋体" w:hAnsi="宋体" w:eastAsia="宋体" w:cs="宋体"/>
          <w:b/>
          <w:color w:val="000000"/>
          <w:sz w:val="32"/>
          <w:szCs w:val="32"/>
          <w:lang w:val="zh-CN" w:eastAsia="zh-CN"/>
        </w:rPr>
        <w:t>分项报价表</w:t>
      </w:r>
      <w:bookmarkEnd w:id="433"/>
      <w:bookmarkEnd w:id="434"/>
      <w:bookmarkEnd w:id="435"/>
    </w:p>
    <w:p w14:paraId="141F5A80">
      <w:pPr>
        <w:widowControl w:val="0"/>
        <w:wordWrap/>
        <w:adjustRightInd/>
        <w:snapToGrid/>
        <w:spacing w:line="560" w:lineRule="exact"/>
        <w:textAlignment w:val="auto"/>
        <w:outlineLvl w:val="9"/>
        <w:rPr>
          <w:rFonts w:hint="eastAsia" w:ascii="宋体" w:hAnsi="宋体" w:eastAsia="宋体" w:cs="宋体"/>
          <w:b w:val="0"/>
          <w:bCs/>
          <w:color w:val="000000"/>
          <w:sz w:val="24"/>
          <w:szCs w:val="24"/>
          <w:lang w:val="en-US" w:eastAsia="zh-CN"/>
        </w:rPr>
      </w:pPr>
      <w:bookmarkStart w:id="436" w:name="_Toc30633_WPSOffice_Level2"/>
      <w:r>
        <w:rPr>
          <w:rFonts w:hint="eastAsia" w:ascii="宋体" w:hAnsi="宋体" w:eastAsia="宋体" w:cs="宋体"/>
          <w:b w:val="0"/>
          <w:bCs/>
          <w:color w:val="000000"/>
          <w:sz w:val="24"/>
          <w:szCs w:val="24"/>
        </w:rPr>
        <w:t>供应商名称:</w:t>
      </w:r>
      <w:bookmarkEnd w:id="436"/>
      <w:r>
        <w:rPr>
          <w:rFonts w:hint="eastAsia" w:ascii="宋体" w:hAnsi="宋体" w:eastAsia="宋体" w:cs="宋体"/>
          <w:b w:val="0"/>
          <w:bCs/>
          <w:color w:val="000000"/>
          <w:sz w:val="24"/>
          <w:szCs w:val="24"/>
          <w:lang w:val="en-US" w:eastAsia="zh-CN"/>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单位：人民币(元)</w:t>
      </w:r>
      <w:r>
        <w:rPr>
          <w:rFonts w:hint="eastAsia" w:ascii="宋体" w:hAnsi="宋体" w:eastAsia="宋体" w:cs="宋体"/>
          <w:b w:val="0"/>
          <w:bCs/>
          <w:color w:val="000000"/>
          <w:sz w:val="24"/>
          <w:szCs w:val="24"/>
          <w:lang w:val="en-US" w:eastAsia="zh-CN"/>
        </w:rPr>
        <w:t xml:space="preserve">                                          </w:t>
      </w:r>
    </w:p>
    <w:tbl>
      <w:tblPr>
        <w:tblStyle w:val="20"/>
        <w:tblW w:w="9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8"/>
        <w:gridCol w:w="1497"/>
        <w:gridCol w:w="992"/>
        <w:gridCol w:w="1052"/>
        <w:gridCol w:w="1356"/>
        <w:gridCol w:w="953"/>
        <w:gridCol w:w="710"/>
        <w:gridCol w:w="851"/>
        <w:gridCol w:w="1137"/>
      </w:tblGrid>
      <w:tr w14:paraId="156A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108FA653">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序号</w:t>
            </w:r>
          </w:p>
        </w:tc>
        <w:tc>
          <w:tcPr>
            <w:tcW w:w="1497" w:type="dxa"/>
            <w:vAlign w:val="center"/>
          </w:tcPr>
          <w:p w14:paraId="7BACA1C0">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产品名称</w:t>
            </w:r>
          </w:p>
        </w:tc>
        <w:tc>
          <w:tcPr>
            <w:tcW w:w="992" w:type="dxa"/>
            <w:vAlign w:val="center"/>
          </w:tcPr>
          <w:p w14:paraId="2FAD8BF5">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品牌</w:t>
            </w:r>
          </w:p>
        </w:tc>
        <w:tc>
          <w:tcPr>
            <w:tcW w:w="1052" w:type="dxa"/>
            <w:vAlign w:val="center"/>
          </w:tcPr>
          <w:p w14:paraId="5945875A">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规格型号</w:t>
            </w:r>
          </w:p>
        </w:tc>
        <w:tc>
          <w:tcPr>
            <w:tcW w:w="1356" w:type="dxa"/>
            <w:vAlign w:val="center"/>
          </w:tcPr>
          <w:p w14:paraId="69462BFE">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生产厂家</w:t>
            </w:r>
          </w:p>
        </w:tc>
        <w:tc>
          <w:tcPr>
            <w:tcW w:w="953" w:type="dxa"/>
            <w:vAlign w:val="center"/>
          </w:tcPr>
          <w:p w14:paraId="52AD0FC1">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数量及单位</w:t>
            </w:r>
          </w:p>
        </w:tc>
        <w:tc>
          <w:tcPr>
            <w:tcW w:w="710" w:type="dxa"/>
            <w:vAlign w:val="center"/>
          </w:tcPr>
          <w:p w14:paraId="181D60D1">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单价</w:t>
            </w:r>
          </w:p>
        </w:tc>
        <w:tc>
          <w:tcPr>
            <w:tcW w:w="851" w:type="dxa"/>
            <w:vAlign w:val="center"/>
          </w:tcPr>
          <w:p w14:paraId="1B544359">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合计</w:t>
            </w:r>
          </w:p>
        </w:tc>
        <w:tc>
          <w:tcPr>
            <w:tcW w:w="1137" w:type="dxa"/>
            <w:vAlign w:val="center"/>
          </w:tcPr>
          <w:p w14:paraId="26F1FDE8">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备注</w:t>
            </w:r>
          </w:p>
        </w:tc>
      </w:tr>
      <w:tr w14:paraId="1817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397A1B4D">
            <w:pPr>
              <w:widowControl w:val="0"/>
              <w:wordWrap/>
              <w:adjustRightInd/>
              <w:snapToGrid/>
              <w:spacing w:line="560" w:lineRule="exact"/>
              <w:ind w:firstLine="199" w:firstLineChars="83"/>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p>
        </w:tc>
        <w:tc>
          <w:tcPr>
            <w:tcW w:w="1497" w:type="dxa"/>
            <w:vAlign w:val="center"/>
          </w:tcPr>
          <w:p w14:paraId="3F88E61B">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92" w:type="dxa"/>
            <w:vAlign w:val="center"/>
          </w:tcPr>
          <w:p w14:paraId="5FFBB9D4">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052" w:type="dxa"/>
            <w:vAlign w:val="center"/>
          </w:tcPr>
          <w:p w14:paraId="1099C3D3">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356" w:type="dxa"/>
            <w:vAlign w:val="center"/>
          </w:tcPr>
          <w:p w14:paraId="340B3AC5">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53" w:type="dxa"/>
            <w:vAlign w:val="center"/>
          </w:tcPr>
          <w:p w14:paraId="79854BEC">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710" w:type="dxa"/>
            <w:vAlign w:val="center"/>
          </w:tcPr>
          <w:p w14:paraId="1E956FB0">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851" w:type="dxa"/>
            <w:vAlign w:val="center"/>
          </w:tcPr>
          <w:p w14:paraId="290537E7">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137" w:type="dxa"/>
            <w:vAlign w:val="center"/>
          </w:tcPr>
          <w:p w14:paraId="636D03B7">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r>
      <w:tr w14:paraId="6614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4E314B6A">
            <w:pPr>
              <w:widowControl w:val="0"/>
              <w:wordWrap/>
              <w:adjustRightInd/>
              <w:snapToGrid/>
              <w:spacing w:line="560" w:lineRule="exact"/>
              <w:ind w:firstLine="199" w:firstLineChars="83"/>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w:t>
            </w:r>
          </w:p>
        </w:tc>
        <w:tc>
          <w:tcPr>
            <w:tcW w:w="1497" w:type="dxa"/>
            <w:vAlign w:val="center"/>
          </w:tcPr>
          <w:p w14:paraId="5FDE496E">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92" w:type="dxa"/>
            <w:vAlign w:val="center"/>
          </w:tcPr>
          <w:p w14:paraId="4C05C20E">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052" w:type="dxa"/>
            <w:vAlign w:val="center"/>
          </w:tcPr>
          <w:p w14:paraId="467CAA06">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356" w:type="dxa"/>
            <w:vAlign w:val="center"/>
          </w:tcPr>
          <w:p w14:paraId="181EC7A4">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53" w:type="dxa"/>
            <w:vAlign w:val="center"/>
          </w:tcPr>
          <w:p w14:paraId="6B7F7930">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710" w:type="dxa"/>
            <w:vAlign w:val="center"/>
          </w:tcPr>
          <w:p w14:paraId="2BBDFDC3">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851" w:type="dxa"/>
            <w:vAlign w:val="center"/>
          </w:tcPr>
          <w:p w14:paraId="0CA81661">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137" w:type="dxa"/>
            <w:vAlign w:val="center"/>
          </w:tcPr>
          <w:p w14:paraId="2B5B4FBA">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r>
      <w:tr w14:paraId="5843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230FCF5F">
            <w:pPr>
              <w:widowControl w:val="0"/>
              <w:wordWrap/>
              <w:adjustRightInd/>
              <w:snapToGrid/>
              <w:spacing w:line="560" w:lineRule="exact"/>
              <w:ind w:firstLine="199" w:firstLineChars="83"/>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p>
        </w:tc>
        <w:tc>
          <w:tcPr>
            <w:tcW w:w="1497" w:type="dxa"/>
            <w:vAlign w:val="center"/>
          </w:tcPr>
          <w:p w14:paraId="4657EDDC">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92" w:type="dxa"/>
            <w:vAlign w:val="center"/>
          </w:tcPr>
          <w:p w14:paraId="6459AA4A">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052" w:type="dxa"/>
            <w:vAlign w:val="center"/>
          </w:tcPr>
          <w:p w14:paraId="1EDC7F78">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356" w:type="dxa"/>
            <w:vAlign w:val="center"/>
          </w:tcPr>
          <w:p w14:paraId="64450AE4">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53" w:type="dxa"/>
            <w:vAlign w:val="center"/>
          </w:tcPr>
          <w:p w14:paraId="7C8127F8">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710" w:type="dxa"/>
            <w:vAlign w:val="center"/>
          </w:tcPr>
          <w:p w14:paraId="460C9156">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851" w:type="dxa"/>
            <w:vAlign w:val="center"/>
          </w:tcPr>
          <w:p w14:paraId="6D49741B">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137" w:type="dxa"/>
            <w:vAlign w:val="center"/>
          </w:tcPr>
          <w:p w14:paraId="08B8A7EC">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r>
      <w:tr w14:paraId="03D1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6583E28A">
            <w:pPr>
              <w:widowControl w:val="0"/>
              <w:wordWrap/>
              <w:adjustRightInd/>
              <w:snapToGrid/>
              <w:spacing w:line="560" w:lineRule="exact"/>
              <w:ind w:firstLine="199" w:firstLineChars="83"/>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w:t>
            </w:r>
          </w:p>
        </w:tc>
        <w:tc>
          <w:tcPr>
            <w:tcW w:w="1497" w:type="dxa"/>
            <w:vAlign w:val="center"/>
          </w:tcPr>
          <w:p w14:paraId="29237C86">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92" w:type="dxa"/>
            <w:vAlign w:val="center"/>
          </w:tcPr>
          <w:p w14:paraId="32283165">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052" w:type="dxa"/>
            <w:vAlign w:val="center"/>
          </w:tcPr>
          <w:p w14:paraId="0899894B">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356" w:type="dxa"/>
            <w:vAlign w:val="center"/>
          </w:tcPr>
          <w:p w14:paraId="242C5595">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53" w:type="dxa"/>
            <w:vAlign w:val="center"/>
          </w:tcPr>
          <w:p w14:paraId="31F6F883">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710" w:type="dxa"/>
            <w:vAlign w:val="center"/>
          </w:tcPr>
          <w:p w14:paraId="450D1F70">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851" w:type="dxa"/>
            <w:vAlign w:val="center"/>
          </w:tcPr>
          <w:p w14:paraId="283AC32E">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137" w:type="dxa"/>
            <w:vAlign w:val="center"/>
          </w:tcPr>
          <w:p w14:paraId="2E4A2E0B">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r>
      <w:tr w14:paraId="5A00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0F6EA758">
            <w:pPr>
              <w:widowControl w:val="0"/>
              <w:wordWrap/>
              <w:adjustRightInd/>
              <w:snapToGrid/>
              <w:spacing w:line="560" w:lineRule="exact"/>
              <w:ind w:firstLine="199" w:firstLineChars="83"/>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w:t>
            </w:r>
          </w:p>
        </w:tc>
        <w:tc>
          <w:tcPr>
            <w:tcW w:w="1497" w:type="dxa"/>
            <w:vAlign w:val="center"/>
          </w:tcPr>
          <w:p w14:paraId="5DFB6093">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92" w:type="dxa"/>
            <w:vAlign w:val="center"/>
          </w:tcPr>
          <w:p w14:paraId="2D0FF9F5">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052" w:type="dxa"/>
            <w:vAlign w:val="center"/>
          </w:tcPr>
          <w:p w14:paraId="63D0D841">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356" w:type="dxa"/>
            <w:vAlign w:val="center"/>
          </w:tcPr>
          <w:p w14:paraId="4F24A7FF">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53" w:type="dxa"/>
            <w:vAlign w:val="center"/>
          </w:tcPr>
          <w:p w14:paraId="5EFAD269">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710" w:type="dxa"/>
            <w:vAlign w:val="center"/>
          </w:tcPr>
          <w:p w14:paraId="5FE67DB0">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851" w:type="dxa"/>
            <w:vAlign w:val="center"/>
          </w:tcPr>
          <w:p w14:paraId="0321F89E">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137" w:type="dxa"/>
            <w:vAlign w:val="center"/>
          </w:tcPr>
          <w:p w14:paraId="66EECF8A">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r>
      <w:tr w14:paraId="4537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trPr>
        <w:tc>
          <w:tcPr>
            <w:tcW w:w="9206" w:type="dxa"/>
            <w:gridSpan w:val="9"/>
            <w:vAlign w:val="center"/>
          </w:tcPr>
          <w:p w14:paraId="59C87BE6">
            <w:pPr>
              <w:widowControl w:val="0"/>
              <w:wordWrap/>
              <w:adjustRightInd/>
              <w:snapToGrid/>
              <w:spacing w:line="560" w:lineRule="exact"/>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其他承诺及需要说明的事项：</w:t>
            </w:r>
          </w:p>
        </w:tc>
      </w:tr>
      <w:tr w14:paraId="185C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2155" w:type="dxa"/>
            <w:gridSpan w:val="2"/>
            <w:vAlign w:val="center"/>
          </w:tcPr>
          <w:p w14:paraId="614C1100">
            <w:pPr>
              <w:widowControl w:val="0"/>
              <w:wordWrap/>
              <w:adjustRightInd/>
              <w:snapToGrid/>
              <w:spacing w:line="560" w:lineRule="exact"/>
              <w:ind w:firstLine="480" w:firstLineChars="200"/>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总价</w:t>
            </w:r>
          </w:p>
        </w:tc>
        <w:tc>
          <w:tcPr>
            <w:tcW w:w="7051" w:type="dxa"/>
            <w:gridSpan w:val="7"/>
            <w:vAlign w:val="center"/>
          </w:tcPr>
          <w:p w14:paraId="0B407F7C">
            <w:pPr>
              <w:widowControl w:val="0"/>
              <w:wordWrap/>
              <w:adjustRightInd/>
              <w:snapToGrid/>
              <w:spacing w:line="560" w:lineRule="exact"/>
              <w:ind w:firstLine="480" w:firstLineChars="200"/>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大写：                      小写：</w:t>
            </w:r>
          </w:p>
        </w:tc>
      </w:tr>
    </w:tbl>
    <w:p w14:paraId="30821013">
      <w:pPr>
        <w:keepNext w:val="0"/>
        <w:keepLines w:val="0"/>
        <w:pageBreakBefore w:val="0"/>
        <w:widowControl w:val="0"/>
        <w:kinsoku/>
        <w:wordWrap/>
        <w:overflowPunct/>
        <w:topLinePunct w:val="0"/>
        <w:autoSpaceDE/>
        <w:autoSpaceDN/>
        <w:bidi w:val="0"/>
        <w:adjustRightInd/>
        <w:snapToGrid/>
        <w:spacing w:after="240" w:line="360" w:lineRule="auto"/>
        <w:textAlignment w:val="auto"/>
        <w:outlineLvl w:val="9"/>
        <w:rPr>
          <w:rFonts w:hint="eastAsia" w:ascii="宋体" w:hAnsi="宋体" w:eastAsia="宋体" w:cs="宋体"/>
          <w:b w:val="0"/>
          <w:bCs/>
          <w:color w:val="000000"/>
          <w:sz w:val="24"/>
          <w:szCs w:val="24"/>
          <w:lang w:val="en-US" w:eastAsia="zh-CN"/>
        </w:rPr>
      </w:pPr>
      <w:bookmarkStart w:id="437" w:name="_Toc698"/>
      <w:r>
        <w:rPr>
          <w:rFonts w:hint="eastAsia" w:ascii="宋体" w:hAnsi="宋体" w:eastAsia="宋体" w:cs="宋体"/>
          <w:b w:val="0"/>
          <w:bCs/>
          <w:color w:val="000000"/>
          <w:sz w:val="24"/>
          <w:szCs w:val="24"/>
          <w:lang w:val="en-US" w:eastAsia="zh-CN"/>
        </w:rPr>
        <w:t>注：1.本表应依照技术参数中的产品序号按顺序逐项填写，不得遗漏，否则，按无效投标处理。</w:t>
      </w:r>
    </w:p>
    <w:p w14:paraId="6489F935">
      <w:pPr>
        <w:keepNext w:val="0"/>
        <w:keepLines w:val="0"/>
        <w:pageBreakBefore w:val="0"/>
        <w:widowControl w:val="0"/>
        <w:kinsoku/>
        <w:wordWrap/>
        <w:overflowPunct/>
        <w:topLinePunct w:val="0"/>
        <w:autoSpaceDE/>
        <w:autoSpaceDN/>
        <w:bidi w:val="0"/>
        <w:adjustRightInd/>
        <w:snapToGrid/>
        <w:spacing w:after="240" w:line="360" w:lineRule="auto"/>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2.响应报价不能有两个或两个以上的报价方案。</w:t>
      </w:r>
    </w:p>
    <w:p w14:paraId="74432A3D">
      <w:pPr>
        <w:keepNext w:val="0"/>
        <w:keepLines w:val="0"/>
        <w:pageBreakBefore w:val="0"/>
        <w:widowControl w:val="0"/>
        <w:kinsoku/>
        <w:wordWrap/>
        <w:overflowPunct/>
        <w:topLinePunct w:val="0"/>
        <w:autoSpaceDE/>
        <w:autoSpaceDN/>
        <w:bidi w:val="0"/>
        <w:adjustRightInd/>
        <w:snapToGrid/>
        <w:spacing w:after="240" w:line="360" w:lineRule="auto"/>
        <w:ind w:firstLine="0" w:firstLineChars="0"/>
        <w:textAlignment w:val="auto"/>
        <w:outlineLvl w:val="9"/>
        <w:rPr>
          <w:rFonts w:hint="eastAsia" w:ascii="宋体" w:hAnsi="宋体" w:eastAsia="宋体" w:cs="宋体"/>
          <w:b w:val="0"/>
          <w:bCs w:val="0"/>
          <w:color w:val="000000"/>
          <w:sz w:val="24"/>
          <w:szCs w:val="24"/>
        </w:rPr>
      </w:pPr>
    </w:p>
    <w:p w14:paraId="5D155CDF">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p>
    <w:p w14:paraId="0921DCC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p>
    <w:p w14:paraId="0310A734">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仿宋_GB2312" w:hAnsi="仿宋_GB2312" w:eastAsia="仿宋_GB2312" w:cs="仿宋_GB2312"/>
          <w:b w:val="0"/>
          <w:bCs/>
          <w:color w:val="000000"/>
          <w:sz w:val="32"/>
          <w:szCs w:val="32"/>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   月  日</w:t>
      </w:r>
    </w:p>
    <w:p w14:paraId="78D6AA62">
      <w:pPr>
        <w:widowControl/>
        <w:wordWrap/>
        <w:snapToGrid w:val="0"/>
        <w:spacing w:before="157" w:beforeLines="50" w:line="560" w:lineRule="exact"/>
        <w:outlineLvl w:val="1"/>
        <w:rPr>
          <w:rFonts w:hint="eastAsia" w:ascii="宋体" w:hAnsi="宋体" w:cs="宋体"/>
          <w:b/>
          <w:color w:val="000000"/>
          <w:sz w:val="36"/>
          <w:szCs w:val="36"/>
        </w:rPr>
      </w:pPr>
      <w:bookmarkStart w:id="438" w:name="_Toc13098_WPSOffice_Level3"/>
      <w:bookmarkStart w:id="439" w:name="_Toc20734"/>
      <w:r>
        <w:rPr>
          <w:rFonts w:hint="eastAsia" w:ascii="仿宋_GB2312" w:hAnsi="仿宋_GB2312" w:eastAsia="仿宋_GB2312" w:cs="仿宋_GB2312"/>
          <w:b/>
          <w:color w:val="000000"/>
          <w:sz w:val="30"/>
          <w:szCs w:val="30"/>
          <w:lang w:eastAsia="zh-CN"/>
        </w:rPr>
        <w:br w:type="page"/>
      </w:r>
      <w:bookmarkStart w:id="440" w:name="_Toc28398"/>
      <w:bookmarkStart w:id="441" w:name="_Toc28715"/>
      <w:bookmarkStart w:id="442" w:name="_Toc28315_WPSOffice_Level3"/>
      <w:r>
        <w:rPr>
          <w:rFonts w:hint="eastAsia" w:ascii="宋体" w:hAnsi="宋体" w:eastAsia="宋体" w:cs="宋体"/>
          <w:b/>
          <w:bCs w:val="0"/>
          <w:color w:val="000000"/>
          <w:kern w:val="2"/>
          <w:sz w:val="32"/>
          <w:szCs w:val="32"/>
          <w:lang w:val="en-US" w:eastAsia="zh-CN" w:bidi="ar-SA"/>
        </w:rPr>
        <w:t>附件12：技术规格响应表</w:t>
      </w:r>
      <w:bookmarkEnd w:id="437"/>
      <w:bookmarkEnd w:id="438"/>
      <w:bookmarkEnd w:id="439"/>
      <w:bookmarkEnd w:id="440"/>
      <w:bookmarkEnd w:id="441"/>
      <w:bookmarkEnd w:id="442"/>
    </w:p>
    <w:p w14:paraId="1A28E6F1">
      <w:pPr>
        <w:wordWrap/>
        <w:spacing w:before="157" w:beforeLines="50" w:line="560" w:lineRule="exact"/>
        <w:jc w:val="center"/>
        <w:outlineLvl w:val="9"/>
        <w:rPr>
          <w:rFonts w:hint="eastAsia" w:ascii="宋体" w:hAnsi="宋体" w:eastAsia="宋体" w:cs="宋体"/>
          <w:b/>
          <w:color w:val="000000"/>
          <w:sz w:val="32"/>
          <w:szCs w:val="32"/>
          <w:lang w:val="zh-CN" w:eastAsia="zh-CN"/>
        </w:rPr>
      </w:pPr>
      <w:bookmarkStart w:id="443" w:name="_Toc27772_WPSOffice_Level3"/>
      <w:bookmarkStart w:id="444" w:name="_Toc22043_WPSOffice_Level1"/>
      <w:bookmarkStart w:id="445" w:name="_Toc27646_WPSOffice_Level1"/>
      <w:r>
        <w:rPr>
          <w:rFonts w:hint="eastAsia" w:ascii="宋体" w:hAnsi="宋体" w:eastAsia="宋体" w:cs="宋体"/>
          <w:b/>
          <w:color w:val="000000"/>
          <w:sz w:val="32"/>
          <w:szCs w:val="32"/>
          <w:lang w:val="zh-CN" w:eastAsia="zh-CN"/>
        </w:rPr>
        <w:t>技术规格响应表</w:t>
      </w:r>
      <w:bookmarkEnd w:id="443"/>
      <w:bookmarkEnd w:id="444"/>
      <w:bookmarkEnd w:id="445"/>
    </w:p>
    <w:p w14:paraId="36D89677">
      <w:pPr>
        <w:widowControl w:val="0"/>
        <w:wordWrap/>
        <w:adjustRightInd/>
        <w:snapToGrid/>
        <w:spacing w:line="560" w:lineRule="exact"/>
        <w:jc w:val="left"/>
        <w:textAlignment w:val="auto"/>
        <w:outlineLvl w:val="9"/>
        <w:rPr>
          <w:rFonts w:hint="eastAsia" w:ascii="宋体" w:hAnsi="宋体" w:eastAsia="宋体" w:cs="宋体"/>
          <w:b w:val="0"/>
          <w:bCs/>
          <w:color w:val="000000"/>
          <w:sz w:val="24"/>
          <w:szCs w:val="24"/>
        </w:rPr>
      </w:pPr>
      <w:bookmarkStart w:id="446" w:name="_Toc14764_WPSOffice_Level2"/>
      <w:r>
        <w:rPr>
          <w:rFonts w:hint="eastAsia" w:ascii="宋体" w:hAnsi="宋体" w:eastAsia="宋体" w:cs="宋体"/>
          <w:b w:val="0"/>
          <w:bCs/>
          <w:color w:val="000000"/>
          <w:sz w:val="24"/>
          <w:szCs w:val="24"/>
        </w:rPr>
        <w:t>供应商名称:</w:t>
      </w:r>
      <w:bookmarkEnd w:id="446"/>
    </w:p>
    <w:tbl>
      <w:tblPr>
        <w:tblStyle w:val="19"/>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1"/>
        <w:gridCol w:w="908"/>
        <w:gridCol w:w="2835"/>
        <w:gridCol w:w="937"/>
        <w:gridCol w:w="2952"/>
        <w:gridCol w:w="894"/>
      </w:tblGrid>
      <w:tr w14:paraId="74D7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11" w:type="dxa"/>
            <w:vAlign w:val="top"/>
          </w:tcPr>
          <w:p w14:paraId="7674A46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c>
          <w:tcPr>
            <w:tcW w:w="3743" w:type="dxa"/>
            <w:gridSpan w:val="2"/>
            <w:vAlign w:val="top"/>
          </w:tcPr>
          <w:p w14:paraId="21A1AAEC">
            <w:pPr>
              <w:widowControl w:val="0"/>
              <w:wordWrap/>
              <w:adjustRightInd/>
              <w:snapToGrid/>
              <w:spacing w:line="560" w:lineRule="exact"/>
              <w:ind w:firstLine="120" w:firstLineChars="5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采购需求技术参数、指标</w:t>
            </w:r>
          </w:p>
        </w:tc>
        <w:tc>
          <w:tcPr>
            <w:tcW w:w="3889" w:type="dxa"/>
            <w:gridSpan w:val="2"/>
            <w:vAlign w:val="top"/>
          </w:tcPr>
          <w:p w14:paraId="748A561E">
            <w:pPr>
              <w:widowControl w:val="0"/>
              <w:wordWrap/>
              <w:adjustRightInd/>
              <w:snapToGrid/>
              <w:spacing w:line="56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投标产品技术参数、指标</w:t>
            </w:r>
          </w:p>
        </w:tc>
        <w:tc>
          <w:tcPr>
            <w:tcW w:w="894" w:type="dxa"/>
            <w:vAlign w:val="center"/>
          </w:tcPr>
          <w:p w14:paraId="5DD8071F">
            <w:pPr>
              <w:widowControl w:val="0"/>
              <w:wordWrap/>
              <w:adjustRightInd/>
              <w:snapToGrid/>
              <w:spacing w:line="56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偏离</w:t>
            </w:r>
          </w:p>
        </w:tc>
      </w:tr>
      <w:tr w14:paraId="0C8B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11" w:type="dxa"/>
            <w:vAlign w:val="top"/>
          </w:tcPr>
          <w:p w14:paraId="55020079">
            <w:pPr>
              <w:widowControl w:val="0"/>
              <w:wordWrap/>
              <w:adjustRightInd/>
              <w:snapToGrid/>
              <w:spacing w:line="5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908" w:type="dxa"/>
            <w:vAlign w:val="center"/>
          </w:tcPr>
          <w:p w14:paraId="5777271E">
            <w:pPr>
              <w:widowControl w:val="0"/>
              <w:wordWrap/>
              <w:adjustRightInd/>
              <w:snapToGrid/>
              <w:spacing w:line="5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2835" w:type="dxa"/>
            <w:vAlign w:val="center"/>
          </w:tcPr>
          <w:p w14:paraId="15AD9F1E">
            <w:pPr>
              <w:widowControl w:val="0"/>
              <w:wordWrap/>
              <w:adjustRightInd/>
              <w:snapToGrid/>
              <w:spacing w:line="56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技术参数、指标及配置</w:t>
            </w:r>
          </w:p>
        </w:tc>
        <w:tc>
          <w:tcPr>
            <w:tcW w:w="937" w:type="dxa"/>
            <w:vAlign w:val="center"/>
          </w:tcPr>
          <w:p w14:paraId="720127D8">
            <w:pPr>
              <w:widowControl w:val="0"/>
              <w:wordWrap/>
              <w:adjustRightInd/>
              <w:snapToGrid/>
              <w:spacing w:line="5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2952" w:type="dxa"/>
            <w:vAlign w:val="center"/>
          </w:tcPr>
          <w:p w14:paraId="4B0E6161">
            <w:pPr>
              <w:widowControl w:val="0"/>
              <w:wordWrap/>
              <w:adjustRightInd/>
              <w:snapToGrid/>
              <w:spacing w:line="56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技术参数、指标及配置</w:t>
            </w:r>
          </w:p>
        </w:tc>
        <w:tc>
          <w:tcPr>
            <w:tcW w:w="894" w:type="dxa"/>
            <w:vAlign w:val="top"/>
          </w:tcPr>
          <w:p w14:paraId="5D0234BF">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r>
      <w:tr w14:paraId="2092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11" w:type="dxa"/>
            <w:vAlign w:val="center"/>
          </w:tcPr>
          <w:p w14:paraId="0A730A12">
            <w:pPr>
              <w:widowControl w:val="0"/>
              <w:wordWrap/>
              <w:adjustRightInd/>
              <w:snapToGrid/>
              <w:spacing w:line="560" w:lineRule="exact"/>
              <w:ind w:firstLine="199" w:firstLineChars="83"/>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908" w:type="dxa"/>
            <w:vAlign w:val="top"/>
          </w:tcPr>
          <w:p w14:paraId="78085FBF">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835" w:type="dxa"/>
            <w:vAlign w:val="top"/>
          </w:tcPr>
          <w:p w14:paraId="045F63C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937" w:type="dxa"/>
            <w:vAlign w:val="top"/>
          </w:tcPr>
          <w:p w14:paraId="36B546A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952" w:type="dxa"/>
            <w:vAlign w:val="top"/>
          </w:tcPr>
          <w:p w14:paraId="58B96236">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894" w:type="dxa"/>
            <w:vAlign w:val="top"/>
          </w:tcPr>
          <w:p w14:paraId="7C40FA4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r>
      <w:tr w14:paraId="2EDA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11" w:type="dxa"/>
            <w:vAlign w:val="center"/>
          </w:tcPr>
          <w:p w14:paraId="0D5F086A">
            <w:pPr>
              <w:widowControl w:val="0"/>
              <w:wordWrap/>
              <w:adjustRightInd/>
              <w:snapToGrid/>
              <w:spacing w:line="560" w:lineRule="exact"/>
              <w:ind w:firstLine="199" w:firstLineChars="83"/>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908" w:type="dxa"/>
            <w:vAlign w:val="top"/>
          </w:tcPr>
          <w:p w14:paraId="68FD9FD3">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835" w:type="dxa"/>
            <w:vAlign w:val="top"/>
          </w:tcPr>
          <w:p w14:paraId="0F03FCEF">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937" w:type="dxa"/>
            <w:vAlign w:val="top"/>
          </w:tcPr>
          <w:p w14:paraId="651C7463">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952" w:type="dxa"/>
            <w:vAlign w:val="top"/>
          </w:tcPr>
          <w:p w14:paraId="032B4278">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894" w:type="dxa"/>
            <w:vAlign w:val="top"/>
          </w:tcPr>
          <w:p w14:paraId="48A11D74">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r>
      <w:tr w14:paraId="2947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611" w:type="dxa"/>
            <w:vAlign w:val="center"/>
          </w:tcPr>
          <w:p w14:paraId="692BF88C">
            <w:pPr>
              <w:widowControl w:val="0"/>
              <w:wordWrap/>
              <w:adjustRightInd/>
              <w:snapToGrid/>
              <w:spacing w:line="560" w:lineRule="exact"/>
              <w:ind w:firstLine="199" w:firstLineChars="83"/>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908" w:type="dxa"/>
            <w:vAlign w:val="top"/>
          </w:tcPr>
          <w:p w14:paraId="65E5B4A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835" w:type="dxa"/>
            <w:vAlign w:val="top"/>
          </w:tcPr>
          <w:p w14:paraId="3CCC322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937" w:type="dxa"/>
            <w:vAlign w:val="top"/>
          </w:tcPr>
          <w:p w14:paraId="0DCDB4C3">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952" w:type="dxa"/>
            <w:vAlign w:val="top"/>
          </w:tcPr>
          <w:p w14:paraId="2AED884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894" w:type="dxa"/>
            <w:vAlign w:val="top"/>
          </w:tcPr>
          <w:p w14:paraId="271B4015">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r>
    </w:tbl>
    <w:p w14:paraId="6893E6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注：1.本表应</w:t>
      </w:r>
      <w:r>
        <w:rPr>
          <w:rFonts w:hint="eastAsia" w:ascii="宋体" w:hAnsi="宋体" w:eastAsia="宋体" w:cs="宋体"/>
          <w:color w:val="auto"/>
          <w:kern w:val="0"/>
          <w:sz w:val="24"/>
          <w:szCs w:val="24"/>
          <w:lang w:val="en-US" w:eastAsia="zh-CN" w:bidi="ar"/>
        </w:rPr>
        <w:t>按照“</w:t>
      </w:r>
      <w:r>
        <w:rPr>
          <w:rFonts w:hint="eastAsia" w:ascii="宋体" w:hAnsi="宋体" w:cs="宋体"/>
          <w:color w:val="auto"/>
          <w:kern w:val="0"/>
          <w:sz w:val="24"/>
          <w:szCs w:val="24"/>
          <w:lang w:val="en-US" w:eastAsia="zh-CN" w:bidi="ar"/>
        </w:rPr>
        <w:t xml:space="preserve">第三部分 </w:t>
      </w:r>
      <w:r>
        <w:rPr>
          <w:rFonts w:hint="eastAsia" w:ascii="宋体" w:hAnsi="宋体" w:eastAsia="宋体" w:cs="宋体"/>
          <w:color w:val="auto"/>
          <w:kern w:val="0"/>
          <w:sz w:val="24"/>
          <w:szCs w:val="24"/>
          <w:lang w:val="en-US" w:eastAsia="zh-CN" w:bidi="ar"/>
        </w:rPr>
        <w:t>技术参数”中产品</w:t>
      </w:r>
      <w:r>
        <w:rPr>
          <w:rFonts w:hint="eastAsia" w:ascii="宋体" w:hAnsi="宋体" w:eastAsia="宋体" w:cs="宋体"/>
          <w:color w:val="000000"/>
          <w:kern w:val="0"/>
          <w:sz w:val="24"/>
          <w:szCs w:val="24"/>
          <w:lang w:val="en-US" w:eastAsia="zh-CN" w:bidi="ar"/>
        </w:rPr>
        <w:t xml:space="preserve">序号的指标逐项填写，不得遗漏， 否则，按无效投标处理。 </w:t>
      </w:r>
    </w:p>
    <w:p w14:paraId="40F0EE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FF0000"/>
          <w:kern w:val="0"/>
          <w:sz w:val="24"/>
          <w:szCs w:val="24"/>
          <w:lang w:val="en-US" w:eastAsia="zh-CN" w:bidi="ar"/>
        </w:rPr>
        <w:t>“投标产品技术参数、指标”必须与响应文件中提供的产品检测报告、彩页等证明材料的实质性响应情况相一致。若在评标环节发现该项与响应文件中提供的产品检测报告、彩页（或厂家公开发布的资料参数）等证明材料的实质性响应情况不一致或直接复制</w:t>
      </w:r>
      <w:r>
        <w:rPr>
          <w:rFonts w:hint="eastAsia" w:ascii="宋体" w:hAnsi="宋体" w:cs="宋体"/>
          <w:color w:val="FF0000"/>
          <w:kern w:val="0"/>
          <w:sz w:val="24"/>
          <w:szCs w:val="24"/>
          <w:lang w:val="en-US" w:eastAsia="zh-CN" w:bidi="ar"/>
        </w:rPr>
        <w:t>谈</w:t>
      </w:r>
      <w:r>
        <w:rPr>
          <w:rFonts w:hint="eastAsia" w:ascii="宋体" w:hAnsi="宋体" w:eastAsia="宋体" w:cs="宋体"/>
          <w:color w:val="FF0000"/>
          <w:kern w:val="0"/>
          <w:sz w:val="24"/>
          <w:szCs w:val="24"/>
          <w:lang w:val="en-US" w:eastAsia="zh-CN" w:bidi="ar"/>
        </w:rPr>
        <w:t xml:space="preserve">文件“采购需求技术参数、指标”内容的，按无效投标处理。 </w:t>
      </w:r>
    </w:p>
    <w:p w14:paraId="3F0FEF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3.填写此表时以招标项目参数要求为基本响应要求，满足招标项目参数要求的指标需列 出“0”；超出、不满足招标项目参数要求的指标需列出“+”、“-”偏差，并做出详细说明； 如果只注明“+”、“-”或未填写，将视为该项指标不响应。 </w:t>
      </w:r>
    </w:p>
    <w:p w14:paraId="3CD600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4.供应商响应采购需求应具体、明确，含糊不清、不确切或伪造、编造证明材料的，按照实质性不响应处理。对伪造、编造证明材料的，将报告本级财政部门。</w:t>
      </w:r>
    </w:p>
    <w:p w14:paraId="55630017">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7E623DCF">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p>
    <w:p w14:paraId="4A6983F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p>
    <w:p w14:paraId="3B0446FC">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仿宋_GB2312" w:hAnsi="仿宋_GB2312" w:eastAsia="仿宋_GB2312" w:cs="仿宋_GB2312"/>
          <w:b w:val="0"/>
          <w:bCs/>
          <w:color w:val="000000"/>
          <w:sz w:val="32"/>
          <w:szCs w:val="32"/>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   月  日</w:t>
      </w:r>
    </w:p>
    <w:p w14:paraId="58912AFE">
      <w:pPr>
        <w:widowControl/>
        <w:wordWrap/>
        <w:snapToGrid/>
        <w:spacing w:before="157" w:beforeLines="50" w:line="560" w:lineRule="exact"/>
        <w:outlineLvl w:val="9"/>
        <w:rPr>
          <w:rFonts w:hint="eastAsia" w:ascii="宋体" w:hAnsi="宋体" w:cs="宋体"/>
          <w:b/>
          <w:color w:val="000000"/>
          <w:sz w:val="32"/>
          <w:szCs w:val="32"/>
          <w:lang w:val="zh-CN"/>
        </w:rPr>
      </w:pPr>
      <w:bookmarkStart w:id="447" w:name="_Toc7597"/>
      <w:bookmarkStart w:id="448" w:name="_Toc14547"/>
      <w:bookmarkStart w:id="449" w:name="_Toc6913_WPSOffice_Level3"/>
      <w:bookmarkStart w:id="450" w:name="_Toc18025_WPSOffice_Level3"/>
      <w:bookmarkStart w:id="451" w:name="_Toc28501"/>
      <w:bookmarkStart w:id="452" w:name="_Toc2601"/>
      <w:r>
        <w:rPr>
          <w:rFonts w:hint="eastAsia" w:ascii="宋体" w:hAnsi="宋体" w:eastAsia="宋体" w:cs="宋体"/>
          <w:b/>
          <w:bCs w:val="0"/>
          <w:color w:val="000000"/>
          <w:kern w:val="2"/>
          <w:sz w:val="32"/>
          <w:szCs w:val="32"/>
          <w:lang w:val="zh-CN" w:eastAsia="zh-CN" w:bidi="ar-SA"/>
        </w:rPr>
        <w:t>附件13：</w:t>
      </w:r>
      <w:bookmarkEnd w:id="447"/>
      <w:bookmarkEnd w:id="448"/>
      <w:bookmarkEnd w:id="449"/>
      <w:r>
        <w:rPr>
          <w:rFonts w:hint="eastAsia" w:ascii="宋体" w:hAnsi="宋体" w:eastAsia="宋体" w:cs="宋体"/>
          <w:b/>
          <w:bCs w:val="0"/>
          <w:color w:val="000000"/>
          <w:kern w:val="2"/>
          <w:sz w:val="32"/>
          <w:szCs w:val="32"/>
          <w:lang w:val="zh-CN" w:eastAsia="zh-CN" w:bidi="ar-SA"/>
        </w:rPr>
        <w:t>具备履行合同所必须的设备和专业技术能力证明</w:t>
      </w:r>
      <w:bookmarkEnd w:id="450"/>
      <w:bookmarkEnd w:id="451"/>
      <w:bookmarkEnd w:id="452"/>
    </w:p>
    <w:p w14:paraId="6F31F484">
      <w:pPr>
        <w:wordWrap/>
        <w:spacing w:before="157" w:beforeLines="50" w:line="560" w:lineRule="exact"/>
        <w:jc w:val="center"/>
        <w:outlineLvl w:val="9"/>
        <w:rPr>
          <w:rFonts w:hint="eastAsia" w:ascii="宋体" w:hAnsi="宋体" w:cs="宋体"/>
          <w:b/>
          <w:bCs w:val="0"/>
          <w:color w:val="000000"/>
          <w:sz w:val="32"/>
          <w:szCs w:val="32"/>
          <w:lang w:val="zh-CN"/>
        </w:rPr>
      </w:pPr>
      <w:bookmarkStart w:id="453" w:name="_Toc21309_WPSOffice_Level3"/>
      <w:bookmarkStart w:id="454" w:name="_Toc2954_WPSOffice_Level1"/>
      <w:bookmarkStart w:id="455" w:name="_Toc19683_WPSOffice_Level1"/>
      <w:r>
        <w:rPr>
          <w:rFonts w:hint="eastAsia" w:ascii="宋体" w:hAnsi="宋体" w:eastAsia="宋体" w:cs="宋体"/>
          <w:b/>
          <w:color w:val="000000"/>
          <w:sz w:val="32"/>
          <w:szCs w:val="32"/>
          <w:lang w:val="zh-CN" w:eastAsia="zh-CN"/>
        </w:rPr>
        <w:t>产品相关资料</w:t>
      </w:r>
      <w:bookmarkEnd w:id="453"/>
      <w:bookmarkEnd w:id="454"/>
      <w:bookmarkEnd w:id="455"/>
    </w:p>
    <w:p w14:paraId="29C22636">
      <w:pPr>
        <w:keepNext w:val="0"/>
        <w:keepLines w:val="0"/>
        <w:pageBreakBefore w:val="0"/>
        <w:widowControl/>
        <w:suppressLineNumbers w:val="0"/>
        <w:kinsoku/>
        <w:wordWrap/>
        <w:overflowPunct/>
        <w:topLinePunct w:val="0"/>
        <w:autoSpaceDE/>
        <w:autoSpaceDN/>
        <w:bidi w:val="0"/>
        <w:adjustRightInd/>
        <w:snapToGrid/>
        <w:spacing w:after="240" w:line="360" w:lineRule="auto"/>
        <w:ind w:firstLine="480" w:firstLineChars="200"/>
        <w:jc w:val="left"/>
        <w:textAlignment w:val="auto"/>
        <w:rPr>
          <w:rFonts w:hint="eastAsia" w:ascii="宋体" w:hAnsi="宋体" w:eastAsia="宋体" w:cs="宋体"/>
          <w:color w:val="000000"/>
          <w:kern w:val="0"/>
          <w:sz w:val="24"/>
          <w:szCs w:val="24"/>
          <w:lang w:val="en-US" w:eastAsia="zh-CN" w:bidi="ar"/>
        </w:rPr>
        <w:sectPr>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000000"/>
          <w:kern w:val="0"/>
          <w:sz w:val="24"/>
          <w:szCs w:val="24"/>
          <w:lang w:val="en-US" w:eastAsia="zh-CN" w:bidi="ar"/>
        </w:rPr>
        <w:t>为保证本项目合同的顺利履行，供应商必须具备履行合同的设备和专业技术能力，须提供履行合同的设备和专业技术能力的承诺函（格式自拟）。</w:t>
      </w:r>
    </w:p>
    <w:p w14:paraId="54616020">
      <w:pPr>
        <w:wordWrap/>
        <w:spacing w:before="157" w:beforeLines="50" w:line="560" w:lineRule="exact"/>
        <w:jc w:val="left"/>
        <w:outlineLvl w:val="9"/>
        <w:rPr>
          <w:rFonts w:hint="eastAsia" w:ascii="宋体" w:hAnsi="宋体" w:eastAsia="宋体" w:cs="宋体"/>
          <w:b/>
          <w:color w:val="000000"/>
          <w:sz w:val="32"/>
          <w:szCs w:val="32"/>
          <w:lang w:val="zh-CN" w:eastAsia="zh-CN"/>
        </w:rPr>
      </w:pPr>
      <w:r>
        <w:rPr>
          <w:rFonts w:hint="eastAsia" w:ascii="宋体" w:hAnsi="宋体" w:eastAsia="宋体" w:cs="宋体"/>
          <w:b/>
          <w:color w:val="000000"/>
          <w:sz w:val="32"/>
          <w:szCs w:val="32"/>
          <w:lang w:val="en-US" w:eastAsia="zh-CN"/>
        </w:rPr>
        <w:t>附件14：所投产品相关资料</w:t>
      </w:r>
    </w:p>
    <w:p w14:paraId="2574C8D3">
      <w:pPr>
        <w:keepNext w:val="0"/>
        <w:keepLines w:val="0"/>
        <w:pageBreakBefore w:val="0"/>
        <w:widowControl/>
        <w:suppressLineNumbers w:val="0"/>
        <w:kinsoku/>
        <w:wordWrap/>
        <w:overflowPunct/>
        <w:topLinePunct w:val="0"/>
        <w:autoSpaceDE/>
        <w:autoSpaceDN/>
        <w:bidi w:val="0"/>
        <w:adjustRightInd/>
        <w:snapToGrid/>
        <w:spacing w:after="240" w:line="360" w:lineRule="auto"/>
        <w:ind w:firstLine="480" w:firstLineChars="200"/>
        <w:jc w:val="left"/>
        <w:textAlignment w:val="auto"/>
        <w:rPr>
          <w:rFonts w:hint="default" w:ascii="宋体" w:hAnsi="宋体" w:eastAsia="宋体" w:cs="宋体"/>
          <w:color w:val="000000"/>
          <w:kern w:val="0"/>
          <w:sz w:val="24"/>
          <w:szCs w:val="24"/>
          <w:lang w:val="en-US" w:eastAsia="zh-CN" w:bidi="ar"/>
        </w:rPr>
      </w:pPr>
    </w:p>
    <w:p w14:paraId="5BAC84F5">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8"/>
          <w:szCs w:val="28"/>
          <w:lang w:val="en-US" w:eastAsia="zh-CN" w:bidi="ar"/>
        </w:rPr>
        <w:t>所投产品相关资料</w:t>
      </w:r>
    </w:p>
    <w:p w14:paraId="3856AB8D">
      <w:pPr>
        <w:keepNext w:val="0"/>
        <w:keepLines w:val="0"/>
        <w:pageBreakBefore w:val="0"/>
        <w:widowControl/>
        <w:suppressLineNumbers w:val="0"/>
        <w:kinsoku/>
        <w:wordWrap/>
        <w:overflowPunct/>
        <w:topLinePunct w:val="0"/>
        <w:autoSpaceDE/>
        <w:autoSpaceDN/>
        <w:bidi w:val="0"/>
        <w:adjustRightInd/>
        <w:snapToGrid/>
        <w:spacing w:after="240" w:line="360" w:lineRule="auto"/>
        <w:ind w:firstLine="480" w:firstLineChars="200"/>
        <w:jc w:val="left"/>
        <w:textAlignment w:val="auto"/>
        <w:rPr>
          <w:rFonts w:hint="default" w:ascii="宋体" w:hAnsi="宋体" w:eastAsia="宋体" w:cs="宋体"/>
          <w:color w:val="auto"/>
          <w:kern w:val="0"/>
          <w:sz w:val="24"/>
          <w:szCs w:val="24"/>
          <w:lang w:val="en-US" w:eastAsia="zh-CN" w:bidi="ar"/>
        </w:rPr>
        <w:sectPr>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宋体" w:hAnsi="宋体" w:eastAsia="宋体" w:cs="宋体"/>
          <w:color w:val="auto"/>
          <w:kern w:val="0"/>
          <w:sz w:val="24"/>
          <w:szCs w:val="24"/>
          <w:lang w:val="en-US" w:eastAsia="zh-CN" w:bidi="ar"/>
        </w:rPr>
        <w:t>根据采购项目内容，响应文件中须提供生产厂家公开发布的产品资料或产品使用说明书或产品生产厂家技术白皮书或国家认可的第三方检测机构出具的检验报告。</w:t>
      </w:r>
    </w:p>
    <w:p w14:paraId="7666DA9D">
      <w:pPr>
        <w:widowControl/>
        <w:wordWrap/>
        <w:snapToGrid w:val="0"/>
        <w:spacing w:before="157" w:beforeLines="50" w:line="560" w:lineRule="exact"/>
        <w:outlineLvl w:val="1"/>
        <w:rPr>
          <w:rFonts w:hint="eastAsia" w:ascii="宋体" w:hAnsi="宋体" w:eastAsia="宋体" w:cs="宋体"/>
          <w:b/>
          <w:bCs w:val="0"/>
          <w:color w:val="000000"/>
          <w:kern w:val="2"/>
          <w:sz w:val="32"/>
          <w:szCs w:val="32"/>
          <w:lang w:val="en-US" w:eastAsia="zh-CN" w:bidi="ar-SA"/>
        </w:rPr>
      </w:pPr>
      <w:bookmarkStart w:id="456" w:name="_Toc31301_WPSOffice_Level3"/>
      <w:bookmarkStart w:id="457" w:name="_Toc11887"/>
      <w:bookmarkStart w:id="458" w:name="_Toc10368"/>
      <w:bookmarkStart w:id="459" w:name="_Toc4925"/>
      <w:bookmarkStart w:id="460" w:name="_Toc3146_WPSOffice_Level3"/>
      <w:bookmarkStart w:id="461" w:name="_Toc17566"/>
      <w:r>
        <w:rPr>
          <w:rFonts w:hint="eastAsia" w:ascii="宋体" w:hAnsi="宋体" w:eastAsia="宋体" w:cs="宋体"/>
          <w:b/>
          <w:bCs w:val="0"/>
          <w:color w:val="000000"/>
          <w:kern w:val="2"/>
          <w:sz w:val="32"/>
          <w:szCs w:val="32"/>
          <w:lang w:val="en-US" w:eastAsia="zh-CN" w:bidi="ar-SA"/>
        </w:rPr>
        <w:t>附件1</w:t>
      </w:r>
      <w:r>
        <w:rPr>
          <w:rFonts w:hint="eastAsia" w:ascii="宋体" w:hAnsi="宋体" w:cs="宋体"/>
          <w:b/>
          <w:bCs w:val="0"/>
          <w:color w:val="000000"/>
          <w:kern w:val="2"/>
          <w:sz w:val="32"/>
          <w:szCs w:val="32"/>
          <w:lang w:val="en-US" w:eastAsia="zh-CN" w:bidi="ar-SA"/>
        </w:rPr>
        <w:t>5</w:t>
      </w:r>
      <w:r>
        <w:rPr>
          <w:rFonts w:hint="eastAsia" w:ascii="宋体" w:hAnsi="宋体" w:eastAsia="宋体" w:cs="宋体"/>
          <w:b/>
          <w:bCs w:val="0"/>
          <w:color w:val="000000"/>
          <w:kern w:val="2"/>
          <w:sz w:val="32"/>
          <w:szCs w:val="32"/>
          <w:lang w:val="en-US" w:eastAsia="zh-CN" w:bidi="ar-SA"/>
        </w:rPr>
        <w:t>：</w:t>
      </w:r>
      <w:bookmarkEnd w:id="456"/>
      <w:bookmarkEnd w:id="457"/>
      <w:bookmarkEnd w:id="458"/>
      <w:bookmarkEnd w:id="459"/>
      <w:bookmarkEnd w:id="460"/>
      <w:bookmarkEnd w:id="461"/>
      <w:r>
        <w:rPr>
          <w:rFonts w:hint="eastAsia" w:ascii="宋体" w:hAnsi="宋体" w:eastAsia="宋体" w:cs="宋体"/>
          <w:b/>
          <w:bCs w:val="0"/>
          <w:color w:val="000000"/>
          <w:kern w:val="2"/>
          <w:sz w:val="32"/>
          <w:szCs w:val="32"/>
          <w:lang w:val="en-US" w:eastAsia="zh-CN" w:bidi="ar-SA"/>
        </w:rPr>
        <w:t>中小企业声明函</w:t>
      </w:r>
    </w:p>
    <w:p w14:paraId="01C41380">
      <w:pPr>
        <w:numPr>
          <w:ilvl w:val="0"/>
          <w:numId w:val="0"/>
        </w:numPr>
        <w:wordWrap/>
        <w:adjustRightInd w:val="0"/>
        <w:snapToGrid w:val="0"/>
        <w:spacing w:before="157" w:beforeLines="50" w:line="560" w:lineRule="exact"/>
        <w:jc w:val="center"/>
        <w:outlineLvl w:val="9"/>
        <w:rPr>
          <w:rFonts w:hint="eastAsia" w:ascii="宋体" w:hAnsi="宋体" w:eastAsia="宋体" w:cs="宋体"/>
          <w:b w:val="0"/>
          <w:bCs w:val="0"/>
          <w:color w:val="auto"/>
          <w:kern w:val="2"/>
          <w:sz w:val="32"/>
          <w:szCs w:val="32"/>
          <w:lang w:val="en-US" w:eastAsia="zh-CN" w:bidi="ar-SA"/>
        </w:rPr>
      </w:pPr>
      <w:bookmarkStart w:id="462" w:name="_Toc31539"/>
      <w:bookmarkStart w:id="463" w:name="_Toc6454"/>
      <w:bookmarkStart w:id="464" w:name="_Toc22784_WPSOffice_Level3"/>
      <w:r>
        <w:rPr>
          <w:rFonts w:hint="eastAsia" w:ascii="宋体" w:hAnsi="宋体" w:eastAsia="宋体" w:cs="宋体"/>
          <w:b w:val="0"/>
          <w:bCs w:val="0"/>
          <w:color w:val="auto"/>
          <w:kern w:val="2"/>
          <w:sz w:val="32"/>
          <w:szCs w:val="32"/>
          <w:lang w:val="en-US" w:eastAsia="zh-CN" w:bidi="ar-SA"/>
        </w:rPr>
        <w:t>中小企业声明函</w:t>
      </w:r>
      <w:bookmarkEnd w:id="462"/>
      <w:bookmarkEnd w:id="463"/>
      <w:bookmarkEnd w:id="464"/>
      <w:r>
        <w:rPr>
          <w:rFonts w:hint="eastAsia" w:ascii="宋体" w:hAnsi="宋体" w:eastAsia="宋体" w:cs="宋体"/>
          <w:b w:val="0"/>
          <w:bCs w:val="0"/>
          <w:color w:val="auto"/>
          <w:kern w:val="2"/>
          <w:sz w:val="32"/>
          <w:szCs w:val="32"/>
          <w:lang w:val="en-US" w:eastAsia="zh-CN" w:bidi="ar-SA"/>
        </w:rPr>
        <w:t>（货物）</w:t>
      </w:r>
    </w:p>
    <w:p w14:paraId="061E316B">
      <w:pPr>
        <w:keepNext w:val="0"/>
        <w:keepLines w:val="0"/>
        <w:pageBreakBefore w:val="0"/>
        <w:widowControl/>
        <w:kinsoku/>
        <w:wordWrap/>
        <w:overflowPunct/>
        <w:topLinePunct w:val="0"/>
        <w:autoSpaceDE/>
        <w:autoSpaceDN/>
        <w:bidi w:val="0"/>
        <w:adjustRightInd w:val="0"/>
        <w:snapToGrid w:val="0"/>
        <w:spacing w:line="360" w:lineRule="auto"/>
        <w:ind w:firstLine="504"/>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本公司（联合体）郑重声明，根据《政府采购促进中小企业发展管理办法》（财库【2020】46号）的规定，本公司（联合体）参加</w:t>
      </w:r>
      <w:r>
        <w:rPr>
          <w:rFonts w:hint="eastAsia" w:ascii="宋体" w:hAnsi="宋体" w:eastAsia="宋体" w:cs="宋体"/>
          <w:spacing w:val="6"/>
          <w:sz w:val="24"/>
          <w:szCs w:val="24"/>
          <w:u w:val="single"/>
        </w:rPr>
        <w:t xml:space="preserve"> （单位名称）</w:t>
      </w:r>
      <w:r>
        <w:rPr>
          <w:rFonts w:hint="eastAsia" w:ascii="宋体" w:hAnsi="宋体" w:eastAsia="宋体" w:cs="宋体"/>
          <w:spacing w:val="6"/>
          <w:sz w:val="24"/>
          <w:szCs w:val="24"/>
        </w:rPr>
        <w:t>的</w:t>
      </w:r>
      <w:r>
        <w:rPr>
          <w:rFonts w:hint="eastAsia" w:ascii="宋体" w:hAnsi="宋体" w:eastAsia="宋体" w:cs="宋体"/>
          <w:spacing w:val="6"/>
          <w:sz w:val="24"/>
          <w:szCs w:val="24"/>
          <w:u w:val="single"/>
        </w:rPr>
        <w:t xml:space="preserve"> （项目名称）</w:t>
      </w:r>
      <w:r>
        <w:rPr>
          <w:rFonts w:hint="eastAsia" w:ascii="宋体" w:hAnsi="宋体" w:eastAsia="宋体" w:cs="宋体"/>
          <w:spacing w:val="6"/>
          <w:sz w:val="24"/>
          <w:szCs w:val="24"/>
        </w:rPr>
        <w:t>采购活动，提供的货物全部由符合政策要求的中小企业制造，相关企业（含联合体中的中小企业、签订分包意向协议的中小企业）具体情况如下：</w:t>
      </w:r>
    </w:p>
    <w:p w14:paraId="7969EE0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04" w:firstLineChars="200"/>
        <w:jc w:val="left"/>
        <w:textAlignment w:val="auto"/>
        <w:rPr>
          <w:rFonts w:hint="eastAsia" w:ascii="宋体" w:hAnsi="宋体" w:eastAsia="宋体" w:cs="宋体"/>
          <w:spacing w:val="6"/>
          <w:sz w:val="24"/>
          <w:szCs w:val="24"/>
        </w:rPr>
      </w:pPr>
      <w:r>
        <w:rPr>
          <w:rFonts w:hint="eastAsia" w:ascii="宋体" w:hAnsi="宋体" w:eastAsia="宋体" w:cs="宋体"/>
          <w:spacing w:val="6"/>
          <w:kern w:val="2"/>
          <w:sz w:val="24"/>
          <w:szCs w:val="24"/>
          <w:lang w:val="en-US" w:eastAsia="zh-CN" w:bidi="ar-SA"/>
        </w:rPr>
        <w:t>1.</w:t>
      </w:r>
      <w:r>
        <w:rPr>
          <w:rFonts w:hint="eastAsia" w:ascii="宋体" w:hAnsi="宋体" w:eastAsia="宋体" w:cs="宋体"/>
          <w:spacing w:val="6"/>
          <w:sz w:val="24"/>
          <w:szCs w:val="24"/>
          <w:u w:val="single"/>
        </w:rPr>
        <w:t>（</w:t>
      </w:r>
      <w:r>
        <w:rPr>
          <w:rFonts w:hint="eastAsia" w:ascii="宋体" w:hAnsi="宋体" w:eastAsia="宋体" w:cs="宋体"/>
          <w:spacing w:val="6"/>
          <w:sz w:val="24"/>
          <w:szCs w:val="24"/>
          <w:u w:val="single"/>
          <w:lang w:val="en-US" w:eastAsia="zh-CN"/>
        </w:rPr>
        <w:t>标的名称</w:t>
      </w:r>
      <w:r>
        <w:rPr>
          <w:rFonts w:hint="eastAsia" w:ascii="宋体" w:hAnsi="宋体" w:eastAsia="宋体" w:cs="宋体"/>
          <w:spacing w:val="6"/>
          <w:sz w:val="24"/>
          <w:szCs w:val="24"/>
          <w:u w:val="single"/>
        </w:rPr>
        <w:t>）</w:t>
      </w:r>
      <w:r>
        <w:rPr>
          <w:rFonts w:hint="eastAsia" w:ascii="宋体" w:hAnsi="宋体" w:eastAsia="宋体" w:cs="宋体"/>
          <w:spacing w:val="6"/>
          <w:sz w:val="24"/>
          <w:szCs w:val="24"/>
        </w:rPr>
        <w:t>，属于</w:t>
      </w:r>
      <w:r>
        <w:rPr>
          <w:rFonts w:hint="eastAsia" w:ascii="宋体" w:hAnsi="宋体" w:eastAsia="宋体" w:cs="宋体"/>
          <w:spacing w:val="6"/>
          <w:sz w:val="24"/>
          <w:szCs w:val="24"/>
          <w:u w:val="single"/>
        </w:rPr>
        <w:t>（</w:t>
      </w:r>
      <w:r>
        <w:rPr>
          <w:rFonts w:hint="eastAsia" w:ascii="宋体" w:hAnsi="宋体" w:cs="宋体"/>
          <w:spacing w:val="6"/>
          <w:sz w:val="24"/>
          <w:szCs w:val="24"/>
          <w:u w:val="single"/>
          <w:lang w:val="en-US" w:eastAsia="zh-CN"/>
        </w:rPr>
        <w:t>制造业</w:t>
      </w:r>
      <w:r>
        <w:rPr>
          <w:rFonts w:hint="eastAsia" w:ascii="宋体" w:hAnsi="宋体" w:eastAsia="宋体" w:cs="宋体"/>
          <w:spacing w:val="6"/>
          <w:sz w:val="24"/>
          <w:szCs w:val="24"/>
          <w:u w:val="single"/>
        </w:rPr>
        <w:t>）</w:t>
      </w:r>
      <w:r>
        <w:rPr>
          <w:rFonts w:hint="eastAsia" w:ascii="宋体" w:hAnsi="宋体" w:eastAsia="宋体" w:cs="宋体"/>
          <w:spacing w:val="6"/>
          <w:sz w:val="24"/>
          <w:szCs w:val="24"/>
          <w:u w:val="none"/>
        </w:rPr>
        <w:t>行业</w:t>
      </w:r>
      <w:r>
        <w:rPr>
          <w:rFonts w:hint="eastAsia" w:ascii="宋体" w:hAnsi="宋体" w:eastAsia="宋体" w:cs="宋体"/>
          <w:spacing w:val="6"/>
          <w:sz w:val="24"/>
          <w:szCs w:val="24"/>
        </w:rPr>
        <w:t>，制造商为</w:t>
      </w:r>
      <w:r>
        <w:rPr>
          <w:rFonts w:hint="eastAsia" w:ascii="宋体" w:hAnsi="宋体" w:eastAsia="宋体" w:cs="宋体"/>
          <w:spacing w:val="6"/>
          <w:sz w:val="24"/>
          <w:szCs w:val="24"/>
          <w:u w:val="single"/>
        </w:rPr>
        <w:t xml:space="preserve"> （企业名称）</w:t>
      </w:r>
      <w:r>
        <w:rPr>
          <w:rFonts w:hint="eastAsia" w:ascii="宋体" w:hAnsi="宋体" w:eastAsia="宋体" w:cs="宋体"/>
          <w:spacing w:val="6"/>
          <w:sz w:val="24"/>
          <w:szCs w:val="24"/>
        </w:rPr>
        <w:t>，从业人员</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人，营业收入为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万元，资产总额为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万元，属于</w:t>
      </w:r>
      <w:r>
        <w:rPr>
          <w:rFonts w:hint="eastAsia" w:ascii="宋体" w:hAnsi="宋体" w:eastAsia="宋体" w:cs="宋体"/>
          <w:spacing w:val="6"/>
          <w:sz w:val="24"/>
          <w:szCs w:val="24"/>
          <w:u w:val="single"/>
        </w:rPr>
        <w:t xml:space="preserve"> </w:t>
      </w:r>
      <w:r>
        <w:rPr>
          <w:rFonts w:hint="eastAsia" w:ascii="宋体" w:hAnsi="宋体" w:cs="宋体"/>
          <w:spacing w:val="6"/>
          <w:sz w:val="24"/>
          <w:szCs w:val="24"/>
          <w:u w:val="single"/>
          <w:lang w:val="en-US" w:eastAsia="zh-CN"/>
        </w:rPr>
        <w:t xml:space="preserve">    </w:t>
      </w:r>
      <w:r>
        <w:rPr>
          <w:rFonts w:hint="eastAsia" w:ascii="宋体" w:hAnsi="宋体" w:eastAsia="宋体" w:cs="宋体"/>
          <w:spacing w:val="6"/>
          <w:sz w:val="24"/>
          <w:szCs w:val="24"/>
          <w:u w:val="single"/>
        </w:rPr>
        <w:t>（中型企业、小型企业、微型企业）</w:t>
      </w:r>
      <w:r>
        <w:rPr>
          <w:rFonts w:hint="eastAsia" w:ascii="宋体" w:hAnsi="宋体" w:eastAsia="宋体" w:cs="宋体"/>
          <w:spacing w:val="6"/>
          <w:sz w:val="24"/>
          <w:szCs w:val="24"/>
        </w:rPr>
        <w:t>；</w:t>
      </w:r>
    </w:p>
    <w:p w14:paraId="0016D8C3">
      <w:pPr>
        <w:keepNext w:val="0"/>
        <w:keepLines w:val="0"/>
        <w:pageBreakBefore w:val="0"/>
        <w:widowControl/>
        <w:kinsoku/>
        <w:wordWrap/>
        <w:overflowPunct/>
        <w:topLinePunct w:val="0"/>
        <w:autoSpaceDE/>
        <w:autoSpaceDN/>
        <w:bidi w:val="0"/>
        <w:adjustRightInd w:val="0"/>
        <w:snapToGrid w:val="0"/>
        <w:spacing w:line="360" w:lineRule="auto"/>
        <w:ind w:firstLine="504"/>
        <w:jc w:val="left"/>
        <w:textAlignment w:val="auto"/>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u w:val="single"/>
          <w:lang w:val="en-US" w:eastAsia="zh-CN"/>
        </w:rPr>
        <w:t>标的名称</w:t>
      </w:r>
      <w:r>
        <w:rPr>
          <w:rFonts w:hint="eastAsia" w:ascii="宋体" w:hAnsi="宋体" w:eastAsia="宋体" w:cs="宋体"/>
          <w:spacing w:val="6"/>
          <w:sz w:val="24"/>
          <w:szCs w:val="24"/>
          <w:u w:val="single"/>
        </w:rPr>
        <w:t>）</w:t>
      </w:r>
      <w:r>
        <w:rPr>
          <w:rFonts w:hint="eastAsia" w:ascii="宋体" w:hAnsi="宋体" w:eastAsia="宋体" w:cs="宋体"/>
          <w:spacing w:val="6"/>
          <w:sz w:val="24"/>
          <w:szCs w:val="24"/>
        </w:rPr>
        <w:t>，属于</w:t>
      </w:r>
      <w:r>
        <w:rPr>
          <w:rFonts w:hint="eastAsia" w:ascii="宋体" w:hAnsi="宋体" w:eastAsia="宋体" w:cs="宋体"/>
          <w:spacing w:val="6"/>
          <w:sz w:val="24"/>
          <w:szCs w:val="24"/>
          <w:u w:val="single"/>
        </w:rPr>
        <w:t>（</w:t>
      </w:r>
      <w:r>
        <w:rPr>
          <w:rFonts w:hint="eastAsia" w:ascii="宋体" w:hAnsi="宋体" w:cs="宋体"/>
          <w:spacing w:val="6"/>
          <w:sz w:val="24"/>
          <w:szCs w:val="24"/>
          <w:u w:val="single"/>
          <w:lang w:val="en-US" w:eastAsia="zh-CN"/>
        </w:rPr>
        <w:t>制造业</w:t>
      </w:r>
      <w:r>
        <w:rPr>
          <w:rFonts w:hint="eastAsia" w:ascii="宋体" w:hAnsi="宋体" w:eastAsia="宋体" w:cs="宋体"/>
          <w:spacing w:val="6"/>
          <w:sz w:val="24"/>
          <w:szCs w:val="24"/>
          <w:u w:val="single"/>
        </w:rPr>
        <w:t>）</w:t>
      </w:r>
      <w:r>
        <w:rPr>
          <w:rFonts w:hint="eastAsia" w:ascii="宋体" w:hAnsi="宋体" w:eastAsia="宋体" w:cs="宋体"/>
          <w:spacing w:val="6"/>
          <w:sz w:val="24"/>
          <w:szCs w:val="24"/>
          <w:u w:val="none"/>
        </w:rPr>
        <w:t>行业</w:t>
      </w:r>
      <w:r>
        <w:rPr>
          <w:rFonts w:hint="eastAsia" w:ascii="宋体" w:hAnsi="宋体" w:eastAsia="宋体" w:cs="宋体"/>
          <w:spacing w:val="6"/>
          <w:sz w:val="24"/>
          <w:szCs w:val="24"/>
        </w:rPr>
        <w:t>，制造商为</w:t>
      </w:r>
      <w:r>
        <w:rPr>
          <w:rFonts w:hint="eastAsia" w:ascii="宋体" w:hAnsi="宋体" w:eastAsia="宋体" w:cs="宋体"/>
          <w:spacing w:val="6"/>
          <w:sz w:val="24"/>
          <w:szCs w:val="24"/>
          <w:u w:val="single"/>
        </w:rPr>
        <w:t xml:space="preserve"> （企业名称）</w:t>
      </w:r>
      <w:r>
        <w:rPr>
          <w:rFonts w:hint="eastAsia" w:ascii="宋体" w:hAnsi="宋体" w:eastAsia="宋体" w:cs="宋体"/>
          <w:spacing w:val="6"/>
          <w:sz w:val="24"/>
          <w:szCs w:val="24"/>
        </w:rPr>
        <w:t>，从业人员</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人，营业收入为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万元，资产总额为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万元，属于</w:t>
      </w:r>
      <w:r>
        <w:rPr>
          <w:rFonts w:hint="eastAsia" w:ascii="宋体" w:hAnsi="宋体" w:eastAsia="宋体" w:cs="宋体"/>
          <w:spacing w:val="6"/>
          <w:sz w:val="24"/>
          <w:szCs w:val="24"/>
          <w:u w:val="single"/>
        </w:rPr>
        <w:t xml:space="preserve"> （中型企业、小型企业、微型企业）</w:t>
      </w:r>
      <w:r>
        <w:rPr>
          <w:rFonts w:hint="eastAsia" w:ascii="宋体" w:hAnsi="宋体" w:eastAsia="宋体" w:cs="宋体"/>
          <w:spacing w:val="6"/>
          <w:sz w:val="24"/>
          <w:szCs w:val="24"/>
        </w:rPr>
        <w:t>；</w:t>
      </w:r>
    </w:p>
    <w:p w14:paraId="58C443A7">
      <w:pPr>
        <w:keepNext w:val="0"/>
        <w:keepLines w:val="0"/>
        <w:pageBreakBefore w:val="0"/>
        <w:widowControl/>
        <w:kinsoku/>
        <w:wordWrap/>
        <w:overflowPunct/>
        <w:topLinePunct w:val="0"/>
        <w:autoSpaceDE/>
        <w:autoSpaceDN/>
        <w:bidi w:val="0"/>
        <w:adjustRightInd w:val="0"/>
        <w:snapToGrid w:val="0"/>
        <w:spacing w:line="360" w:lineRule="auto"/>
        <w:ind w:firstLine="504"/>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    ……</w:t>
      </w:r>
    </w:p>
    <w:p w14:paraId="04F4DC74">
      <w:pPr>
        <w:keepNext w:val="0"/>
        <w:keepLines w:val="0"/>
        <w:pageBreakBefore w:val="0"/>
        <w:widowControl/>
        <w:kinsoku/>
        <w:wordWrap/>
        <w:overflowPunct/>
        <w:topLinePunct w:val="0"/>
        <w:autoSpaceDE/>
        <w:autoSpaceDN/>
        <w:bidi w:val="0"/>
        <w:adjustRightInd w:val="0"/>
        <w:snapToGrid w:val="0"/>
        <w:spacing w:line="360" w:lineRule="auto"/>
        <w:ind w:firstLine="505"/>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以上企业，不属于大企业的分支机构，不存在控股股东为大企业的情形，也不存在与大企业的负责人为同一人的情形。</w:t>
      </w:r>
    </w:p>
    <w:p w14:paraId="56D2A3C3">
      <w:pPr>
        <w:keepNext w:val="0"/>
        <w:keepLines w:val="0"/>
        <w:pageBreakBefore w:val="0"/>
        <w:widowControl/>
        <w:kinsoku/>
        <w:wordWrap/>
        <w:overflowPunct/>
        <w:topLinePunct w:val="0"/>
        <w:autoSpaceDE/>
        <w:autoSpaceDN/>
        <w:bidi w:val="0"/>
        <w:adjustRightInd w:val="0"/>
        <w:snapToGrid w:val="0"/>
        <w:spacing w:line="360" w:lineRule="auto"/>
        <w:ind w:firstLine="505"/>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本企业对上述声明内容的真实性负责。如有虚假，将依法承担相应责任。</w:t>
      </w:r>
    </w:p>
    <w:p w14:paraId="51E50EC4">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jc w:val="center"/>
        <w:textAlignment w:val="auto"/>
        <w:outlineLvl w:val="9"/>
        <w:rPr>
          <w:rFonts w:hint="eastAsia" w:ascii="宋体" w:hAnsi="宋体"/>
          <w:b/>
          <w:color w:val="FF0000"/>
          <w:sz w:val="24"/>
          <w:lang w:val="en-US" w:eastAsia="zh-CN"/>
        </w:rPr>
      </w:pPr>
      <w:r>
        <w:rPr>
          <w:rFonts w:hint="eastAsia" w:ascii="宋体" w:hAnsi="宋体"/>
          <w:b/>
          <w:color w:val="FF0000"/>
          <w:sz w:val="24"/>
          <w:lang w:val="en-US" w:eastAsia="zh-CN"/>
        </w:rPr>
        <w:t xml:space="preserve">    </w:t>
      </w:r>
      <w:bookmarkStart w:id="465" w:name="_Toc21636_WPSOffice_Level3"/>
      <w:r>
        <w:rPr>
          <w:rFonts w:hint="eastAsia" w:ascii="宋体" w:hAnsi="宋体"/>
          <w:b/>
          <w:color w:val="FF0000"/>
          <w:sz w:val="24"/>
          <w:lang w:val="en-US" w:eastAsia="zh-CN"/>
        </w:rPr>
        <w:t xml:space="preserve">                         </w:t>
      </w:r>
    </w:p>
    <w:p w14:paraId="78D29A53">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jc w:val="center"/>
        <w:textAlignment w:val="auto"/>
        <w:outlineLvl w:val="9"/>
        <w:rPr>
          <w:rFonts w:hint="eastAsia" w:ascii="宋体" w:hAnsi="宋体"/>
          <w:b/>
          <w:color w:val="FF0000"/>
          <w:sz w:val="24"/>
          <w:lang w:val="en-US" w:eastAsia="zh-CN"/>
        </w:rPr>
      </w:pPr>
      <w:r>
        <w:rPr>
          <w:rFonts w:hint="eastAsia" w:ascii="宋体" w:hAnsi="宋体"/>
          <w:b/>
          <w:color w:val="FF0000"/>
          <w:sz w:val="24"/>
          <w:lang w:val="en-US" w:eastAsia="zh-CN"/>
        </w:rPr>
        <w:t xml:space="preserve">                            </w:t>
      </w:r>
    </w:p>
    <w:p w14:paraId="0F7C7C43">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jc w:val="center"/>
        <w:textAlignment w:val="auto"/>
        <w:outlineLvl w:val="9"/>
        <w:rPr>
          <w:rFonts w:hint="eastAsia" w:ascii="宋体" w:hAnsi="宋体" w:eastAsia="宋体" w:cs="宋体"/>
          <w:b w:val="0"/>
          <w:bCs/>
          <w:color w:val="000000"/>
          <w:sz w:val="24"/>
          <w:szCs w:val="24"/>
        </w:rPr>
      </w:pPr>
      <w:r>
        <w:rPr>
          <w:rFonts w:hint="eastAsia" w:ascii="宋体" w:hAnsi="宋体"/>
          <w:b/>
          <w:color w:val="000000"/>
          <w:sz w:val="24"/>
          <w:lang w:val="en-US" w:eastAsia="zh-CN"/>
        </w:rPr>
        <w:t xml:space="preserve">                            </w:t>
      </w:r>
      <w:r>
        <w:rPr>
          <w:rFonts w:hint="eastAsia" w:ascii="宋体" w:hAnsi="宋体" w:eastAsia="宋体" w:cs="宋体"/>
          <w:b w:val="0"/>
          <w:bCs/>
          <w:color w:val="000000"/>
          <w:sz w:val="24"/>
          <w:szCs w:val="24"/>
        </w:rPr>
        <w:t>单位</w:t>
      </w:r>
      <w:r>
        <w:rPr>
          <w:rFonts w:hint="eastAsia" w:ascii="宋体" w:hAnsi="宋体" w:eastAsia="宋体" w:cs="宋体"/>
          <w:b w:val="0"/>
          <w:bCs/>
          <w:color w:val="000000"/>
          <w:sz w:val="24"/>
          <w:szCs w:val="24"/>
          <w:lang w:eastAsia="zh-CN"/>
        </w:rPr>
        <w:t>名称</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（公章）</w:t>
      </w:r>
      <w:bookmarkEnd w:id="465"/>
    </w:p>
    <w:p w14:paraId="36F8E21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bookmarkStart w:id="466" w:name="_Toc19511_WPSOffice_Level3"/>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法定代表人或委托代理人：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（签字或盖章）</w:t>
      </w:r>
      <w:bookmarkEnd w:id="466"/>
    </w:p>
    <w:p w14:paraId="3DD83DD0">
      <w:pPr>
        <w:keepNext w:val="0"/>
        <w:keepLines w:val="0"/>
        <w:pageBreakBefore w:val="0"/>
        <w:widowControl w:val="0"/>
        <w:kinsoku/>
        <w:wordWrap/>
        <w:overflowPunct/>
        <w:topLinePunct w:val="0"/>
        <w:autoSpaceDE/>
        <w:autoSpaceDN/>
        <w:bidi w:val="0"/>
        <w:adjustRightInd/>
        <w:snapToGrid/>
        <w:spacing w:after="240" w:line="360" w:lineRule="auto"/>
        <w:ind w:firstLine="640" w:firstLineChars="200"/>
        <w:jc w:val="center"/>
        <w:textAlignment w:val="auto"/>
        <w:outlineLvl w:val="9"/>
        <w:rPr>
          <w:rFonts w:hint="default" w:ascii="宋体"/>
          <w:b/>
          <w:color w:val="000000"/>
          <w:sz w:val="28"/>
          <w:szCs w:val="28"/>
          <w:lang w:val="en-US" w:eastAsia="zh-CN"/>
        </w:rPr>
      </w:pP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val="en-US" w:eastAsia="zh-CN"/>
        </w:rPr>
        <w:t xml:space="preserve">      </w:t>
      </w:r>
      <w:bookmarkStart w:id="467" w:name="_Toc20470_WPSOffice_Level3"/>
      <w:r>
        <w:rPr>
          <w:rFonts w:hint="eastAsia" w:ascii="宋体" w:hAnsi="宋体" w:eastAsia="宋体" w:cs="宋体"/>
          <w:spacing w:val="6"/>
          <w:kern w:val="0"/>
          <w:sz w:val="24"/>
          <w:szCs w:val="24"/>
          <w:lang w:eastAsia="zh-CN"/>
        </w:rPr>
        <w:t>年   月  日</w:t>
      </w:r>
      <w:bookmarkEnd w:id="467"/>
    </w:p>
    <w:p w14:paraId="189ED7AB">
      <w:pPr>
        <w:widowControl/>
        <w:wordWrap/>
        <w:adjustRightInd w:val="0"/>
        <w:snapToGrid w:val="0"/>
        <w:spacing w:line="560" w:lineRule="exact"/>
        <w:ind w:firstLine="664" w:firstLineChars="200"/>
        <w:jc w:val="left"/>
        <w:textAlignment w:val="auto"/>
        <w:rPr>
          <w:rFonts w:hint="eastAsia" w:ascii="仿宋_GB2312" w:hAnsi="仿宋_GB2312" w:eastAsia="仿宋_GB2312" w:cs="仿宋_GB2312"/>
          <w:spacing w:val="6"/>
          <w:kern w:val="0"/>
          <w:sz w:val="32"/>
          <w:szCs w:val="32"/>
        </w:rPr>
      </w:pPr>
    </w:p>
    <w:p w14:paraId="5CA3504E">
      <w:pPr>
        <w:widowControl/>
        <w:numPr>
          <w:ilvl w:val="-1"/>
          <w:numId w:val="0"/>
        </w:numPr>
        <w:wordWrap/>
        <w:adjustRightInd/>
        <w:snapToGrid w:val="0"/>
        <w:spacing w:before="157" w:beforeLines="50" w:line="560" w:lineRule="exact"/>
        <w:jc w:val="left"/>
        <w:outlineLvl w:val="1"/>
        <w:rPr>
          <w:rFonts w:hint="eastAsia" w:ascii="宋体" w:hAnsi="宋体" w:eastAsia="宋体" w:cs="宋体"/>
          <w:b/>
          <w:bCs w:val="0"/>
          <w:color w:val="000000"/>
          <w:kern w:val="2"/>
          <w:sz w:val="32"/>
          <w:szCs w:val="32"/>
          <w:lang w:val="en-US" w:eastAsia="zh-CN" w:bidi="ar-SA"/>
        </w:rPr>
      </w:pPr>
      <w:bookmarkStart w:id="468" w:name="_Toc14211_WPSOffice_Level3"/>
      <w:bookmarkStart w:id="469" w:name="_Toc12160"/>
      <w:bookmarkStart w:id="470" w:name="_Toc11740"/>
    </w:p>
    <w:p w14:paraId="10909FD1">
      <w:pPr>
        <w:widowControl/>
        <w:numPr>
          <w:ilvl w:val="-1"/>
          <w:numId w:val="0"/>
        </w:numPr>
        <w:wordWrap/>
        <w:adjustRightInd/>
        <w:snapToGrid w:val="0"/>
        <w:spacing w:before="157" w:beforeLines="50" w:line="560" w:lineRule="exact"/>
        <w:jc w:val="left"/>
        <w:outlineLvl w:val="1"/>
        <w:rPr>
          <w:rFonts w:hint="eastAsia" w:ascii="宋体" w:hAnsi="宋体" w:eastAsia="宋体" w:cs="宋体"/>
          <w:b/>
          <w:bCs w:val="0"/>
          <w:color w:val="000000"/>
          <w:kern w:val="2"/>
          <w:sz w:val="32"/>
          <w:szCs w:val="32"/>
          <w:lang w:val="en-US" w:eastAsia="zh-CN" w:bidi="ar-SA"/>
        </w:rPr>
      </w:pPr>
      <w:r>
        <w:rPr>
          <w:rFonts w:hint="eastAsia" w:ascii="宋体" w:hAnsi="宋体" w:eastAsia="宋体" w:cs="宋体"/>
          <w:b/>
          <w:bCs w:val="0"/>
          <w:color w:val="000000"/>
          <w:kern w:val="2"/>
          <w:sz w:val="32"/>
          <w:szCs w:val="32"/>
          <w:lang w:val="en-US" w:eastAsia="zh-CN" w:bidi="ar-SA"/>
        </w:rPr>
        <w:t>附件1</w:t>
      </w:r>
      <w:r>
        <w:rPr>
          <w:rFonts w:hint="eastAsia" w:ascii="宋体" w:hAnsi="宋体" w:cs="宋体"/>
          <w:b/>
          <w:bCs w:val="0"/>
          <w:color w:val="000000"/>
          <w:kern w:val="2"/>
          <w:sz w:val="32"/>
          <w:szCs w:val="32"/>
          <w:lang w:val="en-US" w:eastAsia="zh-CN" w:bidi="ar-SA"/>
        </w:rPr>
        <w:t>6</w:t>
      </w:r>
      <w:r>
        <w:rPr>
          <w:rFonts w:hint="eastAsia" w:ascii="宋体" w:hAnsi="宋体" w:eastAsia="宋体" w:cs="宋体"/>
          <w:b/>
          <w:bCs w:val="0"/>
          <w:color w:val="000000"/>
          <w:kern w:val="2"/>
          <w:sz w:val="32"/>
          <w:szCs w:val="32"/>
          <w:lang w:val="en-US" w:eastAsia="zh-CN" w:bidi="ar-SA"/>
        </w:rPr>
        <w:t>：残疾人福利性单位声明函</w:t>
      </w:r>
    </w:p>
    <w:p w14:paraId="3E3EEFA6">
      <w:pPr>
        <w:numPr>
          <w:ilvl w:val="0"/>
          <w:numId w:val="0"/>
        </w:numPr>
        <w:wordWrap/>
        <w:adjustRightInd w:val="0"/>
        <w:snapToGrid w:val="0"/>
        <w:spacing w:before="157" w:beforeLines="50" w:line="560" w:lineRule="exact"/>
        <w:jc w:val="center"/>
        <w:outlineLvl w:val="9"/>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残疾人福利性单位声明函</w:t>
      </w:r>
      <w:bookmarkEnd w:id="468"/>
      <w:bookmarkEnd w:id="469"/>
      <w:bookmarkEnd w:id="470"/>
    </w:p>
    <w:p w14:paraId="0702BA92">
      <w:pPr>
        <w:numPr>
          <w:ilvl w:val="0"/>
          <w:numId w:val="0"/>
        </w:numPr>
        <w:wordWrap/>
        <w:adjustRightInd w:val="0"/>
        <w:snapToGrid w:val="0"/>
        <w:spacing w:before="157" w:beforeLines="50" w:line="560" w:lineRule="exact"/>
        <w:jc w:val="center"/>
        <w:outlineLvl w:val="9"/>
        <w:rPr>
          <w:rFonts w:hint="eastAsia" w:ascii="楷体" w:hAnsi="楷体" w:eastAsia="楷体" w:cs="楷体"/>
          <w:b w:val="0"/>
          <w:bCs w:val="0"/>
          <w:kern w:val="2"/>
          <w:sz w:val="32"/>
          <w:szCs w:val="32"/>
          <w:lang w:val="en-US" w:eastAsia="zh-CN" w:bidi="ar-SA"/>
        </w:rPr>
      </w:pPr>
    </w:p>
    <w:p w14:paraId="3A47D243">
      <w:pPr>
        <w:keepNext w:val="0"/>
        <w:keepLines w:val="0"/>
        <w:pageBreakBefore w:val="0"/>
        <w:widowControl w:val="0"/>
        <w:kinsoku/>
        <w:wordWrap/>
        <w:overflowPunct/>
        <w:topLinePunct w:val="0"/>
        <w:autoSpaceDE/>
        <w:autoSpaceDN/>
        <w:bidi w:val="0"/>
        <w:spacing w:after="24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eastAsia="宋体" w:cs="宋体"/>
          <w:sz w:val="24"/>
          <w:szCs w:val="24"/>
          <w:u w:val="single"/>
        </w:rPr>
        <w:t xml:space="preserve">       </w:t>
      </w:r>
      <w:r>
        <w:rPr>
          <w:rFonts w:hint="eastAsia" w:ascii="宋体" w:hAnsi="宋体" w:eastAsia="宋体" w:cs="宋体"/>
          <w:sz w:val="24"/>
          <w:szCs w:val="24"/>
        </w:rPr>
        <w:t>人，安置的残疾人人数</w:t>
      </w:r>
      <w:r>
        <w:rPr>
          <w:rFonts w:hint="eastAsia" w:ascii="宋体" w:hAnsi="宋体" w:eastAsia="宋体" w:cs="宋体"/>
          <w:sz w:val="24"/>
          <w:szCs w:val="24"/>
          <w:u w:val="single"/>
        </w:rPr>
        <w:t xml:space="preserve">      </w:t>
      </w:r>
      <w:r>
        <w:rPr>
          <w:rFonts w:hint="eastAsia" w:ascii="宋体" w:hAnsi="宋体" w:eastAsia="宋体" w:cs="宋体"/>
          <w:sz w:val="24"/>
          <w:szCs w:val="24"/>
        </w:rPr>
        <w:t>人。且本单位参加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项目采购活动提供本单位制造的货物（由本单位承担工程/提供服务），或者提供其他残疾人福利性单位制造的货物（不包括使用非残疾人福利性单位注册商标的货物）。</w:t>
      </w:r>
    </w:p>
    <w:p w14:paraId="765C2016">
      <w:pPr>
        <w:keepNext w:val="0"/>
        <w:keepLines w:val="0"/>
        <w:pageBreakBefore w:val="0"/>
        <w:widowControl w:val="0"/>
        <w:kinsoku/>
        <w:wordWrap/>
        <w:overflowPunct/>
        <w:topLinePunct w:val="0"/>
        <w:autoSpaceDE/>
        <w:autoSpaceDN/>
        <w:bidi w:val="0"/>
        <w:spacing w:after="240"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28909ACC">
      <w:pPr>
        <w:keepNext w:val="0"/>
        <w:keepLines w:val="0"/>
        <w:pageBreakBefore w:val="0"/>
        <w:widowControl w:val="0"/>
        <w:kinsoku/>
        <w:wordWrap/>
        <w:overflowPunct/>
        <w:topLinePunct w:val="0"/>
        <w:autoSpaceDE/>
        <w:autoSpaceDN/>
        <w:bidi w:val="0"/>
        <w:adjustRightInd w:val="0"/>
        <w:snapToGrid w:val="0"/>
        <w:spacing w:after="240" w:line="360" w:lineRule="auto"/>
        <w:ind w:firstLine="504" w:firstLineChars="200"/>
        <w:textAlignment w:val="auto"/>
        <w:outlineLvl w:val="9"/>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00B3BE78">
      <w:pPr>
        <w:keepNext w:val="0"/>
        <w:keepLines w:val="0"/>
        <w:pageBreakBefore w:val="0"/>
        <w:widowControl w:val="0"/>
        <w:kinsoku/>
        <w:wordWrap/>
        <w:overflowPunct/>
        <w:topLinePunct w:val="0"/>
        <w:autoSpaceDE/>
        <w:autoSpaceDN/>
        <w:bidi w:val="0"/>
        <w:spacing w:after="240"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注：若无此项内容，可不提供此函。</w:t>
      </w:r>
    </w:p>
    <w:p w14:paraId="60CD4365">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spacing w:val="6"/>
          <w:sz w:val="32"/>
          <w:szCs w:val="32"/>
        </w:rPr>
      </w:pPr>
    </w:p>
    <w:p w14:paraId="4ECE1306">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spacing w:val="6"/>
          <w:sz w:val="32"/>
          <w:szCs w:val="32"/>
        </w:rPr>
      </w:pPr>
    </w:p>
    <w:p w14:paraId="22F21CCC">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spacing w:val="6"/>
          <w:sz w:val="32"/>
          <w:szCs w:val="32"/>
        </w:rPr>
      </w:pPr>
    </w:p>
    <w:p w14:paraId="07205867">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spacing w:val="6"/>
          <w:sz w:val="32"/>
          <w:szCs w:val="32"/>
        </w:rPr>
      </w:pPr>
    </w:p>
    <w:p w14:paraId="67FE5CA7">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spacing w:val="6"/>
          <w:sz w:val="32"/>
          <w:szCs w:val="32"/>
        </w:rPr>
      </w:pPr>
    </w:p>
    <w:p w14:paraId="52A842B5">
      <w:pPr>
        <w:keepNext w:val="0"/>
        <w:keepLines w:val="0"/>
        <w:pageBreakBefore w:val="0"/>
        <w:widowControl w:val="0"/>
        <w:kinsoku/>
        <w:wordWrap/>
        <w:overflowPunct/>
        <w:topLinePunct w:val="0"/>
        <w:autoSpaceDE/>
        <w:autoSpaceDN/>
        <w:bidi w:val="0"/>
        <w:adjustRightInd/>
        <w:snapToGrid/>
        <w:spacing w:after="240" w:line="360" w:lineRule="auto"/>
        <w:ind w:firstLine="640" w:firstLineChars="200"/>
        <w:jc w:val="center"/>
        <w:textAlignment w:val="auto"/>
        <w:outlineLvl w:val="9"/>
        <w:rPr>
          <w:rFonts w:hint="eastAsia" w:ascii="宋体" w:hAnsi="宋体" w:eastAsia="宋体" w:cs="宋体"/>
          <w:b w:val="0"/>
          <w:bCs/>
          <w:color w:val="000000"/>
          <w:sz w:val="24"/>
          <w:szCs w:val="24"/>
        </w:rPr>
      </w:pPr>
      <w:r>
        <w:rPr>
          <w:rFonts w:hint="eastAsia" w:ascii="仿宋_GB2312" w:hAnsi="仿宋_GB2312" w:eastAsia="仿宋_GB2312" w:cs="仿宋_GB2312"/>
          <w:b w:val="0"/>
          <w:bCs/>
          <w:color w:val="000000"/>
          <w:sz w:val="32"/>
          <w:szCs w:val="32"/>
          <w:lang w:val="en-US" w:eastAsia="zh-CN"/>
        </w:rPr>
        <w:t xml:space="preserve">                    </w:t>
      </w:r>
      <w:r>
        <w:rPr>
          <w:rFonts w:hint="eastAsia" w:ascii="宋体" w:hAnsi="宋体" w:eastAsia="宋体" w:cs="宋体"/>
          <w:b w:val="0"/>
          <w:bCs/>
          <w:color w:val="000000"/>
          <w:sz w:val="24"/>
          <w:szCs w:val="24"/>
        </w:rPr>
        <w:t>单位</w:t>
      </w:r>
      <w:r>
        <w:rPr>
          <w:rFonts w:hint="eastAsia" w:ascii="宋体" w:hAnsi="宋体" w:eastAsia="宋体" w:cs="宋体"/>
          <w:b w:val="0"/>
          <w:bCs/>
          <w:color w:val="000000"/>
          <w:sz w:val="24"/>
          <w:szCs w:val="24"/>
          <w:lang w:eastAsia="zh-CN"/>
        </w:rPr>
        <w:t>名称</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（公章）</w:t>
      </w:r>
    </w:p>
    <w:p w14:paraId="65B4F6B3">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法定代表人或委托代理人：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（签字或盖章）</w:t>
      </w:r>
    </w:p>
    <w:p w14:paraId="1C069A11">
      <w:pPr>
        <w:keepNext w:val="0"/>
        <w:keepLines w:val="0"/>
        <w:pageBreakBefore w:val="0"/>
        <w:widowControl w:val="0"/>
        <w:kinsoku/>
        <w:wordWrap/>
        <w:overflowPunct/>
        <w:topLinePunct w:val="0"/>
        <w:autoSpaceDE/>
        <w:autoSpaceDN/>
        <w:bidi w:val="0"/>
        <w:adjustRightInd/>
        <w:snapToGrid/>
        <w:spacing w:after="240" w:line="360" w:lineRule="auto"/>
        <w:ind w:firstLine="640" w:firstLineChars="200"/>
        <w:jc w:val="center"/>
        <w:textAlignment w:val="auto"/>
        <w:outlineLvl w:val="9"/>
        <w:rPr>
          <w:rFonts w:hint="default" w:ascii="宋体"/>
          <w:b/>
          <w:color w:val="000000"/>
          <w:sz w:val="28"/>
          <w:szCs w:val="28"/>
          <w:lang w:val="en-US" w:eastAsia="zh-CN"/>
        </w:rPr>
      </w:pP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val="en-US" w:eastAsia="zh-CN"/>
        </w:rPr>
        <w:t xml:space="preserve">      </w:t>
      </w:r>
      <w:r>
        <w:rPr>
          <w:rFonts w:hint="eastAsia" w:ascii="宋体" w:hAnsi="宋体" w:eastAsia="宋体" w:cs="宋体"/>
          <w:spacing w:val="6"/>
          <w:kern w:val="0"/>
          <w:sz w:val="24"/>
          <w:szCs w:val="24"/>
          <w:lang w:eastAsia="zh-CN"/>
        </w:rPr>
        <w:t>年   月  日</w:t>
      </w:r>
    </w:p>
    <w:p w14:paraId="21F84AAB">
      <w:pPr>
        <w:wordWrap/>
        <w:spacing w:before="157" w:beforeLines="50" w:line="560" w:lineRule="exact"/>
        <w:ind w:firstLine="444" w:firstLineChars="200"/>
        <w:jc w:val="center"/>
        <w:outlineLvl w:val="9"/>
        <w:rPr>
          <w:rFonts w:ascii="宋体" w:hAnsi="宋体"/>
          <w:spacing w:val="6"/>
          <w:sz w:val="21"/>
        </w:rPr>
      </w:pPr>
    </w:p>
    <w:p w14:paraId="3947149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b/>
          <w:bCs/>
          <w:i w:val="0"/>
          <w:iCs w:val="0"/>
          <w:caps w:val="0"/>
          <w:color w:val="333333"/>
          <w:spacing w:val="0"/>
          <w:sz w:val="24"/>
          <w:szCs w:val="24"/>
          <w:shd w:val="clear" w:fill="FFFFFF"/>
        </w:rPr>
      </w:pPr>
      <w:bookmarkStart w:id="471" w:name="_Toc21346"/>
      <w:bookmarkStart w:id="472" w:name="_Toc21988"/>
      <w:bookmarkStart w:id="473" w:name="_Toc23033_WPSOffice_Level3"/>
      <w:bookmarkStart w:id="474" w:name="_Toc12068_WPSOffice_Level3"/>
      <w:r>
        <w:rPr>
          <w:rFonts w:hint="eastAsia" w:ascii="宋体" w:hAnsi="宋体" w:cs="宋体"/>
          <w:b/>
          <w:bCs w:val="0"/>
          <w:color w:val="000000"/>
          <w:kern w:val="2"/>
          <w:sz w:val="32"/>
          <w:szCs w:val="32"/>
          <w:lang w:val="en-US" w:eastAsia="zh-CN" w:bidi="ar-SA"/>
        </w:rPr>
        <w:t>附件17：关于符合本国产品标准的声明函</w:t>
      </w:r>
    </w:p>
    <w:p w14:paraId="297EE32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center"/>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关于符合本国产品标准的声明函</w:t>
      </w:r>
    </w:p>
    <w:p w14:paraId="2645AEA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本公司（单位）郑重声明，根据《国务院办公厅关于在政府采购中实施本国产品标准及相关政策的通知》（国办发〔2025〕34号）的规定，本公司（单位）提供的以下产品属于本国产品。具体情况如下：</w:t>
      </w:r>
    </w:p>
    <w:p w14:paraId="25ABB78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1.（产品名称1）1，生产厂为（厂名）2，厂址为（生产厂址）。（产品名称1）的中国境内生产的组件成本占比≥（规定比例）3。（产品名称1）的（关键组件）4在中国境内生产。（产品名称1）的（关键工序）5在中国境内完成。</w:t>
      </w:r>
    </w:p>
    <w:p w14:paraId="5F28866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2.（产品名称2），生产厂为（厂名），厂址为（生产厂址）。（产品名称2）的中国境内生产的组件成本占比≥（规定比例）。（产品名称2）的（关键组件）在中国境内生产。（产品名称2）的（关键工序）在中国境内完成。</w:t>
      </w:r>
    </w:p>
    <w:p w14:paraId="1A62705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38AD41B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本公司（单位）对上述声明内容的真实性负责。如有虚假，愿承担相应法律责任。</w:t>
      </w:r>
    </w:p>
    <w:p w14:paraId="43AEF5A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right="0" w:firstLine="3120" w:firstLineChars="1300"/>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公司（单位）名称（盖章）：</w:t>
      </w:r>
      <w:r>
        <w:rPr>
          <w:rFonts w:hint="eastAsia" w:ascii="宋体" w:hAnsi="宋体" w:eastAsia="宋体" w:cs="宋体"/>
          <w:i w:val="0"/>
          <w:iCs w:val="0"/>
          <w:caps w:val="0"/>
          <w:color w:val="333333"/>
          <w:spacing w:val="0"/>
          <w:sz w:val="24"/>
          <w:szCs w:val="24"/>
          <w:u w:val="single"/>
          <w:lang w:val="en-US" w:eastAsia="zh-CN"/>
        </w:rPr>
        <w:t xml:space="preserve">                </w:t>
      </w:r>
      <w:r>
        <w:rPr>
          <w:rFonts w:hint="eastAsia" w:ascii="宋体" w:hAnsi="宋体" w:eastAsia="宋体" w:cs="宋体"/>
          <w:i w:val="0"/>
          <w:iCs w:val="0"/>
          <w:caps w:val="0"/>
          <w:color w:val="333333"/>
          <w:spacing w:val="0"/>
          <w:sz w:val="24"/>
          <w:szCs w:val="24"/>
          <w:shd w:val="clear" w:fill="FFFFFF"/>
          <w:lang w:val="en-US" w:eastAsia="zh-CN"/>
        </w:rPr>
        <w:t xml:space="preserve">                   </w:t>
      </w:r>
    </w:p>
    <w:p w14:paraId="4C17B9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right="0" w:firstLine="3120" w:firstLineChars="13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日期：</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shd w:val="clear" w:fill="FFFFFF"/>
        </w:rPr>
        <w:t xml:space="preserve"> 月</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shd w:val="clear" w:fill="FFFFFF"/>
        </w:rPr>
        <w:t xml:space="preserve"> 日</w:t>
      </w:r>
    </w:p>
    <w:p w14:paraId="46D1D0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right="0" w:firstLine="3120" w:firstLineChars="1300"/>
        <w:jc w:val="both"/>
        <w:textAlignment w:val="auto"/>
        <w:rPr>
          <w:rFonts w:hint="eastAsia" w:ascii="宋体" w:hAnsi="宋体" w:eastAsia="宋体" w:cs="宋体"/>
          <w:i w:val="0"/>
          <w:iCs w:val="0"/>
          <w:caps w:val="0"/>
          <w:color w:val="333333"/>
          <w:spacing w:val="0"/>
          <w:sz w:val="24"/>
          <w:szCs w:val="24"/>
          <w:shd w:val="clear" w:fill="FFFFFF"/>
        </w:rPr>
      </w:pPr>
    </w:p>
    <w:p w14:paraId="36F6760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1.产品如有型号，请在“产品名称”栏一并填写。</w:t>
      </w:r>
    </w:p>
    <w:p w14:paraId="171527C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2.生产厂名与厂址应与生产厂营业执照载明的相关信息保持一致。</w:t>
      </w:r>
    </w:p>
    <w:p w14:paraId="469C1BD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3.该产品的中国境内生产的组件成本占比相关要求实施前，“规定比例”栏可不填，下同。</w:t>
      </w:r>
    </w:p>
    <w:p w14:paraId="310B6A0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4.该产品的关键组件要求实施前，“关键组件”栏可不填，下同。</w:t>
      </w:r>
    </w:p>
    <w:p w14:paraId="2ABC14D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5.该产品的关键工序要求实施前，“关键工序”栏可不填，下同。</w:t>
      </w:r>
    </w:p>
    <w:p w14:paraId="75C202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right="0" w:firstLine="3120" w:firstLineChars="1300"/>
        <w:jc w:val="both"/>
        <w:textAlignment w:val="auto"/>
        <w:rPr>
          <w:rFonts w:hint="default" w:ascii="宋体" w:hAnsi="宋体" w:eastAsia="宋体" w:cs="宋体"/>
          <w:i w:val="0"/>
          <w:iCs w:val="0"/>
          <w:caps w:val="0"/>
          <w:color w:val="333333"/>
          <w:spacing w:val="0"/>
          <w:sz w:val="24"/>
          <w:szCs w:val="24"/>
          <w:shd w:val="clear" w:fill="FFFFFF"/>
          <w:lang w:val="en-US" w:eastAsia="zh-CN"/>
        </w:rPr>
        <w:sectPr>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BED6F55">
      <w:pPr>
        <w:keepNext w:val="0"/>
        <w:keepLines w:val="0"/>
        <w:widowControl/>
        <w:suppressLineNumbers w:val="0"/>
        <w:jc w:val="left"/>
        <w:rPr>
          <w:rFonts w:hint="eastAsia" w:ascii="宋体" w:hAnsi="宋体" w:cs="宋体"/>
          <w:sz w:val="32"/>
          <w:szCs w:val="32"/>
        </w:rPr>
      </w:pPr>
      <w:r>
        <w:rPr>
          <w:rFonts w:hint="eastAsia" w:ascii="宋体" w:hAnsi="宋体" w:eastAsia="宋体" w:cs="宋体"/>
          <w:b/>
          <w:bCs w:val="0"/>
          <w:color w:val="000000"/>
          <w:kern w:val="2"/>
          <w:sz w:val="32"/>
          <w:szCs w:val="32"/>
          <w:lang w:val="en-US" w:eastAsia="zh-CN" w:bidi="ar-SA"/>
        </w:rPr>
        <w:t>附件1</w:t>
      </w:r>
      <w:r>
        <w:rPr>
          <w:rFonts w:hint="eastAsia" w:ascii="宋体" w:hAnsi="宋体" w:cs="宋体"/>
          <w:b/>
          <w:bCs w:val="0"/>
          <w:color w:val="000000"/>
          <w:kern w:val="2"/>
          <w:sz w:val="32"/>
          <w:szCs w:val="32"/>
          <w:lang w:val="en-US" w:eastAsia="zh-CN" w:bidi="ar-SA"/>
        </w:rPr>
        <w:t>8</w:t>
      </w:r>
      <w:r>
        <w:rPr>
          <w:rFonts w:hint="eastAsia" w:ascii="宋体" w:hAnsi="宋体" w:eastAsia="宋体" w:cs="宋体"/>
          <w:b/>
          <w:bCs w:val="0"/>
          <w:color w:val="000000"/>
          <w:kern w:val="2"/>
          <w:sz w:val="32"/>
          <w:szCs w:val="32"/>
          <w:lang w:val="en-US" w:eastAsia="zh-CN" w:bidi="ar-SA"/>
        </w:rPr>
        <w:t>：</w:t>
      </w:r>
      <w:r>
        <w:rPr>
          <w:rFonts w:hint="eastAsia" w:ascii="宋体" w:hAnsi="宋体" w:eastAsia="宋体" w:cs="宋体"/>
          <w:b/>
          <w:bCs/>
          <w:color w:val="000000"/>
          <w:kern w:val="0"/>
          <w:sz w:val="32"/>
          <w:szCs w:val="32"/>
          <w:lang w:val="en-US" w:eastAsia="zh-CN" w:bidi="ar"/>
        </w:rPr>
        <w:t>供应商认为在其他方面有必要说明的事项</w:t>
      </w:r>
    </w:p>
    <w:p w14:paraId="773E8E6E">
      <w:pPr>
        <w:widowControl/>
        <w:wordWrap/>
        <w:snapToGrid w:val="0"/>
        <w:spacing w:before="157" w:beforeLines="50" w:line="560" w:lineRule="exact"/>
        <w:outlineLvl w:val="1"/>
        <w:rPr>
          <w:rFonts w:hint="eastAsia" w:ascii="宋体" w:hAnsi="宋体" w:eastAsia="宋体" w:cs="宋体"/>
          <w:b/>
          <w:bCs w:val="0"/>
          <w:color w:val="000000"/>
          <w:kern w:val="2"/>
          <w:sz w:val="32"/>
          <w:szCs w:val="32"/>
          <w:lang w:val="en-US" w:eastAsia="zh-CN" w:bidi="ar-SA"/>
        </w:rPr>
      </w:pPr>
    </w:p>
    <w:p w14:paraId="08A0315A">
      <w:pPr>
        <w:keepNext w:val="0"/>
        <w:keepLines w:val="0"/>
        <w:widowControl/>
        <w:suppressLineNumbers w:val="0"/>
        <w:jc w:val="center"/>
        <w:rPr>
          <w:rFonts w:hint="eastAsia" w:ascii="宋体" w:hAnsi="宋体" w:cs="宋体"/>
          <w:sz w:val="32"/>
          <w:szCs w:val="32"/>
        </w:rPr>
      </w:pPr>
      <w:r>
        <w:rPr>
          <w:rFonts w:hint="eastAsia" w:ascii="宋体" w:hAnsi="宋体" w:eastAsia="宋体" w:cs="宋体"/>
          <w:b/>
          <w:bCs/>
          <w:color w:val="000000"/>
          <w:kern w:val="0"/>
          <w:sz w:val="32"/>
          <w:szCs w:val="32"/>
          <w:lang w:val="en-US" w:eastAsia="zh-CN" w:bidi="ar"/>
        </w:rPr>
        <w:t>供应商认为在其他方面有必要说明的事项</w:t>
      </w:r>
    </w:p>
    <w:p w14:paraId="72882C5F">
      <w:pPr>
        <w:keepNext w:val="0"/>
        <w:keepLines w:val="0"/>
        <w:widowControl/>
        <w:suppressLineNumbers w:val="0"/>
        <w:spacing w:line="360" w:lineRule="auto"/>
        <w:ind w:firstLine="480" w:firstLineChars="200"/>
        <w:jc w:val="left"/>
        <w:rPr>
          <w:sz w:val="24"/>
        </w:rPr>
      </w:pPr>
      <w:r>
        <w:rPr>
          <w:rFonts w:hint="eastAsia" w:ascii="宋体" w:hAnsi="宋体" w:eastAsia="宋体" w:cs="宋体"/>
          <w:color w:val="000000"/>
          <w:kern w:val="0"/>
          <w:sz w:val="24"/>
          <w:szCs w:val="24"/>
          <w:lang w:val="en-US" w:eastAsia="zh-CN" w:bidi="ar"/>
        </w:rPr>
        <w:t>供应商在参加本项目谈判中根据谈判文件的要求认为需要说明的事项，但不作为评标依据。如没有说明事项，此项可忽略。（格式可自定）</w:t>
      </w:r>
    </w:p>
    <w:p w14:paraId="566AFB57">
      <w:pPr>
        <w:widowControl/>
        <w:wordWrap/>
        <w:snapToGrid w:val="0"/>
        <w:spacing w:before="157" w:beforeLines="50" w:line="560" w:lineRule="exact"/>
        <w:outlineLvl w:val="1"/>
        <w:rPr>
          <w:rFonts w:hint="default" w:ascii="楷体_GB2312" w:hAnsi="楷体_GB2312" w:eastAsia="楷体_GB2312" w:cs="楷体_GB2312"/>
          <w:b/>
          <w:bCs w:val="0"/>
          <w:color w:val="000000"/>
          <w:kern w:val="2"/>
          <w:sz w:val="32"/>
          <w:szCs w:val="32"/>
          <w:lang w:val="en-US" w:eastAsia="zh-CN" w:bidi="ar-SA"/>
        </w:rPr>
        <w:sectPr>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3F67B45">
      <w:pPr>
        <w:widowControl/>
        <w:wordWrap/>
        <w:snapToGrid w:val="0"/>
        <w:spacing w:before="157" w:beforeLines="50" w:line="560" w:lineRule="exact"/>
        <w:outlineLvl w:val="1"/>
        <w:rPr>
          <w:rFonts w:hint="eastAsia" w:ascii="宋体" w:hAnsi="宋体" w:eastAsia="宋体" w:cs="宋体"/>
          <w:b/>
          <w:bCs w:val="0"/>
          <w:color w:val="000000"/>
          <w:kern w:val="2"/>
          <w:sz w:val="32"/>
          <w:szCs w:val="32"/>
          <w:lang w:val="en-US" w:eastAsia="zh-CN" w:bidi="ar-SA"/>
        </w:rPr>
      </w:pPr>
      <w:r>
        <w:rPr>
          <w:rFonts w:hint="eastAsia" w:ascii="宋体" w:hAnsi="宋体" w:eastAsia="宋体" w:cs="宋体"/>
          <w:b/>
          <w:bCs w:val="0"/>
          <w:color w:val="000000"/>
          <w:kern w:val="2"/>
          <w:sz w:val="32"/>
          <w:szCs w:val="32"/>
          <w:lang w:val="en-US" w:eastAsia="zh-CN" w:bidi="ar-SA"/>
        </w:rPr>
        <w:t>附件1</w:t>
      </w:r>
      <w:r>
        <w:rPr>
          <w:rFonts w:hint="eastAsia" w:ascii="宋体" w:hAnsi="宋体" w:cs="宋体"/>
          <w:b/>
          <w:bCs w:val="0"/>
          <w:color w:val="000000"/>
          <w:kern w:val="2"/>
          <w:sz w:val="32"/>
          <w:szCs w:val="32"/>
          <w:lang w:val="en-US" w:eastAsia="zh-CN" w:bidi="ar-SA"/>
        </w:rPr>
        <w:t>9</w:t>
      </w:r>
      <w:r>
        <w:rPr>
          <w:rFonts w:hint="eastAsia" w:ascii="宋体" w:hAnsi="宋体" w:eastAsia="宋体" w:cs="宋体"/>
          <w:b/>
          <w:bCs w:val="0"/>
          <w:color w:val="000000"/>
          <w:kern w:val="2"/>
          <w:sz w:val="32"/>
          <w:szCs w:val="32"/>
          <w:lang w:val="en-US" w:eastAsia="zh-CN" w:bidi="ar-SA"/>
        </w:rPr>
        <w:t>：最后报价表</w:t>
      </w:r>
      <w:bookmarkEnd w:id="471"/>
      <w:bookmarkEnd w:id="472"/>
      <w:bookmarkEnd w:id="473"/>
      <w:bookmarkEnd w:id="474"/>
    </w:p>
    <w:p w14:paraId="398E4763">
      <w:pPr>
        <w:widowControl w:val="0"/>
        <w:wordWrap/>
        <w:autoSpaceDE w:val="0"/>
        <w:autoSpaceDN w:val="0"/>
        <w:adjustRightInd w:val="0"/>
        <w:snapToGrid/>
        <w:spacing w:line="560" w:lineRule="exact"/>
        <w:ind w:left="283" w:leftChars="135"/>
        <w:jc w:val="center"/>
        <w:outlineLvl w:val="9"/>
        <w:rPr>
          <w:rFonts w:hint="eastAsia" w:ascii="宋体" w:hAnsi="宋体" w:eastAsia="宋体" w:cs="宋体"/>
          <w:b/>
          <w:bCs w:val="0"/>
          <w:color w:val="FF0000"/>
          <w:sz w:val="32"/>
          <w:szCs w:val="32"/>
          <w:lang w:val="zh-CN"/>
        </w:rPr>
      </w:pPr>
      <w:r>
        <w:rPr>
          <w:rFonts w:hint="eastAsia" w:ascii="宋体" w:hAnsi="宋体" w:eastAsia="宋体" w:cs="宋体"/>
          <w:b/>
          <w:bCs w:val="0"/>
          <w:color w:val="FF0000"/>
          <w:kern w:val="2"/>
          <w:sz w:val="32"/>
          <w:szCs w:val="32"/>
          <w:lang w:val="en-US" w:eastAsia="zh-CN" w:bidi="ar-SA"/>
        </w:rPr>
        <w:t>最后报价表</w:t>
      </w:r>
    </w:p>
    <w:p w14:paraId="49FCCC5B">
      <w:pPr>
        <w:widowControl w:val="0"/>
        <w:wordWrap/>
        <w:snapToGrid/>
        <w:spacing w:line="560" w:lineRule="exact"/>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供应商名称：</w:t>
      </w:r>
      <w:r>
        <w:rPr>
          <w:rFonts w:hint="eastAsia" w:ascii="宋体" w:hAnsi="宋体" w:eastAsia="宋体" w:cs="宋体"/>
          <w:b w:val="0"/>
          <w:bCs/>
          <w:color w:val="FF0000"/>
          <w:sz w:val="24"/>
          <w:szCs w:val="24"/>
          <w:lang w:val="en-US" w:eastAsia="zh-CN"/>
        </w:rPr>
        <w:t xml:space="preserve">                             </w:t>
      </w:r>
      <w:r>
        <w:rPr>
          <w:rFonts w:hint="eastAsia" w:ascii="宋体" w:hAnsi="宋体" w:eastAsia="宋体" w:cs="宋体"/>
          <w:b w:val="0"/>
          <w:bCs/>
          <w:color w:val="FF0000"/>
          <w:sz w:val="24"/>
          <w:szCs w:val="24"/>
        </w:rPr>
        <w:t>单位：人民币(元)</w:t>
      </w:r>
    </w:p>
    <w:tbl>
      <w:tblPr>
        <w:tblStyle w:val="19"/>
        <w:tblpPr w:leftFromText="180" w:rightFromText="180" w:vertAnchor="text" w:horzAnchor="margin" w:tblpXSpec="left" w:tblpY="14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2717"/>
        <w:gridCol w:w="2670"/>
        <w:gridCol w:w="1560"/>
      </w:tblGrid>
      <w:tr w14:paraId="57B1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092" w:type="dxa"/>
            <w:vAlign w:val="center"/>
          </w:tcPr>
          <w:p w14:paraId="66EC66A0">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项目名称</w:t>
            </w:r>
          </w:p>
        </w:tc>
        <w:tc>
          <w:tcPr>
            <w:tcW w:w="2717" w:type="dxa"/>
            <w:vAlign w:val="center"/>
          </w:tcPr>
          <w:p w14:paraId="127AC9EA">
            <w:pPr>
              <w:widowControl w:val="0"/>
              <w:wordWrap/>
              <w:adjustRightInd w:val="0"/>
              <w:snapToGrid/>
              <w:spacing w:line="560" w:lineRule="exact"/>
              <w:jc w:val="center"/>
              <w:textAlignment w:val="baseline"/>
              <w:outlineLvl w:val="9"/>
              <w:rPr>
                <w:rFonts w:hint="eastAsia" w:ascii="宋体" w:hAnsi="宋体" w:eastAsia="宋体" w:cs="宋体"/>
                <w:b w:val="0"/>
                <w:bCs/>
                <w:color w:val="FF0000"/>
                <w:sz w:val="24"/>
                <w:szCs w:val="24"/>
              </w:rPr>
            </w:pPr>
            <w:r>
              <w:rPr>
                <w:rFonts w:hint="eastAsia" w:ascii="宋体" w:hAnsi="宋体" w:cs="宋体"/>
                <w:b w:val="0"/>
                <w:bCs/>
                <w:color w:val="FF0000"/>
                <w:sz w:val="24"/>
                <w:szCs w:val="24"/>
                <w:lang w:val="en-US" w:eastAsia="zh-CN"/>
              </w:rPr>
              <w:t>最终</w:t>
            </w:r>
            <w:r>
              <w:rPr>
                <w:rFonts w:hint="eastAsia" w:ascii="宋体" w:hAnsi="宋体" w:eastAsia="宋体" w:cs="宋体"/>
                <w:b w:val="0"/>
                <w:bCs/>
                <w:color w:val="FF0000"/>
                <w:sz w:val="24"/>
                <w:szCs w:val="24"/>
              </w:rPr>
              <w:t>报价</w:t>
            </w:r>
          </w:p>
        </w:tc>
        <w:tc>
          <w:tcPr>
            <w:tcW w:w="2670" w:type="dxa"/>
            <w:vAlign w:val="center"/>
          </w:tcPr>
          <w:p w14:paraId="52F624F3">
            <w:pPr>
              <w:widowControl w:val="0"/>
              <w:wordWrap/>
              <w:adjustRightInd w:val="0"/>
              <w:snapToGrid/>
              <w:spacing w:line="560" w:lineRule="exact"/>
              <w:ind w:firstLine="120" w:firstLineChars="50"/>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交货期</w:t>
            </w:r>
          </w:p>
        </w:tc>
        <w:tc>
          <w:tcPr>
            <w:tcW w:w="1560" w:type="dxa"/>
            <w:vAlign w:val="center"/>
          </w:tcPr>
          <w:p w14:paraId="3257D091">
            <w:pPr>
              <w:widowControl w:val="0"/>
              <w:wordWrap/>
              <w:adjustRightInd w:val="0"/>
              <w:snapToGrid/>
              <w:spacing w:line="560" w:lineRule="exact"/>
              <w:ind w:left="274" w:leftChars="16" w:hanging="240" w:hangingChars="100"/>
              <w:jc w:val="center"/>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备注</w:t>
            </w:r>
          </w:p>
        </w:tc>
      </w:tr>
      <w:tr w14:paraId="5E3F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092" w:type="dxa"/>
            <w:vMerge w:val="restart"/>
            <w:vAlign w:val="center"/>
          </w:tcPr>
          <w:p w14:paraId="1002849B">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FF0000"/>
                <w:sz w:val="24"/>
                <w:szCs w:val="24"/>
              </w:rPr>
            </w:pPr>
          </w:p>
        </w:tc>
        <w:tc>
          <w:tcPr>
            <w:tcW w:w="2717" w:type="dxa"/>
            <w:vAlign w:val="top"/>
          </w:tcPr>
          <w:p w14:paraId="6E15340B">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大写：</w:t>
            </w:r>
          </w:p>
        </w:tc>
        <w:tc>
          <w:tcPr>
            <w:tcW w:w="2670" w:type="dxa"/>
            <w:vMerge w:val="restart"/>
            <w:vAlign w:val="top"/>
          </w:tcPr>
          <w:p w14:paraId="70A5766C">
            <w:pPr>
              <w:widowControl w:val="0"/>
              <w:wordWrap/>
              <w:adjustRightInd w:val="0"/>
              <w:snapToGrid/>
              <w:spacing w:line="560" w:lineRule="exact"/>
              <w:ind w:firstLine="196" w:firstLineChars="82"/>
              <w:textAlignment w:val="baseline"/>
              <w:outlineLvl w:val="9"/>
              <w:rPr>
                <w:rFonts w:hint="eastAsia" w:ascii="宋体" w:hAnsi="宋体" w:eastAsia="宋体" w:cs="宋体"/>
                <w:b w:val="0"/>
                <w:bCs/>
                <w:color w:val="FF0000"/>
                <w:sz w:val="24"/>
                <w:szCs w:val="24"/>
              </w:rPr>
            </w:pPr>
          </w:p>
        </w:tc>
        <w:tc>
          <w:tcPr>
            <w:tcW w:w="1560" w:type="dxa"/>
            <w:vMerge w:val="restart"/>
            <w:vAlign w:val="top"/>
          </w:tcPr>
          <w:p w14:paraId="7A02530C">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p>
        </w:tc>
      </w:tr>
      <w:tr w14:paraId="28EE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92" w:type="dxa"/>
            <w:vMerge w:val="continue"/>
            <w:vAlign w:val="center"/>
          </w:tcPr>
          <w:p w14:paraId="5DEA8DA9">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FF0000"/>
                <w:sz w:val="24"/>
                <w:szCs w:val="24"/>
              </w:rPr>
            </w:pPr>
          </w:p>
        </w:tc>
        <w:tc>
          <w:tcPr>
            <w:tcW w:w="2717" w:type="dxa"/>
            <w:vAlign w:val="top"/>
          </w:tcPr>
          <w:p w14:paraId="4268EA89">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小写：</w:t>
            </w:r>
          </w:p>
        </w:tc>
        <w:tc>
          <w:tcPr>
            <w:tcW w:w="2670" w:type="dxa"/>
            <w:vMerge w:val="continue"/>
            <w:vAlign w:val="top"/>
          </w:tcPr>
          <w:p w14:paraId="69CAB466">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FF0000"/>
                <w:sz w:val="24"/>
                <w:szCs w:val="24"/>
              </w:rPr>
            </w:pPr>
          </w:p>
        </w:tc>
        <w:tc>
          <w:tcPr>
            <w:tcW w:w="1560" w:type="dxa"/>
            <w:vMerge w:val="continue"/>
            <w:vAlign w:val="top"/>
          </w:tcPr>
          <w:p w14:paraId="49DBA8BC">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p>
        </w:tc>
      </w:tr>
      <w:tr w14:paraId="5476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039" w:type="dxa"/>
            <w:gridSpan w:val="4"/>
            <w:vAlign w:val="center"/>
          </w:tcPr>
          <w:p w14:paraId="3BBB6380">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其他承诺及需要说明的事项：</w:t>
            </w:r>
          </w:p>
        </w:tc>
      </w:tr>
    </w:tbl>
    <w:p w14:paraId="34B3B159">
      <w:pPr>
        <w:widowControl w:val="0"/>
        <w:wordWrap/>
        <w:snapToGrid/>
        <w:spacing w:line="560" w:lineRule="exact"/>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注：1、填写此表时不得改变表格形式。</w:t>
      </w:r>
    </w:p>
    <w:p w14:paraId="20D7C865">
      <w:pPr>
        <w:widowControl w:val="0"/>
        <w:wordWrap/>
        <w:snapToGrid/>
        <w:spacing w:line="560" w:lineRule="exact"/>
        <w:ind w:firstLine="480" w:firstLineChars="200"/>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2</w:t>
      </w:r>
      <w:r>
        <w:rPr>
          <w:rFonts w:hint="eastAsia" w:ascii="宋体" w:hAnsi="宋体" w:eastAsia="宋体" w:cs="宋体"/>
          <w:color w:val="FF0000"/>
          <w:sz w:val="24"/>
          <w:szCs w:val="24"/>
          <w:lang w:eastAsia="zh-CN"/>
        </w:rPr>
        <w:t>、响应文件</w:t>
      </w:r>
      <w:r>
        <w:rPr>
          <w:rFonts w:hint="eastAsia" w:ascii="宋体" w:hAnsi="宋体" w:eastAsia="宋体" w:cs="宋体"/>
          <w:color w:val="FF0000"/>
          <w:sz w:val="24"/>
          <w:szCs w:val="24"/>
        </w:rPr>
        <w:t>报价为总价。包括</w:t>
      </w:r>
      <w:r>
        <w:rPr>
          <w:rFonts w:hint="eastAsia" w:ascii="宋体" w:hAnsi="宋体" w:eastAsia="宋体" w:cs="宋体"/>
          <w:color w:val="FF0000"/>
          <w:sz w:val="24"/>
          <w:szCs w:val="24"/>
          <w:u w:val="none"/>
          <w:lang w:val="en-US" w:eastAsia="zh-CN"/>
        </w:rPr>
        <w:t>产品费、检验费、手续费、包装</w:t>
      </w:r>
      <w:r>
        <w:rPr>
          <w:rFonts w:hint="eastAsia" w:ascii="宋体" w:hAnsi="宋体" w:eastAsia="宋体" w:cs="宋体"/>
          <w:color w:val="FF0000"/>
          <w:sz w:val="24"/>
          <w:szCs w:val="24"/>
          <w:u w:val="none"/>
        </w:rPr>
        <w:t>费</w:t>
      </w:r>
      <w:r>
        <w:rPr>
          <w:rFonts w:hint="eastAsia" w:ascii="宋体" w:hAnsi="宋体" w:eastAsia="宋体" w:cs="宋体"/>
          <w:color w:val="FF0000"/>
          <w:sz w:val="24"/>
          <w:szCs w:val="24"/>
        </w:rPr>
        <w:t>、税金及其他不可预见费等全部费用。</w:t>
      </w:r>
    </w:p>
    <w:p w14:paraId="418CF628">
      <w:pPr>
        <w:widowControl w:val="0"/>
        <w:wordWrap/>
        <w:snapToGrid/>
        <w:spacing w:line="560" w:lineRule="exact"/>
        <w:ind w:firstLine="480" w:firstLineChars="200"/>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3、“交货期”是指产品能够交付使用的具体时间（工作日）。</w:t>
      </w:r>
    </w:p>
    <w:p w14:paraId="1DEEDF8B">
      <w:pPr>
        <w:widowControl w:val="0"/>
        <w:wordWrap/>
        <w:autoSpaceDE w:val="0"/>
        <w:autoSpaceDN w:val="0"/>
        <w:adjustRightInd w:val="0"/>
        <w:snapToGrid/>
        <w:spacing w:line="560" w:lineRule="exact"/>
        <w:jc w:val="both"/>
        <w:outlineLvl w:val="9"/>
        <w:rPr>
          <w:rFonts w:hint="eastAsia" w:ascii="宋体" w:hAnsi="宋体"/>
          <w:b/>
          <w:bCs/>
          <w:color w:val="FF0000"/>
          <w:sz w:val="21"/>
          <w:szCs w:val="21"/>
        </w:rPr>
      </w:pPr>
      <w:r>
        <w:rPr>
          <w:rFonts w:hint="eastAsia" w:ascii="宋体" w:hAnsi="宋体"/>
          <w:b/>
          <w:color w:val="FF0000"/>
          <w:sz w:val="21"/>
          <w:szCs w:val="21"/>
        </w:rPr>
        <w:t xml:space="preserve">                   </w:t>
      </w:r>
      <w:r>
        <w:rPr>
          <w:rFonts w:hint="eastAsia" w:ascii="宋体" w:hAnsi="宋体"/>
          <w:b/>
          <w:bCs/>
          <w:color w:val="FF0000"/>
          <w:sz w:val="21"/>
          <w:szCs w:val="21"/>
        </w:rPr>
        <w:t xml:space="preserve">        </w:t>
      </w:r>
    </w:p>
    <w:p w14:paraId="2FA31632">
      <w:pPr>
        <w:widowControl w:val="0"/>
        <w:wordWrap/>
        <w:autoSpaceDE w:val="0"/>
        <w:autoSpaceDN w:val="0"/>
        <w:adjustRightInd w:val="0"/>
        <w:snapToGrid/>
        <w:spacing w:line="560" w:lineRule="exact"/>
        <w:jc w:val="both"/>
        <w:outlineLvl w:val="9"/>
        <w:rPr>
          <w:rFonts w:hint="eastAsia" w:ascii="宋体" w:hAnsi="宋体"/>
          <w:b/>
          <w:bCs/>
          <w:color w:val="000000"/>
          <w:sz w:val="21"/>
          <w:szCs w:val="21"/>
        </w:rPr>
      </w:pPr>
    </w:p>
    <w:p w14:paraId="5F409DCB">
      <w:pPr>
        <w:widowControl w:val="0"/>
        <w:wordWrap/>
        <w:autoSpaceDE w:val="0"/>
        <w:autoSpaceDN w:val="0"/>
        <w:adjustRightInd w:val="0"/>
        <w:snapToGrid/>
        <w:spacing w:line="560" w:lineRule="exact"/>
        <w:jc w:val="both"/>
        <w:outlineLvl w:val="9"/>
        <w:rPr>
          <w:rFonts w:hint="eastAsia" w:ascii="宋体" w:hAnsi="宋体"/>
          <w:b/>
          <w:bCs/>
          <w:color w:val="000000"/>
          <w:sz w:val="21"/>
          <w:szCs w:val="21"/>
        </w:rPr>
      </w:pPr>
    </w:p>
    <w:p w14:paraId="35BE7F34">
      <w:pPr>
        <w:widowControl w:val="0"/>
        <w:wordWrap/>
        <w:autoSpaceDE w:val="0"/>
        <w:autoSpaceDN w:val="0"/>
        <w:adjustRightInd w:val="0"/>
        <w:snapToGrid/>
        <w:spacing w:line="560" w:lineRule="exact"/>
        <w:jc w:val="both"/>
        <w:outlineLvl w:val="9"/>
        <w:rPr>
          <w:rFonts w:hint="eastAsia" w:ascii="宋体" w:hAnsi="宋体"/>
          <w:b/>
          <w:bCs/>
          <w:color w:val="000000"/>
          <w:sz w:val="21"/>
          <w:szCs w:val="21"/>
        </w:rPr>
      </w:pPr>
    </w:p>
    <w:p w14:paraId="5047AF96">
      <w:pPr>
        <w:widowControl w:val="0"/>
        <w:wordWrap/>
        <w:autoSpaceDE w:val="0"/>
        <w:autoSpaceDN w:val="0"/>
        <w:adjustRightInd w:val="0"/>
        <w:snapToGrid/>
        <w:spacing w:line="560" w:lineRule="exact"/>
        <w:jc w:val="both"/>
        <w:outlineLvl w:val="9"/>
        <w:rPr>
          <w:rFonts w:hint="eastAsia" w:ascii="宋体" w:hAnsi="宋体"/>
          <w:b/>
          <w:bCs/>
          <w:color w:val="000000"/>
          <w:sz w:val="21"/>
          <w:szCs w:val="21"/>
          <w:lang w:val="en-US" w:eastAsia="zh-CN"/>
        </w:rPr>
      </w:pPr>
    </w:p>
    <w:p w14:paraId="7D0D1261">
      <w:pPr>
        <w:keepNext w:val="0"/>
        <w:keepLines w:val="0"/>
        <w:pageBreakBefore w:val="0"/>
        <w:widowControl w:val="0"/>
        <w:kinsoku/>
        <w:wordWrap/>
        <w:overflowPunct/>
        <w:topLinePunct w:val="0"/>
        <w:autoSpaceDE/>
        <w:autoSpaceDN/>
        <w:bidi w:val="0"/>
        <w:adjustRightInd/>
        <w:snapToGrid/>
        <w:spacing w:after="240" w:line="360" w:lineRule="auto"/>
        <w:ind w:firstLine="3840" w:firstLineChars="160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单位</w:t>
      </w:r>
      <w:r>
        <w:rPr>
          <w:rFonts w:hint="eastAsia" w:ascii="宋体" w:hAnsi="宋体" w:eastAsia="宋体" w:cs="宋体"/>
          <w:b w:val="0"/>
          <w:bCs/>
          <w:color w:val="000000"/>
          <w:sz w:val="24"/>
          <w:szCs w:val="24"/>
          <w:lang w:eastAsia="zh-CN"/>
        </w:rPr>
        <w:t>名称</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（公章）</w:t>
      </w:r>
    </w:p>
    <w:p w14:paraId="5F71E3CE">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法定代表人或委托代理人：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（签字或盖章）</w:t>
      </w:r>
    </w:p>
    <w:p w14:paraId="491F8586">
      <w:pPr>
        <w:keepNext w:val="0"/>
        <w:keepLines w:val="0"/>
        <w:pageBreakBefore w:val="0"/>
        <w:widowControl w:val="0"/>
        <w:kinsoku/>
        <w:wordWrap/>
        <w:overflowPunct/>
        <w:topLinePunct w:val="0"/>
        <w:autoSpaceDE/>
        <w:autoSpaceDN/>
        <w:bidi w:val="0"/>
        <w:adjustRightInd/>
        <w:snapToGrid/>
        <w:spacing w:after="240" w:line="360" w:lineRule="auto"/>
        <w:ind w:firstLine="640" w:firstLineChars="200"/>
        <w:jc w:val="center"/>
        <w:textAlignment w:val="auto"/>
        <w:outlineLvl w:val="9"/>
        <w:rPr>
          <w:rFonts w:hint="default" w:ascii="宋体"/>
          <w:b/>
          <w:color w:val="000000"/>
          <w:sz w:val="28"/>
          <w:szCs w:val="28"/>
          <w:lang w:val="en-US" w:eastAsia="zh-CN"/>
        </w:rPr>
      </w:pP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val="en-US" w:eastAsia="zh-CN"/>
        </w:rPr>
        <w:t xml:space="preserve">      </w:t>
      </w:r>
      <w:r>
        <w:rPr>
          <w:rFonts w:hint="eastAsia" w:ascii="宋体" w:hAnsi="宋体" w:eastAsia="宋体" w:cs="宋体"/>
          <w:spacing w:val="6"/>
          <w:kern w:val="0"/>
          <w:sz w:val="24"/>
          <w:szCs w:val="24"/>
          <w:lang w:eastAsia="zh-CN"/>
        </w:rPr>
        <w:t>年   月  日</w:t>
      </w:r>
    </w:p>
    <w:p w14:paraId="169C4673">
      <w:pPr>
        <w:rPr>
          <w:rFonts w:hint="eastAsia" w:ascii="宋体" w:hAnsi="宋体" w:eastAsia="宋体"/>
          <w:bCs/>
          <w:szCs w:val="21"/>
        </w:rPr>
      </w:pPr>
    </w:p>
    <w:p w14:paraId="5E773B4D">
      <w:pPr>
        <w:rPr>
          <w:rFonts w:hint="eastAsia" w:ascii="宋体" w:hAnsi="宋体"/>
          <w:b/>
          <w:color w:val="000000"/>
          <w:sz w:val="24"/>
        </w:rPr>
      </w:pPr>
      <w:r>
        <w:rPr>
          <w:rFonts w:hint="eastAsia" w:ascii="宋体" w:hAnsi="宋体"/>
          <w:b/>
          <w:color w:val="000000"/>
          <w:sz w:val="24"/>
        </w:rPr>
        <w:br w:type="page"/>
      </w:r>
    </w:p>
    <w:p w14:paraId="65DCD69E">
      <w:pPr>
        <w:pStyle w:val="2"/>
        <w:numPr>
          <w:ilvl w:val="0"/>
          <w:numId w:val="0"/>
        </w:numPr>
        <w:wordWrap/>
        <w:adjustRightInd w:val="0"/>
        <w:snapToGrid w:val="0"/>
        <w:spacing w:before="0" w:beforeLines="-2147483648" w:line="360" w:lineRule="auto"/>
        <w:jc w:val="center"/>
        <w:outlineLvl w:val="9"/>
        <w:rPr>
          <w:rFonts w:hint="eastAsia" w:ascii="宋体" w:hAnsi="宋体" w:eastAsia="宋体" w:cs="宋体"/>
          <w:b w:val="0"/>
          <w:bCs w:val="0"/>
          <w:color w:val="auto"/>
          <w:sz w:val="44"/>
          <w:szCs w:val="44"/>
        </w:rPr>
      </w:pPr>
      <w:bookmarkStart w:id="475" w:name="_Toc376936766"/>
      <w:bookmarkStart w:id="476" w:name="_Toc5169"/>
      <w:bookmarkStart w:id="477" w:name="_Toc4685"/>
      <w:bookmarkStart w:id="478" w:name="_Toc7329_WPSOffice_Level1"/>
      <w:bookmarkStart w:id="479" w:name="_Toc24112_WPSOffice_Level1"/>
      <w:bookmarkStart w:id="480" w:name="_Toc16779_WPSOffice_Level1"/>
      <w:bookmarkStart w:id="481" w:name="_Toc12949996"/>
      <w:bookmarkStart w:id="482" w:name="_Toc23722_WPSOffice_Level1"/>
      <w:bookmarkStart w:id="483" w:name="_Toc416183225"/>
      <w:bookmarkStart w:id="484" w:name="_Toc16082_WPSOffice_Level1"/>
      <w:bookmarkStart w:id="485" w:name="_Toc27557_WPSOffice_Level1"/>
      <w:bookmarkStart w:id="486" w:name="_Toc5233"/>
      <w:bookmarkStart w:id="487" w:name="_Toc23740"/>
      <w:r>
        <w:rPr>
          <w:rFonts w:hint="eastAsia" w:ascii="宋体" w:hAnsi="宋体" w:eastAsia="宋体" w:cs="宋体"/>
          <w:b w:val="0"/>
          <w:bCs w:val="0"/>
          <w:color w:val="auto"/>
          <w:sz w:val="44"/>
          <w:szCs w:val="44"/>
          <w:lang w:eastAsia="zh-CN"/>
        </w:rPr>
        <w:t>第五部分</w:t>
      </w:r>
      <w:r>
        <w:rPr>
          <w:rFonts w:hint="eastAsia" w:ascii="宋体" w:hAnsi="宋体" w:eastAsia="宋体" w:cs="宋体"/>
          <w:b w:val="0"/>
          <w:bCs w:val="0"/>
          <w:color w:val="auto"/>
          <w:sz w:val="44"/>
          <w:szCs w:val="44"/>
        </w:rPr>
        <w:t xml:space="preserve"> </w:t>
      </w:r>
      <w:bookmarkEnd w:id="475"/>
      <w:r>
        <w:rPr>
          <w:rFonts w:hint="eastAsia" w:ascii="宋体" w:hAnsi="宋体" w:eastAsia="宋体" w:cs="宋体"/>
          <w:b w:val="0"/>
          <w:bCs w:val="0"/>
          <w:color w:val="auto"/>
          <w:sz w:val="44"/>
          <w:szCs w:val="44"/>
        </w:rPr>
        <w:t>青海省政府采购项目合同书范本</w:t>
      </w:r>
      <w:bookmarkEnd w:id="476"/>
      <w:bookmarkEnd w:id="477"/>
      <w:bookmarkEnd w:id="478"/>
      <w:bookmarkEnd w:id="479"/>
    </w:p>
    <w:p w14:paraId="22E55EC3">
      <w:pPr>
        <w:pStyle w:val="2"/>
        <w:wordWrap/>
        <w:adjustRightInd w:val="0"/>
        <w:snapToGrid w:val="0"/>
        <w:spacing w:before="157" w:beforeLines="50" w:line="560" w:lineRule="exact"/>
        <w:jc w:val="center"/>
        <w:outlineLvl w:val="0"/>
        <w:rPr>
          <w:rFonts w:hint="eastAsia" w:ascii="华文中宋" w:hAnsi="华文中宋" w:eastAsia="华文中宋" w:cs="华文中宋"/>
          <w:b w:val="0"/>
          <w:bCs w:val="0"/>
          <w:sz w:val="44"/>
          <w:szCs w:val="44"/>
        </w:rPr>
      </w:pPr>
      <w:bookmarkStart w:id="488" w:name="_Toc22776_WPSOffice_Level1"/>
      <w:bookmarkStart w:id="489" w:name="_Toc32639"/>
      <w:bookmarkStart w:id="490" w:name="_Toc13776"/>
      <w:bookmarkStart w:id="491" w:name="_Toc29785_WPSOffice_Level1"/>
      <w:r>
        <w:rPr>
          <w:rFonts w:hint="eastAsia" w:ascii="华文中宋" w:hAnsi="华文中宋" w:eastAsia="华文中宋" w:cs="华文中宋"/>
          <w:b w:val="0"/>
          <w:bCs w:val="0"/>
          <w:sz w:val="44"/>
          <w:szCs w:val="44"/>
        </w:rPr>
        <w:t>（货物类）</w:t>
      </w:r>
      <w:bookmarkEnd w:id="480"/>
      <w:bookmarkEnd w:id="481"/>
      <w:bookmarkEnd w:id="482"/>
      <w:bookmarkEnd w:id="483"/>
      <w:bookmarkEnd w:id="484"/>
      <w:bookmarkEnd w:id="485"/>
      <w:bookmarkEnd w:id="486"/>
      <w:bookmarkEnd w:id="487"/>
      <w:bookmarkEnd w:id="488"/>
      <w:bookmarkEnd w:id="489"/>
      <w:bookmarkEnd w:id="490"/>
      <w:bookmarkEnd w:id="491"/>
    </w:p>
    <w:p w14:paraId="513689E3">
      <w:pPr>
        <w:wordWrap/>
        <w:adjustRightInd w:val="0"/>
        <w:snapToGrid w:val="0"/>
        <w:spacing w:before="157" w:beforeLines="50" w:line="560" w:lineRule="exact"/>
        <w:outlineLvl w:val="0"/>
        <w:rPr>
          <w:rFonts w:hint="eastAsia" w:ascii="宋体" w:hAnsi="宋体" w:eastAsia="宋体"/>
          <w:bCs/>
          <w:szCs w:val="21"/>
        </w:rPr>
      </w:pPr>
      <w:bookmarkStart w:id="492" w:name="_Toc373954603"/>
      <w:bookmarkStart w:id="493" w:name="_Toc375576842"/>
      <w:bookmarkStart w:id="494" w:name="_Toc373936315"/>
    </w:p>
    <w:bookmarkEnd w:id="492"/>
    <w:bookmarkEnd w:id="493"/>
    <w:bookmarkEnd w:id="494"/>
    <w:p w14:paraId="41A1DD1E">
      <w:pPr>
        <w:keepNext/>
        <w:keepLines/>
        <w:widowControl/>
        <w:wordWrap/>
        <w:snapToGrid w:val="0"/>
        <w:spacing w:before="157" w:beforeLines="50" w:line="560" w:lineRule="exact"/>
        <w:jc w:val="center"/>
        <w:outlineLvl w:val="9"/>
        <w:rPr>
          <w:rFonts w:hint="eastAsia" w:ascii="华文中宋" w:hAnsi="华文中宋" w:eastAsia="华文中宋" w:cs="华文中宋"/>
          <w:b w:val="0"/>
          <w:bCs/>
          <w:color w:val="000000"/>
          <w:kern w:val="28"/>
          <w:sz w:val="32"/>
          <w:szCs w:val="32"/>
        </w:rPr>
      </w:pPr>
      <w:bookmarkStart w:id="495" w:name="_Toc9152_WPSOffice_Level1"/>
      <w:bookmarkStart w:id="496" w:name="_Toc9715"/>
      <w:bookmarkStart w:id="497" w:name="_Toc8067_WPSOffice_Level1"/>
      <w:bookmarkStart w:id="498" w:name="_Toc4308"/>
      <w:bookmarkStart w:id="499" w:name="_Toc10999_WPSOffice_Level1"/>
      <w:bookmarkStart w:id="500" w:name="_Toc3676_WPSOffice_Level1"/>
      <w:bookmarkStart w:id="501" w:name="_Toc416183226"/>
      <w:bookmarkStart w:id="502" w:name="_Toc12949997"/>
      <w:bookmarkStart w:id="503" w:name="_Toc31604_WPSOffice_Level1"/>
      <w:r>
        <w:rPr>
          <w:rFonts w:hint="eastAsia" w:ascii="华文中宋" w:hAnsi="华文中宋" w:eastAsia="华文中宋" w:cs="华文中宋"/>
          <w:b w:val="0"/>
          <w:bCs/>
          <w:color w:val="000000"/>
          <w:kern w:val="28"/>
          <w:sz w:val="32"/>
          <w:szCs w:val="32"/>
        </w:rPr>
        <w:t>青海省政府采购项目合同书</w:t>
      </w:r>
      <w:bookmarkEnd w:id="495"/>
      <w:bookmarkEnd w:id="496"/>
      <w:bookmarkEnd w:id="497"/>
      <w:bookmarkEnd w:id="498"/>
      <w:bookmarkEnd w:id="499"/>
      <w:bookmarkEnd w:id="500"/>
      <w:bookmarkEnd w:id="501"/>
      <w:bookmarkEnd w:id="502"/>
      <w:bookmarkEnd w:id="503"/>
    </w:p>
    <w:p w14:paraId="193738BE">
      <w:pPr>
        <w:wordWrap/>
        <w:spacing w:before="157" w:beforeLines="50" w:line="560" w:lineRule="exact"/>
        <w:jc w:val="center"/>
        <w:outlineLvl w:val="9"/>
        <w:rPr>
          <w:rFonts w:hint="eastAsia" w:ascii="华文中宋" w:hAnsi="华文中宋" w:eastAsia="华文中宋" w:cs="华文中宋"/>
          <w:b w:val="0"/>
          <w:bCs/>
          <w:color w:val="000000"/>
          <w:sz w:val="32"/>
          <w:szCs w:val="32"/>
        </w:rPr>
      </w:pPr>
    </w:p>
    <w:p w14:paraId="362F9363">
      <w:pPr>
        <w:wordWrap/>
        <w:spacing w:before="157" w:beforeLines="50" w:line="560" w:lineRule="exact"/>
        <w:jc w:val="center"/>
        <w:outlineLvl w:val="9"/>
        <w:rPr>
          <w:rFonts w:hint="eastAsia" w:ascii="华文中宋" w:hAnsi="华文中宋" w:eastAsia="华文中宋" w:cs="华文中宋"/>
          <w:b w:val="0"/>
          <w:bCs/>
          <w:color w:val="000000"/>
          <w:sz w:val="32"/>
          <w:szCs w:val="32"/>
        </w:rPr>
      </w:pPr>
    </w:p>
    <w:p w14:paraId="66C2E019">
      <w:pPr>
        <w:wordWrap/>
        <w:spacing w:before="157" w:beforeLines="50" w:line="560" w:lineRule="exact"/>
        <w:jc w:val="center"/>
        <w:outlineLvl w:val="9"/>
        <w:rPr>
          <w:rFonts w:hint="eastAsia" w:ascii="华文中宋" w:hAnsi="华文中宋" w:eastAsia="华文中宋" w:cs="华文中宋"/>
          <w:b w:val="0"/>
          <w:bCs/>
          <w:color w:val="000000"/>
          <w:sz w:val="32"/>
          <w:szCs w:val="32"/>
        </w:rPr>
      </w:pPr>
    </w:p>
    <w:p w14:paraId="53265F2B">
      <w:pPr>
        <w:wordWrap/>
        <w:spacing w:before="157" w:beforeLines="50" w:line="560" w:lineRule="exact"/>
        <w:ind w:firstLine="640" w:firstLineChars="200"/>
        <w:outlineLvl w:val="9"/>
        <w:rPr>
          <w:rFonts w:hint="eastAsia" w:ascii="华文中宋" w:hAnsi="华文中宋" w:eastAsia="华文中宋" w:cs="华文中宋"/>
          <w:b w:val="0"/>
          <w:bCs/>
          <w:color w:val="000000"/>
          <w:sz w:val="32"/>
          <w:szCs w:val="32"/>
        </w:rPr>
      </w:pPr>
    </w:p>
    <w:p w14:paraId="26A99555">
      <w:pPr>
        <w:wordWrap/>
        <w:spacing w:before="157" w:beforeLines="50" w:line="560" w:lineRule="exact"/>
        <w:ind w:firstLine="643" w:firstLineChars="200"/>
        <w:outlineLvl w:val="9"/>
        <w:rPr>
          <w:rFonts w:hint="eastAsia" w:ascii="宋体" w:hAnsi="宋体" w:eastAsia="宋体" w:cs="宋体"/>
          <w:b/>
          <w:bCs w:val="0"/>
          <w:color w:val="000000"/>
          <w:sz w:val="32"/>
          <w:szCs w:val="32"/>
          <w:u w:val="single"/>
          <w:lang w:eastAsia="zh-CN"/>
        </w:rPr>
      </w:pPr>
      <w:bookmarkStart w:id="504" w:name="_Toc18140_WPSOffice_Level1"/>
      <w:bookmarkStart w:id="505" w:name="_Toc23548_WPSOffice_Level1"/>
      <w:bookmarkStart w:id="506" w:name="_Toc23338_WPSOffice_Level1"/>
      <w:bookmarkStart w:id="507" w:name="_Toc19373_WPSOffice_Level1"/>
      <w:r>
        <w:rPr>
          <w:rFonts w:hint="eastAsia" w:ascii="宋体" w:hAnsi="宋体" w:eastAsia="宋体" w:cs="宋体"/>
          <w:b/>
          <w:bCs w:val="0"/>
          <w:color w:val="000000"/>
          <w:sz w:val="32"/>
          <w:szCs w:val="32"/>
        </w:rPr>
        <w:t>采购项目名称：</w:t>
      </w:r>
      <w:bookmarkEnd w:id="504"/>
      <w:bookmarkEnd w:id="505"/>
      <w:bookmarkEnd w:id="506"/>
      <w:bookmarkEnd w:id="507"/>
      <w:r>
        <w:rPr>
          <w:rFonts w:hint="eastAsia" w:ascii="宋体" w:hAnsi="宋体" w:cs="宋体"/>
          <w:b/>
          <w:bCs w:val="0"/>
          <w:color w:val="000000"/>
          <w:sz w:val="32"/>
          <w:szCs w:val="32"/>
          <w:u w:val="single"/>
          <w:lang w:eastAsia="zh-CN"/>
        </w:rPr>
        <w:t>海南州公安局警用装备采购（第三次）</w:t>
      </w:r>
    </w:p>
    <w:p w14:paraId="36F91CF6">
      <w:pPr>
        <w:wordWrap/>
        <w:spacing w:before="157" w:beforeLines="50" w:line="560" w:lineRule="exact"/>
        <w:ind w:firstLine="643" w:firstLineChars="200"/>
        <w:outlineLvl w:val="9"/>
        <w:rPr>
          <w:rFonts w:hint="eastAsia" w:ascii="宋体" w:hAnsi="宋体" w:eastAsia="宋体" w:cs="宋体"/>
          <w:b/>
          <w:bCs w:val="0"/>
          <w:color w:val="000000"/>
          <w:sz w:val="32"/>
          <w:szCs w:val="32"/>
          <w:u w:val="single"/>
        </w:rPr>
      </w:pPr>
      <w:bookmarkStart w:id="508" w:name="_Toc19950_WPSOffice_Level1"/>
      <w:bookmarkStart w:id="509" w:name="_Toc2770_WPSOffice_Level1"/>
      <w:bookmarkStart w:id="510" w:name="_Toc20437_WPSOffice_Level1"/>
      <w:bookmarkStart w:id="511" w:name="_Toc2957_WPSOffice_Level1"/>
      <w:r>
        <w:rPr>
          <w:rFonts w:hint="eastAsia" w:ascii="宋体" w:hAnsi="宋体" w:eastAsia="宋体" w:cs="宋体"/>
          <w:b/>
          <w:bCs w:val="0"/>
          <w:color w:val="000000"/>
          <w:sz w:val="32"/>
          <w:szCs w:val="32"/>
        </w:rPr>
        <w:t>采购项目编号：</w:t>
      </w:r>
      <w:bookmarkEnd w:id="508"/>
      <w:bookmarkEnd w:id="509"/>
      <w:bookmarkEnd w:id="510"/>
      <w:bookmarkEnd w:id="511"/>
      <w:r>
        <w:rPr>
          <w:rFonts w:hint="eastAsia" w:ascii="宋体" w:hAnsi="宋体" w:cs="宋体"/>
          <w:b/>
          <w:bCs w:val="0"/>
          <w:color w:val="000000"/>
          <w:sz w:val="32"/>
          <w:szCs w:val="32"/>
          <w:u w:val="single"/>
          <w:lang w:eastAsia="zh-CN"/>
        </w:rPr>
        <w:t xml:space="preserve">青海国德竞谈（货物）2026--031 </w:t>
      </w:r>
      <w:r>
        <w:rPr>
          <w:rFonts w:hint="eastAsia" w:ascii="宋体" w:hAnsi="宋体" w:eastAsia="宋体" w:cs="宋体"/>
          <w:b/>
          <w:bCs w:val="0"/>
          <w:color w:val="000000"/>
          <w:sz w:val="32"/>
          <w:szCs w:val="32"/>
        </w:rPr>
        <w:t xml:space="preserve">                                              </w:t>
      </w:r>
    </w:p>
    <w:p w14:paraId="6D1D7BA7">
      <w:pPr>
        <w:wordWrap/>
        <w:spacing w:before="157" w:beforeLines="50" w:line="560" w:lineRule="exact"/>
        <w:ind w:firstLine="643" w:firstLineChars="200"/>
        <w:outlineLvl w:val="9"/>
        <w:rPr>
          <w:rFonts w:hint="eastAsia" w:ascii="宋体" w:hAnsi="宋体" w:eastAsia="宋体" w:cs="宋体"/>
          <w:b/>
          <w:bCs w:val="0"/>
          <w:color w:val="000000"/>
          <w:sz w:val="32"/>
          <w:szCs w:val="32"/>
        </w:rPr>
      </w:pPr>
      <w:bookmarkStart w:id="512" w:name="_Toc1998_WPSOffice_Level1"/>
      <w:bookmarkStart w:id="513" w:name="_Toc31508_WPSOffice_Level1"/>
      <w:bookmarkStart w:id="514" w:name="_Toc3022_WPSOffice_Level1"/>
      <w:bookmarkStart w:id="515" w:name="_Toc19490_WPSOffice_Level1"/>
      <w:r>
        <w:rPr>
          <w:rFonts w:hint="eastAsia" w:ascii="宋体" w:hAnsi="宋体" w:eastAsia="宋体" w:cs="宋体"/>
          <w:b/>
          <w:bCs w:val="0"/>
          <w:color w:val="000000"/>
          <w:sz w:val="32"/>
          <w:szCs w:val="32"/>
        </w:rPr>
        <w:t>采购合同编号：</w:t>
      </w:r>
      <w:bookmarkEnd w:id="512"/>
      <w:bookmarkEnd w:id="513"/>
      <w:bookmarkEnd w:id="514"/>
      <w:bookmarkEnd w:id="515"/>
      <w:r>
        <w:rPr>
          <w:rFonts w:hint="eastAsia" w:ascii="宋体" w:hAnsi="宋体" w:cs="宋体"/>
          <w:b/>
          <w:bCs w:val="0"/>
          <w:color w:val="000000"/>
          <w:sz w:val="32"/>
          <w:szCs w:val="32"/>
          <w:u w:val="single"/>
          <w:lang w:eastAsia="zh-CN"/>
        </w:rPr>
        <w:t>Q</w:t>
      </w:r>
      <w:r>
        <w:rPr>
          <w:rFonts w:hint="eastAsia" w:ascii="宋体" w:hAnsi="宋体" w:cs="宋体"/>
          <w:b/>
          <w:bCs w:val="0"/>
          <w:color w:val="000000"/>
          <w:sz w:val="32"/>
          <w:szCs w:val="32"/>
          <w:u w:val="single"/>
          <w:lang w:val="en-US" w:eastAsia="zh-CN"/>
        </w:rPr>
        <w:t>HGD-2026-031</w:t>
      </w:r>
      <w:r>
        <w:rPr>
          <w:rFonts w:hint="eastAsia" w:ascii="宋体" w:hAnsi="宋体" w:eastAsia="宋体" w:cs="宋体"/>
          <w:b/>
          <w:bCs w:val="0"/>
          <w:color w:val="000000"/>
          <w:sz w:val="32"/>
          <w:szCs w:val="32"/>
          <w:u w:val="single"/>
          <w:lang w:val="en-US" w:eastAsia="zh-CN"/>
        </w:rPr>
        <w:t xml:space="preserve">     </w:t>
      </w:r>
      <w:r>
        <w:rPr>
          <w:rFonts w:hint="eastAsia" w:ascii="宋体" w:hAnsi="宋体" w:eastAsia="宋体" w:cs="宋体"/>
          <w:b/>
          <w:bCs w:val="0"/>
          <w:color w:val="000000"/>
          <w:sz w:val="32"/>
          <w:szCs w:val="32"/>
        </w:rPr>
        <w:t xml:space="preserve">                                                 </w:t>
      </w:r>
    </w:p>
    <w:p w14:paraId="393D5DD4">
      <w:pPr>
        <w:wordWrap/>
        <w:spacing w:before="157" w:beforeLines="50" w:line="560" w:lineRule="exact"/>
        <w:ind w:firstLine="643" w:firstLineChars="200"/>
        <w:outlineLvl w:val="9"/>
        <w:rPr>
          <w:rFonts w:hint="eastAsia" w:ascii="宋体" w:hAnsi="宋体" w:eastAsia="宋体" w:cs="宋体"/>
          <w:b/>
          <w:bCs w:val="0"/>
          <w:color w:val="000000"/>
          <w:sz w:val="32"/>
          <w:szCs w:val="32"/>
        </w:rPr>
      </w:pPr>
      <w:bookmarkStart w:id="516" w:name="_Toc5994_WPSOffice_Level1"/>
      <w:bookmarkStart w:id="517" w:name="_Toc8063_WPSOffice_Level1"/>
      <w:bookmarkStart w:id="518" w:name="_Toc2711_WPSOffice_Level1"/>
      <w:bookmarkStart w:id="519" w:name="_Toc24942_WPSOffice_Level1"/>
      <w:r>
        <w:rPr>
          <w:rFonts w:hint="eastAsia" w:ascii="宋体" w:hAnsi="宋体" w:eastAsia="宋体" w:cs="宋体"/>
          <w:b/>
          <w:bCs w:val="0"/>
          <w:color w:val="000000"/>
          <w:sz w:val="32"/>
          <w:szCs w:val="32"/>
        </w:rPr>
        <w:t>合同金额（人民币）：</w:t>
      </w:r>
      <w:bookmarkEnd w:id="516"/>
      <w:bookmarkEnd w:id="517"/>
      <w:bookmarkEnd w:id="518"/>
      <w:bookmarkEnd w:id="519"/>
      <w:r>
        <w:rPr>
          <w:rFonts w:hint="eastAsia" w:ascii="宋体" w:hAnsi="宋体" w:eastAsia="宋体" w:cs="宋体"/>
          <w:b/>
          <w:bCs w:val="0"/>
          <w:color w:val="000000"/>
          <w:sz w:val="32"/>
          <w:szCs w:val="32"/>
          <w:u w:val="single"/>
        </w:rPr>
        <w:t xml:space="preserve">                       </w:t>
      </w:r>
      <w:r>
        <w:rPr>
          <w:rFonts w:hint="eastAsia" w:ascii="宋体" w:hAnsi="宋体" w:eastAsia="宋体" w:cs="宋体"/>
          <w:b/>
          <w:bCs w:val="0"/>
          <w:color w:val="000000"/>
          <w:sz w:val="32"/>
          <w:szCs w:val="32"/>
        </w:rPr>
        <w:t xml:space="preserve">                                  </w:t>
      </w:r>
    </w:p>
    <w:p w14:paraId="0EB69807">
      <w:pPr>
        <w:wordWrap/>
        <w:spacing w:before="157" w:beforeLines="50" w:line="560" w:lineRule="exact"/>
        <w:ind w:firstLine="643" w:firstLineChars="200"/>
        <w:jc w:val="left"/>
        <w:outlineLvl w:val="9"/>
        <w:rPr>
          <w:rFonts w:hint="eastAsia" w:ascii="宋体" w:hAnsi="宋体" w:eastAsia="宋体" w:cs="宋体"/>
          <w:b/>
          <w:bCs w:val="0"/>
          <w:color w:val="000000"/>
          <w:sz w:val="32"/>
          <w:szCs w:val="32"/>
        </w:rPr>
      </w:pPr>
      <w:bookmarkStart w:id="520" w:name="_Toc6126_WPSOffice_Level1"/>
      <w:bookmarkStart w:id="521" w:name="_Toc10610_WPSOffice_Level1"/>
      <w:bookmarkStart w:id="522" w:name="_Toc31793_WPSOffice_Level1"/>
      <w:bookmarkStart w:id="523" w:name="_Toc3522_WPSOffice_Level1"/>
      <w:r>
        <w:rPr>
          <w:rFonts w:hint="eastAsia" w:ascii="宋体" w:hAnsi="宋体" w:eastAsia="宋体" w:cs="宋体"/>
          <w:b/>
          <w:bCs w:val="0"/>
          <w:color w:val="000000"/>
          <w:sz w:val="32"/>
          <w:szCs w:val="32"/>
        </w:rPr>
        <w:t>采购单位（甲方）：</w:t>
      </w:r>
      <w:r>
        <w:rPr>
          <w:rFonts w:hint="eastAsia" w:ascii="宋体" w:hAnsi="宋体" w:cs="宋体"/>
          <w:b/>
          <w:bCs w:val="0"/>
          <w:color w:val="000000"/>
          <w:sz w:val="32"/>
          <w:szCs w:val="32"/>
          <w:u w:val="single"/>
          <w:lang w:eastAsia="zh-CN"/>
        </w:rPr>
        <w:t>海南藏族自治州公安局</w:t>
      </w:r>
      <w:r>
        <w:rPr>
          <w:rFonts w:hint="eastAsia" w:ascii="宋体" w:hAnsi="宋体" w:eastAsia="宋体" w:cs="宋体"/>
          <w:b/>
          <w:bCs w:val="0"/>
          <w:color w:val="000000"/>
          <w:sz w:val="32"/>
          <w:szCs w:val="32"/>
        </w:rPr>
        <w:t>（盖章）</w:t>
      </w:r>
      <w:bookmarkEnd w:id="520"/>
      <w:bookmarkEnd w:id="521"/>
      <w:bookmarkEnd w:id="522"/>
      <w:bookmarkEnd w:id="523"/>
    </w:p>
    <w:p w14:paraId="26ACCBF7">
      <w:pPr>
        <w:wordWrap/>
        <w:spacing w:before="157" w:beforeLines="50" w:line="560" w:lineRule="exact"/>
        <w:ind w:firstLine="643" w:firstLineChars="200"/>
        <w:jc w:val="left"/>
        <w:outlineLvl w:val="9"/>
        <w:rPr>
          <w:rFonts w:hint="eastAsia" w:ascii="宋体" w:hAnsi="宋体" w:eastAsia="宋体" w:cs="宋体"/>
          <w:b/>
          <w:bCs w:val="0"/>
          <w:color w:val="000000"/>
          <w:sz w:val="32"/>
          <w:szCs w:val="32"/>
          <w:u w:val="single"/>
        </w:rPr>
      </w:pPr>
      <w:bookmarkStart w:id="524" w:name="_Toc22516_WPSOffice_Level1"/>
      <w:bookmarkStart w:id="525" w:name="_Toc7246_WPSOffice_Level1"/>
      <w:bookmarkStart w:id="526" w:name="_Toc14960_WPSOffice_Level1"/>
      <w:bookmarkStart w:id="527" w:name="_Toc382_WPSOffice_Level1"/>
      <w:r>
        <w:rPr>
          <w:rFonts w:hint="eastAsia" w:ascii="宋体" w:hAnsi="宋体" w:eastAsia="宋体" w:cs="宋体"/>
          <w:b/>
          <w:bCs w:val="0"/>
          <w:color w:val="000000"/>
          <w:sz w:val="32"/>
          <w:szCs w:val="32"/>
        </w:rPr>
        <w:t>成交供应商（乙方）：</w:t>
      </w:r>
      <w:r>
        <w:rPr>
          <w:rFonts w:hint="eastAsia" w:ascii="宋体" w:hAnsi="宋体" w:eastAsia="宋体" w:cs="宋体"/>
          <w:b/>
          <w:bCs w:val="0"/>
          <w:color w:val="000000"/>
          <w:sz w:val="32"/>
          <w:szCs w:val="32"/>
          <w:u w:val="single"/>
        </w:rPr>
        <w:t xml:space="preserve">                      </w:t>
      </w:r>
      <w:r>
        <w:rPr>
          <w:rFonts w:hint="eastAsia" w:ascii="宋体" w:hAnsi="宋体" w:eastAsia="宋体" w:cs="宋体"/>
          <w:b/>
          <w:bCs w:val="0"/>
          <w:color w:val="000000"/>
          <w:sz w:val="32"/>
          <w:szCs w:val="32"/>
        </w:rPr>
        <w:t>（盖章）</w:t>
      </w:r>
      <w:bookmarkEnd w:id="524"/>
      <w:bookmarkEnd w:id="525"/>
      <w:bookmarkEnd w:id="526"/>
      <w:bookmarkEnd w:id="527"/>
    </w:p>
    <w:p w14:paraId="14A5D3E3">
      <w:pPr>
        <w:widowControl w:val="0"/>
        <w:wordWrap/>
        <w:adjustRightInd w:val="0"/>
        <w:snapToGrid w:val="0"/>
        <w:spacing w:line="560" w:lineRule="exact"/>
        <w:ind w:firstLine="420" w:firstLineChars="200"/>
        <w:textAlignment w:val="auto"/>
        <w:outlineLvl w:val="9"/>
        <w:rPr>
          <w:rFonts w:hint="eastAsia" w:ascii="宋体" w:hAnsi="宋体" w:eastAsia="宋体" w:cs="宋体"/>
          <w:bCs/>
          <w:sz w:val="24"/>
          <w:szCs w:val="24"/>
        </w:rPr>
      </w:pPr>
      <w:r>
        <w:rPr>
          <w:rFonts w:hint="eastAsia" w:ascii="宋体" w:hAnsi="宋体" w:eastAsia="宋体"/>
          <w:bCs/>
          <w:szCs w:val="21"/>
        </w:rPr>
        <w:br w:type="page"/>
      </w:r>
      <w:r>
        <w:rPr>
          <w:rFonts w:hint="eastAsia" w:ascii="宋体" w:hAnsi="宋体" w:eastAsia="宋体" w:cs="宋体"/>
          <w:bCs/>
          <w:sz w:val="24"/>
          <w:szCs w:val="24"/>
        </w:rPr>
        <w:t>甲、乙双方根据20</w:t>
      </w:r>
      <w:r>
        <w:rPr>
          <w:rFonts w:hint="eastAsia" w:ascii="宋体" w:hAnsi="宋体" w:eastAsia="宋体" w:cs="宋体"/>
          <w:bCs/>
          <w:sz w:val="24"/>
          <w:szCs w:val="24"/>
          <w:lang w:val="en-US" w:eastAsia="zh-CN"/>
        </w:rPr>
        <w:t>26</w:t>
      </w:r>
      <w:r>
        <w:rPr>
          <w:rFonts w:hint="eastAsia" w:ascii="宋体" w:hAnsi="宋体" w:eastAsia="宋体" w:cs="宋体"/>
          <w:bCs/>
          <w:sz w:val="24"/>
          <w:szCs w:val="24"/>
        </w:rPr>
        <w:t>年</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u w:val="single"/>
          <w:lang w:val="en-US" w:eastAsia="zh-CN"/>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rPr>
        <w:t xml:space="preserve">日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w:t>
      </w:r>
      <w:r>
        <w:rPr>
          <w:rFonts w:hint="eastAsia" w:ascii="宋体" w:hAnsi="宋体" w:eastAsia="宋体" w:cs="宋体"/>
          <w:bCs/>
          <w:sz w:val="24"/>
          <w:szCs w:val="24"/>
          <w:lang w:eastAsia="zh-CN"/>
        </w:rPr>
        <w:t>项目编号</w:t>
      </w:r>
      <w:r>
        <w:rPr>
          <w:rFonts w:hint="eastAsia" w:ascii="宋体" w:hAnsi="宋体" w:eastAsia="宋体" w:cs="宋体"/>
          <w:bCs/>
          <w:sz w:val="24"/>
          <w:szCs w:val="24"/>
        </w:rPr>
        <w:t>）的谈判文件要求和采购机构出具的《成交通知书》，并经双方协商一致，达成合同总价款为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项目采购合同：</w:t>
      </w:r>
    </w:p>
    <w:p w14:paraId="60E2949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28" w:name="_Toc28036_WPSOffice_Level1"/>
      <w:bookmarkStart w:id="529" w:name="_Toc6866_WPSOffice_Level1"/>
      <w:bookmarkStart w:id="530" w:name="_Toc29795_WPSOffice_Level1"/>
      <w:bookmarkStart w:id="531" w:name="_Toc6055_WPSOffice_Level1"/>
      <w:bookmarkStart w:id="532" w:name="_Toc96_WPSOffice_Level1"/>
      <w:bookmarkStart w:id="533" w:name="_Toc16675_WPSOffice_Level1"/>
      <w:r>
        <w:rPr>
          <w:rFonts w:hint="eastAsia" w:ascii="宋体" w:hAnsi="宋体" w:eastAsia="宋体" w:cs="宋体"/>
          <w:bCs/>
          <w:sz w:val="24"/>
          <w:szCs w:val="24"/>
          <w:lang w:val="zh-CN"/>
        </w:rPr>
        <w:t>一、签订本政府采购合同的依据</w:t>
      </w:r>
      <w:bookmarkEnd w:id="528"/>
      <w:bookmarkEnd w:id="529"/>
      <w:bookmarkEnd w:id="530"/>
      <w:bookmarkEnd w:id="531"/>
      <w:bookmarkEnd w:id="532"/>
      <w:bookmarkEnd w:id="533"/>
    </w:p>
    <w:p w14:paraId="2FC1601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本政府采购合同所附下列文件是构成本政府采购合同不可分割的部分：</w:t>
      </w:r>
    </w:p>
    <w:p w14:paraId="43CE965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34" w:name="_Toc7329_WPSOffice_Level2"/>
      <w:bookmarkStart w:id="535" w:name="_Toc29065_WPSOffice_Level2"/>
      <w:bookmarkStart w:id="536" w:name="_Toc32479_WPSOffice_Level2"/>
      <w:r>
        <w:rPr>
          <w:rFonts w:hint="eastAsia" w:ascii="宋体" w:hAnsi="宋体" w:eastAsia="宋体" w:cs="宋体"/>
          <w:bCs/>
          <w:sz w:val="24"/>
          <w:szCs w:val="24"/>
          <w:lang w:val="zh-CN"/>
        </w:rPr>
        <w:t>1.谈判文件；</w:t>
      </w:r>
      <w:bookmarkEnd w:id="534"/>
      <w:bookmarkEnd w:id="535"/>
      <w:bookmarkEnd w:id="536"/>
    </w:p>
    <w:p w14:paraId="1F70036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37" w:name="_Toc8989_WPSOffice_Level2"/>
      <w:bookmarkStart w:id="538" w:name="_Toc28112_WPSOffice_Level2"/>
      <w:bookmarkStart w:id="539" w:name="_Toc22776_WPSOffice_Level2"/>
      <w:r>
        <w:rPr>
          <w:rFonts w:hint="eastAsia" w:ascii="宋体" w:hAnsi="宋体" w:eastAsia="宋体" w:cs="宋体"/>
          <w:bCs/>
          <w:sz w:val="24"/>
          <w:szCs w:val="24"/>
          <w:lang w:val="zh-CN"/>
        </w:rPr>
        <w:t>2.谈判文件的更正、变更公告；</w:t>
      </w:r>
      <w:bookmarkEnd w:id="537"/>
      <w:bookmarkEnd w:id="538"/>
      <w:bookmarkEnd w:id="539"/>
    </w:p>
    <w:p w14:paraId="6FEB5B2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40" w:name="_Toc29795_WPSOffice_Level2"/>
      <w:bookmarkStart w:id="541" w:name="_Toc29221_WPSOffice_Level2"/>
      <w:bookmarkStart w:id="542" w:name="_Toc28651_WPSOffice_Level2"/>
      <w:r>
        <w:rPr>
          <w:rFonts w:hint="eastAsia" w:ascii="宋体" w:hAnsi="宋体" w:eastAsia="宋体" w:cs="宋体"/>
          <w:bCs/>
          <w:sz w:val="24"/>
          <w:szCs w:val="24"/>
          <w:lang w:val="zh-CN"/>
        </w:rPr>
        <w:t>3.成交供应商提交的谈判响应文件；</w:t>
      </w:r>
      <w:bookmarkEnd w:id="540"/>
      <w:bookmarkEnd w:id="541"/>
      <w:bookmarkEnd w:id="542"/>
    </w:p>
    <w:p w14:paraId="2EDA0AF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43" w:name="_Toc13685_WPSOffice_Level2"/>
      <w:bookmarkStart w:id="544" w:name="_Toc130_WPSOffice_Level2"/>
      <w:bookmarkStart w:id="545" w:name="_Toc10173_WPSOffice_Level2"/>
      <w:r>
        <w:rPr>
          <w:rFonts w:hint="eastAsia" w:ascii="宋体" w:hAnsi="宋体" w:eastAsia="宋体" w:cs="宋体"/>
          <w:bCs/>
          <w:sz w:val="24"/>
          <w:szCs w:val="24"/>
          <w:lang w:val="zh-CN"/>
        </w:rPr>
        <w:t>4.政府采购合同通用条款；</w:t>
      </w:r>
      <w:bookmarkEnd w:id="543"/>
      <w:bookmarkEnd w:id="544"/>
      <w:bookmarkEnd w:id="545"/>
    </w:p>
    <w:p w14:paraId="3CA0990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46" w:name="_Toc16117_WPSOffice_Level2"/>
      <w:bookmarkStart w:id="547" w:name="_Toc22537_WPSOffice_Level2"/>
      <w:bookmarkStart w:id="548" w:name="_Toc1858_WPSOffice_Level2"/>
      <w:r>
        <w:rPr>
          <w:rFonts w:hint="eastAsia" w:ascii="宋体" w:hAnsi="宋体" w:eastAsia="宋体" w:cs="宋体"/>
          <w:bCs/>
          <w:sz w:val="24"/>
          <w:szCs w:val="24"/>
          <w:lang w:val="zh-CN"/>
        </w:rPr>
        <w:t>5.成交通知书；</w:t>
      </w:r>
      <w:bookmarkEnd w:id="546"/>
      <w:bookmarkEnd w:id="547"/>
      <w:bookmarkEnd w:id="548"/>
    </w:p>
    <w:p w14:paraId="465A1364">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Cs/>
          <w:sz w:val="24"/>
          <w:szCs w:val="24"/>
          <w:lang w:val="zh-CN"/>
        </w:rPr>
      </w:pPr>
      <w:bookmarkStart w:id="549" w:name="_Toc4921_WPSOffice_Level1"/>
      <w:bookmarkStart w:id="550" w:name="_Toc10843_WPSOffice_Level1"/>
      <w:bookmarkStart w:id="551" w:name="_Toc29813_WPSOffice_Level1"/>
      <w:bookmarkStart w:id="552" w:name="_Toc7426_WPSOffice_Level1"/>
      <w:bookmarkStart w:id="553" w:name="_Toc12658_WPSOffice_Level1"/>
      <w:bookmarkStart w:id="554" w:name="_Toc10173_WPSOffice_Level1"/>
      <w:r>
        <w:rPr>
          <w:rFonts w:hint="eastAsia" w:ascii="宋体" w:hAnsi="宋体" w:eastAsia="宋体" w:cs="宋体"/>
          <w:bCs/>
          <w:sz w:val="24"/>
          <w:szCs w:val="24"/>
          <w:lang w:val="zh-CN"/>
        </w:rPr>
        <w:t>二、合同标的及金额                                       单位：元</w:t>
      </w:r>
      <w:bookmarkEnd w:id="549"/>
      <w:bookmarkEnd w:id="550"/>
      <w:bookmarkEnd w:id="551"/>
      <w:bookmarkEnd w:id="552"/>
      <w:bookmarkEnd w:id="553"/>
      <w:bookmarkEnd w:id="554"/>
    </w:p>
    <w:tbl>
      <w:tblPr>
        <w:tblStyle w:val="19"/>
        <w:tblW w:w="93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4"/>
        <w:gridCol w:w="1640"/>
        <w:gridCol w:w="1613"/>
        <w:gridCol w:w="1279"/>
        <w:gridCol w:w="1151"/>
        <w:gridCol w:w="1149"/>
        <w:gridCol w:w="1343"/>
      </w:tblGrid>
      <w:tr w14:paraId="7A54D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5447EFA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包号</w:t>
            </w:r>
          </w:p>
        </w:tc>
        <w:tc>
          <w:tcPr>
            <w:tcW w:w="1640" w:type="dxa"/>
            <w:tcBorders>
              <w:top w:val="single" w:color="auto" w:sz="4" w:space="0"/>
              <w:left w:val="single" w:color="auto" w:sz="4" w:space="0"/>
              <w:bottom w:val="single" w:color="auto" w:sz="4" w:space="0"/>
              <w:right w:val="single" w:color="auto" w:sz="4" w:space="0"/>
            </w:tcBorders>
            <w:vAlign w:val="center"/>
          </w:tcPr>
          <w:p w14:paraId="32CF573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标的名称</w:t>
            </w:r>
          </w:p>
        </w:tc>
        <w:tc>
          <w:tcPr>
            <w:tcW w:w="1613" w:type="dxa"/>
            <w:tcBorders>
              <w:top w:val="single" w:color="auto" w:sz="4" w:space="0"/>
              <w:left w:val="single" w:color="auto" w:sz="4" w:space="0"/>
              <w:bottom w:val="single" w:color="auto" w:sz="4" w:space="0"/>
              <w:right w:val="single" w:color="auto" w:sz="4" w:space="0"/>
            </w:tcBorders>
            <w:vAlign w:val="center"/>
          </w:tcPr>
          <w:p w14:paraId="267AE97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型号规格</w:t>
            </w:r>
          </w:p>
        </w:tc>
        <w:tc>
          <w:tcPr>
            <w:tcW w:w="1279" w:type="dxa"/>
            <w:tcBorders>
              <w:top w:val="single" w:color="auto" w:sz="4" w:space="0"/>
              <w:left w:val="single" w:color="auto" w:sz="4" w:space="0"/>
              <w:bottom w:val="single" w:color="auto" w:sz="4" w:space="0"/>
              <w:right w:val="single" w:color="auto" w:sz="4" w:space="0"/>
            </w:tcBorders>
            <w:vAlign w:val="center"/>
          </w:tcPr>
          <w:p w14:paraId="3F03552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数量</w:t>
            </w:r>
          </w:p>
        </w:tc>
        <w:tc>
          <w:tcPr>
            <w:tcW w:w="1151" w:type="dxa"/>
            <w:tcBorders>
              <w:top w:val="single" w:color="auto" w:sz="4" w:space="0"/>
              <w:left w:val="single" w:color="auto" w:sz="4" w:space="0"/>
              <w:bottom w:val="single" w:color="auto" w:sz="4" w:space="0"/>
              <w:right w:val="single" w:color="auto" w:sz="4" w:space="0"/>
            </w:tcBorders>
            <w:vAlign w:val="center"/>
          </w:tcPr>
          <w:p w14:paraId="3AB66A2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单价</w:t>
            </w:r>
          </w:p>
        </w:tc>
        <w:tc>
          <w:tcPr>
            <w:tcW w:w="1149" w:type="dxa"/>
            <w:tcBorders>
              <w:top w:val="single" w:color="auto" w:sz="4" w:space="0"/>
              <w:left w:val="single" w:color="auto" w:sz="4" w:space="0"/>
              <w:bottom w:val="single" w:color="auto" w:sz="4" w:space="0"/>
              <w:right w:val="single" w:color="auto" w:sz="4" w:space="0"/>
            </w:tcBorders>
            <w:vAlign w:val="center"/>
          </w:tcPr>
          <w:p w14:paraId="29DA83C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总价</w:t>
            </w:r>
          </w:p>
        </w:tc>
        <w:tc>
          <w:tcPr>
            <w:tcW w:w="1343" w:type="dxa"/>
            <w:tcBorders>
              <w:top w:val="single" w:color="auto" w:sz="4" w:space="0"/>
              <w:left w:val="single" w:color="auto" w:sz="4" w:space="0"/>
              <w:bottom w:val="single" w:color="auto" w:sz="4" w:space="0"/>
              <w:right w:val="single" w:color="auto" w:sz="4" w:space="0"/>
            </w:tcBorders>
            <w:vAlign w:val="center"/>
          </w:tcPr>
          <w:p w14:paraId="4E808AA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备注</w:t>
            </w:r>
          </w:p>
        </w:tc>
      </w:tr>
      <w:tr w14:paraId="1EAA0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1A2ABB9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40" w:type="dxa"/>
            <w:tcBorders>
              <w:top w:val="single" w:color="auto" w:sz="4" w:space="0"/>
              <w:left w:val="single" w:color="auto" w:sz="4" w:space="0"/>
              <w:bottom w:val="single" w:color="auto" w:sz="4" w:space="0"/>
              <w:right w:val="single" w:color="auto" w:sz="4" w:space="0"/>
            </w:tcBorders>
            <w:vAlign w:val="center"/>
          </w:tcPr>
          <w:p w14:paraId="375CB76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13" w:type="dxa"/>
            <w:tcBorders>
              <w:top w:val="single" w:color="auto" w:sz="4" w:space="0"/>
              <w:left w:val="single" w:color="auto" w:sz="4" w:space="0"/>
              <w:bottom w:val="single" w:color="auto" w:sz="4" w:space="0"/>
              <w:right w:val="single" w:color="auto" w:sz="4" w:space="0"/>
            </w:tcBorders>
            <w:vAlign w:val="center"/>
          </w:tcPr>
          <w:p w14:paraId="2DC7C91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14:paraId="1493BD6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14:paraId="35EAD4A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4D6349F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25D4522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r>
      <w:tr w14:paraId="5C20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4"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29EA61D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40" w:type="dxa"/>
            <w:tcBorders>
              <w:top w:val="single" w:color="auto" w:sz="4" w:space="0"/>
              <w:left w:val="single" w:color="auto" w:sz="4" w:space="0"/>
              <w:bottom w:val="single" w:color="auto" w:sz="4" w:space="0"/>
              <w:right w:val="single" w:color="auto" w:sz="4" w:space="0"/>
            </w:tcBorders>
            <w:vAlign w:val="center"/>
          </w:tcPr>
          <w:p w14:paraId="4727675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13" w:type="dxa"/>
            <w:tcBorders>
              <w:top w:val="single" w:color="auto" w:sz="4" w:space="0"/>
              <w:left w:val="single" w:color="auto" w:sz="4" w:space="0"/>
              <w:bottom w:val="single" w:color="auto" w:sz="4" w:space="0"/>
              <w:right w:val="single" w:color="auto" w:sz="4" w:space="0"/>
            </w:tcBorders>
            <w:vAlign w:val="center"/>
          </w:tcPr>
          <w:p w14:paraId="2BBE65E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14:paraId="1C688BE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14:paraId="74D208F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6CEC6DD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239E331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r>
      <w:tr w14:paraId="7035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4"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4B7FC90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40" w:type="dxa"/>
            <w:tcBorders>
              <w:top w:val="single" w:color="auto" w:sz="4" w:space="0"/>
              <w:left w:val="single" w:color="auto" w:sz="4" w:space="0"/>
              <w:bottom w:val="single" w:color="auto" w:sz="4" w:space="0"/>
              <w:right w:val="single" w:color="auto" w:sz="4" w:space="0"/>
            </w:tcBorders>
            <w:vAlign w:val="center"/>
          </w:tcPr>
          <w:p w14:paraId="04FA370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13" w:type="dxa"/>
            <w:tcBorders>
              <w:top w:val="single" w:color="auto" w:sz="4" w:space="0"/>
              <w:left w:val="single" w:color="auto" w:sz="4" w:space="0"/>
              <w:bottom w:val="single" w:color="auto" w:sz="4" w:space="0"/>
              <w:right w:val="single" w:color="auto" w:sz="4" w:space="0"/>
            </w:tcBorders>
            <w:vAlign w:val="center"/>
          </w:tcPr>
          <w:p w14:paraId="51F1830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14:paraId="69E0744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14:paraId="366647C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384A0A4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5FF18B4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r>
      <w:tr w14:paraId="36B2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4"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07632B1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40" w:type="dxa"/>
            <w:tcBorders>
              <w:top w:val="single" w:color="auto" w:sz="4" w:space="0"/>
              <w:left w:val="single" w:color="auto" w:sz="4" w:space="0"/>
              <w:bottom w:val="single" w:color="auto" w:sz="4" w:space="0"/>
              <w:right w:val="single" w:color="auto" w:sz="4" w:space="0"/>
            </w:tcBorders>
            <w:vAlign w:val="center"/>
          </w:tcPr>
          <w:p w14:paraId="744D0F7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13" w:type="dxa"/>
            <w:tcBorders>
              <w:top w:val="single" w:color="auto" w:sz="4" w:space="0"/>
              <w:left w:val="single" w:color="auto" w:sz="4" w:space="0"/>
              <w:bottom w:val="single" w:color="auto" w:sz="4" w:space="0"/>
              <w:right w:val="single" w:color="auto" w:sz="4" w:space="0"/>
            </w:tcBorders>
            <w:vAlign w:val="center"/>
          </w:tcPr>
          <w:p w14:paraId="22D6D7B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14:paraId="2CAEBE6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14:paraId="5ADD84A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59C5E52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5166446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r>
    </w:tbl>
    <w:p w14:paraId="650D80D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根据上述政府采购合同文件要求，本政府采购合同的总金额为人民币</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val="zh-CN"/>
        </w:rPr>
        <w:t>（大写）</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元。</w:t>
      </w:r>
    </w:p>
    <w:p w14:paraId="11E6E927">
      <w:pPr>
        <w:widowControl w:val="0"/>
        <w:wordWrap/>
        <w:adjustRightInd w:val="0"/>
        <w:snapToGrid w:val="0"/>
        <w:spacing w:line="560" w:lineRule="exact"/>
        <w:ind w:firstLine="480" w:firstLineChars="200"/>
        <w:textAlignment w:val="auto"/>
        <w:outlineLvl w:val="9"/>
        <w:rPr>
          <w:rFonts w:hint="eastAsia" w:ascii="仿宋_GB2312" w:hAnsi="仿宋_GB2312" w:eastAsia="仿宋_GB2312" w:cs="仿宋_GB2312"/>
          <w:bCs/>
          <w:sz w:val="32"/>
          <w:szCs w:val="32"/>
        </w:rPr>
      </w:pPr>
      <w:r>
        <w:rPr>
          <w:rFonts w:hint="eastAsia" w:ascii="宋体" w:hAnsi="宋体" w:eastAsia="宋体" w:cs="宋体"/>
          <w:bCs/>
          <w:sz w:val="24"/>
          <w:szCs w:val="24"/>
          <w:lang w:val="zh-CN"/>
        </w:rPr>
        <w:t>本合同以人民币进行结算，合同总价包括：</w:t>
      </w:r>
      <w:r>
        <w:rPr>
          <w:rFonts w:hint="eastAsia" w:ascii="宋体" w:hAnsi="宋体" w:cs="宋体"/>
          <w:b w:val="0"/>
          <w:bCs w:val="0"/>
          <w:kern w:val="2"/>
          <w:sz w:val="24"/>
          <w:szCs w:val="24"/>
          <w:u w:val="none"/>
          <w:lang w:val="en-US" w:eastAsia="zh-CN" w:bidi="ar-SA"/>
        </w:rPr>
        <w:t>产品费、检验费、手续费、包装费、运输费、保险费、培训费、售前售中售后服务费、税金</w:t>
      </w:r>
      <w:r>
        <w:rPr>
          <w:rFonts w:hint="eastAsia" w:ascii="宋体" w:hAnsi="宋体" w:eastAsia="宋体" w:cs="宋体"/>
          <w:b w:val="0"/>
          <w:bCs w:val="0"/>
          <w:kern w:val="2"/>
          <w:sz w:val="24"/>
          <w:szCs w:val="24"/>
          <w:u w:val="none"/>
          <w:lang w:val="en-US" w:eastAsia="zh-CN" w:bidi="ar-SA"/>
        </w:rPr>
        <w:t>及其它其他不可预见费等全部费用</w:t>
      </w:r>
      <w:r>
        <w:rPr>
          <w:rFonts w:hint="eastAsia" w:ascii="宋体" w:hAnsi="宋体" w:eastAsia="宋体" w:cs="宋体"/>
          <w:bCs/>
          <w:sz w:val="24"/>
          <w:szCs w:val="24"/>
        </w:rPr>
        <w:t>。</w:t>
      </w:r>
    </w:p>
    <w:p w14:paraId="2DF443D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555" w:name="_Toc7098_WPSOffice_Level1"/>
      <w:bookmarkStart w:id="556" w:name="_Toc20423_WPSOffice_Level1"/>
      <w:bookmarkStart w:id="557" w:name="_Toc23899_WPSOffice_Level1"/>
      <w:bookmarkStart w:id="558" w:name="_Toc6168_WPSOffice_Level1"/>
      <w:bookmarkStart w:id="559" w:name="_Toc22537_WPSOffice_Level1"/>
      <w:bookmarkStart w:id="560" w:name="_Toc28888_WPSOffice_Level1"/>
      <w:r>
        <w:rPr>
          <w:rFonts w:hint="eastAsia" w:ascii="宋体" w:hAnsi="宋体" w:eastAsia="宋体" w:cs="宋体"/>
          <w:bCs/>
          <w:sz w:val="24"/>
          <w:szCs w:val="24"/>
          <w:lang w:val="zh-CN"/>
        </w:rPr>
        <w:t>三、交付时间、地点和要求</w:t>
      </w:r>
      <w:bookmarkEnd w:id="555"/>
      <w:bookmarkEnd w:id="556"/>
      <w:bookmarkEnd w:id="557"/>
      <w:bookmarkEnd w:id="558"/>
      <w:bookmarkEnd w:id="559"/>
      <w:bookmarkEnd w:id="560"/>
    </w:p>
    <w:p w14:paraId="4261F6E5">
      <w:pPr>
        <w:widowControl w:val="0"/>
        <w:wordWrap/>
        <w:adjustRightInd w:val="0"/>
        <w:snapToGrid w:val="0"/>
        <w:spacing w:line="560" w:lineRule="exact"/>
        <w:ind w:firstLine="480" w:firstLineChars="200"/>
        <w:textAlignment w:val="auto"/>
        <w:outlineLvl w:val="9"/>
        <w:rPr>
          <w:rFonts w:hint="default" w:ascii="宋体" w:hAnsi="宋体" w:eastAsia="宋体" w:cs="宋体"/>
          <w:bCs/>
          <w:sz w:val="24"/>
          <w:szCs w:val="24"/>
          <w:highlight w:val="none"/>
          <w:u w:val="single"/>
          <w:lang w:val="en-US"/>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交货时间：</w:t>
      </w:r>
      <w:r>
        <w:rPr>
          <w:rFonts w:hint="eastAsia" w:ascii="宋体" w:hAnsi="宋体" w:cs="宋体"/>
          <w:bCs/>
          <w:sz w:val="24"/>
          <w:szCs w:val="24"/>
          <w:highlight w:val="none"/>
          <w:u w:val="single"/>
          <w:lang w:val="en-US" w:eastAsia="zh-CN"/>
        </w:rPr>
        <w:t xml:space="preserve"> 合同签订后60日内  </w:t>
      </w:r>
    </w:p>
    <w:p w14:paraId="72FE2DD7">
      <w:pPr>
        <w:widowControl w:val="0"/>
        <w:wordWrap/>
        <w:adjustRightInd w:val="0"/>
        <w:snapToGrid w:val="0"/>
        <w:spacing w:line="560" w:lineRule="exact"/>
        <w:ind w:firstLine="720" w:firstLineChars="3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zh-CN"/>
        </w:rPr>
        <w:t>交货地点：</w:t>
      </w:r>
      <w:r>
        <w:rPr>
          <w:rFonts w:hint="eastAsia" w:ascii="宋体" w:hAnsi="宋体" w:cs="宋体"/>
          <w:bCs/>
          <w:sz w:val="24"/>
          <w:szCs w:val="24"/>
          <w:highlight w:val="none"/>
          <w:u w:val="single"/>
          <w:lang w:val="zh-CN"/>
        </w:rPr>
        <w:t>海南藏族自治州公安局</w:t>
      </w:r>
      <w:r>
        <w:rPr>
          <w:rFonts w:hint="eastAsia" w:ascii="宋体" w:hAnsi="宋体" w:eastAsia="宋体" w:cs="宋体"/>
          <w:bCs/>
          <w:sz w:val="24"/>
          <w:szCs w:val="24"/>
          <w:highlight w:val="none"/>
          <w:lang w:val="zh-CN"/>
        </w:rPr>
        <w:t>。</w:t>
      </w:r>
    </w:p>
    <w:p w14:paraId="259892E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zh-CN"/>
        </w:rPr>
        <w:t>乙方提供不符合谈判文件、谈判响应文件和本合同规定的产品，甲方有权拒绝接受。</w:t>
      </w:r>
    </w:p>
    <w:p w14:paraId="557799D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zh-CN"/>
        </w:rPr>
        <w:t>乙方应将提供产品的装箱清单、用户手册、资料、工具和备品、备件等交付给甲方，如有缺失应及时补齐，否则视为逾期交货。</w:t>
      </w:r>
    </w:p>
    <w:p w14:paraId="34F368B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4. </w:t>
      </w:r>
      <w:r>
        <w:rPr>
          <w:rFonts w:hint="eastAsia" w:ascii="宋体" w:hAnsi="宋体" w:eastAsia="宋体" w:cs="宋体"/>
          <w:bCs/>
          <w:sz w:val="24"/>
          <w:szCs w:val="24"/>
          <w:lang w:val="zh-CN"/>
        </w:rPr>
        <w:t>甲方应当在到货后</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个工作日内进行验收。验收合格后，由甲乙双方签署产品验收单并加盖采购人</w:t>
      </w:r>
      <w:r>
        <w:rPr>
          <w:rFonts w:hint="eastAsia" w:ascii="宋体" w:hAnsi="宋体" w:eastAsia="宋体" w:cs="宋体"/>
          <w:bCs/>
          <w:sz w:val="24"/>
          <w:szCs w:val="24"/>
          <w:highlight w:val="none"/>
          <w:lang w:val="zh-CN"/>
        </w:rPr>
        <w:t>公章</w:t>
      </w:r>
      <w:r>
        <w:rPr>
          <w:rFonts w:hint="eastAsia" w:ascii="宋体" w:hAnsi="宋体" w:eastAsia="宋体" w:cs="宋体"/>
          <w:bCs/>
          <w:sz w:val="24"/>
          <w:szCs w:val="24"/>
          <w:lang w:val="zh-CN"/>
        </w:rPr>
        <w:t>，甲乙双方各执一份。</w:t>
      </w:r>
    </w:p>
    <w:p w14:paraId="2A8E67A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zh-CN"/>
        </w:rPr>
        <w:t xml:space="preserve"> 甲方应提供该项目验收报告交同级财政监管部门，由财政部门按规定程序抽验后办理资金拨付</w:t>
      </w:r>
      <w:r>
        <w:rPr>
          <w:rFonts w:hint="eastAsia" w:ascii="宋体" w:hAnsi="宋体" w:eastAsia="宋体" w:cs="宋体"/>
          <w:bCs/>
          <w:sz w:val="24"/>
          <w:szCs w:val="24"/>
          <w:lang w:val="zh-CN"/>
        </w:rPr>
        <w:t>。</w:t>
      </w:r>
    </w:p>
    <w:p w14:paraId="12A58D2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w:t>
      </w:r>
      <w:r>
        <w:rPr>
          <w:rFonts w:hint="eastAsia" w:ascii="宋体" w:hAnsi="宋体" w:eastAsia="宋体" w:cs="宋体"/>
          <w:bCs/>
          <w:sz w:val="24"/>
          <w:szCs w:val="24"/>
          <w:lang w:val="zh-CN"/>
        </w:rPr>
        <w:t xml:space="preserve"> 甲方在履行合同过程中发现乙方有违约问题，可按谈判文件、谈判响应文件的规定要求乙方及时予以解决。</w:t>
      </w:r>
    </w:p>
    <w:p w14:paraId="0C4FB43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w:t>
      </w:r>
      <w:r>
        <w:rPr>
          <w:rFonts w:hint="eastAsia" w:ascii="宋体" w:hAnsi="宋体" w:eastAsia="宋体" w:cs="宋体"/>
          <w:bCs/>
          <w:sz w:val="24"/>
          <w:szCs w:val="24"/>
          <w:lang w:val="zh-CN"/>
        </w:rPr>
        <w:t>乙方向甲方提供产品相关完税销售发票。</w:t>
      </w:r>
    </w:p>
    <w:p w14:paraId="2FDD385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bookmarkStart w:id="561" w:name="_Toc29015_WPSOffice_Level1"/>
      <w:bookmarkStart w:id="562" w:name="_Toc23122_WPSOffice_Level1"/>
      <w:bookmarkStart w:id="563" w:name="_Toc5771_WPSOffice_Level1"/>
      <w:bookmarkStart w:id="564" w:name="_Toc32406_WPSOffice_Level1"/>
      <w:bookmarkStart w:id="565" w:name="_Toc2306_WPSOffice_Level1"/>
      <w:bookmarkStart w:id="566" w:name="_Toc19609_WPSOffice_Level1"/>
      <w:r>
        <w:rPr>
          <w:rFonts w:hint="eastAsia" w:ascii="宋体" w:hAnsi="宋体" w:eastAsia="宋体" w:cs="宋体"/>
          <w:bCs/>
          <w:sz w:val="24"/>
          <w:szCs w:val="24"/>
          <w:highlight w:val="none"/>
        </w:rPr>
        <w:t>四、付款方式</w:t>
      </w:r>
      <w:bookmarkEnd w:id="561"/>
      <w:bookmarkEnd w:id="562"/>
      <w:bookmarkEnd w:id="563"/>
      <w:bookmarkEnd w:id="564"/>
      <w:bookmarkEnd w:id="565"/>
      <w:bookmarkEnd w:id="566"/>
    </w:p>
    <w:p w14:paraId="26F2087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none"/>
          <w:lang w:val="zh-CN"/>
        </w:rPr>
        <w:t>1.付款方式：合同签订后，甲方向乙方预付合同总价款的</w:t>
      </w:r>
      <w:r>
        <w:rPr>
          <w:rFonts w:hint="eastAsia" w:ascii="宋体" w:hAnsi="宋体" w:cs="宋体"/>
          <w:bCs/>
          <w:sz w:val="24"/>
          <w:szCs w:val="24"/>
          <w:highlight w:val="none"/>
          <w:u w:val="none"/>
          <w:lang w:val="en-US" w:eastAsia="zh-CN"/>
        </w:rPr>
        <w:t>50</w:t>
      </w:r>
      <w:r>
        <w:rPr>
          <w:rFonts w:hint="eastAsia" w:ascii="宋体" w:hAnsi="宋体" w:eastAsia="宋体" w:cs="宋体"/>
          <w:bCs/>
          <w:sz w:val="24"/>
          <w:szCs w:val="24"/>
          <w:highlight w:val="none"/>
          <w:u w:val="none"/>
          <w:lang w:val="zh-CN"/>
        </w:rPr>
        <w:t>%，即人民币</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zh-CN"/>
        </w:rPr>
        <w:t>元整（¥</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u w:val="none"/>
          <w:lang w:val="zh-CN"/>
        </w:rPr>
        <w:t>乙方</w:t>
      </w:r>
      <w:r>
        <w:rPr>
          <w:rFonts w:hint="eastAsia" w:ascii="宋体" w:hAnsi="宋体" w:cs="宋体"/>
          <w:bCs/>
          <w:sz w:val="24"/>
          <w:szCs w:val="24"/>
          <w:highlight w:val="none"/>
          <w:u w:val="none"/>
          <w:lang w:val="en-US" w:eastAsia="zh-CN"/>
        </w:rPr>
        <w:t>供货</w:t>
      </w:r>
      <w:r>
        <w:rPr>
          <w:rFonts w:hint="eastAsia" w:ascii="宋体" w:hAnsi="宋体" w:eastAsia="宋体" w:cs="宋体"/>
          <w:bCs/>
          <w:sz w:val="24"/>
          <w:szCs w:val="24"/>
          <w:highlight w:val="none"/>
          <w:u w:val="none"/>
          <w:lang w:val="zh-CN"/>
        </w:rPr>
        <w:t>完</w:t>
      </w:r>
      <w:r>
        <w:rPr>
          <w:rFonts w:hint="eastAsia" w:ascii="宋体" w:hAnsi="宋体" w:cs="宋体"/>
          <w:bCs/>
          <w:sz w:val="24"/>
          <w:szCs w:val="24"/>
          <w:highlight w:val="none"/>
          <w:u w:val="none"/>
          <w:lang w:val="en-US" w:eastAsia="zh-CN"/>
        </w:rPr>
        <w:t>成</w:t>
      </w:r>
      <w:r>
        <w:rPr>
          <w:rFonts w:hint="eastAsia" w:ascii="宋体" w:hAnsi="宋体" w:eastAsia="宋体" w:cs="宋体"/>
          <w:bCs/>
          <w:sz w:val="24"/>
          <w:szCs w:val="24"/>
          <w:highlight w:val="none"/>
          <w:u w:val="none"/>
          <w:lang w:val="zh-CN"/>
        </w:rPr>
        <w:t>并经甲方验收合格后，向乙方支付合同总价款的</w:t>
      </w:r>
      <w:r>
        <w:rPr>
          <w:rFonts w:hint="eastAsia" w:ascii="宋体" w:hAnsi="宋体" w:cs="宋体"/>
          <w:bCs/>
          <w:sz w:val="24"/>
          <w:szCs w:val="24"/>
          <w:highlight w:val="none"/>
          <w:u w:val="none"/>
          <w:lang w:val="en-US" w:eastAsia="zh-CN"/>
        </w:rPr>
        <w:t>47</w:t>
      </w:r>
      <w:r>
        <w:rPr>
          <w:rFonts w:hint="eastAsia" w:ascii="宋体" w:hAnsi="宋体" w:eastAsia="宋体" w:cs="宋体"/>
          <w:bCs/>
          <w:sz w:val="24"/>
          <w:szCs w:val="24"/>
          <w:highlight w:val="none"/>
          <w:u w:val="none"/>
          <w:lang w:val="zh-CN"/>
        </w:rPr>
        <w:t>%,即</w:t>
      </w:r>
      <w:r>
        <w:rPr>
          <w:rFonts w:hint="eastAsia" w:ascii="宋体" w:hAnsi="宋体" w:eastAsia="宋体" w:cs="宋体"/>
          <w:bCs/>
          <w:sz w:val="24"/>
          <w:szCs w:val="24"/>
          <w:highlight w:val="none"/>
          <w:u w:val="single"/>
          <w:lang w:val="zh-CN"/>
        </w:rPr>
        <w:t>人民币</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zh-CN"/>
        </w:rPr>
        <w:t xml:space="preserve"> 元整（¥</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zh-CN"/>
        </w:rPr>
        <w:t xml:space="preserve"> ）</w:t>
      </w:r>
      <w:r>
        <w:rPr>
          <w:rFonts w:hint="eastAsia" w:ascii="宋体" w:hAnsi="宋体" w:cs="宋体"/>
          <w:bCs/>
          <w:sz w:val="24"/>
          <w:szCs w:val="24"/>
          <w:highlight w:val="none"/>
          <w:u w:val="none"/>
          <w:lang w:val="zh-CN"/>
        </w:rPr>
        <w:t>，</w:t>
      </w:r>
      <w:r>
        <w:rPr>
          <w:rFonts w:hint="eastAsia" w:ascii="宋体" w:hAnsi="宋体" w:cs="宋体"/>
          <w:bCs/>
          <w:sz w:val="24"/>
          <w:szCs w:val="24"/>
          <w:highlight w:val="none"/>
          <w:u w:val="none"/>
          <w:lang w:val="en-US" w:eastAsia="zh-CN"/>
        </w:rPr>
        <w:t>剩余3%即</w:t>
      </w:r>
      <w:r>
        <w:rPr>
          <w:rFonts w:hint="eastAsia" w:ascii="宋体" w:hAnsi="宋体" w:cs="宋体"/>
          <w:bCs/>
          <w:sz w:val="24"/>
          <w:szCs w:val="24"/>
          <w:highlight w:val="none"/>
          <w:u w:val="single"/>
          <w:lang w:val="en-US" w:eastAsia="zh-CN"/>
        </w:rPr>
        <w:t>人民币     元整（¥       ）</w:t>
      </w:r>
      <w:r>
        <w:rPr>
          <w:rFonts w:hint="eastAsia" w:ascii="宋体" w:hAnsi="宋体" w:cs="宋体"/>
          <w:bCs/>
          <w:sz w:val="24"/>
          <w:szCs w:val="24"/>
          <w:highlight w:val="none"/>
          <w:u w:val="none"/>
          <w:lang w:val="en-US" w:eastAsia="zh-CN"/>
        </w:rPr>
        <w:t>作为质保金，质保满一年后</w:t>
      </w:r>
      <w:r>
        <w:rPr>
          <w:rFonts w:hint="eastAsia" w:ascii="宋体" w:hAnsi="宋体" w:eastAsia="宋体" w:cs="宋体"/>
          <w:bCs/>
          <w:sz w:val="24"/>
          <w:szCs w:val="24"/>
          <w:highlight w:val="none"/>
          <w:u w:val="none"/>
          <w:lang w:val="zh-CN"/>
        </w:rPr>
        <w:t>向乙方</w:t>
      </w:r>
      <w:r>
        <w:rPr>
          <w:rFonts w:hint="eastAsia" w:ascii="宋体" w:hAnsi="宋体" w:cs="宋体"/>
          <w:bCs/>
          <w:sz w:val="24"/>
          <w:szCs w:val="24"/>
          <w:highlight w:val="none"/>
          <w:u w:val="none"/>
          <w:lang w:val="en-US" w:eastAsia="zh-CN"/>
        </w:rPr>
        <w:t>支付</w:t>
      </w:r>
      <w:r>
        <w:rPr>
          <w:rFonts w:hint="eastAsia" w:ascii="宋体" w:hAnsi="宋体" w:eastAsia="宋体" w:cs="宋体"/>
          <w:bCs/>
          <w:sz w:val="24"/>
          <w:szCs w:val="24"/>
          <w:highlight w:val="none"/>
          <w:u w:val="none"/>
          <w:lang w:val="zh-CN"/>
        </w:rPr>
        <w:t>。</w:t>
      </w:r>
    </w:p>
    <w:p w14:paraId="4D0A6105">
      <w:pPr>
        <w:widowControl w:val="0"/>
        <w:wordWrap/>
        <w:adjustRightInd w:val="0"/>
        <w:snapToGrid w:val="0"/>
        <w:spacing w:line="560" w:lineRule="exact"/>
        <w:ind w:firstLine="480" w:firstLineChars="200"/>
        <w:textAlignment w:val="auto"/>
        <w:outlineLvl w:val="9"/>
        <w:rPr>
          <w:rFonts w:hint="eastAsia" w:ascii="宋体" w:hAnsi="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2.履约保证金及缴纳形式</w:t>
      </w:r>
    </w:p>
    <w:p w14:paraId="15F49BEC">
      <w:pPr>
        <w:widowControl w:val="0"/>
        <w:wordWrap/>
        <w:adjustRightInd w:val="0"/>
        <w:snapToGrid w:val="0"/>
        <w:spacing w:line="560" w:lineRule="exact"/>
        <w:ind w:firstLine="480" w:firstLineChars="200"/>
        <w:textAlignment w:val="auto"/>
        <w:outlineLvl w:val="9"/>
        <w:rPr>
          <w:rFonts w:hint="eastAsia" w:ascii="宋体" w:hAnsi="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中标/成交供应商是否需要缴纳履约保证金：缴纳</w:t>
      </w:r>
    </w:p>
    <w:p w14:paraId="28B547FD">
      <w:pPr>
        <w:widowControl w:val="0"/>
        <w:wordWrap/>
        <w:adjustRightInd w:val="0"/>
        <w:snapToGrid w:val="0"/>
        <w:spacing w:line="560" w:lineRule="exact"/>
        <w:ind w:firstLine="480" w:firstLineChars="200"/>
        <w:textAlignment w:val="auto"/>
        <w:outlineLvl w:val="9"/>
        <w:rPr>
          <w:rFonts w:hint="eastAsia" w:ascii="宋体" w:hAnsi="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履约保证金缴纳比例：10%签约合同价</w:t>
      </w:r>
    </w:p>
    <w:p w14:paraId="58169D65">
      <w:pPr>
        <w:widowControl w:val="0"/>
        <w:wordWrap/>
        <w:adjustRightInd w:val="0"/>
        <w:snapToGrid w:val="0"/>
        <w:spacing w:line="560" w:lineRule="exact"/>
        <w:ind w:firstLine="480" w:firstLineChars="200"/>
        <w:textAlignment w:val="auto"/>
        <w:outlineLvl w:val="9"/>
        <w:rPr>
          <w:rFonts w:hint="eastAsia" w:ascii="宋体" w:hAnsi="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缴纳方式：银行转账、支票/汇票/本票、保函/保险</w:t>
      </w:r>
    </w:p>
    <w:p w14:paraId="5C3D8C9D">
      <w:pPr>
        <w:widowControl w:val="0"/>
        <w:wordWrap/>
        <w:adjustRightInd w:val="0"/>
        <w:snapToGrid w:val="0"/>
        <w:spacing w:line="560" w:lineRule="exact"/>
        <w:ind w:firstLine="480" w:firstLineChars="200"/>
        <w:textAlignment w:val="auto"/>
        <w:outlineLvl w:val="9"/>
        <w:rPr>
          <w:rFonts w:hint="default" w:ascii="宋体" w:hAnsi="宋体" w:eastAsia="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中标/成交供应商应在合同签订前，按合同专用条款的约定提交履约保证金。</w:t>
      </w:r>
    </w:p>
    <w:p w14:paraId="5A9A842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u w:val="single"/>
          <w:lang w:val="zh-CN"/>
        </w:rPr>
      </w:pPr>
      <w:r>
        <w:rPr>
          <w:rFonts w:hint="eastAsia" w:ascii="宋体" w:hAnsi="宋体" w:cs="宋体"/>
          <w:bCs/>
          <w:sz w:val="24"/>
          <w:szCs w:val="24"/>
          <w:u w:val="none"/>
          <w:lang w:val="en-US" w:eastAsia="zh-CN"/>
        </w:rPr>
        <w:t>3</w:t>
      </w:r>
      <w:r>
        <w:rPr>
          <w:rFonts w:hint="eastAsia" w:ascii="宋体" w:hAnsi="宋体" w:eastAsia="宋体" w:cs="宋体"/>
          <w:bCs/>
          <w:sz w:val="24"/>
          <w:szCs w:val="24"/>
          <w:u w:val="none"/>
          <w:lang w:val="zh-CN"/>
        </w:rPr>
        <w:t>.甲方每次向乙方支付合同价款前，乙方应向甲方开具符合法律规定及甲方要求的增值税发票，否则，甲方有权拒绝付款且免于承担逾期付款违约责任。</w:t>
      </w:r>
    </w:p>
    <w:p w14:paraId="56294C0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567" w:name="_Toc1156_WPSOffice_Level1"/>
      <w:bookmarkStart w:id="568" w:name="_Toc8581_WPSOffice_Level1"/>
      <w:bookmarkStart w:id="569" w:name="_Toc4233_WPSOffice_Level1"/>
      <w:bookmarkStart w:id="570" w:name="_Toc4945_WPSOffice_Level1"/>
      <w:bookmarkStart w:id="571" w:name="_Toc26468_WPSOffice_Level1"/>
      <w:bookmarkStart w:id="572" w:name="_Toc9071_WPSOffice_Level1"/>
      <w:r>
        <w:rPr>
          <w:rFonts w:hint="eastAsia" w:ascii="宋体" w:hAnsi="宋体" w:eastAsia="宋体" w:cs="宋体"/>
          <w:bCs/>
          <w:sz w:val="24"/>
          <w:szCs w:val="24"/>
          <w:lang w:val="zh-CN"/>
        </w:rPr>
        <w:t>五、合同的变更、终止与转让</w:t>
      </w:r>
      <w:bookmarkEnd w:id="567"/>
      <w:bookmarkEnd w:id="568"/>
      <w:bookmarkEnd w:id="569"/>
      <w:bookmarkEnd w:id="570"/>
      <w:bookmarkEnd w:id="571"/>
      <w:bookmarkEnd w:id="572"/>
    </w:p>
    <w:p w14:paraId="74F319F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zh-CN"/>
        </w:rPr>
        <w:t>除《中华人民共和国政府采购法》第</w:t>
      </w:r>
      <w:r>
        <w:rPr>
          <w:rFonts w:hint="eastAsia" w:ascii="宋体" w:hAnsi="宋体" w:eastAsia="宋体" w:cs="宋体"/>
          <w:bCs/>
          <w:sz w:val="24"/>
          <w:szCs w:val="24"/>
        </w:rPr>
        <w:t>50</w:t>
      </w:r>
      <w:r>
        <w:rPr>
          <w:rFonts w:hint="eastAsia" w:ascii="宋体" w:hAnsi="宋体" w:eastAsia="宋体" w:cs="宋体"/>
          <w:bCs/>
          <w:sz w:val="24"/>
          <w:szCs w:val="24"/>
          <w:lang w:val="zh-CN"/>
        </w:rPr>
        <w:t>条规定的情形外，本合同一经签订，甲乙双方不得擅自变更、中止或终止。</w:t>
      </w:r>
    </w:p>
    <w:p w14:paraId="71BDF42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zh-CN"/>
        </w:rPr>
        <w:t>乙方不得擅自转让其应履行的合同义务。</w:t>
      </w:r>
    </w:p>
    <w:p w14:paraId="2AD789A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573" w:name="_Toc20231_WPSOffice_Level1"/>
      <w:bookmarkStart w:id="574" w:name="_Toc14930_WPSOffice_Level1"/>
      <w:bookmarkStart w:id="575" w:name="_Toc2669_WPSOffice_Level1"/>
      <w:bookmarkStart w:id="576" w:name="_Toc21200_WPSOffice_Level1"/>
      <w:bookmarkStart w:id="577" w:name="_Toc27090_WPSOffice_Level1"/>
      <w:bookmarkStart w:id="578" w:name="_Toc29941_WPSOffice_Level1"/>
      <w:r>
        <w:rPr>
          <w:rFonts w:hint="eastAsia" w:ascii="宋体" w:hAnsi="宋体" w:eastAsia="宋体" w:cs="宋体"/>
          <w:bCs/>
          <w:sz w:val="24"/>
          <w:szCs w:val="24"/>
          <w:lang w:val="zh-CN"/>
        </w:rPr>
        <w:t>六、违约责任</w:t>
      </w:r>
      <w:bookmarkEnd w:id="573"/>
      <w:bookmarkEnd w:id="574"/>
      <w:bookmarkEnd w:id="575"/>
      <w:bookmarkEnd w:id="576"/>
      <w:bookmarkEnd w:id="577"/>
      <w:bookmarkEnd w:id="578"/>
    </w:p>
    <w:p w14:paraId="056A9A3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79" w:name="_Toc2021_WPSOffice_Level1"/>
      <w:bookmarkStart w:id="580" w:name="_Toc13664_WPSOffice_Level1"/>
      <w:bookmarkStart w:id="581" w:name="_Toc2639_WPSOffice_Level1"/>
      <w:bookmarkStart w:id="582" w:name="_Toc31682_WPSOffice_Level1"/>
      <w:bookmarkStart w:id="583" w:name="_Toc4924_WPSOffice_Level1"/>
      <w:bookmarkStart w:id="584" w:name="_Toc29473_WPSOffice_Level1"/>
      <w:r>
        <w:rPr>
          <w:rFonts w:hint="eastAsia" w:ascii="宋体" w:hAnsi="宋体" w:eastAsia="宋体" w:cs="宋体"/>
          <w:bCs/>
          <w:sz w:val="24"/>
          <w:szCs w:val="24"/>
          <w:lang w:val="zh-CN"/>
        </w:rPr>
        <w:t>1.乙方所提供的服务和产品、技术标准、材料等质量不合格的，应及时更换；更换不及时的，按逾期交货承担违约责任；因质量问题甲方不同意接收的或因质量问题致使甲方无法实现合同目的的，甲方有权解除合同，乙方应按合同总额的30%向甲方支付违约金。违约金不足以弥补甲方损失的，乙方应就不足部分承担赔偿责任。</w:t>
      </w:r>
    </w:p>
    <w:p w14:paraId="0D41D4F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2.乙方提供的产品和服务如侵犯了第三方权益而引发纠纷或诉讼的，均由乙方负责交涉并承担全部责任。因乙方原因导致甲方遭受损失的，乙方除应对第三方承担责任外还应就甲方遭受的损失承担赔偿责任。</w:t>
      </w:r>
    </w:p>
    <w:p w14:paraId="429CD34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3.因包装、运输引起的货物损坏，按质量不合格处罚。</w:t>
      </w:r>
    </w:p>
    <w:p w14:paraId="34BF84A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4.乙方逾期交付的，乙方每逾期一日应向甲方支付合同总额3‰的违约金，超过 10 天的，甲方有权解除合同。乙方应按合同总额的5%向甲方支付违约金。前述违约金不足以弥补甲方损失的，乙方应就不足部分承担赔偿责任。</w:t>
      </w:r>
    </w:p>
    <w:p w14:paraId="440A983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5.乙方未按本合同和响应文件中规定的服务承诺提供售后服务的，乙方应按本合同合计金额的3%向甲方支付违约金。</w:t>
      </w:r>
    </w:p>
    <w:p w14:paraId="19225E9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6.乙方提供的货物在免费质保期内，因设计、工艺或材料的缺陷和其它质量原因造成的问题，由乙方负责，费用从合同款中扣除，不足另补。</w:t>
      </w:r>
    </w:p>
    <w:p w14:paraId="374D696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7.其它违约行为按违约货款额5%收取违约金并赔偿经济损失。</w:t>
      </w:r>
    </w:p>
    <w:p w14:paraId="795A86E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zh-CN"/>
        </w:rPr>
        <w:t>七、不可抗力</w:t>
      </w:r>
      <w:bookmarkEnd w:id="579"/>
      <w:bookmarkEnd w:id="580"/>
      <w:bookmarkEnd w:id="581"/>
      <w:bookmarkEnd w:id="582"/>
      <w:bookmarkEnd w:id="583"/>
      <w:bookmarkEnd w:id="584"/>
    </w:p>
    <w:p w14:paraId="373AB5D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zh-CN"/>
        </w:rPr>
        <w:t>不可抗力使合同的某些内容有变更必要的，双方应通过协商在</w:t>
      </w:r>
      <w:r>
        <w:rPr>
          <w:rFonts w:hint="eastAsia" w:ascii="宋体" w:hAnsi="宋体" w:eastAsia="宋体" w:cs="宋体"/>
          <w:bCs/>
          <w:sz w:val="24"/>
          <w:szCs w:val="24"/>
        </w:rPr>
        <w:t xml:space="preserve">   </w:t>
      </w:r>
      <w:r>
        <w:rPr>
          <w:rFonts w:hint="eastAsia" w:ascii="宋体" w:hAnsi="宋体" w:eastAsia="宋体" w:cs="宋体"/>
          <w:bCs/>
          <w:sz w:val="24"/>
          <w:szCs w:val="24"/>
          <w:lang w:val="zh-CN"/>
        </w:rPr>
        <w:t>天内达成进一步履行合同的协议，因不可抗力致使合同不能履行的，合同终止。</w:t>
      </w:r>
    </w:p>
    <w:p w14:paraId="0980AC8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zh-CN"/>
        </w:rPr>
        <w:t>除法律、法规规定的不可抗力情形外，双方约定出现</w:t>
      </w:r>
      <w:r>
        <w:rPr>
          <w:rFonts w:hint="eastAsia" w:ascii="宋体" w:hAnsi="宋体" w:eastAsia="宋体" w:cs="宋体"/>
          <w:bCs/>
          <w:sz w:val="24"/>
          <w:szCs w:val="24"/>
          <w:u w:val="single"/>
          <w:lang w:val="en-US" w:eastAsia="zh-CN"/>
        </w:rPr>
        <w:t>非人为</w:t>
      </w:r>
      <w:r>
        <w:rPr>
          <w:rFonts w:hint="eastAsia" w:ascii="宋体" w:hAnsi="宋体" w:eastAsia="宋体" w:cs="宋体"/>
          <w:bCs/>
          <w:sz w:val="24"/>
          <w:szCs w:val="24"/>
          <w:lang w:val="zh-CN"/>
        </w:rPr>
        <w:t>情况亦视为不可抗力。</w:t>
      </w:r>
    </w:p>
    <w:p w14:paraId="3C59C47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585" w:name="_Toc10383_WPSOffice_Level1"/>
      <w:bookmarkStart w:id="586" w:name="_Toc26412_WPSOffice_Level1"/>
      <w:bookmarkStart w:id="587" w:name="_Toc18318_WPSOffice_Level1"/>
      <w:bookmarkStart w:id="588" w:name="_Toc3848_WPSOffice_Level1"/>
      <w:bookmarkStart w:id="589" w:name="_Toc19414_WPSOffice_Level1"/>
      <w:bookmarkStart w:id="590" w:name="_Toc23622_WPSOffice_Level1"/>
      <w:r>
        <w:rPr>
          <w:rFonts w:hint="eastAsia" w:ascii="宋体" w:hAnsi="宋体" w:eastAsia="宋体" w:cs="宋体"/>
          <w:bCs/>
          <w:sz w:val="24"/>
          <w:szCs w:val="24"/>
          <w:lang w:val="zh-CN"/>
        </w:rPr>
        <w:t>八、知识产权：</w:t>
      </w:r>
      <w:bookmarkEnd w:id="585"/>
      <w:bookmarkEnd w:id="586"/>
      <w:bookmarkEnd w:id="587"/>
      <w:bookmarkEnd w:id="588"/>
      <w:bookmarkEnd w:id="589"/>
      <w:bookmarkEnd w:id="590"/>
      <w:r>
        <w:rPr>
          <w:rFonts w:hint="eastAsia" w:ascii="宋体" w:hAnsi="宋体" w:eastAsia="宋体" w:cs="宋体"/>
          <w:bCs/>
          <w:sz w:val="24"/>
          <w:szCs w:val="24"/>
          <w:lang w:val="zh-CN"/>
        </w:rPr>
        <w:t>详见合同通用条款</w:t>
      </w:r>
    </w:p>
    <w:p w14:paraId="29608D3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u w:val="single"/>
          <w:lang w:val="en-US" w:eastAsia="zh-CN"/>
        </w:rPr>
      </w:pPr>
      <w:bookmarkStart w:id="591" w:name="_Toc13231_WPSOffice_Level1"/>
      <w:bookmarkStart w:id="592" w:name="_Toc19632_WPSOffice_Level1"/>
      <w:bookmarkStart w:id="593" w:name="_Toc10217_WPSOffice_Level1"/>
      <w:bookmarkStart w:id="594" w:name="_Toc19749_WPSOffice_Level1"/>
      <w:bookmarkStart w:id="595" w:name="_Toc2260_WPSOffice_Level1"/>
      <w:bookmarkStart w:id="596" w:name="_Toc20210_WPSOffice_Level1"/>
      <w:r>
        <w:rPr>
          <w:rFonts w:hint="eastAsia" w:ascii="宋体" w:hAnsi="宋体" w:eastAsia="宋体" w:cs="宋体"/>
          <w:bCs/>
          <w:sz w:val="24"/>
          <w:szCs w:val="24"/>
          <w:lang w:val="zh-CN"/>
        </w:rPr>
        <w:t>九、其他约定：</w:t>
      </w:r>
      <w:bookmarkEnd w:id="591"/>
      <w:bookmarkEnd w:id="592"/>
      <w:bookmarkEnd w:id="593"/>
      <w:bookmarkEnd w:id="594"/>
      <w:bookmarkEnd w:id="595"/>
      <w:bookmarkEnd w:id="596"/>
      <w:bookmarkStart w:id="597" w:name="_Toc23823_WPSOffice_Level1"/>
      <w:bookmarkStart w:id="598" w:name="_Toc20133_WPSOffice_Level1"/>
      <w:bookmarkStart w:id="599" w:name="_Toc19521_WPSOffice_Level1"/>
      <w:bookmarkStart w:id="600" w:name="_Toc6985_WPSOffice_Level1"/>
      <w:bookmarkStart w:id="601" w:name="_Toc2032_WPSOffice_Level1"/>
      <w:bookmarkStart w:id="602" w:name="_Toc18552_WPSOffice_Level1"/>
      <w:r>
        <w:rPr>
          <w:rFonts w:hint="eastAsia" w:ascii="宋体" w:hAnsi="宋体" w:eastAsia="宋体" w:cs="宋体"/>
          <w:bCs/>
          <w:sz w:val="24"/>
          <w:szCs w:val="24"/>
          <w:u w:val="single"/>
          <w:lang w:val="en-US" w:eastAsia="zh-CN"/>
        </w:rPr>
        <w:t xml:space="preserve">               </w:t>
      </w:r>
    </w:p>
    <w:p w14:paraId="07F1870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zh-CN"/>
        </w:rPr>
        <w:t>十、合同争议解决</w:t>
      </w:r>
      <w:bookmarkEnd w:id="597"/>
      <w:bookmarkEnd w:id="598"/>
      <w:bookmarkEnd w:id="599"/>
      <w:bookmarkEnd w:id="600"/>
      <w:bookmarkEnd w:id="601"/>
      <w:bookmarkEnd w:id="602"/>
    </w:p>
    <w:p w14:paraId="40451D4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603" w:name="_Toc8439_WPSOffice_Level1"/>
      <w:bookmarkStart w:id="604" w:name="_Toc12915_WPSOffice_Level1"/>
      <w:bookmarkStart w:id="605" w:name="_Toc20057_WPSOffice_Level1"/>
      <w:bookmarkStart w:id="606" w:name="_Toc18713_WPSOffice_Level1"/>
      <w:bookmarkStart w:id="607" w:name="_Toc25759_WPSOffice_Level1"/>
      <w:bookmarkStart w:id="608" w:name="_Toc27544_WPSOffice_Level1"/>
      <w:r>
        <w:rPr>
          <w:rFonts w:hint="eastAsia" w:ascii="宋体" w:hAnsi="宋体" w:eastAsia="宋体" w:cs="宋体"/>
          <w:bCs/>
          <w:sz w:val="24"/>
          <w:szCs w:val="24"/>
          <w:lang w:val="zh-CN"/>
        </w:rPr>
        <w:t>1.因产品质量问题发生争议的，应邀请国家认可的质量检测机构进行鉴定。产品符合标准的，鉴定费由甲方承担；产品不符合标准的，鉴定费由乙方承担。</w:t>
      </w:r>
    </w:p>
    <w:p w14:paraId="34C029E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2.因履行本合同引起的或与本合同有关的争议，甲乙双方应首先通过友好协商解决，如果协商不能解决，可向甲方所在地仲裁委员会申请仲裁或向甲方所在地人民法院提起诉讼。</w:t>
      </w:r>
    </w:p>
    <w:p w14:paraId="63619D2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3.诉讼期间，本合同继续履行。</w:t>
      </w:r>
    </w:p>
    <w:p w14:paraId="463B638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zh-CN"/>
        </w:rPr>
        <w:t>十一、合同生效及其它</w:t>
      </w:r>
      <w:r>
        <w:rPr>
          <w:rFonts w:hint="eastAsia" w:ascii="宋体" w:hAnsi="宋体" w:eastAsia="宋体" w:cs="宋体"/>
          <w:bCs/>
          <w:sz w:val="24"/>
          <w:szCs w:val="24"/>
        </w:rPr>
        <w:t>：</w:t>
      </w:r>
      <w:bookmarkEnd w:id="603"/>
      <w:bookmarkEnd w:id="604"/>
      <w:bookmarkEnd w:id="605"/>
      <w:bookmarkEnd w:id="606"/>
      <w:bookmarkEnd w:id="607"/>
      <w:bookmarkEnd w:id="608"/>
    </w:p>
    <w:p w14:paraId="4CFA134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1.本合同一式</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份，均具有同等法律效力，甲方执</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份，乙方执</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份，采购代理机构执壹份。合同全数返回采购代理机构鉴证，盖章。</w:t>
      </w:r>
    </w:p>
    <w:p w14:paraId="1AB7970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2.本合同未尽事宜，按经济合同法有关规定处理。</w:t>
      </w:r>
    </w:p>
    <w:p w14:paraId="2BCD69E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3.本合同的组成包含《合同通用条款》。</w:t>
      </w:r>
    </w:p>
    <w:p w14:paraId="392036D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p>
    <w:p w14:paraId="602E847C">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p>
    <w:p w14:paraId="10466B28">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甲方（盖章）：                       乙方（盖章）：</w:t>
      </w:r>
    </w:p>
    <w:p w14:paraId="7129D82D">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地址：                              地址：</w:t>
      </w:r>
    </w:p>
    <w:p w14:paraId="40A7A493">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法定代表人或委托代理人：            法定代表人或委托代理人：</w:t>
      </w:r>
    </w:p>
    <w:p w14:paraId="1755A702">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                                    开户银行：</w:t>
      </w:r>
    </w:p>
    <w:p w14:paraId="115EDAAD">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联系电话：                          账号：</w:t>
      </w:r>
    </w:p>
    <w:p w14:paraId="000E2E29">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                                    联系电话：</w:t>
      </w:r>
    </w:p>
    <w:p w14:paraId="56DA4B7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签约时间：  年  月  日</w:t>
      </w:r>
    </w:p>
    <w:p w14:paraId="5FF8536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p>
    <w:p w14:paraId="57468DF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p>
    <w:p w14:paraId="7608099B">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采购代理机构</w:t>
      </w:r>
      <w:r>
        <w:rPr>
          <w:rFonts w:hint="eastAsia" w:ascii="宋体" w:hAnsi="宋体" w:eastAsia="宋体" w:cs="宋体"/>
          <w:bCs/>
          <w:sz w:val="24"/>
          <w:szCs w:val="24"/>
        </w:rPr>
        <w:t>：</w:t>
      </w:r>
      <w:r>
        <w:rPr>
          <w:rFonts w:hint="eastAsia" w:ascii="宋体" w:hAnsi="宋体" w:eastAsia="宋体" w:cs="宋体"/>
          <w:bCs/>
          <w:sz w:val="24"/>
          <w:szCs w:val="24"/>
          <w:lang w:val="en-US" w:eastAsia="zh-CN"/>
        </w:rPr>
        <w:t>青海国德招标代理有限公司</w:t>
      </w:r>
      <w:r>
        <w:rPr>
          <w:rFonts w:hint="eastAsia" w:ascii="宋体" w:hAnsi="宋体" w:eastAsia="宋体" w:cs="宋体"/>
          <w:bCs/>
          <w:sz w:val="24"/>
          <w:szCs w:val="24"/>
        </w:rPr>
        <w:t xml:space="preserve">      </w:t>
      </w:r>
    </w:p>
    <w:p w14:paraId="6E06D243">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负责人</w:t>
      </w:r>
      <w:r>
        <w:rPr>
          <w:rFonts w:hint="eastAsia" w:ascii="宋体" w:hAnsi="宋体" w:eastAsia="宋体" w:cs="宋体"/>
          <w:bCs/>
          <w:sz w:val="24"/>
          <w:szCs w:val="24"/>
          <w:lang w:val="en-US" w:eastAsia="zh-CN"/>
        </w:rPr>
        <w:t>或</w:t>
      </w:r>
      <w:r>
        <w:rPr>
          <w:rFonts w:hint="eastAsia" w:ascii="宋体" w:hAnsi="宋体" w:eastAsia="宋体" w:cs="宋体"/>
          <w:bCs/>
          <w:sz w:val="24"/>
          <w:szCs w:val="24"/>
        </w:rPr>
        <w:t>经办人：</w:t>
      </w:r>
    </w:p>
    <w:p w14:paraId="282E0641">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合同备案时间：</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年  月  日</w:t>
      </w:r>
    </w:p>
    <w:p w14:paraId="4C66C165">
      <w:pPr>
        <w:rPr>
          <w:rFonts w:hint="eastAsia" w:ascii="宋体" w:hAnsi="宋体" w:eastAsia="宋体" w:cs="宋体"/>
          <w:bCs/>
          <w:sz w:val="24"/>
          <w:szCs w:val="24"/>
        </w:rPr>
      </w:pPr>
      <w:r>
        <w:rPr>
          <w:rFonts w:hint="eastAsia" w:ascii="宋体" w:hAnsi="宋体" w:eastAsia="宋体" w:cs="宋体"/>
          <w:bCs/>
          <w:sz w:val="24"/>
          <w:szCs w:val="24"/>
        </w:rPr>
        <w:br w:type="page"/>
      </w:r>
    </w:p>
    <w:p w14:paraId="23C4501C">
      <w:pPr>
        <w:widowControl w:val="0"/>
        <w:wordWrap/>
        <w:adjustRightInd w:val="0"/>
        <w:snapToGrid w:val="0"/>
        <w:spacing w:line="560" w:lineRule="exact"/>
        <w:ind w:firstLine="480" w:firstLineChars="20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合同通用条款</w:t>
      </w:r>
    </w:p>
    <w:p w14:paraId="5915721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根据《民法典》、《中华人民共和国政府采购法》的规定，合同双方经协商达成一致，自愿订立本合同，遵循公平原则明确双方的权利、义务，确保双方诚实守信地履行合同。</w:t>
      </w:r>
    </w:p>
    <w:p w14:paraId="729475A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09" w:name="_Toc22507_WPSOffice_Level2"/>
      <w:bookmarkStart w:id="610" w:name="_Toc20198_WPSOffice_Level2"/>
      <w:bookmarkStart w:id="611" w:name="_Toc26412_WPSOffice_Level2"/>
      <w:r>
        <w:rPr>
          <w:rFonts w:hint="eastAsia" w:ascii="宋体" w:hAnsi="宋体" w:eastAsia="宋体" w:cs="宋体"/>
          <w:bCs/>
          <w:sz w:val="24"/>
          <w:szCs w:val="24"/>
        </w:rPr>
        <w:t>1.定义</w:t>
      </w:r>
      <w:bookmarkEnd w:id="609"/>
      <w:bookmarkEnd w:id="610"/>
      <w:bookmarkEnd w:id="611"/>
    </w:p>
    <w:p w14:paraId="38420F8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本合同中的下列术语应解释为：</w:t>
      </w:r>
    </w:p>
    <w:p w14:paraId="619E8FD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 “合同”指甲乙双方签署的、载明的甲乙双方权利义务的协议，包括所有的附件、附录和上述文件所提到的构成合同的所有文件。</w:t>
      </w:r>
    </w:p>
    <w:p w14:paraId="3C6E9F3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1.2 “合同金额”指根据合同规定，乙方在正确地完全履行合同义务后甲方应付给乙方的价款。</w:t>
      </w:r>
    </w:p>
    <w:p w14:paraId="04D7E57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 “合同条款”指本合同条款。</w:t>
      </w:r>
    </w:p>
    <w:p w14:paraId="162B53E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 “货物”指乙方根据合同约定须向甲方提供的一切产品、设备、机械、仪表、备件等，包括辅助工具、使用手册等相关资料。</w:t>
      </w:r>
    </w:p>
    <w:p w14:paraId="7521B39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1.5 “服务”指根据本合同规定乙方承担与供货有关的辅助服务，如运输、保险及安装、调试、提供技术援助、培训和合同中规定乙方应承担的其它义务。</w:t>
      </w:r>
    </w:p>
    <w:p w14:paraId="0985E2B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1.6 “甲方”指购买货物和服务的单位。</w:t>
      </w:r>
    </w:p>
    <w:p w14:paraId="4A07704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1.7 “乙方”指提供本合同条款下货物和服务的公司或其他实体。</w:t>
      </w:r>
    </w:p>
    <w:p w14:paraId="27782BF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1.8 “现场”指合同规定货物将要运至和安装的地点。</w:t>
      </w:r>
    </w:p>
    <w:p w14:paraId="1202538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1.9 “验收”指合同双方依据强制性的国家技术质量规范和合同约定，确认合同条款下的货物符合合同规定的活动。</w:t>
      </w:r>
    </w:p>
    <w:p w14:paraId="2FE96DB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1.10原厂商：产品制造商或其在中国境内设立的办事或技术服务机构。除另有说明外，本合同文件所述的制造商、产品制造商、制造厂家、产品制造厂家均为原厂商。</w:t>
      </w:r>
    </w:p>
    <w:p w14:paraId="1DED2DF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1.11 原产地：指产品的生产地，或提供服务的来源地。</w:t>
      </w:r>
    </w:p>
    <w:p w14:paraId="04791CB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 “工作日”指国家法定工作日，“天”指日历天数。</w:t>
      </w:r>
    </w:p>
    <w:p w14:paraId="2316DC7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12" w:name="_Toc9343_WPSOffice_Level2"/>
      <w:bookmarkStart w:id="613" w:name="_Toc21237_WPSOffice_Level2"/>
      <w:bookmarkStart w:id="614" w:name="_Toc20210_WPSOffice_Level2"/>
      <w:r>
        <w:rPr>
          <w:rFonts w:hint="eastAsia" w:ascii="宋体" w:hAnsi="宋体" w:eastAsia="宋体" w:cs="宋体"/>
          <w:bCs/>
          <w:sz w:val="24"/>
          <w:szCs w:val="24"/>
        </w:rPr>
        <w:t>2.技术规格要求</w:t>
      </w:r>
      <w:bookmarkEnd w:id="612"/>
      <w:bookmarkEnd w:id="613"/>
      <w:bookmarkEnd w:id="614"/>
    </w:p>
    <w:p w14:paraId="6C9266C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2.1 本合同条款下提交货物的技术规格要求应等于或优于谈判文件、谈判响应文件技术规格要求。若技术规格要求中无相应规定，则应符合相应的国家有关部门最新颁布的相应正式标准。</w:t>
      </w:r>
    </w:p>
    <w:p w14:paraId="4A70D9F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2.2 乙方应向甲方提供货物及服务有关的标准的中文文本。</w:t>
      </w:r>
    </w:p>
    <w:p w14:paraId="4BB30B1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2.3 除非技术规范中另有规定，计量单位均采用中华人民共和国法定计量单位。</w:t>
      </w:r>
    </w:p>
    <w:p w14:paraId="3B606F2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15" w:name="_Toc23823_WPSOffice_Level2"/>
      <w:bookmarkStart w:id="616" w:name="_Toc26773_WPSOffice_Level2"/>
      <w:bookmarkStart w:id="617" w:name="_Toc415_WPSOffice_Level2"/>
      <w:r>
        <w:rPr>
          <w:rFonts w:hint="eastAsia" w:ascii="宋体" w:hAnsi="宋体" w:eastAsia="宋体" w:cs="宋体"/>
          <w:bCs/>
          <w:sz w:val="24"/>
          <w:szCs w:val="24"/>
        </w:rPr>
        <w:t>3.合同范围</w:t>
      </w:r>
      <w:bookmarkEnd w:id="615"/>
      <w:bookmarkEnd w:id="616"/>
      <w:bookmarkEnd w:id="617"/>
    </w:p>
    <w:p w14:paraId="1A4C59A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2717F66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3.2 乙方应负责培训甲方的技术人员。</w:t>
      </w:r>
    </w:p>
    <w:p w14:paraId="06F5988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0AE4460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18" w:name="_Toc27544_WPSOffice_Level2"/>
      <w:bookmarkStart w:id="619" w:name="_Toc1426_WPSOffice_Level2"/>
      <w:bookmarkStart w:id="620" w:name="_Toc22989_WPSOffice_Level2"/>
      <w:r>
        <w:rPr>
          <w:rFonts w:hint="eastAsia" w:ascii="宋体" w:hAnsi="宋体" w:eastAsia="宋体" w:cs="宋体"/>
          <w:bCs/>
          <w:sz w:val="24"/>
          <w:szCs w:val="24"/>
        </w:rPr>
        <w:t>4.合同文件和资料</w:t>
      </w:r>
      <w:bookmarkEnd w:id="618"/>
      <w:bookmarkEnd w:id="619"/>
      <w:bookmarkEnd w:id="620"/>
    </w:p>
    <w:p w14:paraId="20F65FB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4.1乙方在提供仪器设备时应同时提供中文版相关的技术资料，如目录索引、图纸、操作手册、使用指南、维修指南、服务手册等。</w:t>
      </w:r>
    </w:p>
    <w:p w14:paraId="403F2BC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068F85A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21" w:name="_Toc18584_WPSOffice_Level2"/>
      <w:bookmarkStart w:id="622" w:name="_Toc14802_WPSOffice_Level2"/>
      <w:bookmarkStart w:id="623" w:name="_Toc23784_WPSOffice_Level2"/>
      <w:r>
        <w:rPr>
          <w:rFonts w:hint="eastAsia" w:ascii="宋体" w:hAnsi="宋体" w:eastAsia="宋体" w:cs="宋体"/>
          <w:bCs/>
          <w:sz w:val="24"/>
          <w:szCs w:val="24"/>
        </w:rPr>
        <w:t>5.知识产权</w:t>
      </w:r>
      <w:bookmarkEnd w:id="621"/>
      <w:bookmarkEnd w:id="622"/>
      <w:bookmarkEnd w:id="623"/>
    </w:p>
    <w:p w14:paraId="48534E2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5.1乙方应保证甲方在使用该货物或其任何一部分时不受第三方提出的侵犯专利权、 著作权、商标权和工业设计权等的起诉。</w:t>
      </w:r>
    </w:p>
    <w:p w14:paraId="2C5BC13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5.2任何第三方提出侵权指控，乙方须与第三方交涉并承担由此产生的一切责任、费用和经济赔偿。</w:t>
      </w:r>
    </w:p>
    <w:p w14:paraId="22C1EF0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5.3双方应共同遵守国家有关版权、专利、商标等知识产权方面的法律规定，相互尊重对方的知识产权，对本合同内容、对方的技术秘密和商业秘密负有保密责任。如有违反，违约方负相关法律责任。</w:t>
      </w:r>
    </w:p>
    <w:p w14:paraId="4507C97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5.4在本合同生效时已经存在并为各方合法拥有或使用的所有技术、资料和信息的知识产权，仍应属于其各自的原权利人所有或享有，另有约定的除外。</w:t>
      </w:r>
    </w:p>
    <w:p w14:paraId="76BC530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382B2D6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24" w:name="_Toc25026_WPSOffice_Level2"/>
      <w:bookmarkStart w:id="625" w:name="_Toc22229_WPSOffice_Level2"/>
      <w:bookmarkStart w:id="626" w:name="_Toc13395_WPSOffice_Level2"/>
      <w:r>
        <w:rPr>
          <w:rFonts w:hint="eastAsia" w:ascii="宋体" w:hAnsi="宋体" w:eastAsia="宋体" w:cs="宋体"/>
          <w:bCs/>
          <w:sz w:val="24"/>
          <w:szCs w:val="24"/>
        </w:rPr>
        <w:t>6.保密</w:t>
      </w:r>
      <w:bookmarkEnd w:id="624"/>
      <w:bookmarkEnd w:id="625"/>
      <w:bookmarkEnd w:id="626"/>
    </w:p>
    <w:p w14:paraId="70974D4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54F5975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6.2保密信息指任何一方因履行本合同所知悉的任何以口头、书面、图表或电子形式存在的对方信息，具体包括：</w:t>
      </w:r>
    </w:p>
    <w:p w14:paraId="3D303CE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6.2.1任何涉及对方过去、现在或将来的商业计划、规章制度、操作规程、处理手段、财务信息；</w:t>
      </w:r>
    </w:p>
    <w:p w14:paraId="3075E9E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6.2.2任何对方的技术措施、技术方案、软件应用及开发，硬件设备的品种、质量、数量、品牌等；</w:t>
      </w:r>
    </w:p>
    <w:p w14:paraId="3D0A536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6.2.3任何对方的技术秘密或专有知识、文件 、报告、数据、客户软件、流程图、数据库、发明、知识、贸易秘密。</w:t>
      </w:r>
    </w:p>
    <w:p w14:paraId="1C8FCD1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6.3乙方应根据甲方的要求签署相应的保密协议，保密协议与本条款存在不一致的，以保密协议为准。</w:t>
      </w:r>
    </w:p>
    <w:p w14:paraId="6342047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27" w:name="_Toc12645_WPSOffice_Level2"/>
      <w:bookmarkStart w:id="628" w:name="_Toc23853_WPSOffice_Level2"/>
      <w:bookmarkStart w:id="629" w:name="_Toc6752_WPSOffice_Level2"/>
      <w:r>
        <w:rPr>
          <w:rFonts w:hint="eastAsia" w:ascii="宋体" w:hAnsi="宋体" w:eastAsia="宋体" w:cs="宋体"/>
          <w:bCs/>
          <w:sz w:val="24"/>
          <w:szCs w:val="24"/>
        </w:rPr>
        <w:t>7. 质量保证</w:t>
      </w:r>
      <w:bookmarkEnd w:id="627"/>
      <w:bookmarkEnd w:id="628"/>
      <w:bookmarkEnd w:id="629"/>
    </w:p>
    <w:p w14:paraId="1D06C95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30" w:name="_Toc8450_WPSOffice_Level3"/>
      <w:bookmarkStart w:id="631" w:name="_Toc26729_WPSOffice_Level3"/>
      <w:r>
        <w:rPr>
          <w:rFonts w:hint="eastAsia" w:ascii="宋体" w:hAnsi="宋体" w:eastAsia="宋体" w:cs="宋体"/>
          <w:bCs/>
          <w:sz w:val="24"/>
          <w:szCs w:val="24"/>
        </w:rPr>
        <w:t>7.1货物质量保证</w:t>
      </w:r>
      <w:bookmarkEnd w:id="630"/>
      <w:bookmarkEnd w:id="631"/>
    </w:p>
    <w:p w14:paraId="0892132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7.1.1乙方必须保证货物是全新、未使用过的，并完全符合强制性的国家技术质量规范和合同规定的质量、规格、性能和技术规范等的要求。</w:t>
      </w:r>
    </w:p>
    <w:p w14:paraId="2E5677C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4E29ACE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5F35CE2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63A708A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7.1.5 合同条款下货物的质量保证期自货物通过最终验收起算，合同另行规定除外。</w:t>
      </w:r>
    </w:p>
    <w:p w14:paraId="1A3CAF1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32" w:name="_Toc18945_WPSOffice_Level3"/>
      <w:bookmarkStart w:id="633" w:name="_Toc9593_WPSOffice_Level3"/>
      <w:r>
        <w:rPr>
          <w:rFonts w:hint="eastAsia" w:ascii="宋体" w:hAnsi="宋体" w:eastAsia="宋体" w:cs="宋体"/>
          <w:bCs/>
          <w:sz w:val="24"/>
          <w:szCs w:val="24"/>
        </w:rPr>
        <w:t>7.2辅助服务质量保证</w:t>
      </w:r>
      <w:bookmarkEnd w:id="632"/>
      <w:bookmarkEnd w:id="633"/>
    </w:p>
    <w:p w14:paraId="6D64CA9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5E0D311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7.2.2乙方应保证合同条款下所提供的服务包括培训、安装指导、单机调试、系统联调和试验等，按合同规定方式进行，并保证不存在因乙方工作人员的过失、错误或疏忽而产生的缺陷。</w:t>
      </w:r>
    </w:p>
    <w:p w14:paraId="100D1B9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34" w:name="_Toc16656_WPSOffice_Level2"/>
      <w:bookmarkStart w:id="635" w:name="_Toc444_WPSOffice_Level2"/>
      <w:bookmarkStart w:id="636" w:name="_Toc19930_WPSOffice_Level2"/>
      <w:r>
        <w:rPr>
          <w:rFonts w:hint="eastAsia" w:ascii="宋体" w:hAnsi="宋体" w:eastAsia="宋体" w:cs="宋体"/>
          <w:bCs/>
          <w:sz w:val="24"/>
          <w:szCs w:val="24"/>
        </w:rPr>
        <w:t>8.包装要求</w:t>
      </w:r>
      <w:bookmarkEnd w:id="634"/>
      <w:bookmarkEnd w:id="635"/>
      <w:bookmarkEnd w:id="636"/>
    </w:p>
    <w:p w14:paraId="1613939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8.1 除合同另有约定外，乙方提供的全部货物，均应采用本行业通用的方式进行包装，且该包装应符合国家有关包装的法律、法规的规定。</w:t>
      </w:r>
    </w:p>
    <w:p w14:paraId="59385EC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8.2 包装应适应于远距离运输，并有良好的防潮、防震、防锈和防粗暴装卸等保护措施，以确保货物安全运抵现场。由于包装不善所引起的货物锈蚀、损坏和损失均由乙方承担。</w:t>
      </w:r>
    </w:p>
    <w:p w14:paraId="34B524F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乙方应提供货物运至合同规定的最终目的地所需要的包装，以防止货物在转运中损坏或变质。</w:t>
      </w:r>
    </w:p>
    <w:p w14:paraId="613A6F8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8.3 乙方所提供的货物包装均为出厂时原包装。</w:t>
      </w:r>
    </w:p>
    <w:p w14:paraId="4C3E079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8.4 乙方所提供货物必须附有质量合格证，装箱清单，主机、附件、各种零部件和消耗品，有清楚的与装箱单相对应的名称和编号。</w:t>
      </w:r>
    </w:p>
    <w:p w14:paraId="23B8D82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8.5 货物运输中的运输费用和保险费用均由乙方承担。运输过程中的一切损失、损坏均由乙方负责。</w:t>
      </w:r>
    </w:p>
    <w:p w14:paraId="1C949A3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37" w:name="_Toc19342_WPSOffice_Level2"/>
      <w:bookmarkStart w:id="638" w:name="_Toc9360_WPSOffice_Level2"/>
      <w:bookmarkStart w:id="639" w:name="_Toc15918_WPSOffice_Level2"/>
      <w:r>
        <w:rPr>
          <w:rFonts w:hint="eastAsia" w:ascii="宋体" w:hAnsi="宋体" w:eastAsia="宋体" w:cs="宋体"/>
          <w:bCs/>
          <w:sz w:val="24"/>
          <w:szCs w:val="24"/>
        </w:rPr>
        <w:t>9. 价格</w:t>
      </w:r>
      <w:bookmarkEnd w:id="637"/>
      <w:bookmarkEnd w:id="638"/>
      <w:bookmarkEnd w:id="639"/>
    </w:p>
    <w:p w14:paraId="32F4ECB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002A396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9.2 本合同价格为固定价格，包括了乙方履行合同全过程产生的所有成本和费用以及乙方应承担的一切税费。</w:t>
      </w:r>
    </w:p>
    <w:p w14:paraId="586203D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9.3检验费用 </w:t>
      </w:r>
    </w:p>
    <w:p w14:paraId="2F9CCEB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9.3.1 乙方必须负担本条款下属于乙方负责的检验、测试、调试、试运行和验收的所有费用，并负责乙方派往买方组织的检验、测试和验收人员的所有费用。</w:t>
      </w:r>
    </w:p>
    <w:p w14:paraId="2901165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9.3.2 甲方按合同计划参加在乙方工厂所在地检验、测试和验收的费用全部由乙方负责并已包含在合同总价中。</w:t>
      </w:r>
    </w:p>
    <w:p w14:paraId="182E071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9.3.3甲方检验人员已到卖方所在地，测试无法依照合同进行， 而引起甲方人员延长逗留时间，所有由此产生的包括甲方人员在内的直接费用及成本由乙方承担。 </w:t>
      </w:r>
    </w:p>
    <w:p w14:paraId="4ABABC4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40" w:name="_Toc29082_WPSOffice_Level2"/>
      <w:bookmarkStart w:id="641" w:name="_Toc13355_WPSOffice_Level2"/>
      <w:bookmarkStart w:id="642" w:name="_Toc21379_WPSOffice_Level2"/>
      <w:r>
        <w:rPr>
          <w:rFonts w:hint="eastAsia" w:ascii="宋体" w:hAnsi="宋体" w:eastAsia="宋体" w:cs="宋体"/>
          <w:bCs/>
          <w:sz w:val="24"/>
          <w:szCs w:val="24"/>
        </w:rPr>
        <w:t>10.交货方式及交货日期</w:t>
      </w:r>
      <w:bookmarkEnd w:id="640"/>
      <w:bookmarkEnd w:id="641"/>
      <w:bookmarkEnd w:id="642"/>
    </w:p>
    <w:p w14:paraId="637DDAE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交货方式：现场交货，乙方负责办理运输和保险，将货物运抵现场。</w:t>
      </w:r>
    </w:p>
    <w:p w14:paraId="28D25E9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交货日期：所有货物运抵现场并经双方开箱验收合格之日。</w:t>
      </w:r>
    </w:p>
    <w:p w14:paraId="598F541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43" w:name="_Toc8711_WPSOffice_Level2"/>
      <w:bookmarkStart w:id="644" w:name="_Toc22184_WPSOffice_Level2"/>
      <w:bookmarkStart w:id="645" w:name="_Toc4905_WPSOffice_Level2"/>
      <w:r>
        <w:rPr>
          <w:rFonts w:hint="eastAsia" w:ascii="宋体" w:hAnsi="宋体" w:eastAsia="宋体" w:cs="宋体"/>
          <w:bCs/>
          <w:sz w:val="24"/>
          <w:szCs w:val="24"/>
        </w:rPr>
        <w:t>11.检验和验收</w:t>
      </w:r>
      <w:bookmarkEnd w:id="643"/>
      <w:bookmarkEnd w:id="644"/>
      <w:bookmarkEnd w:id="645"/>
    </w:p>
    <w:p w14:paraId="7B67036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46" w:name="_Toc11588_WPSOffice_Level3"/>
      <w:bookmarkStart w:id="647" w:name="_Toc7309_WPSOffice_Level3"/>
      <w:r>
        <w:rPr>
          <w:rFonts w:hint="eastAsia" w:ascii="宋体" w:hAnsi="宋体" w:eastAsia="宋体" w:cs="宋体"/>
          <w:bCs/>
          <w:sz w:val="24"/>
          <w:szCs w:val="24"/>
        </w:rPr>
        <w:t>11.1开箱验收</w:t>
      </w:r>
      <w:bookmarkEnd w:id="646"/>
      <w:bookmarkEnd w:id="647"/>
    </w:p>
    <w:p w14:paraId="5F29C35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11.1.1货物运抵现场后，双方应及时开箱验收，并制作验收记录，以确认与本合同约定的数量、型号等是否一致。</w:t>
      </w:r>
    </w:p>
    <w:p w14:paraId="724C59D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11.1.2 乙方应在交货前对货物的质量、规格、数量等进行详细而全面的检验，并出具证明货物符合合同规定的文件。该文件将作为申请付款单据的一部分，但有关质量、规格、数量的检验不应视为最终检验。</w:t>
      </w:r>
    </w:p>
    <w:p w14:paraId="27D1911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11.1.3 开箱验收中如发现货物的数量、规格与合同约定不符，甲方有权拒收货物，乙方应及时按甲方要求免费对拒收货物采取更换或其他必要的补救措施，直至开箱验收合格，方视为乙方完成交货。</w:t>
      </w:r>
    </w:p>
    <w:p w14:paraId="19CE21A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48" w:name="_Toc26974_WPSOffice_Level3"/>
      <w:bookmarkStart w:id="649" w:name="_Toc13911_WPSOffice_Level3"/>
      <w:r>
        <w:rPr>
          <w:rFonts w:hint="eastAsia" w:ascii="宋体" w:hAnsi="宋体" w:eastAsia="宋体" w:cs="宋体"/>
          <w:bCs/>
          <w:sz w:val="24"/>
          <w:szCs w:val="24"/>
        </w:rPr>
        <w:t>11.2  检验验收</w:t>
      </w:r>
      <w:bookmarkEnd w:id="648"/>
      <w:bookmarkEnd w:id="649"/>
    </w:p>
    <w:p w14:paraId="17347DE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11.2.1 交货完成后，乙方应及时组装、调试、试运行，按照合同专用条款规定的试运行完成后，双方及时组织对货物检验验收。合同双方均须派人参加合同要求双方参加的试验、检验。</w:t>
      </w:r>
    </w:p>
    <w:p w14:paraId="781D9FC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11.2.2 在具体实施合同规定的检验验收之前，乙方需提前提交相应的测试计划（包括测试程序、测试内容和检验标准、试验时间安排等）供甲方确认。</w:t>
      </w:r>
    </w:p>
    <w:p w14:paraId="4F343CF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11.2.3  除需甲方确认的试验验收外，乙方还应对所有检验验收测试的结果、步骤、原始数据等作妥善记录。如甲方要求，乙方应提供这些记录给买方。</w:t>
      </w:r>
    </w:p>
    <w:p w14:paraId="2145C7F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11.2.4  检验测试出现全部或部分未达到本合同所约定的技术指标，甲方有权选择下列任一处理方式：</w:t>
      </w:r>
    </w:p>
    <w:p w14:paraId="4638EC9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a.重新测试直至合格为止；</w:t>
      </w:r>
    </w:p>
    <w:p w14:paraId="0B3558F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b.要求乙方对货物进行免费更换，然后重新测试直至合格为止；</w:t>
      </w:r>
    </w:p>
    <w:p w14:paraId="1EFAFB7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无论选择何种方式，甲方因此而发生的因卖方原因引起的所有费用均由乙方负担。</w:t>
      </w:r>
    </w:p>
    <w:p w14:paraId="3F5EB37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50" w:name="_Toc1685_WPSOffice_Level3"/>
      <w:bookmarkStart w:id="651" w:name="_Toc5393_WPSOffice_Level3"/>
      <w:r>
        <w:rPr>
          <w:rFonts w:hint="eastAsia" w:ascii="宋体" w:hAnsi="宋体" w:eastAsia="宋体" w:cs="宋体"/>
          <w:bCs/>
          <w:sz w:val="24"/>
          <w:szCs w:val="24"/>
        </w:rPr>
        <w:t>11.3  使用过程检验</w:t>
      </w:r>
      <w:bookmarkEnd w:id="650"/>
      <w:bookmarkEnd w:id="651"/>
    </w:p>
    <w:p w14:paraId="46DC23C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7233015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11.3.2如果合同双方对乙方提供的上述试验结果报告的解释有分歧，双方须于出现分歧后10天内给对方声明，以陈述己方的观点。声明须附有关证据。分歧应通过协商解决。</w:t>
      </w:r>
    </w:p>
    <w:p w14:paraId="3B86026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52" w:name="_Toc17827_WPSOffice_Level2"/>
      <w:bookmarkStart w:id="653" w:name="_Toc10883_WPSOffice_Level2"/>
      <w:bookmarkStart w:id="654" w:name="_Toc17387_WPSOffice_Level2"/>
      <w:r>
        <w:rPr>
          <w:rFonts w:hint="eastAsia" w:ascii="宋体" w:hAnsi="宋体" w:eastAsia="宋体" w:cs="宋体"/>
          <w:bCs/>
          <w:sz w:val="24"/>
          <w:szCs w:val="24"/>
        </w:rPr>
        <w:t>12.付款条件</w:t>
      </w:r>
      <w:bookmarkEnd w:id="652"/>
      <w:bookmarkEnd w:id="653"/>
      <w:bookmarkEnd w:id="654"/>
    </w:p>
    <w:p w14:paraId="5C828D5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本合同条款下的付款方法和条件在“合同专用条款”中具体规定。</w:t>
      </w:r>
    </w:p>
    <w:p w14:paraId="2DE71EE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55" w:name="_Toc24025_WPSOffice_Level2"/>
      <w:bookmarkStart w:id="656" w:name="_Toc8681_WPSOffice_Level2"/>
      <w:bookmarkStart w:id="657" w:name="_Toc25610_WPSOffice_Level2"/>
      <w:r>
        <w:rPr>
          <w:rFonts w:hint="eastAsia" w:ascii="宋体" w:hAnsi="宋体" w:eastAsia="宋体" w:cs="宋体"/>
          <w:bCs/>
          <w:sz w:val="24"/>
          <w:szCs w:val="24"/>
        </w:rPr>
        <w:t>13.履约保证金</w:t>
      </w:r>
      <w:bookmarkEnd w:id="655"/>
      <w:bookmarkEnd w:id="656"/>
      <w:bookmarkEnd w:id="657"/>
    </w:p>
    <w:p w14:paraId="1DB529E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13.1乙方应在合同签订后，按合同专用条款的约定提交履约保证金。</w:t>
      </w:r>
    </w:p>
    <w:p w14:paraId="3CCB799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13.2履约保证金用于补偿甲方因卖方不能履行其合同义务而蒙受的损失。</w:t>
      </w:r>
    </w:p>
    <w:p w14:paraId="09246D8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13.3履约保证金应使用本合同货币，按下述方式之一提交（谈判文件中另有约定的除外）：</w:t>
      </w:r>
    </w:p>
    <w:p w14:paraId="43BEC89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13.3.1甲方可接受的在中华人民共和国注册和营业的银行出具的履约保函； </w:t>
      </w:r>
    </w:p>
    <w:p w14:paraId="5394E43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13.3.2 应当以支票、汇票、本票或者金融机构、担保机构出具的保函等非现金形式提交。</w:t>
      </w:r>
    </w:p>
    <w:p w14:paraId="038F61A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13.4乙方未能按合同规定履行其义务，甲方有权从履约保证金中取得补偿。货物验收合格后，甲方将履约保证金退还乙方或转为质量保证金。</w:t>
      </w:r>
    </w:p>
    <w:p w14:paraId="555FF87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58" w:name="_Toc21607_WPSOffice_Level2"/>
      <w:bookmarkStart w:id="659" w:name="_Toc13321_WPSOffice_Level2"/>
      <w:bookmarkStart w:id="660" w:name="_Toc2215_WPSOffice_Level2"/>
      <w:r>
        <w:rPr>
          <w:rFonts w:hint="eastAsia" w:ascii="宋体" w:hAnsi="宋体" w:eastAsia="宋体" w:cs="宋体"/>
          <w:bCs/>
          <w:sz w:val="24"/>
          <w:szCs w:val="24"/>
        </w:rPr>
        <w:t>14.索赔</w:t>
      </w:r>
      <w:bookmarkEnd w:id="658"/>
      <w:bookmarkEnd w:id="659"/>
      <w:bookmarkEnd w:id="660"/>
    </w:p>
    <w:p w14:paraId="7B0EB80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3BAEDB4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14.2在履约保证期和检验期内，乙方对甲方提出的索赔负有责任，乙方应按照甲方同意的下列一种或多种方式解决索赔事宜：</w:t>
      </w:r>
    </w:p>
    <w:p w14:paraId="31FD5E2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14.2.1在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B04D0E6">
      <w:pPr>
        <w:widowControl w:val="0"/>
        <w:wordWrap/>
        <w:adjustRightInd w:val="0"/>
        <w:snapToGrid w:val="0"/>
        <w:spacing w:line="560" w:lineRule="exact"/>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14.2.2根据货物低劣程度、损坏程度以及甲方所遭受损失的数额，经甲乙双方商定降低货物的价格，或由有资质的中介机构评估，以降低后的价格或评估价格为准。</w:t>
      </w:r>
    </w:p>
    <w:p w14:paraId="217E567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718454C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14.3乙方收到甲方发出的索赔通知之日起5个工作日内未作答复的，甲方可从合同款或履约保证金中扣回索赔金额，如金额不足以补偿索赔金额，乙方应补足差额部分。</w:t>
      </w:r>
    </w:p>
    <w:p w14:paraId="430DD41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61" w:name="_Toc17056_WPSOffice_Level2"/>
      <w:bookmarkStart w:id="662" w:name="_Toc6747_WPSOffice_Level2"/>
      <w:bookmarkStart w:id="663" w:name="_Toc14292_WPSOffice_Level2"/>
      <w:r>
        <w:rPr>
          <w:rFonts w:hint="eastAsia" w:ascii="宋体" w:hAnsi="宋体" w:eastAsia="宋体" w:cs="宋体"/>
          <w:bCs/>
          <w:sz w:val="24"/>
          <w:szCs w:val="24"/>
        </w:rPr>
        <w:t>15.迟延交货</w:t>
      </w:r>
      <w:bookmarkEnd w:id="661"/>
      <w:bookmarkEnd w:id="662"/>
      <w:bookmarkEnd w:id="663"/>
    </w:p>
    <w:p w14:paraId="16ACA79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15.1 乙方应按照合同约定的时间交货和提供服务。</w:t>
      </w:r>
    </w:p>
    <w:p w14:paraId="01DF510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15.2 除不可抗力因素外，乙方迟延交货，甲方有权提出违约损失赔偿或解除合同。</w:t>
      </w:r>
    </w:p>
    <w:p w14:paraId="0D8D138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15.3在履行合同过程中，乙方遇到不能按时交货和提供服务的情况，应及时以书面形式将不能按时交货的理由、预期延误时间通知甲方。甲方收到乙方通知后，认为其理由正当的，可酌情延长交货时间。</w:t>
      </w:r>
    </w:p>
    <w:p w14:paraId="279E1DA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64" w:name="_Toc15350_WPSOffice_Level2"/>
      <w:bookmarkStart w:id="665" w:name="_Toc32293_WPSOffice_Level2"/>
      <w:bookmarkStart w:id="666" w:name="_Toc10642_WPSOffice_Level2"/>
      <w:r>
        <w:rPr>
          <w:rFonts w:hint="eastAsia" w:ascii="宋体" w:hAnsi="宋体" w:eastAsia="宋体" w:cs="宋体"/>
          <w:bCs/>
          <w:sz w:val="24"/>
          <w:szCs w:val="24"/>
        </w:rPr>
        <w:t>16.违约赔偿</w:t>
      </w:r>
      <w:bookmarkEnd w:id="664"/>
      <w:bookmarkEnd w:id="665"/>
      <w:bookmarkEnd w:id="666"/>
    </w:p>
    <w:p w14:paraId="084A92E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除不可抗力因素外，乙方没有按照合同规定的时间交货和提供服务，甲方可要求乙方支付违约金。违约金每日按合同总价款的千分之五计收。</w:t>
      </w:r>
    </w:p>
    <w:p w14:paraId="52065BB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67" w:name="_Toc13101_WPSOffice_Level2"/>
      <w:bookmarkStart w:id="668" w:name="_Toc32484_WPSOffice_Level2"/>
      <w:bookmarkStart w:id="669" w:name="_Toc132_WPSOffice_Level2"/>
      <w:r>
        <w:rPr>
          <w:rFonts w:hint="eastAsia" w:ascii="宋体" w:hAnsi="宋体" w:eastAsia="宋体" w:cs="宋体"/>
          <w:bCs/>
          <w:sz w:val="24"/>
          <w:szCs w:val="24"/>
        </w:rPr>
        <w:t>17.不可抗力</w:t>
      </w:r>
      <w:bookmarkEnd w:id="667"/>
      <w:bookmarkEnd w:id="668"/>
      <w:bookmarkEnd w:id="669"/>
    </w:p>
    <w:p w14:paraId="5DAD08A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17.1.双方中任何一方遭遇法律规定的不可抗力，致使合同履行受阻时，履行合同的期限应予延长，延长的期限应相当于不可抗力所影响的时间。</w:t>
      </w:r>
    </w:p>
    <w:p w14:paraId="0677BAA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17.2受事故影响的一方应在不可抗力的事故发生后以书面形式通知另一方。</w:t>
      </w:r>
    </w:p>
    <w:p w14:paraId="7DC60F2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17.3不可抗力使合同的某些内容有变更必要的， 双方应通过协商达成进一步履行合同的协议，因不可抗力致使合同不能履行的，合同终止。</w:t>
      </w:r>
    </w:p>
    <w:p w14:paraId="5D3876F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70" w:name="_Toc17666_WPSOffice_Level2"/>
      <w:bookmarkStart w:id="671" w:name="_Toc17980_WPSOffice_Level2"/>
      <w:bookmarkStart w:id="672" w:name="_Toc27502_WPSOffice_Level2"/>
      <w:r>
        <w:rPr>
          <w:rFonts w:hint="eastAsia" w:ascii="宋体" w:hAnsi="宋体" w:eastAsia="宋体" w:cs="宋体"/>
          <w:bCs/>
          <w:sz w:val="24"/>
          <w:szCs w:val="24"/>
        </w:rPr>
        <w:t>18.税费</w:t>
      </w:r>
      <w:bookmarkEnd w:id="670"/>
      <w:bookmarkEnd w:id="671"/>
      <w:bookmarkEnd w:id="672"/>
    </w:p>
    <w:p w14:paraId="125B521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与本合同有关的一切税费均由乙方承担。</w:t>
      </w:r>
    </w:p>
    <w:p w14:paraId="6AC865E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73" w:name="_Toc1449_WPSOffice_Level2"/>
      <w:bookmarkStart w:id="674" w:name="_Toc16036_WPSOffice_Level2"/>
      <w:bookmarkStart w:id="675" w:name="_Toc27070_WPSOffice_Level2"/>
      <w:r>
        <w:rPr>
          <w:rFonts w:hint="eastAsia" w:ascii="宋体" w:hAnsi="宋体" w:eastAsia="宋体" w:cs="宋体"/>
          <w:bCs/>
          <w:sz w:val="24"/>
          <w:szCs w:val="24"/>
        </w:rPr>
        <w:t>19.合同争议的解决</w:t>
      </w:r>
      <w:bookmarkEnd w:id="673"/>
      <w:bookmarkEnd w:id="674"/>
      <w:bookmarkEnd w:id="675"/>
    </w:p>
    <w:p w14:paraId="4D4B35B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19.1甲方和乙方由于本合同的履行而发生任何争议时，双方可先通过协商解决。</w:t>
      </w:r>
    </w:p>
    <w:p w14:paraId="7734616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19.2任何一方不愿通过协商或通过协商仍不能解决争议，则双方中任何一方均应向甲方所在地人民法院起诉。</w:t>
      </w:r>
    </w:p>
    <w:p w14:paraId="585A1BD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76" w:name="_Toc1645_WPSOffice_Level2"/>
      <w:bookmarkStart w:id="677" w:name="_Toc25678_WPSOffice_Level2"/>
      <w:bookmarkStart w:id="678" w:name="_Toc4114_WPSOffice_Level2"/>
      <w:r>
        <w:rPr>
          <w:rFonts w:hint="eastAsia" w:ascii="宋体" w:hAnsi="宋体" w:eastAsia="宋体" w:cs="宋体"/>
          <w:bCs/>
          <w:sz w:val="24"/>
          <w:szCs w:val="24"/>
        </w:rPr>
        <w:t>20.违约解除合同</w:t>
      </w:r>
      <w:bookmarkEnd w:id="676"/>
      <w:bookmarkEnd w:id="677"/>
      <w:bookmarkEnd w:id="678"/>
    </w:p>
    <w:p w14:paraId="5046B03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20.1出现下列情形之一的，视为乙方违约。甲方可向乙方发出书面通知，部分或全部终止合同，同时保留向乙方索赔的权利。</w:t>
      </w:r>
    </w:p>
    <w:p w14:paraId="4403AAF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20.1.1乙方未能在合同规定的限期或甲方同意延长的限期内，提供全部或部分货物的； </w:t>
      </w:r>
    </w:p>
    <w:p w14:paraId="1222B14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20.1.2乙方未能履行合同规定的其它主要义务的；</w:t>
      </w:r>
    </w:p>
    <w:p w14:paraId="57676B0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20.1.3乙方在本合同履行过程中有欺诈行为的。</w:t>
      </w:r>
    </w:p>
    <w:p w14:paraId="676F04C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7138C83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79" w:name="_Toc4171_WPSOffice_Level2"/>
      <w:bookmarkStart w:id="680" w:name="_Toc26055_WPSOffice_Level2"/>
      <w:bookmarkStart w:id="681" w:name="_Toc3174_WPSOffice_Level2"/>
      <w:r>
        <w:rPr>
          <w:rFonts w:hint="eastAsia" w:ascii="宋体" w:hAnsi="宋体" w:eastAsia="宋体" w:cs="宋体"/>
          <w:bCs/>
          <w:sz w:val="24"/>
          <w:szCs w:val="24"/>
        </w:rPr>
        <w:t>21.破产终止合同</w:t>
      </w:r>
      <w:bookmarkEnd w:id="679"/>
      <w:bookmarkEnd w:id="680"/>
      <w:bookmarkEnd w:id="681"/>
    </w:p>
    <w:p w14:paraId="1855CBD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乙方破产而无法完全履行本合同义务时，甲方可以书面方式通知乙方终止合同而不给予乙方补偿。该合同的终止将不损害或不影响甲方已经采取或将要采取任何行动或补救措施的权利。</w:t>
      </w:r>
    </w:p>
    <w:p w14:paraId="4ACE44B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82" w:name="_Toc17697_WPSOffice_Level2"/>
      <w:bookmarkStart w:id="683" w:name="_Toc6264_WPSOffice_Level2"/>
      <w:bookmarkStart w:id="684" w:name="_Toc12382_WPSOffice_Level2"/>
      <w:r>
        <w:rPr>
          <w:rFonts w:hint="eastAsia" w:ascii="宋体" w:hAnsi="宋体" w:eastAsia="宋体" w:cs="宋体"/>
          <w:bCs/>
          <w:sz w:val="24"/>
          <w:szCs w:val="24"/>
        </w:rPr>
        <w:t>22.转让和分包</w:t>
      </w:r>
      <w:bookmarkEnd w:id="682"/>
      <w:bookmarkEnd w:id="683"/>
      <w:bookmarkEnd w:id="684"/>
    </w:p>
    <w:p w14:paraId="1AA673B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22.1政府采购合同不能转让。</w:t>
      </w:r>
    </w:p>
    <w:p w14:paraId="6FA532A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0DAFB3E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85" w:name="_Toc2646_WPSOffice_Level2"/>
      <w:bookmarkStart w:id="686" w:name="_Toc30393_WPSOffice_Level2"/>
      <w:bookmarkStart w:id="687" w:name="_Toc32240_WPSOffice_Level2"/>
      <w:r>
        <w:rPr>
          <w:rFonts w:hint="eastAsia" w:ascii="宋体" w:hAnsi="宋体" w:eastAsia="宋体" w:cs="宋体"/>
          <w:bCs/>
          <w:sz w:val="24"/>
          <w:szCs w:val="24"/>
        </w:rPr>
        <w:t>23.合同修改</w:t>
      </w:r>
      <w:bookmarkEnd w:id="685"/>
      <w:bookmarkEnd w:id="686"/>
      <w:bookmarkEnd w:id="687"/>
    </w:p>
    <w:p w14:paraId="29C8DD0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甲方和乙方都不得擅自变更本合同，但合同继续履行将损害国家和社会公共利益的除外。如必须对合同条款进行改动时，当事人双方须共同签署书面文件，做为合同的补充。</w:t>
      </w:r>
    </w:p>
    <w:p w14:paraId="60B7E47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88" w:name="_Toc11324_WPSOffice_Level2"/>
      <w:bookmarkStart w:id="689" w:name="_Toc20751_WPSOffice_Level2"/>
      <w:bookmarkStart w:id="690" w:name="_Toc17115_WPSOffice_Level2"/>
      <w:r>
        <w:rPr>
          <w:rFonts w:hint="eastAsia" w:ascii="宋体" w:hAnsi="宋体" w:eastAsia="宋体" w:cs="宋体"/>
          <w:bCs/>
          <w:sz w:val="24"/>
          <w:szCs w:val="24"/>
        </w:rPr>
        <w:t>24.通知</w:t>
      </w:r>
      <w:bookmarkEnd w:id="688"/>
      <w:bookmarkEnd w:id="689"/>
      <w:bookmarkEnd w:id="690"/>
    </w:p>
    <w:p w14:paraId="3CBA2D1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本合同任何一方给另一方的通知，都应以书面形式发送，而另一方也应以书面形式确认并发送到对方明确的地址。</w:t>
      </w:r>
    </w:p>
    <w:p w14:paraId="1581311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91" w:name="_Toc11022_WPSOffice_Level2"/>
      <w:bookmarkStart w:id="692" w:name="_Toc15147_WPSOffice_Level2"/>
      <w:bookmarkStart w:id="693" w:name="_Toc11594_WPSOffice_Level2"/>
      <w:r>
        <w:rPr>
          <w:rFonts w:hint="eastAsia" w:ascii="宋体" w:hAnsi="宋体" w:eastAsia="宋体" w:cs="宋体"/>
          <w:bCs/>
          <w:sz w:val="24"/>
          <w:szCs w:val="24"/>
        </w:rPr>
        <w:t>25.计量单位</w:t>
      </w:r>
      <w:bookmarkEnd w:id="691"/>
      <w:bookmarkEnd w:id="692"/>
      <w:bookmarkEnd w:id="693"/>
    </w:p>
    <w:p w14:paraId="6233CD7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除技术规范中另有规定外，计量单位均使用国家法定计量单位。</w:t>
      </w:r>
    </w:p>
    <w:p w14:paraId="0FE012F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94" w:name="_Toc32417_WPSOffice_Level2"/>
      <w:bookmarkStart w:id="695" w:name="_Toc24346_WPSOffice_Level2"/>
      <w:bookmarkStart w:id="696" w:name="_Toc15506_WPSOffice_Level2"/>
      <w:r>
        <w:rPr>
          <w:rFonts w:hint="eastAsia" w:ascii="宋体" w:hAnsi="宋体" w:eastAsia="宋体" w:cs="宋体"/>
          <w:bCs/>
          <w:sz w:val="24"/>
          <w:szCs w:val="24"/>
        </w:rPr>
        <w:t>26.适用法律</w:t>
      </w:r>
      <w:bookmarkEnd w:id="694"/>
      <w:bookmarkEnd w:id="695"/>
      <w:bookmarkEnd w:id="696"/>
    </w:p>
    <w:p w14:paraId="16F4C5B7">
      <w:pPr>
        <w:widowControl w:val="0"/>
        <w:wordWrap/>
        <w:adjustRightInd w:val="0"/>
        <w:snapToGrid w:val="0"/>
        <w:spacing w:line="560" w:lineRule="exact"/>
        <w:ind w:firstLine="480" w:firstLineChars="200"/>
        <w:textAlignment w:val="auto"/>
        <w:outlineLvl w:val="9"/>
        <w:rPr>
          <w:rFonts w:hint="eastAsia" w:ascii="宋体" w:hAnsi="宋体" w:eastAsia="宋体" w:cs="宋体"/>
          <w:b/>
          <w:color w:val="000000"/>
          <w:sz w:val="24"/>
          <w:szCs w:val="24"/>
        </w:rPr>
      </w:pPr>
      <w:r>
        <w:rPr>
          <w:rFonts w:hint="eastAsia" w:ascii="宋体" w:hAnsi="宋体" w:eastAsia="宋体" w:cs="宋体"/>
          <w:bCs/>
          <w:sz w:val="24"/>
          <w:szCs w:val="24"/>
        </w:rPr>
        <w:t>本合同按照中华人民共和国的相关法律进行解释。</w:t>
      </w:r>
    </w:p>
    <w:sectPr>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4CE7B">
    <w:pPr>
      <w:spacing w:before="1" w:line="218" w:lineRule="auto"/>
      <w:ind w:left="3719"/>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1065C">
    <w:pPr>
      <w:pStyle w:val="12"/>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2348865</wp:posOffset>
              </wp:positionH>
              <wp:positionV relativeFrom="paragraph">
                <wp:posOffset>752475</wp:posOffset>
              </wp:positionV>
              <wp:extent cx="1828800" cy="1828800"/>
              <wp:effectExtent l="0" t="0" r="0" b="0"/>
              <wp:wrapNone/>
              <wp:docPr id="14" name="Quad Arrow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5A015D">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106</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Quad Arrow 1026" o:spid="_x0000_s1026" o:spt="202" type="#_x0000_t202" style="position:absolute;left:0pt;margin-left:184.95pt;margin-top:59.25pt;height:144pt;width:144pt;mso-position-horizontal-relative:margin;mso-wrap-style:none;z-index:251659264;mso-width-relative:page;mso-height-relative:page;" filled="f" stroked="f" coordsize="21600,21600" o:gfxdata="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uVK83XAAAACwEAAA8AAAAAAAAAAQAgAAAAIgAAAGRycy9kb3ducmV2LnhtbFBL&#10;AQIUABQAAAAIAIdO4kCxi/F3vgEAAJ4DAAAOAAAAAAAAAAEAIAAAACYBAABkcnMvZTJvRG9jLnht&#10;bFBLBQYAAAAABgAGAFkBAABWBQAAAAA=&#10;">
              <v:fill on="f" focussize="0,0"/>
              <v:stroke on="f"/>
              <v:imagedata o:title=""/>
              <o:lock v:ext="edit" aspectratio="f"/>
              <v:textbox inset="0mm,0mm,0mm,0mm" style="mso-fit-shape-to-text:t;">
                <w:txbxContent>
                  <w:p w14:paraId="565A015D">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106</w:t>
                    </w:r>
                    <w:r>
                      <w:rPr>
                        <w:rFonts w:hint="eastAsia"/>
                        <w:lang w:eastAsia="zh-CN"/>
                      </w:rPr>
                      <w:fldChar w:fldCharType="end"/>
                    </w:r>
                    <w:r>
                      <w:rPr>
                        <w:rFonts w:hint="eastAsia"/>
                        <w:lang w:eastAsia="zh-CN"/>
                      </w:rPr>
                      <w:t xml:space="preserve"> 页</w:t>
                    </w:r>
                  </w:p>
                </w:txbxContent>
              </v:textbox>
            </v:shape>
          </w:pict>
        </mc:Fallback>
      </mc:AlternateContent>
    </w:r>
    <w:r>
      <w:rPr>
        <w:rFonts w:hint="eastAsia" w:eastAsiaTheme="minorEastAsia"/>
        <w:lang w:eastAsia="zh-CN"/>
      </w:rPr>
      <w:drawing>
        <wp:inline distT="0" distB="0" distL="114300" distR="114300">
          <wp:extent cx="6116320" cy="705485"/>
          <wp:effectExtent l="0" t="0" r="17780" b="18415"/>
          <wp:docPr id="11" name="图片 1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2"/>
                  <pic:cNvPicPr>
                    <a:picLocks noChangeAspect="1"/>
                  </pic:cNvPicPr>
                </pic:nvPicPr>
                <pic:blipFill>
                  <a:blip r:embed="rId1"/>
                  <a:stretch>
                    <a:fillRect/>
                  </a:stretch>
                </pic:blipFill>
                <pic:spPr>
                  <a:xfrm>
                    <a:off x="0" y="0"/>
                    <a:ext cx="6116320" cy="705485"/>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486E8">
    <w:pPr>
      <w:pStyle w:val="13"/>
      <w:pBdr>
        <w:bottom w:val="none" w:color="auto" w:sz="0" w:space="1"/>
      </w:pBdr>
      <w:jc w:val="both"/>
    </w:pPr>
    <w:r>
      <w:rPr>
        <w:rFonts w:hint="eastAsia"/>
        <w:lang w:eastAsia="zh-CN"/>
      </w:rPr>
      <w:drawing>
        <wp:anchor distT="0" distB="0" distL="114300" distR="114300" simplePos="0" relativeHeight="251661312" behindDoc="0" locked="0" layoutInCell="1" allowOverlap="1">
          <wp:simplePos x="0" y="0"/>
          <wp:positionH relativeFrom="column">
            <wp:posOffset>-20320</wp:posOffset>
          </wp:positionH>
          <wp:positionV relativeFrom="paragraph">
            <wp:posOffset>-55245</wp:posOffset>
          </wp:positionV>
          <wp:extent cx="5572760" cy="406400"/>
          <wp:effectExtent l="0" t="0" r="8890" b="12700"/>
          <wp:wrapNone/>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
                  <a:stretch>
                    <a:fillRect/>
                  </a:stretch>
                </pic:blipFill>
                <pic:spPr>
                  <a:xfrm>
                    <a:off x="0" y="0"/>
                    <a:ext cx="5572760" cy="4064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95444"/>
    <w:multiLevelType w:val="singleLevel"/>
    <w:tmpl w:val="E3F95444"/>
    <w:lvl w:ilvl="0" w:tentative="0">
      <w:start w:val="6"/>
      <w:numFmt w:val="decimal"/>
      <w:suff w:val="nothing"/>
      <w:lvlText w:val="%1、"/>
      <w:lvlJc w:val="left"/>
    </w:lvl>
  </w:abstractNum>
  <w:abstractNum w:abstractNumId="1">
    <w:nsid w:val="29FA35BE"/>
    <w:multiLevelType w:val="singleLevel"/>
    <w:tmpl w:val="29FA35BE"/>
    <w:lvl w:ilvl="0" w:tentative="0">
      <w:start w:val="1"/>
      <w:numFmt w:val="decimal"/>
      <w:lvlText w:val="%1."/>
      <w:lvlJc w:val="left"/>
      <w:pPr>
        <w:tabs>
          <w:tab w:val="left" w:pos="312"/>
        </w:tabs>
      </w:pPr>
    </w:lvl>
  </w:abstractNum>
  <w:abstractNum w:abstractNumId="2">
    <w:nsid w:val="40063688"/>
    <w:multiLevelType w:val="singleLevel"/>
    <w:tmpl w:val="40063688"/>
    <w:lvl w:ilvl="0" w:tentative="0">
      <w:start w:val="1"/>
      <w:numFmt w:val="decimal"/>
      <w:lvlText w:val="%1."/>
      <w:lvlJc w:val="left"/>
      <w:pPr>
        <w:tabs>
          <w:tab w:val="left" w:pos="312"/>
        </w:tabs>
      </w:pPr>
    </w:lvl>
  </w:abstractNum>
  <w:abstractNum w:abstractNumId="3">
    <w:nsid w:val="738E94EF"/>
    <w:multiLevelType w:val="singleLevel"/>
    <w:tmpl w:val="738E94EF"/>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B5E16"/>
    <w:rsid w:val="00F33129"/>
    <w:rsid w:val="0160084E"/>
    <w:rsid w:val="02637B1D"/>
    <w:rsid w:val="02664A99"/>
    <w:rsid w:val="02A9297E"/>
    <w:rsid w:val="03442F30"/>
    <w:rsid w:val="03A34D06"/>
    <w:rsid w:val="03C30E24"/>
    <w:rsid w:val="04474517"/>
    <w:rsid w:val="04896BC8"/>
    <w:rsid w:val="04DE17B1"/>
    <w:rsid w:val="05210BC9"/>
    <w:rsid w:val="055D0822"/>
    <w:rsid w:val="056913B5"/>
    <w:rsid w:val="05E12013"/>
    <w:rsid w:val="05F90B67"/>
    <w:rsid w:val="05FD3580"/>
    <w:rsid w:val="0624278B"/>
    <w:rsid w:val="06BE3768"/>
    <w:rsid w:val="06F2641E"/>
    <w:rsid w:val="07867AF5"/>
    <w:rsid w:val="0891104C"/>
    <w:rsid w:val="09C340D7"/>
    <w:rsid w:val="0A536242"/>
    <w:rsid w:val="0A801DDE"/>
    <w:rsid w:val="0AED28F4"/>
    <w:rsid w:val="0B2B4C7E"/>
    <w:rsid w:val="0BB54002"/>
    <w:rsid w:val="0BF12D0A"/>
    <w:rsid w:val="0C3B7C2D"/>
    <w:rsid w:val="0C661388"/>
    <w:rsid w:val="0CA87A52"/>
    <w:rsid w:val="0D256ADD"/>
    <w:rsid w:val="0D616E1A"/>
    <w:rsid w:val="0D711167"/>
    <w:rsid w:val="0DC739FA"/>
    <w:rsid w:val="0E783BEB"/>
    <w:rsid w:val="0E874D29"/>
    <w:rsid w:val="0E930373"/>
    <w:rsid w:val="0E9E0743"/>
    <w:rsid w:val="109055EB"/>
    <w:rsid w:val="10DE48CA"/>
    <w:rsid w:val="11436EE2"/>
    <w:rsid w:val="11FB2BE7"/>
    <w:rsid w:val="12400F8A"/>
    <w:rsid w:val="1289645E"/>
    <w:rsid w:val="13D2255B"/>
    <w:rsid w:val="14526E5B"/>
    <w:rsid w:val="1532490E"/>
    <w:rsid w:val="15E94352"/>
    <w:rsid w:val="160A7634"/>
    <w:rsid w:val="16932406"/>
    <w:rsid w:val="17B514B3"/>
    <w:rsid w:val="1802614F"/>
    <w:rsid w:val="181531AE"/>
    <w:rsid w:val="185A675A"/>
    <w:rsid w:val="18C211CC"/>
    <w:rsid w:val="19227628"/>
    <w:rsid w:val="195E3AA0"/>
    <w:rsid w:val="19D84214"/>
    <w:rsid w:val="19E10B40"/>
    <w:rsid w:val="1A977682"/>
    <w:rsid w:val="1ACC3E1B"/>
    <w:rsid w:val="1AD11780"/>
    <w:rsid w:val="1ADA2FC8"/>
    <w:rsid w:val="1B662DBF"/>
    <w:rsid w:val="1C2F5B31"/>
    <w:rsid w:val="1D7542D0"/>
    <w:rsid w:val="1D9A4A78"/>
    <w:rsid w:val="1E2F4669"/>
    <w:rsid w:val="1E662D79"/>
    <w:rsid w:val="1EED3CFC"/>
    <w:rsid w:val="1EF65831"/>
    <w:rsid w:val="1F1D4355"/>
    <w:rsid w:val="20525060"/>
    <w:rsid w:val="207F0C88"/>
    <w:rsid w:val="20A867F9"/>
    <w:rsid w:val="21C422F5"/>
    <w:rsid w:val="221A3E6E"/>
    <w:rsid w:val="2272669E"/>
    <w:rsid w:val="227F4D71"/>
    <w:rsid w:val="2280389A"/>
    <w:rsid w:val="247C2A7C"/>
    <w:rsid w:val="24FD76C4"/>
    <w:rsid w:val="25A60401"/>
    <w:rsid w:val="26806F3F"/>
    <w:rsid w:val="26B0198D"/>
    <w:rsid w:val="278F5CF9"/>
    <w:rsid w:val="28773DCD"/>
    <w:rsid w:val="28ED597C"/>
    <w:rsid w:val="29907531"/>
    <w:rsid w:val="2ADE5E46"/>
    <w:rsid w:val="2B78699C"/>
    <w:rsid w:val="2C2E5CBB"/>
    <w:rsid w:val="2CC30608"/>
    <w:rsid w:val="2DB11966"/>
    <w:rsid w:val="2E59483B"/>
    <w:rsid w:val="2F173B14"/>
    <w:rsid w:val="2F7A1819"/>
    <w:rsid w:val="2F7B1CC0"/>
    <w:rsid w:val="2FD74D0A"/>
    <w:rsid w:val="30B46ED7"/>
    <w:rsid w:val="30D84A6D"/>
    <w:rsid w:val="31CD6FAF"/>
    <w:rsid w:val="33184815"/>
    <w:rsid w:val="33D452EB"/>
    <w:rsid w:val="34184F37"/>
    <w:rsid w:val="342873FA"/>
    <w:rsid w:val="348875DC"/>
    <w:rsid w:val="35061DD1"/>
    <w:rsid w:val="356B65D3"/>
    <w:rsid w:val="381009F4"/>
    <w:rsid w:val="38177AC2"/>
    <w:rsid w:val="38330237"/>
    <w:rsid w:val="38EA6D26"/>
    <w:rsid w:val="39437236"/>
    <w:rsid w:val="39E61C93"/>
    <w:rsid w:val="3AD61226"/>
    <w:rsid w:val="3AF96301"/>
    <w:rsid w:val="3B5D27A3"/>
    <w:rsid w:val="3C0E6A8C"/>
    <w:rsid w:val="3CDA061D"/>
    <w:rsid w:val="3CF55C33"/>
    <w:rsid w:val="3D4C7081"/>
    <w:rsid w:val="3D9F3525"/>
    <w:rsid w:val="3DCC1178"/>
    <w:rsid w:val="3E004C98"/>
    <w:rsid w:val="3E3B0987"/>
    <w:rsid w:val="3E6F1C2A"/>
    <w:rsid w:val="3F000963"/>
    <w:rsid w:val="3FCC1BB2"/>
    <w:rsid w:val="3FFA1B0C"/>
    <w:rsid w:val="40B97554"/>
    <w:rsid w:val="43803F8D"/>
    <w:rsid w:val="44107D9B"/>
    <w:rsid w:val="45B91A65"/>
    <w:rsid w:val="45CE5FE2"/>
    <w:rsid w:val="45EE208A"/>
    <w:rsid w:val="460515BC"/>
    <w:rsid w:val="46062E4A"/>
    <w:rsid w:val="4629162F"/>
    <w:rsid w:val="47176167"/>
    <w:rsid w:val="47C462E6"/>
    <w:rsid w:val="47CF0B1D"/>
    <w:rsid w:val="47E23378"/>
    <w:rsid w:val="481802EA"/>
    <w:rsid w:val="4AAE12AF"/>
    <w:rsid w:val="4AB45070"/>
    <w:rsid w:val="4AD87F7A"/>
    <w:rsid w:val="4B9F2679"/>
    <w:rsid w:val="4C8D39F2"/>
    <w:rsid w:val="4CB10ACF"/>
    <w:rsid w:val="4CC01E86"/>
    <w:rsid w:val="4CD3324F"/>
    <w:rsid w:val="4D2B7562"/>
    <w:rsid w:val="4D7E765F"/>
    <w:rsid w:val="4DDB03B5"/>
    <w:rsid w:val="4DED4A76"/>
    <w:rsid w:val="4E3874C1"/>
    <w:rsid w:val="4ED72EBD"/>
    <w:rsid w:val="4EE202E0"/>
    <w:rsid w:val="4F5C1D7A"/>
    <w:rsid w:val="4F8844E7"/>
    <w:rsid w:val="51271052"/>
    <w:rsid w:val="514574AA"/>
    <w:rsid w:val="5176769E"/>
    <w:rsid w:val="519017FF"/>
    <w:rsid w:val="519B0CB0"/>
    <w:rsid w:val="51B22AB2"/>
    <w:rsid w:val="51FE73D1"/>
    <w:rsid w:val="52B20ED2"/>
    <w:rsid w:val="530818E7"/>
    <w:rsid w:val="53534733"/>
    <w:rsid w:val="535B4140"/>
    <w:rsid w:val="53B41740"/>
    <w:rsid w:val="53E9079A"/>
    <w:rsid w:val="54AB36A4"/>
    <w:rsid w:val="5571016F"/>
    <w:rsid w:val="557F61CB"/>
    <w:rsid w:val="55B04C26"/>
    <w:rsid w:val="55F51E57"/>
    <w:rsid w:val="56577146"/>
    <w:rsid w:val="57F27B11"/>
    <w:rsid w:val="58016F6B"/>
    <w:rsid w:val="587D00AE"/>
    <w:rsid w:val="59361F1D"/>
    <w:rsid w:val="5AA26202"/>
    <w:rsid w:val="5AEF00AC"/>
    <w:rsid w:val="5BFA2163"/>
    <w:rsid w:val="5CC84CFD"/>
    <w:rsid w:val="5CF918E1"/>
    <w:rsid w:val="5D4A3A21"/>
    <w:rsid w:val="5D6408DE"/>
    <w:rsid w:val="5E2A2E4B"/>
    <w:rsid w:val="5E814705"/>
    <w:rsid w:val="5E91111E"/>
    <w:rsid w:val="5F8038FF"/>
    <w:rsid w:val="60A7051F"/>
    <w:rsid w:val="60AE2DC5"/>
    <w:rsid w:val="60F25329"/>
    <w:rsid w:val="633A772C"/>
    <w:rsid w:val="661E127D"/>
    <w:rsid w:val="6628294C"/>
    <w:rsid w:val="6658601C"/>
    <w:rsid w:val="666E6D57"/>
    <w:rsid w:val="668619D9"/>
    <w:rsid w:val="668C6B1C"/>
    <w:rsid w:val="67466E44"/>
    <w:rsid w:val="68850143"/>
    <w:rsid w:val="6A730B80"/>
    <w:rsid w:val="6AC11213"/>
    <w:rsid w:val="6BB6488D"/>
    <w:rsid w:val="6BC0391C"/>
    <w:rsid w:val="6CB51DAA"/>
    <w:rsid w:val="6D1F5F82"/>
    <w:rsid w:val="6D2A5CB5"/>
    <w:rsid w:val="6D484EC2"/>
    <w:rsid w:val="6E672B2B"/>
    <w:rsid w:val="6F443BEB"/>
    <w:rsid w:val="6F7922B4"/>
    <w:rsid w:val="6FB824BF"/>
    <w:rsid w:val="70D70CB1"/>
    <w:rsid w:val="71353E58"/>
    <w:rsid w:val="7172030E"/>
    <w:rsid w:val="71E64DF1"/>
    <w:rsid w:val="7202096F"/>
    <w:rsid w:val="72F0558E"/>
    <w:rsid w:val="73972F2B"/>
    <w:rsid w:val="744373B3"/>
    <w:rsid w:val="75053FA4"/>
    <w:rsid w:val="756E2EA7"/>
    <w:rsid w:val="757F7E3A"/>
    <w:rsid w:val="75BE3D92"/>
    <w:rsid w:val="762322A2"/>
    <w:rsid w:val="76275612"/>
    <w:rsid w:val="76283D5C"/>
    <w:rsid w:val="76473B85"/>
    <w:rsid w:val="76FE6E62"/>
    <w:rsid w:val="77220741"/>
    <w:rsid w:val="77864563"/>
    <w:rsid w:val="78564BB1"/>
    <w:rsid w:val="785724B6"/>
    <w:rsid w:val="789F6743"/>
    <w:rsid w:val="79465555"/>
    <w:rsid w:val="7BD65BBA"/>
    <w:rsid w:val="7C355CCF"/>
    <w:rsid w:val="7CE5560B"/>
    <w:rsid w:val="7D9B5E16"/>
    <w:rsid w:val="7E143686"/>
    <w:rsid w:val="7E5A55AC"/>
    <w:rsid w:val="7E7F7D0E"/>
    <w:rsid w:val="7EE34433"/>
    <w:rsid w:val="7EE73E3D"/>
    <w:rsid w:val="7FBC7F56"/>
    <w:rsid w:val="7FC00A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rPr>
      <w:rFonts w:ascii="Times New Roman" w:hAnsi="Times New Roman"/>
      <w:sz w:val="28"/>
      <w:szCs w:val="20"/>
    </w:rPr>
  </w:style>
  <w:style w:type="paragraph" w:styleId="7">
    <w:name w:val="annotation text"/>
    <w:basedOn w:val="1"/>
    <w:qFormat/>
    <w:uiPriority w:val="0"/>
    <w:pPr>
      <w:jc w:val="left"/>
    </w:pPr>
  </w:style>
  <w:style w:type="paragraph" w:styleId="8">
    <w:name w:val="Body Text"/>
    <w:basedOn w:val="1"/>
    <w:next w:val="1"/>
    <w:qFormat/>
    <w:uiPriority w:val="0"/>
    <w:pPr>
      <w:spacing w:after="120"/>
    </w:pPr>
    <w:rPr>
      <w:kern w:val="0"/>
      <w:sz w:val="20"/>
    </w:rPr>
  </w:style>
  <w:style w:type="paragraph" w:styleId="9">
    <w:name w:val="Body Text Indent"/>
    <w:basedOn w:val="1"/>
    <w:next w:val="1"/>
    <w:qFormat/>
    <w:uiPriority w:val="0"/>
    <w:pPr>
      <w:tabs>
        <w:tab w:val="left" w:pos="2160"/>
      </w:tabs>
      <w:ind w:left="2159" w:leftChars="1028" w:firstLine="1"/>
    </w:pPr>
    <w:rPr>
      <w:rFonts w:ascii="宋体" w:hAnsi="宋体"/>
      <w:kern w:val="0"/>
      <w:sz w:val="20"/>
      <w:szCs w:val="21"/>
    </w:rPr>
  </w:style>
  <w:style w:type="paragraph" w:styleId="10">
    <w:name w:val="toc 3"/>
    <w:basedOn w:val="1"/>
    <w:next w:val="1"/>
    <w:qFormat/>
    <w:uiPriority w:val="0"/>
    <w:pPr>
      <w:ind w:left="840" w:leftChars="400"/>
    </w:pPr>
  </w:style>
  <w:style w:type="paragraph" w:styleId="11">
    <w:name w:val="Plain Text"/>
    <w:basedOn w:val="1"/>
    <w:next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rPr>
  </w:style>
  <w:style w:type="paragraph" w:styleId="17">
    <w:name w:val="Title"/>
    <w:basedOn w:val="1"/>
    <w:next w:val="1"/>
    <w:qFormat/>
    <w:uiPriority w:val="0"/>
    <w:pPr>
      <w:spacing w:before="240" w:after="60"/>
      <w:jc w:val="center"/>
      <w:outlineLvl w:val="0"/>
    </w:pPr>
    <w:rPr>
      <w:rFonts w:ascii="Cambria" w:hAnsi="Cambria"/>
      <w:b/>
      <w:bCs/>
      <w:sz w:val="36"/>
      <w:szCs w:val="32"/>
    </w:rPr>
  </w:style>
  <w:style w:type="paragraph" w:styleId="18">
    <w:name w:val="Body Text First Indent"/>
    <w:basedOn w:val="8"/>
    <w:next w:val="1"/>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FollowedHyperlink"/>
    <w:basedOn w:val="21"/>
    <w:qFormat/>
    <w:uiPriority w:val="0"/>
    <w:rPr>
      <w:rFonts w:hint="eastAsia" w:ascii="微软雅黑" w:hAnsi="微软雅黑" w:eastAsia="微软雅黑" w:cs="微软雅黑"/>
      <w:color w:val="02396F"/>
      <w:u w:val="single"/>
    </w:rPr>
  </w:style>
  <w:style w:type="character" w:styleId="25">
    <w:name w:val="Hyperlink"/>
    <w:basedOn w:val="21"/>
    <w:qFormat/>
    <w:uiPriority w:val="0"/>
    <w:rPr>
      <w:rFonts w:ascii="微软雅黑" w:hAnsi="微软雅黑" w:eastAsia="微软雅黑" w:cs="微软雅黑"/>
      <w:color w:val="02396F"/>
      <w:u w:val="single"/>
    </w:rPr>
  </w:style>
  <w:style w:type="paragraph" w:customStyle="1" w:styleId="26">
    <w:name w:val="trs_edito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28">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29">
    <w:name w:val="p0"/>
    <w:basedOn w:val="1"/>
    <w:qFormat/>
    <w:uiPriority w:val="0"/>
    <w:pPr>
      <w:widowControl/>
    </w:pPr>
    <w:rPr>
      <w:kern w:val="0"/>
      <w:szCs w:val="21"/>
    </w:rPr>
  </w:style>
  <w:style w:type="paragraph" w:customStyle="1" w:styleId="30">
    <w:name w:val="文章正文"/>
    <w:basedOn w:val="1"/>
    <w:qFormat/>
    <w:uiPriority w:val="0"/>
    <w:pPr>
      <w:adjustRightInd w:val="0"/>
      <w:snapToGrid w:val="0"/>
      <w:spacing w:beforeLines="100" w:line="360" w:lineRule="auto"/>
      <w:ind w:firstLine="200" w:firstLineChars="200"/>
    </w:pPr>
    <w:rPr>
      <w:sz w:val="24"/>
      <w:szCs w:val="22"/>
    </w:rPr>
  </w:style>
  <w:style w:type="paragraph" w:customStyle="1" w:styleId="31">
    <w:name w:val="WPSOffice手动目录 2"/>
    <w:qFormat/>
    <w:uiPriority w:val="0"/>
    <w:pPr>
      <w:ind w:leftChars="200"/>
    </w:pPr>
    <w:rPr>
      <w:rFonts w:ascii="Times New Roman" w:hAnsi="Times New Roman" w:eastAsia="宋体" w:cs="Times New Roman"/>
      <w:sz w:val="20"/>
      <w:szCs w:val="20"/>
      <w:lang w:val="en-US" w:eastAsia="zh-CN" w:bidi="ar-SA"/>
    </w:rPr>
  </w:style>
  <w:style w:type="paragraph" w:customStyle="1" w:styleId="32">
    <w:name w:val="WPSOffice手动目录 3"/>
    <w:qFormat/>
    <w:uiPriority w:val="0"/>
    <w:pPr>
      <w:ind w:leftChars="400"/>
    </w:pPr>
    <w:rPr>
      <w:rFonts w:ascii="Times New Roman" w:hAnsi="Times New Roman" w:eastAsia="宋体" w:cs="Times New Roman"/>
      <w:sz w:val="20"/>
      <w:szCs w:val="20"/>
      <w:lang w:val="en-US" w:eastAsia="zh-CN" w:bidi="ar-SA"/>
    </w:rPr>
  </w:style>
  <w:style w:type="character" w:customStyle="1" w:styleId="33">
    <w:name w:val="gjfg"/>
    <w:basedOn w:val="21"/>
    <w:qFormat/>
    <w:uiPriority w:val="0"/>
  </w:style>
  <w:style w:type="character" w:customStyle="1" w:styleId="34">
    <w:name w:val="displayarti"/>
    <w:basedOn w:val="21"/>
    <w:qFormat/>
    <w:uiPriority w:val="0"/>
    <w:rPr>
      <w:color w:val="FFFFFF"/>
      <w:shd w:val="clear" w:color="010000" w:fill="A00000"/>
    </w:rPr>
  </w:style>
  <w:style w:type="character" w:customStyle="1" w:styleId="35">
    <w:name w:val="redfilefwwh"/>
    <w:basedOn w:val="21"/>
    <w:qFormat/>
    <w:uiPriority w:val="0"/>
    <w:rPr>
      <w:color w:val="BA2636"/>
      <w:sz w:val="14"/>
      <w:szCs w:val="14"/>
    </w:rPr>
  </w:style>
  <w:style w:type="character" w:customStyle="1" w:styleId="36">
    <w:name w:val="redfilenumber"/>
    <w:basedOn w:val="21"/>
    <w:qFormat/>
    <w:uiPriority w:val="0"/>
    <w:rPr>
      <w:color w:val="BA2636"/>
      <w:sz w:val="14"/>
      <w:szCs w:val="14"/>
    </w:rPr>
  </w:style>
  <w:style w:type="character" w:customStyle="1" w:styleId="37">
    <w:name w:val="qxdate"/>
    <w:basedOn w:val="21"/>
    <w:qFormat/>
    <w:uiPriority w:val="0"/>
    <w:rPr>
      <w:color w:val="333333"/>
      <w:sz w:val="14"/>
      <w:szCs w:val="14"/>
    </w:rPr>
  </w:style>
  <w:style w:type="character" w:customStyle="1" w:styleId="38">
    <w:name w:val="cfdate"/>
    <w:basedOn w:val="21"/>
    <w:qFormat/>
    <w:uiPriority w:val="0"/>
    <w:rPr>
      <w:color w:val="333333"/>
      <w:sz w:val="14"/>
      <w:szCs w:val="14"/>
    </w:rPr>
  </w:style>
  <w:style w:type="character" w:customStyle="1" w:styleId="39">
    <w:name w:val="标题 1 Char"/>
    <w:link w:val="2"/>
    <w:qFormat/>
    <w:uiPriority w:val="0"/>
    <w:rPr>
      <w:b/>
      <w:bCs/>
      <w:sz w:val="24"/>
      <w:szCs w:val="20"/>
    </w:rPr>
  </w:style>
  <w:style w:type="character" w:customStyle="1" w:styleId="40">
    <w:name w:val="标题 3 Char"/>
    <w:link w:val="4"/>
    <w:qFormat/>
    <w:uiPriority w:val="0"/>
    <w:rPr>
      <w:b/>
      <w:bCs/>
      <w:sz w:val="32"/>
      <w:szCs w:val="32"/>
    </w:rPr>
  </w:style>
  <w:style w:type="paragraph" w:customStyle="1" w:styleId="41">
    <w:name w:val="Table Text"/>
    <w:basedOn w:val="1"/>
    <w:semiHidden/>
    <w:qFormat/>
    <w:uiPriority w:val="0"/>
    <w:rPr>
      <w:rFonts w:ascii="宋体" w:hAnsi="宋体" w:eastAsia="宋体" w:cs="宋体"/>
      <w:sz w:val="24"/>
      <w:szCs w:val="24"/>
      <w:lang w:val="en-US" w:eastAsia="en-US" w:bidi="ar-SA"/>
    </w:rPr>
  </w:style>
  <w:style w:type="table" w:customStyle="1" w:styleId="42">
    <w:name w:val="Table Normal"/>
    <w:semiHidden/>
    <w:unhideWhenUsed/>
    <w:qFormat/>
    <w:uiPriority w:val="0"/>
    <w:tblPr>
      <w:tblCellMar>
        <w:top w:w="0" w:type="dxa"/>
        <w:left w:w="0" w:type="dxa"/>
        <w:bottom w:w="0" w:type="dxa"/>
        <w:right w:w="0" w:type="dxa"/>
      </w:tblCellMar>
    </w:tblPr>
  </w:style>
  <w:style w:type="character" w:customStyle="1" w:styleId="43">
    <w:name w:val="font41"/>
    <w:basedOn w:val="21"/>
    <w:qFormat/>
    <w:uiPriority w:val="0"/>
    <w:rPr>
      <w:rFonts w:hint="eastAsia" w:ascii="宋体" w:hAnsi="宋体" w:eastAsia="宋体" w:cs="宋体"/>
      <w:color w:val="000000"/>
      <w:sz w:val="22"/>
      <w:szCs w:val="22"/>
      <w:u w:val="none"/>
    </w:rPr>
  </w:style>
  <w:style w:type="character" w:customStyle="1" w:styleId="44">
    <w:name w:val="font71"/>
    <w:basedOn w:val="21"/>
    <w:qFormat/>
    <w:uiPriority w:val="0"/>
    <w:rPr>
      <w:rFonts w:hint="eastAsia" w:ascii="宋体" w:hAnsi="宋体" w:eastAsia="宋体" w:cs="宋体"/>
      <w:color w:val="333333"/>
      <w:sz w:val="22"/>
      <w:szCs w:val="22"/>
      <w:u w:val="none"/>
    </w:rPr>
  </w:style>
  <w:style w:type="character" w:customStyle="1" w:styleId="45">
    <w:name w:val="font112"/>
    <w:basedOn w:val="21"/>
    <w:qFormat/>
    <w:uiPriority w:val="0"/>
    <w:rPr>
      <w:rFonts w:hint="default" w:ascii="Times New Roman" w:hAnsi="Times New Roman" w:cs="Times New Roman"/>
      <w:color w:val="000000"/>
      <w:sz w:val="22"/>
      <w:szCs w:val="22"/>
      <w:u w:val="none"/>
    </w:rPr>
  </w:style>
  <w:style w:type="character" w:customStyle="1" w:styleId="46">
    <w:name w:val="font11"/>
    <w:basedOn w:val="21"/>
    <w:qFormat/>
    <w:uiPriority w:val="0"/>
    <w:rPr>
      <w:rFonts w:hint="eastAsia" w:ascii="宋体" w:hAnsi="宋体" w:eastAsia="宋体" w:cs="宋体"/>
      <w:color w:val="000000"/>
      <w:sz w:val="22"/>
      <w:szCs w:val="22"/>
      <w:u w:val="none"/>
    </w:rPr>
  </w:style>
  <w:style w:type="character" w:customStyle="1" w:styleId="47">
    <w:name w:val="font31"/>
    <w:basedOn w:val="21"/>
    <w:qFormat/>
    <w:uiPriority w:val="0"/>
    <w:rPr>
      <w:rFonts w:hint="default" w:ascii="Times New Roman" w:hAnsi="Times New Roman" w:cs="Times New Roman"/>
      <w:color w:val="000000"/>
      <w:sz w:val="22"/>
      <w:szCs w:val="22"/>
      <w:u w:val="none"/>
    </w:rPr>
  </w:style>
  <w:style w:type="character" w:customStyle="1" w:styleId="48">
    <w:name w:val="font5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12351</Words>
  <Characters>13196</Characters>
  <Lines>0</Lines>
  <Paragraphs>0</Paragraphs>
  <TotalTime>16</TotalTime>
  <ScaleCrop>false</ScaleCrop>
  <LinksUpToDate>false</LinksUpToDate>
  <CharactersWithSpaces>13447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2020-04-01T00:51:00Z</dcterms:created>
  <dc:creator>Administrator</dc:creator>
  <cp:lastModifiedBy>Administrator</cp:lastModifiedBy>
  <cp:lastPrinted>2020-12-30T07:36:00Z</cp:lastPrinted>
  <dcterms:modified xsi:type="dcterms:W3CDTF">2026-04-30T06:58:52Z</dcterms:modified>
  <dc:title>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eyJoZGlkIjoiN2M1M2NmZmIyYTM2NTBmYjQ1YTc3YjUxZmU5YjM1YTciLCJ1c2VySWQiOiIyOTczNzcxNDUifQ==</vt:lpwstr>
  </property>
  <property fmtid="{D5CDD505-2E9C-101B-9397-08002B2CF9AE}" pid="4" name="ICV">
    <vt:lpwstr>D408690A964649BEB31867EE45E0893D_13</vt:lpwstr>
  </property>
</Properties>
</file>