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58D98">
      <w:pPr>
        <w:spacing w:line="760" w:lineRule="exact"/>
        <w:jc w:val="center"/>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z w:val="40"/>
          <w:szCs w:val="40"/>
          <w:highlight w:val="none"/>
          <w:lang w:eastAsia="zh-CN"/>
        </w:rPr>
        <w:t>2026年试剂耗材采购项目</w:t>
      </w:r>
      <w:r>
        <w:rPr>
          <w:rFonts w:hint="eastAsia" w:ascii="仿宋" w:hAnsi="仿宋" w:eastAsia="仿宋" w:cs="仿宋"/>
          <w:b/>
          <w:bCs/>
          <w:color w:val="auto"/>
          <w:sz w:val="40"/>
          <w:szCs w:val="40"/>
          <w:highlight w:val="none"/>
          <w:lang w:val="en-US" w:eastAsia="zh-CN"/>
        </w:rPr>
        <w:t>（二次）</w:t>
      </w:r>
    </w:p>
    <w:p w14:paraId="2EAB18DC">
      <w:pPr>
        <w:spacing w:line="760" w:lineRule="exact"/>
        <w:jc w:val="center"/>
        <w:rPr>
          <w:rFonts w:hint="default"/>
          <w:color w:val="auto"/>
          <w:highlight w:val="none"/>
          <w:lang w:val="en-US"/>
        </w:rPr>
      </w:pPr>
      <w:r>
        <w:rPr>
          <w:rFonts w:hint="eastAsia" w:ascii="仿宋" w:hAnsi="仿宋" w:eastAsia="仿宋" w:cs="仿宋"/>
          <w:b/>
          <w:bCs/>
          <w:color w:val="auto"/>
          <w:sz w:val="40"/>
          <w:szCs w:val="40"/>
          <w:highlight w:val="none"/>
          <w:lang w:eastAsia="zh-CN"/>
        </w:rPr>
        <w:t>项目编号：KZZB-20</w:t>
      </w:r>
      <w:r>
        <w:rPr>
          <w:rFonts w:hint="eastAsia" w:ascii="仿宋" w:hAnsi="仿宋" w:eastAsia="仿宋" w:cs="仿宋"/>
          <w:b/>
          <w:bCs/>
          <w:color w:val="auto"/>
          <w:sz w:val="40"/>
          <w:szCs w:val="40"/>
          <w:highlight w:val="none"/>
          <w:lang w:val="en-US" w:eastAsia="zh-CN"/>
        </w:rPr>
        <w:t>26035-1</w:t>
      </w:r>
    </w:p>
    <w:p w14:paraId="13A7D367">
      <w:pPr>
        <w:pStyle w:val="34"/>
        <w:rPr>
          <w:rFonts w:ascii="仿宋" w:hAnsi="仿宋" w:eastAsia="仿宋" w:cs="仿宋"/>
          <w:color w:val="auto"/>
          <w:highlight w:val="none"/>
        </w:rPr>
      </w:pPr>
    </w:p>
    <w:p w14:paraId="2F3CAA6D">
      <w:pPr>
        <w:pStyle w:val="34"/>
        <w:jc w:val="center"/>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drawing>
          <wp:anchor distT="0" distB="0" distL="114300" distR="114300" simplePos="0" relativeHeight="251664384" behindDoc="1" locked="0" layoutInCell="1" allowOverlap="1">
            <wp:simplePos x="0" y="0"/>
            <wp:positionH relativeFrom="column">
              <wp:posOffset>1573530</wp:posOffset>
            </wp:positionH>
            <wp:positionV relativeFrom="page">
              <wp:posOffset>2964180</wp:posOffset>
            </wp:positionV>
            <wp:extent cx="2440940" cy="2383155"/>
            <wp:effectExtent l="0" t="0" r="16510" b="1714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2" cstate="print"/>
                    <a:stretch>
                      <a:fillRect/>
                    </a:stretch>
                  </pic:blipFill>
                  <pic:spPr>
                    <a:xfrm>
                      <a:off x="0" y="0"/>
                      <a:ext cx="2440940" cy="2383155"/>
                    </a:xfrm>
                    <a:prstGeom prst="rect">
                      <a:avLst/>
                    </a:prstGeom>
                    <a:noFill/>
                    <a:ln>
                      <a:noFill/>
                    </a:ln>
                  </pic:spPr>
                </pic:pic>
              </a:graphicData>
            </a:graphic>
          </wp:anchor>
        </w:drawing>
      </w:r>
      <w:r>
        <w:rPr>
          <w:rFonts w:hint="eastAsia" w:ascii="仿宋" w:hAnsi="仿宋" w:eastAsia="仿宋" w:cs="仿宋"/>
          <w:b/>
          <w:color w:val="auto"/>
          <w:sz w:val="96"/>
          <w:szCs w:val="96"/>
          <w:highlight w:val="none"/>
        </w:rPr>
        <w:t>招</w:t>
      </w:r>
    </w:p>
    <w:p w14:paraId="1C33D9CC">
      <w:pPr>
        <w:pStyle w:val="34"/>
        <w:jc w:val="center"/>
        <w:rPr>
          <w:rFonts w:ascii="仿宋" w:hAnsi="仿宋" w:eastAsia="仿宋" w:cs="仿宋"/>
          <w:b/>
          <w:bCs/>
          <w:color w:val="auto"/>
          <w:sz w:val="96"/>
          <w:szCs w:val="96"/>
          <w:highlight w:val="none"/>
        </w:rPr>
      </w:pPr>
      <w:r>
        <w:rPr>
          <w:rFonts w:hint="eastAsia" w:ascii="仿宋" w:hAnsi="仿宋" w:eastAsia="仿宋" w:cs="仿宋"/>
          <w:b/>
          <w:color w:val="auto"/>
          <w:sz w:val="96"/>
          <w:szCs w:val="96"/>
          <w:highlight w:val="none"/>
        </w:rPr>
        <w:t>标</w:t>
      </w:r>
    </w:p>
    <w:p w14:paraId="5E27A867">
      <w:pPr>
        <w:pStyle w:val="34"/>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6304C22">
      <w:pPr>
        <w:pStyle w:val="34"/>
        <w:jc w:val="center"/>
        <w:rPr>
          <w:rFonts w:ascii="仿宋" w:hAnsi="仿宋" w:eastAsia="仿宋" w:cs="仿宋"/>
          <w:color w:val="auto"/>
          <w:sz w:val="84"/>
          <w:szCs w:val="84"/>
          <w:highlight w:val="none"/>
        </w:rPr>
      </w:pPr>
      <w:r>
        <w:rPr>
          <w:rFonts w:hint="eastAsia" w:ascii="仿宋" w:hAnsi="仿宋" w:eastAsia="仿宋" w:cs="仿宋"/>
          <w:b/>
          <w:bCs/>
          <w:color w:val="auto"/>
          <w:sz w:val="96"/>
          <w:szCs w:val="96"/>
          <w:highlight w:val="none"/>
        </w:rPr>
        <w:t>件</w:t>
      </w:r>
    </w:p>
    <w:p w14:paraId="5194B097">
      <w:pPr>
        <w:pStyle w:val="34"/>
        <w:rPr>
          <w:rFonts w:ascii="仿宋" w:hAnsi="仿宋" w:eastAsia="仿宋" w:cs="仿宋"/>
          <w:color w:val="auto"/>
          <w:highlight w:val="none"/>
        </w:rPr>
      </w:pPr>
    </w:p>
    <w:p w14:paraId="25ACB7C2">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采购单位：克孜勒苏柯尔克孜自治州维吾尔医医院</w:t>
      </w:r>
    </w:p>
    <w:p w14:paraId="0B19E2A1">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联 系 人：田先生</w:t>
      </w:r>
    </w:p>
    <w:p w14:paraId="626AAED2">
      <w:pPr>
        <w:spacing w:line="70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联系电话：</w:t>
      </w:r>
      <w:r>
        <w:rPr>
          <w:rFonts w:hint="eastAsia" w:ascii="仿宋" w:hAnsi="仿宋" w:eastAsia="仿宋" w:cs="仿宋"/>
          <w:color w:val="auto"/>
          <w:sz w:val="32"/>
          <w:szCs w:val="32"/>
          <w:highlight w:val="none"/>
          <w:lang w:val="en-US" w:eastAsia="zh-CN"/>
        </w:rPr>
        <w:t>19609089080</w:t>
      </w:r>
    </w:p>
    <w:p w14:paraId="68F45D7C">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p>
    <w:p w14:paraId="05ACDE0E">
      <w:pPr>
        <w:spacing w:line="700" w:lineRule="exact"/>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联 系 人：朱先生</w:t>
      </w:r>
    </w:p>
    <w:p w14:paraId="6CD5E529">
      <w:pPr>
        <w:spacing w:line="700" w:lineRule="exact"/>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eastAsia="zh-CN"/>
        </w:rPr>
        <w:t>联系电话:</w:t>
      </w:r>
      <w:r>
        <w:rPr>
          <w:rFonts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18609088999</w:t>
      </w:r>
    </w:p>
    <w:p w14:paraId="6EEC5EA5">
      <w:pPr>
        <w:pStyle w:val="38"/>
        <w:rPr>
          <w:rFonts w:ascii="仿宋" w:hAnsi="仿宋" w:eastAsia="仿宋" w:cs="仿宋"/>
          <w:b/>
          <w:color w:val="auto"/>
          <w:sz w:val="36"/>
          <w:szCs w:val="36"/>
          <w:highlight w:val="none"/>
          <w:lang w:eastAsia="zh-CN"/>
        </w:rPr>
      </w:pPr>
    </w:p>
    <w:p w14:paraId="45531EDB">
      <w:pPr>
        <w:jc w:val="center"/>
        <w:rPr>
          <w:rFonts w:hint="eastAsia" w:ascii="仿宋" w:hAnsi="仿宋" w:eastAsia="仿宋" w:cs="仿宋"/>
          <w:b/>
          <w:color w:val="auto"/>
          <w:sz w:val="36"/>
          <w:szCs w:val="36"/>
          <w:highlight w:val="none"/>
          <w:lang w:eastAsia="zh-CN"/>
        </w:rPr>
      </w:pPr>
    </w:p>
    <w:p w14:paraId="427ED731">
      <w:pPr>
        <w:jc w:val="center"/>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招投标监督管理机构备案登记栏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02C6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14:paraId="3EA38B2B">
            <w:pPr>
              <w:spacing w:line="500" w:lineRule="exact"/>
              <w:jc w:val="both"/>
              <w:rPr>
                <w:rFonts w:ascii="仿宋" w:hAnsi="仿宋" w:eastAsia="仿宋" w:cs="仿宋"/>
                <w:color w:val="auto"/>
                <w:highlight w:val="none"/>
                <w:lang w:eastAsia="zh-CN"/>
              </w:rPr>
            </w:pPr>
          </w:p>
          <w:p w14:paraId="09163934">
            <w:pPr>
              <w:spacing w:line="500" w:lineRule="exact"/>
              <w:jc w:val="both"/>
              <w:rPr>
                <w:rFonts w:ascii="仿宋" w:hAnsi="仿宋" w:eastAsia="仿宋" w:cs="仿宋"/>
                <w:color w:val="auto"/>
                <w:sz w:val="32"/>
                <w:szCs w:val="32"/>
                <w:highlight w:val="none"/>
                <w:lang w:eastAsia="zh-CN"/>
              </w:rPr>
            </w:pPr>
          </w:p>
          <w:p w14:paraId="03EC7E55">
            <w:pPr>
              <w:spacing w:line="500" w:lineRule="exact"/>
              <w:jc w:val="both"/>
              <w:rPr>
                <w:rFonts w:ascii="仿宋" w:hAnsi="仿宋" w:eastAsia="仿宋" w:cs="仿宋"/>
                <w:color w:val="auto"/>
                <w:sz w:val="32"/>
                <w:szCs w:val="32"/>
                <w:highlight w:val="none"/>
                <w:lang w:eastAsia="zh-CN"/>
              </w:rPr>
            </w:pPr>
          </w:p>
          <w:p w14:paraId="7E9D2446">
            <w:pPr>
              <w:spacing w:line="500" w:lineRule="exact"/>
              <w:jc w:val="both"/>
              <w:rPr>
                <w:rFonts w:ascii="仿宋" w:hAnsi="仿宋" w:eastAsia="仿宋" w:cs="仿宋"/>
                <w:color w:val="auto"/>
                <w:w w:val="95"/>
                <w:sz w:val="32"/>
                <w:szCs w:val="32"/>
                <w:highlight w:val="none"/>
                <w:lang w:eastAsia="zh-CN"/>
              </w:rPr>
            </w:pPr>
            <w:r>
              <w:rPr>
                <w:rFonts w:hint="eastAsia" w:ascii="仿宋" w:hAnsi="仿宋" w:eastAsia="仿宋" w:cs="仿宋"/>
                <w:color w:val="auto"/>
                <w:sz w:val="32"/>
                <w:szCs w:val="32"/>
                <w:highlight w:val="none"/>
                <w:lang w:eastAsia="zh-CN"/>
              </w:rPr>
              <w:t>采购单位：克孜勒苏柯尔克孜自治州维吾尔医医院</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w w:val="95"/>
                <w:sz w:val="32"/>
                <w:szCs w:val="32"/>
                <w:highlight w:val="none"/>
                <w:lang w:eastAsia="zh-CN"/>
              </w:rPr>
              <w:t>（盖章）</w:t>
            </w:r>
          </w:p>
          <w:p w14:paraId="54C55191">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3C585AC5">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744A948A">
            <w:pPr>
              <w:spacing w:line="500" w:lineRule="exact"/>
              <w:jc w:val="both"/>
              <w:rPr>
                <w:rFonts w:ascii="仿宋" w:hAnsi="仿宋" w:eastAsia="仿宋" w:cs="仿宋"/>
                <w:color w:val="auto"/>
                <w:sz w:val="32"/>
                <w:szCs w:val="32"/>
                <w:highlight w:val="none"/>
                <w:lang w:eastAsia="zh-CN"/>
              </w:rPr>
            </w:pPr>
          </w:p>
          <w:p w14:paraId="14A79F39">
            <w:pPr>
              <w:spacing w:line="500" w:lineRule="exact"/>
              <w:jc w:val="both"/>
              <w:rPr>
                <w:rFonts w:ascii="仿宋" w:hAnsi="仿宋" w:eastAsia="仿宋" w:cs="仿宋"/>
                <w:color w:val="auto"/>
                <w:sz w:val="32"/>
                <w:szCs w:val="32"/>
                <w:highlight w:val="none"/>
                <w:lang w:eastAsia="zh-CN"/>
              </w:rPr>
            </w:pPr>
          </w:p>
          <w:p w14:paraId="5C0400F2">
            <w:pPr>
              <w:spacing w:line="500" w:lineRule="exact"/>
              <w:ind w:left="3520" w:hanging="3520" w:hangingChars="1100"/>
              <w:jc w:val="both"/>
              <w:rPr>
                <w:rFonts w:ascii="仿宋" w:hAnsi="仿宋" w:eastAsia="仿宋" w:cs="仿宋"/>
                <w:color w:val="auto"/>
                <w:sz w:val="32"/>
                <w:szCs w:val="32"/>
                <w:highlight w:val="none"/>
                <w:lang w:eastAsia="zh-CN"/>
              </w:rPr>
            </w:pPr>
          </w:p>
          <w:p w14:paraId="01D0D93D">
            <w:pPr>
              <w:spacing w:line="500" w:lineRule="exact"/>
              <w:ind w:left="2560" w:hanging="2560" w:hangingChars="8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采购项目名称：2026年试剂耗材采购项目</w:t>
            </w:r>
            <w:r>
              <w:rPr>
                <w:rFonts w:hint="eastAsia" w:ascii="仿宋" w:hAnsi="仿宋" w:eastAsia="仿宋" w:cs="仿宋"/>
                <w:color w:val="auto"/>
                <w:sz w:val="32"/>
                <w:szCs w:val="32"/>
                <w:highlight w:val="none"/>
                <w:lang w:val="en-US" w:eastAsia="zh-CN"/>
              </w:rPr>
              <w:t>（二次）</w:t>
            </w:r>
          </w:p>
          <w:p w14:paraId="29A33540">
            <w:pPr>
              <w:spacing w:line="500" w:lineRule="exact"/>
              <w:ind w:left="2560" w:hanging="2560" w:hangingChars="800"/>
              <w:jc w:val="both"/>
              <w:rPr>
                <w:rFonts w:hint="eastAsia" w:ascii="仿宋" w:hAnsi="仿宋" w:eastAsia="仿宋" w:cs="仿宋"/>
                <w:color w:val="auto"/>
                <w:sz w:val="32"/>
                <w:szCs w:val="32"/>
                <w:highlight w:val="none"/>
                <w:lang w:eastAsia="zh-CN"/>
              </w:rPr>
            </w:pPr>
          </w:p>
          <w:p w14:paraId="5107ECB9">
            <w:pPr>
              <w:spacing w:line="500" w:lineRule="exact"/>
              <w:ind w:left="2560" w:hanging="2560" w:hangingChars="800"/>
              <w:jc w:val="both"/>
              <w:rPr>
                <w:rFonts w:hint="eastAsia" w:ascii="仿宋" w:hAnsi="仿宋" w:eastAsia="仿宋" w:cs="仿宋"/>
                <w:color w:val="auto"/>
                <w:sz w:val="32"/>
                <w:szCs w:val="32"/>
                <w:highlight w:val="none"/>
                <w:lang w:val="en-US" w:eastAsia="zh-CN"/>
              </w:rPr>
            </w:pPr>
          </w:p>
          <w:p w14:paraId="6759D365">
            <w:pPr>
              <w:spacing w:line="500" w:lineRule="exact"/>
              <w:ind w:left="2560" w:hanging="2560" w:hangingChars="800"/>
              <w:jc w:val="both"/>
              <w:rPr>
                <w:rFonts w:hint="eastAsia" w:ascii="仿宋" w:hAnsi="仿宋" w:eastAsia="仿宋" w:cs="仿宋"/>
                <w:color w:val="auto"/>
                <w:sz w:val="32"/>
                <w:szCs w:val="32"/>
                <w:highlight w:val="none"/>
                <w:lang w:val="en-US" w:eastAsia="zh-CN"/>
              </w:rPr>
            </w:pPr>
          </w:p>
          <w:p w14:paraId="04A6281B">
            <w:pPr>
              <w:spacing w:line="500" w:lineRule="exact"/>
              <w:ind w:left="2560" w:hanging="2560" w:hangingChars="800"/>
              <w:jc w:val="both"/>
              <w:rPr>
                <w:rFonts w:hint="eastAsia" w:ascii="仿宋" w:hAnsi="仿宋" w:eastAsia="仿宋" w:cs="仿宋"/>
                <w:color w:val="auto"/>
                <w:sz w:val="32"/>
                <w:szCs w:val="32"/>
                <w:highlight w:val="none"/>
                <w:lang w:eastAsia="zh-CN"/>
              </w:rPr>
            </w:pPr>
          </w:p>
          <w:p w14:paraId="19DB2569">
            <w:pPr>
              <w:spacing w:line="500" w:lineRule="exact"/>
              <w:ind w:left="2560" w:hanging="2560" w:hangingChars="8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 xml:space="preserve">      </w:t>
            </w:r>
          </w:p>
          <w:p w14:paraId="1DB6DDDA">
            <w:pPr>
              <w:spacing w:line="500" w:lineRule="exact"/>
              <w:jc w:val="both"/>
              <w:rPr>
                <w:rFonts w:ascii="仿宋" w:hAnsi="仿宋" w:eastAsia="仿宋" w:cs="仿宋"/>
                <w:color w:val="auto"/>
                <w:sz w:val="32"/>
                <w:szCs w:val="32"/>
                <w:highlight w:val="none"/>
                <w:lang w:eastAsia="zh-CN"/>
              </w:rPr>
            </w:pPr>
          </w:p>
          <w:p w14:paraId="4FA840D0">
            <w:pPr>
              <w:pStyle w:val="38"/>
              <w:jc w:val="both"/>
              <w:rPr>
                <w:rFonts w:ascii="仿宋" w:hAnsi="仿宋" w:eastAsia="仿宋" w:cs="仿宋"/>
                <w:color w:val="auto"/>
                <w:sz w:val="32"/>
                <w:szCs w:val="32"/>
                <w:highlight w:val="none"/>
                <w:lang w:eastAsia="zh-CN"/>
              </w:rPr>
            </w:pPr>
          </w:p>
          <w:p w14:paraId="10C65A8E">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（盖章）</w:t>
            </w:r>
          </w:p>
          <w:p w14:paraId="1E15B8C4">
            <w:pPr>
              <w:pStyle w:val="4"/>
              <w:jc w:val="both"/>
              <w:outlineLvl w:val="2"/>
              <w:rPr>
                <w:rFonts w:ascii="仿宋" w:hAnsi="仿宋" w:eastAsia="仿宋" w:cs="仿宋"/>
                <w:color w:val="auto"/>
                <w:highlight w:val="none"/>
                <w:lang w:eastAsia="zh-CN"/>
              </w:rPr>
            </w:pPr>
          </w:p>
          <w:p w14:paraId="490D35BF">
            <w:pPr>
              <w:jc w:val="both"/>
              <w:rPr>
                <w:color w:val="auto"/>
                <w:highlight w:val="none"/>
                <w:lang w:eastAsia="zh-CN"/>
              </w:rPr>
            </w:pPr>
          </w:p>
          <w:p w14:paraId="52AFE32D">
            <w:pPr>
              <w:pStyle w:val="4"/>
              <w:jc w:val="center"/>
              <w:outlineLvl w:val="2"/>
              <w:rPr>
                <w:rFonts w:ascii="仿宋" w:hAnsi="仿宋" w:eastAsia="仿宋" w:cs="仿宋"/>
                <w:color w:val="auto"/>
                <w:highlight w:val="none"/>
              </w:rPr>
            </w:pPr>
            <w:r>
              <w:rPr>
                <w:rFonts w:hint="eastAsia" w:ascii="仿宋" w:hAnsi="仿宋" w:eastAsia="仿宋" w:cs="仿宋"/>
                <w:color w:val="auto"/>
                <w:highlight w:val="none"/>
              </w:rPr>
              <w:t>日  期：20</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p>
        </w:tc>
      </w:tr>
    </w:tbl>
    <w:p w14:paraId="50962123">
      <w:pPr>
        <w:spacing w:line="240" w:lineRule="exact"/>
        <w:rPr>
          <w:rFonts w:ascii="仿宋" w:hAnsi="仿宋" w:eastAsia="仿宋" w:cs="仿宋"/>
          <w:color w:val="auto"/>
          <w:sz w:val="44"/>
          <w:szCs w:val="44"/>
          <w:highlight w:val="none"/>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76478127">
      <w:pPr>
        <w:pStyle w:val="35"/>
        <w:spacing w:before="0" w:line="360" w:lineRule="auto"/>
        <w:jc w:val="both"/>
        <w:rPr>
          <w:rFonts w:ascii="仿宋" w:hAnsi="仿宋" w:eastAsia="仿宋" w:cs="仿宋"/>
          <w:color w:val="auto"/>
          <w:sz w:val="44"/>
          <w:szCs w:val="44"/>
          <w:highlight w:val="none"/>
          <w:lang w:val="zh-CN"/>
        </w:rPr>
      </w:pPr>
    </w:p>
    <w:p w14:paraId="025B2524">
      <w:pPr>
        <w:pStyle w:val="35"/>
        <w:spacing w:before="0"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44"/>
          <w:szCs w:val="44"/>
          <w:highlight w:val="none"/>
          <w:lang w:val="zh-CN"/>
        </w:rPr>
        <w:t>目    录</w:t>
      </w:r>
    </w:p>
    <w:p w14:paraId="0F5EAF49">
      <w:pPr>
        <w:widowControl/>
        <w:rPr>
          <w:rFonts w:ascii="仿宋" w:hAnsi="仿宋" w:eastAsia="仿宋" w:cs="仿宋"/>
          <w:color w:val="auto"/>
          <w:sz w:val="30"/>
          <w:szCs w:val="30"/>
          <w:highlight w:val="none"/>
        </w:rPr>
      </w:pPr>
    </w:p>
    <w:p w14:paraId="5C24A316">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0C669CB5">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投标人</w:t>
      </w:r>
      <w:r>
        <w:rPr>
          <w:rFonts w:hint="eastAsia" w:ascii="仿宋" w:hAnsi="仿宋" w:eastAsia="仿宋" w:cs="仿宋"/>
          <w:b/>
          <w:color w:val="auto"/>
          <w:sz w:val="30"/>
          <w:szCs w:val="30"/>
        </w:rPr>
        <w:t>须知</w:t>
      </w:r>
    </w:p>
    <w:p w14:paraId="6A6A0CE4">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23378F46">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技术规格、数量及质量要求</w:t>
      </w:r>
    </w:p>
    <w:p w14:paraId="63CFD15B">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2F9F505A">
      <w:pPr>
        <w:pStyle w:val="38"/>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32523E00">
      <w:pPr>
        <w:pStyle w:val="10"/>
        <w:numPr>
          <w:ilvl w:val="0"/>
          <w:numId w:val="0"/>
        </w:numPr>
        <w:spacing w:line="480" w:lineRule="auto"/>
        <w:rPr>
          <w:rFonts w:ascii="仿宋" w:hAnsi="仿宋" w:eastAsia="仿宋" w:cs="仿宋"/>
          <w:color w:val="auto"/>
          <w:highlight w:val="none"/>
          <w:lang w:eastAsia="zh-CN"/>
        </w:rPr>
      </w:pPr>
    </w:p>
    <w:p w14:paraId="6B9CCAF3">
      <w:pPr>
        <w:spacing w:line="480" w:lineRule="auto"/>
        <w:rPr>
          <w:rFonts w:ascii="仿宋" w:hAnsi="仿宋" w:eastAsia="仿宋" w:cs="仿宋"/>
          <w:color w:val="auto"/>
          <w:highlight w:val="none"/>
          <w:lang w:eastAsia="zh-CN"/>
        </w:rPr>
      </w:pPr>
    </w:p>
    <w:p w14:paraId="4AF31C83">
      <w:pPr>
        <w:pStyle w:val="4"/>
        <w:rPr>
          <w:rFonts w:ascii="仿宋" w:hAnsi="仿宋" w:eastAsia="仿宋" w:cs="仿宋"/>
          <w:color w:val="auto"/>
          <w:highlight w:val="none"/>
          <w:lang w:eastAsia="zh-CN"/>
        </w:rPr>
      </w:pPr>
    </w:p>
    <w:p w14:paraId="74DDA81B">
      <w:pPr>
        <w:rPr>
          <w:rFonts w:ascii="仿宋" w:hAnsi="仿宋" w:eastAsia="仿宋" w:cs="仿宋"/>
          <w:color w:val="auto"/>
          <w:highlight w:val="none"/>
          <w:lang w:eastAsia="zh-CN"/>
        </w:rPr>
      </w:pPr>
    </w:p>
    <w:p w14:paraId="6F979980">
      <w:pPr>
        <w:pStyle w:val="4"/>
        <w:rPr>
          <w:rFonts w:ascii="仿宋" w:hAnsi="仿宋" w:eastAsia="仿宋" w:cs="仿宋"/>
          <w:color w:val="auto"/>
          <w:highlight w:val="none"/>
          <w:lang w:eastAsia="zh-CN"/>
        </w:rPr>
      </w:pPr>
    </w:p>
    <w:p w14:paraId="1C00D3DE">
      <w:pPr>
        <w:rPr>
          <w:rFonts w:ascii="仿宋" w:hAnsi="仿宋" w:eastAsia="仿宋" w:cs="仿宋"/>
          <w:color w:val="auto"/>
          <w:highlight w:val="none"/>
          <w:lang w:eastAsia="zh-CN"/>
        </w:rPr>
      </w:pPr>
    </w:p>
    <w:p w14:paraId="1BF34CB9">
      <w:pPr>
        <w:pStyle w:val="4"/>
        <w:rPr>
          <w:rFonts w:ascii="仿宋" w:hAnsi="仿宋" w:eastAsia="仿宋" w:cs="仿宋"/>
          <w:color w:val="auto"/>
          <w:highlight w:val="none"/>
          <w:lang w:eastAsia="zh-CN"/>
        </w:rPr>
      </w:pPr>
    </w:p>
    <w:p w14:paraId="56796DCC">
      <w:pPr>
        <w:rPr>
          <w:rFonts w:ascii="仿宋" w:hAnsi="仿宋" w:eastAsia="仿宋" w:cs="仿宋"/>
          <w:color w:val="auto"/>
          <w:highlight w:val="none"/>
          <w:lang w:eastAsia="zh-CN"/>
        </w:rPr>
      </w:pPr>
    </w:p>
    <w:p w14:paraId="5BEB0D83">
      <w:pPr>
        <w:pStyle w:val="4"/>
        <w:rPr>
          <w:rFonts w:ascii="仿宋" w:hAnsi="仿宋" w:eastAsia="仿宋" w:cs="仿宋"/>
          <w:color w:val="auto"/>
          <w:highlight w:val="none"/>
          <w:lang w:eastAsia="zh-CN"/>
        </w:rPr>
      </w:pPr>
    </w:p>
    <w:p w14:paraId="077E3A7C">
      <w:pPr>
        <w:pStyle w:val="40"/>
        <w:keepNext/>
        <w:keepLines/>
        <w:spacing w:before="120" w:after="300"/>
        <w:jc w:val="both"/>
        <w:rPr>
          <w:rFonts w:ascii="仿宋" w:hAnsi="仿宋" w:eastAsia="仿宋" w:cs="仿宋"/>
          <w:b/>
          <w:bCs/>
          <w:color w:val="auto"/>
          <w:highlight w:val="none"/>
        </w:rPr>
        <w:sectPr>
          <w:footerReference r:id="rId5" w:type="default"/>
          <w:pgSz w:w="11906" w:h="16838"/>
          <w:pgMar w:top="1440" w:right="1080" w:bottom="1440" w:left="1080" w:header="851" w:footer="992" w:gutter="0"/>
          <w:pgNumType w:start="1"/>
          <w:cols w:space="720" w:num="1"/>
          <w:docGrid w:type="linesAndChars" w:linePitch="312" w:charSpace="0"/>
        </w:sectPr>
      </w:pPr>
    </w:p>
    <w:p w14:paraId="2139C197">
      <w:pPr>
        <w:pStyle w:val="40"/>
        <w:keepNext/>
        <w:keepLines/>
        <w:pageBreakBefore w:val="0"/>
        <w:kinsoku/>
        <w:wordWrap/>
        <w:overflowPunct/>
        <w:topLinePunct w:val="0"/>
        <w:autoSpaceDE/>
        <w:autoSpaceDN/>
        <w:bidi w:val="0"/>
        <w:adjustRightInd/>
        <w:snapToGrid/>
        <w:spacing w:before="120" w:after="300" w:line="400" w:lineRule="exact"/>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rPr>
        <w:t>第一</w:t>
      </w:r>
      <w:r>
        <w:rPr>
          <w:rFonts w:hint="eastAsia" w:ascii="仿宋" w:hAnsi="仿宋" w:eastAsia="仿宋" w:cs="仿宋"/>
          <w:b/>
          <w:bCs/>
          <w:color w:val="auto"/>
          <w:highlight w:val="none"/>
          <w:lang w:eastAsia="zh-CN"/>
        </w:rPr>
        <w:t>章</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lang w:eastAsia="zh-CN"/>
        </w:rPr>
        <w:t>招标公告</w:t>
      </w:r>
    </w:p>
    <w:p w14:paraId="3EA79329">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
        </w:rPr>
      </w:pPr>
      <w:bookmarkStart w:id="0" w:name="OLE_LINK1"/>
      <w:r>
        <w:rPr>
          <w:rFonts w:hint="eastAsia" w:ascii="仿宋" w:hAnsi="仿宋" w:eastAsia="仿宋" w:cs="仿宋"/>
          <w:b/>
          <w:bCs/>
          <w:i w:val="0"/>
          <w:iCs w:val="0"/>
          <w:caps w:val="0"/>
          <w:color w:val="auto"/>
          <w:spacing w:val="0"/>
          <w:kern w:val="0"/>
          <w:sz w:val="32"/>
          <w:szCs w:val="32"/>
          <w:highlight w:val="none"/>
          <w:lang w:val="en-US" w:eastAsia="zh-CN" w:bidi="ar"/>
        </w:rPr>
        <w:t>2026年试剂耗材采购项目（二次）</w:t>
      </w:r>
    </w:p>
    <w:bookmarkEnd w:id="0"/>
    <w:p w14:paraId="08C672AB">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lang w:val="en-US" w:eastAsia="zh-CN" w:bidi="ar"/>
        </w:rPr>
      </w:pPr>
      <w:r>
        <w:rPr>
          <w:rFonts w:hint="eastAsia" w:ascii="仿宋" w:hAnsi="仿宋" w:eastAsia="仿宋" w:cs="仿宋"/>
          <w:b/>
          <w:bCs/>
          <w:i w:val="0"/>
          <w:iCs w:val="0"/>
          <w:caps w:val="0"/>
          <w:color w:val="auto"/>
          <w:spacing w:val="0"/>
          <w:kern w:val="0"/>
          <w:sz w:val="32"/>
          <w:szCs w:val="32"/>
          <w:highlight w:val="none"/>
          <w:lang w:val="en-US" w:eastAsia="zh-CN" w:bidi="ar"/>
        </w:rPr>
        <w:t>公开招标公告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697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743" w:type="dxa"/>
            <w:noWrap w:val="0"/>
            <w:vAlign w:val="top"/>
          </w:tcPr>
          <w:p w14:paraId="4E63F81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项目概况</w:t>
            </w:r>
          </w:p>
          <w:p w14:paraId="067B513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6" w:firstLineChars="200"/>
              <w:jc w:val="both"/>
              <w:textAlignment w:val="auto"/>
              <w:rPr>
                <w:b w:val="0"/>
                <w:bCs w:val="0"/>
                <w:color w:val="auto"/>
                <w:sz w:val="36"/>
                <w:szCs w:val="36"/>
                <w:highlight w:val="none"/>
                <w:vertAlign w:val="baseline"/>
              </w:rPr>
            </w:pPr>
            <w:r>
              <w:rPr>
                <w:rFonts w:hint="eastAsia" w:ascii="仿宋" w:hAnsi="仿宋" w:eastAsia="仿宋" w:cs="仿宋"/>
                <w:i w:val="0"/>
                <w:iCs w:val="0"/>
                <w:caps w:val="0"/>
                <w:color w:val="auto"/>
                <w:spacing w:val="0"/>
                <w:sz w:val="24"/>
                <w:szCs w:val="24"/>
                <w:highlight w:val="none"/>
                <w:lang w:eastAsia="zh-CN"/>
              </w:rPr>
              <w:t>2026年试剂耗材采购项目</w:t>
            </w:r>
            <w:r>
              <w:rPr>
                <w:rFonts w:hint="eastAsia" w:ascii="仿宋" w:hAnsi="仿宋" w:eastAsia="仿宋" w:cs="仿宋"/>
                <w:i w:val="0"/>
                <w:iCs w:val="0"/>
                <w:caps w:val="0"/>
                <w:color w:val="auto"/>
                <w:spacing w:val="0"/>
                <w:sz w:val="24"/>
                <w:szCs w:val="24"/>
                <w:highlight w:val="none"/>
                <w:lang w:val="en-US" w:eastAsia="zh-CN"/>
              </w:rPr>
              <w:t>（二次）</w:t>
            </w:r>
            <w:r>
              <w:rPr>
                <w:rFonts w:hint="eastAsia" w:ascii="仿宋" w:hAnsi="仿宋" w:eastAsia="仿宋" w:cs="仿宋"/>
                <w:i w:val="0"/>
                <w:iCs w:val="0"/>
                <w:caps w:val="0"/>
                <w:color w:val="auto"/>
                <w:spacing w:val="0"/>
                <w:sz w:val="24"/>
                <w:szCs w:val="24"/>
                <w:highlight w:val="none"/>
              </w:rPr>
              <w:t>招标项目的潜在投标人应在政采云平台线上获取招标文件</w:t>
            </w:r>
            <w:r>
              <w:rPr>
                <w:rFonts w:hint="eastAsia" w:ascii="仿宋" w:hAnsi="仿宋" w:eastAsia="仿宋" w:cs="仿宋"/>
                <w:b w:val="0"/>
                <w:bCs w:val="0"/>
                <w:i w:val="0"/>
                <w:iCs w:val="0"/>
                <w:caps w:val="0"/>
                <w:color w:val="auto"/>
                <w:spacing w:val="0"/>
                <w:sz w:val="24"/>
                <w:szCs w:val="24"/>
                <w:highlight w:val="none"/>
              </w:rPr>
              <w:t>，并于</w:t>
            </w:r>
            <w:r>
              <w:rPr>
                <w:rFonts w:hint="eastAsia" w:ascii="仿宋" w:hAnsi="仿宋" w:eastAsia="仿宋" w:cs="仿宋"/>
                <w:b w:val="0"/>
                <w:bCs w:val="0"/>
                <w:i w:val="0"/>
                <w:iCs w:val="0"/>
                <w:caps w:val="0"/>
                <w:color w:val="FF0000"/>
                <w:spacing w:val="0"/>
                <w:sz w:val="24"/>
                <w:szCs w:val="24"/>
                <w:highlight w:val="none"/>
                <w:u w:val="single"/>
              </w:rPr>
              <w:t>202</w:t>
            </w:r>
            <w:r>
              <w:rPr>
                <w:rFonts w:hint="eastAsia" w:ascii="仿宋" w:hAnsi="仿宋" w:eastAsia="仿宋" w:cs="仿宋"/>
                <w:b w:val="0"/>
                <w:bCs w:val="0"/>
                <w:i w:val="0"/>
                <w:iCs w:val="0"/>
                <w:caps w:val="0"/>
                <w:color w:val="FF0000"/>
                <w:spacing w:val="0"/>
                <w:sz w:val="24"/>
                <w:szCs w:val="24"/>
                <w:highlight w:val="none"/>
                <w:u w:val="single"/>
                <w:lang w:val="en-US" w:eastAsia="zh-CN"/>
              </w:rPr>
              <w:t>6</w:t>
            </w:r>
            <w:r>
              <w:rPr>
                <w:rFonts w:hint="eastAsia" w:ascii="仿宋" w:hAnsi="仿宋" w:eastAsia="仿宋" w:cs="仿宋"/>
                <w:b w:val="0"/>
                <w:bCs w:val="0"/>
                <w:i w:val="0"/>
                <w:iCs w:val="0"/>
                <w:caps w:val="0"/>
                <w:color w:val="FF0000"/>
                <w:spacing w:val="0"/>
                <w:sz w:val="24"/>
                <w:szCs w:val="24"/>
                <w:highlight w:val="none"/>
                <w:u w:val="single"/>
              </w:rPr>
              <w:t>年</w:t>
            </w:r>
            <w:r>
              <w:rPr>
                <w:rFonts w:hint="eastAsia" w:ascii="仿宋" w:hAnsi="仿宋" w:eastAsia="仿宋" w:cs="仿宋"/>
                <w:b w:val="0"/>
                <w:bCs w:val="0"/>
                <w:i w:val="0"/>
                <w:iCs w:val="0"/>
                <w:caps w:val="0"/>
                <w:color w:val="FF0000"/>
                <w:spacing w:val="0"/>
                <w:sz w:val="24"/>
                <w:szCs w:val="24"/>
                <w:highlight w:val="none"/>
                <w:u w:val="single"/>
                <w:lang w:val="en-US" w:eastAsia="zh-CN"/>
              </w:rPr>
              <w:t xml:space="preserve"> 6</w:t>
            </w:r>
            <w:r>
              <w:rPr>
                <w:rFonts w:hint="eastAsia" w:ascii="仿宋" w:hAnsi="仿宋" w:eastAsia="仿宋" w:cs="仿宋"/>
                <w:b w:val="0"/>
                <w:bCs w:val="0"/>
                <w:i w:val="0"/>
                <w:iCs w:val="0"/>
                <w:caps w:val="0"/>
                <w:color w:val="FF0000"/>
                <w:spacing w:val="0"/>
                <w:sz w:val="24"/>
                <w:szCs w:val="24"/>
                <w:highlight w:val="none"/>
                <w:u w:val="single"/>
              </w:rPr>
              <w:t>月</w:t>
            </w:r>
            <w:r>
              <w:rPr>
                <w:rFonts w:hint="eastAsia" w:ascii="仿宋" w:hAnsi="仿宋" w:eastAsia="仿宋" w:cs="仿宋"/>
                <w:b w:val="0"/>
                <w:bCs w:val="0"/>
                <w:i w:val="0"/>
                <w:iCs w:val="0"/>
                <w:caps w:val="0"/>
                <w:color w:val="FF0000"/>
                <w:spacing w:val="0"/>
                <w:sz w:val="24"/>
                <w:szCs w:val="24"/>
                <w:highlight w:val="none"/>
                <w:u w:val="single"/>
                <w:lang w:val="en-US" w:eastAsia="zh-CN"/>
              </w:rPr>
              <w:t xml:space="preserve">10 </w:t>
            </w:r>
            <w:r>
              <w:rPr>
                <w:rFonts w:hint="eastAsia" w:ascii="仿宋" w:hAnsi="仿宋" w:eastAsia="仿宋" w:cs="仿宋"/>
                <w:b w:val="0"/>
                <w:bCs w:val="0"/>
                <w:i w:val="0"/>
                <w:iCs w:val="0"/>
                <w:caps w:val="0"/>
                <w:color w:val="FF0000"/>
                <w:spacing w:val="0"/>
                <w:sz w:val="24"/>
                <w:szCs w:val="24"/>
                <w:highlight w:val="none"/>
                <w:u w:val="single"/>
              </w:rPr>
              <w:t>日</w:t>
            </w:r>
            <w:r>
              <w:rPr>
                <w:rFonts w:hint="eastAsia" w:ascii="仿宋" w:hAnsi="仿宋" w:eastAsia="仿宋" w:cs="仿宋"/>
                <w:b w:val="0"/>
                <w:bCs w:val="0"/>
                <w:i w:val="0"/>
                <w:iCs w:val="0"/>
                <w:caps w:val="0"/>
                <w:color w:val="FF0000"/>
                <w:spacing w:val="0"/>
                <w:sz w:val="24"/>
                <w:szCs w:val="24"/>
                <w:highlight w:val="none"/>
                <w:u w:val="single"/>
                <w:lang w:val="en-US" w:eastAsia="zh-CN"/>
              </w:rPr>
              <w:t>10</w:t>
            </w:r>
            <w:r>
              <w:rPr>
                <w:rFonts w:hint="eastAsia" w:ascii="仿宋" w:hAnsi="仿宋" w:eastAsia="仿宋" w:cs="仿宋"/>
                <w:b w:val="0"/>
                <w:bCs w:val="0"/>
                <w:i w:val="0"/>
                <w:iCs w:val="0"/>
                <w:caps w:val="0"/>
                <w:color w:val="FF0000"/>
                <w:spacing w:val="0"/>
                <w:sz w:val="24"/>
                <w:szCs w:val="24"/>
                <w:highlight w:val="none"/>
                <w:u w:val="single"/>
              </w:rPr>
              <w:t>:</w:t>
            </w:r>
            <w:r>
              <w:rPr>
                <w:rFonts w:hint="eastAsia" w:ascii="仿宋" w:hAnsi="仿宋" w:eastAsia="仿宋" w:cs="仿宋"/>
                <w:b w:val="0"/>
                <w:bCs w:val="0"/>
                <w:i w:val="0"/>
                <w:iCs w:val="0"/>
                <w:caps w:val="0"/>
                <w:color w:val="FF0000"/>
                <w:spacing w:val="0"/>
                <w:sz w:val="24"/>
                <w:szCs w:val="24"/>
                <w:highlight w:val="none"/>
                <w:u w:val="single"/>
                <w:lang w:val="en-US" w:eastAsia="zh-CN"/>
              </w:rPr>
              <w:t>3</w:t>
            </w:r>
            <w:r>
              <w:rPr>
                <w:rFonts w:hint="eastAsia" w:ascii="仿宋" w:hAnsi="仿宋" w:eastAsia="仿宋" w:cs="仿宋"/>
                <w:b w:val="0"/>
                <w:bCs w:val="0"/>
                <w:i w:val="0"/>
                <w:iCs w:val="0"/>
                <w:caps w:val="0"/>
                <w:color w:val="FF0000"/>
                <w:spacing w:val="0"/>
                <w:sz w:val="24"/>
                <w:szCs w:val="24"/>
                <w:highlight w:val="none"/>
                <w:u w:val="single"/>
              </w:rPr>
              <w:t>0</w:t>
            </w:r>
            <w:r>
              <w:rPr>
                <w:rFonts w:hint="eastAsia" w:ascii="仿宋" w:hAnsi="仿宋" w:eastAsia="仿宋" w:cs="仿宋"/>
                <w:b w:val="0"/>
                <w:bCs w:val="0"/>
                <w:i w:val="0"/>
                <w:iCs w:val="0"/>
                <w:caps w:val="0"/>
                <w:color w:val="auto"/>
                <w:spacing w:val="0"/>
                <w:sz w:val="24"/>
                <w:szCs w:val="24"/>
                <w:highlight w:val="none"/>
              </w:rPr>
              <w:t>（北京时间）前递交投标文件。</w:t>
            </w:r>
          </w:p>
        </w:tc>
      </w:tr>
    </w:tbl>
    <w:p w14:paraId="68C31C4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bookmarkStart w:id="1" w:name="OLE_LINK2"/>
      <w:r>
        <w:rPr>
          <w:rFonts w:hint="eastAsia" w:ascii="仿宋" w:hAnsi="仿宋" w:eastAsia="仿宋" w:cs="仿宋"/>
          <w:b/>
          <w:bCs/>
          <w:i w:val="0"/>
          <w:iCs w:val="0"/>
          <w:caps w:val="0"/>
          <w:color w:val="auto"/>
          <w:spacing w:val="0"/>
          <w:sz w:val="24"/>
          <w:szCs w:val="24"/>
          <w:highlight w:val="none"/>
        </w:rPr>
        <w:t>一、项目基本情况</w:t>
      </w:r>
    </w:p>
    <w:p w14:paraId="5A23129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项目编号：KZZB-20</w:t>
      </w:r>
      <w:r>
        <w:rPr>
          <w:rFonts w:hint="eastAsia" w:ascii="仿宋" w:hAnsi="仿宋" w:eastAsia="仿宋" w:cs="仿宋"/>
          <w:b w:val="0"/>
          <w:bCs w:val="0"/>
          <w:i w:val="0"/>
          <w:iCs w:val="0"/>
          <w:caps w:val="0"/>
          <w:color w:val="auto"/>
          <w:spacing w:val="0"/>
          <w:sz w:val="24"/>
          <w:szCs w:val="24"/>
          <w:highlight w:val="none"/>
          <w:lang w:val="en-US" w:eastAsia="zh-CN"/>
        </w:rPr>
        <w:t>26035-1</w:t>
      </w:r>
    </w:p>
    <w:p w14:paraId="7AADCC2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rPr>
        <w:t>项目名称：</w:t>
      </w:r>
      <w:r>
        <w:rPr>
          <w:rFonts w:hint="eastAsia" w:ascii="仿宋" w:hAnsi="仿宋" w:eastAsia="仿宋" w:cs="仿宋"/>
          <w:b w:val="0"/>
          <w:bCs w:val="0"/>
          <w:i w:val="0"/>
          <w:iCs w:val="0"/>
          <w:caps w:val="0"/>
          <w:color w:val="auto"/>
          <w:spacing w:val="0"/>
          <w:sz w:val="24"/>
          <w:szCs w:val="24"/>
          <w:highlight w:val="none"/>
          <w:lang w:eastAsia="zh-CN"/>
        </w:rPr>
        <w:t>2026年试剂耗材采购项目</w:t>
      </w:r>
      <w:r>
        <w:rPr>
          <w:rFonts w:hint="eastAsia" w:ascii="仿宋" w:hAnsi="仿宋" w:eastAsia="仿宋" w:cs="仿宋"/>
          <w:b w:val="0"/>
          <w:bCs w:val="0"/>
          <w:i w:val="0"/>
          <w:iCs w:val="0"/>
          <w:caps w:val="0"/>
          <w:color w:val="auto"/>
          <w:spacing w:val="0"/>
          <w:sz w:val="24"/>
          <w:szCs w:val="24"/>
          <w:highlight w:val="none"/>
          <w:lang w:val="en-US" w:eastAsia="zh-CN"/>
        </w:rPr>
        <w:t>（二次）</w:t>
      </w:r>
      <w:bookmarkStart w:id="79" w:name="_GoBack"/>
      <w:bookmarkEnd w:id="79"/>
    </w:p>
    <w:p w14:paraId="5375768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采购方式：公开招标</w:t>
      </w:r>
    </w:p>
    <w:p w14:paraId="4EE62BE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预算金额（元）：</w:t>
      </w:r>
      <w:r>
        <w:rPr>
          <w:rFonts w:hint="eastAsia" w:ascii="仿宋" w:hAnsi="仿宋" w:eastAsia="仿宋" w:cs="仿宋"/>
          <w:b w:val="0"/>
          <w:bCs w:val="0"/>
          <w:i w:val="0"/>
          <w:iCs w:val="0"/>
          <w:caps w:val="0"/>
          <w:color w:val="auto"/>
          <w:spacing w:val="0"/>
          <w:sz w:val="24"/>
          <w:szCs w:val="24"/>
          <w:highlight w:val="none"/>
          <w:lang w:val="en-US" w:eastAsia="zh-CN"/>
        </w:rPr>
        <w:t>1550000</w:t>
      </w:r>
    </w:p>
    <w:p w14:paraId="3E2E056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最高限价（元）：</w:t>
      </w:r>
      <w:r>
        <w:rPr>
          <w:rFonts w:hint="eastAsia" w:ascii="仿宋" w:hAnsi="仿宋" w:eastAsia="仿宋" w:cs="仿宋"/>
          <w:b w:val="0"/>
          <w:bCs w:val="0"/>
          <w:i w:val="0"/>
          <w:iCs w:val="0"/>
          <w:caps w:val="0"/>
          <w:color w:val="auto"/>
          <w:spacing w:val="0"/>
          <w:sz w:val="24"/>
          <w:szCs w:val="24"/>
          <w:highlight w:val="none"/>
          <w:lang w:val="en-US" w:eastAsia="zh-CN"/>
        </w:rPr>
        <w:t>219315.89</w:t>
      </w:r>
    </w:p>
    <w:p w14:paraId="233F432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486" w:right="0" w:hanging="486" w:hanging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采购需求：</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标项名称:2026年试剂耗材采购项目</w:t>
      </w:r>
      <w:r>
        <w:rPr>
          <w:rFonts w:hint="eastAsia" w:ascii="仿宋" w:hAnsi="仿宋" w:eastAsia="仿宋" w:cs="仿宋"/>
          <w:b w:val="0"/>
          <w:bCs w:val="0"/>
          <w:i w:val="0"/>
          <w:iCs w:val="0"/>
          <w:caps w:val="0"/>
          <w:color w:val="auto"/>
          <w:spacing w:val="0"/>
          <w:sz w:val="24"/>
          <w:szCs w:val="24"/>
          <w:highlight w:val="none"/>
          <w:lang w:val="en-US" w:eastAsia="zh-CN"/>
        </w:rPr>
        <w:t>（二次）</w:t>
      </w:r>
      <w:r>
        <w:rPr>
          <w:rFonts w:hint="eastAsia" w:ascii="仿宋" w:hAnsi="仿宋" w:eastAsia="仿宋" w:cs="仿宋"/>
          <w:b w:val="0"/>
          <w:bCs w:val="0"/>
          <w:i w:val="0"/>
          <w:iCs w:val="0"/>
          <w:caps w:val="0"/>
          <w:color w:val="auto"/>
          <w:spacing w:val="0"/>
          <w:sz w:val="24"/>
          <w:szCs w:val="24"/>
          <w:highlight w:val="none"/>
          <w:lang w:eastAsia="zh-CN"/>
        </w:rPr>
        <w:br w:type="textWrapping"/>
      </w: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45534F5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预算金额（元）:</w:t>
      </w:r>
      <w:r>
        <w:rPr>
          <w:rFonts w:hint="eastAsia" w:ascii="仿宋" w:hAnsi="仿宋" w:eastAsia="仿宋" w:cs="仿宋"/>
          <w:b w:val="0"/>
          <w:bCs w:val="0"/>
          <w:i w:val="0"/>
          <w:iCs w:val="0"/>
          <w:caps w:val="0"/>
          <w:color w:val="auto"/>
          <w:spacing w:val="0"/>
          <w:sz w:val="24"/>
          <w:szCs w:val="24"/>
          <w:highlight w:val="none"/>
          <w:lang w:val="en-US" w:eastAsia="zh-CN"/>
        </w:rPr>
        <w:t>1550000</w:t>
      </w:r>
    </w:p>
    <w:p w14:paraId="6CBED0B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单位：批</w:t>
      </w:r>
    </w:p>
    <w:p w14:paraId="24F10D7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w:t>
      </w:r>
      <w:r>
        <w:rPr>
          <w:rFonts w:hint="eastAsia" w:ascii="仿宋" w:hAnsi="仿宋" w:eastAsia="仿宋" w:cs="仿宋"/>
          <w:b w:val="0"/>
          <w:bCs w:val="0"/>
          <w:i w:val="0"/>
          <w:iCs w:val="0"/>
          <w:caps w:val="0"/>
          <w:color w:val="auto"/>
          <w:spacing w:val="0"/>
          <w:sz w:val="24"/>
          <w:szCs w:val="24"/>
          <w:highlight w:val="none"/>
          <w:lang w:val="en-US" w:eastAsia="zh-CN"/>
        </w:rPr>
        <w:t>采购</w:t>
      </w:r>
      <w:r>
        <w:rPr>
          <w:rFonts w:hint="eastAsia" w:ascii="仿宋" w:hAnsi="仿宋" w:eastAsia="仿宋" w:cs="仿宋"/>
          <w:b w:val="0"/>
          <w:bCs w:val="0"/>
          <w:i w:val="0"/>
          <w:iCs w:val="0"/>
          <w:caps w:val="0"/>
          <w:color w:val="auto"/>
          <w:spacing w:val="0"/>
          <w:sz w:val="24"/>
          <w:szCs w:val="24"/>
          <w:highlight w:val="none"/>
          <w:lang w:eastAsia="zh-CN"/>
        </w:rPr>
        <w:t>试剂耗材</w:t>
      </w:r>
      <w:r>
        <w:rPr>
          <w:rFonts w:hint="eastAsia" w:ascii="仿宋" w:hAnsi="仿宋" w:eastAsia="仿宋" w:cs="仿宋"/>
          <w:b w:val="0"/>
          <w:bCs w:val="0"/>
          <w:i w:val="0"/>
          <w:iCs w:val="0"/>
          <w:caps w:val="0"/>
          <w:color w:val="auto"/>
          <w:spacing w:val="0"/>
          <w:sz w:val="24"/>
          <w:szCs w:val="24"/>
          <w:highlight w:val="none"/>
          <w:lang w:val="en-US" w:eastAsia="zh-CN"/>
        </w:rPr>
        <w:t>1批</w:t>
      </w:r>
      <w:r>
        <w:rPr>
          <w:rFonts w:hint="eastAsia" w:ascii="仿宋" w:hAnsi="仿宋" w:eastAsia="仿宋" w:cs="仿宋"/>
          <w:b w:val="0"/>
          <w:bCs w:val="0"/>
          <w:i w:val="0"/>
          <w:iCs w:val="0"/>
          <w:caps w:val="0"/>
          <w:color w:val="auto"/>
          <w:spacing w:val="0"/>
          <w:sz w:val="24"/>
          <w:szCs w:val="24"/>
          <w:highlight w:val="none"/>
          <w:lang w:eastAsia="zh-CN"/>
        </w:rPr>
        <w:t>（具体采购内容详见采购清单）</w:t>
      </w:r>
    </w:p>
    <w:p w14:paraId="2CA2B0D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备注：本项目单价招标。</w:t>
      </w:r>
    </w:p>
    <w:p w14:paraId="0F05F8B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合同履约期限：具体详见招标文件。</w:t>
      </w:r>
    </w:p>
    <w:p w14:paraId="6D54485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本项目不接受联合体投标。</w:t>
      </w:r>
    </w:p>
    <w:p w14:paraId="15A1F3A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二、申请人的资格要求：</w:t>
      </w:r>
    </w:p>
    <w:p w14:paraId="64646DD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1.满足《中华人民共和国政府采购法》第二十二条规定；</w:t>
      </w:r>
    </w:p>
    <w:p w14:paraId="1AFA95C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2.落实政府采购政策需满足的资格要求：</w:t>
      </w:r>
      <w:r>
        <w:rPr>
          <w:rFonts w:hint="eastAsia" w:ascii="仿宋" w:hAnsi="仿宋" w:eastAsia="仿宋" w:cs="仿宋"/>
          <w:b w:val="0"/>
          <w:bCs w:val="0"/>
          <w:i w:val="0"/>
          <w:iCs w:val="0"/>
          <w:caps w:val="0"/>
          <w:color w:val="auto"/>
          <w:spacing w:val="0"/>
          <w:sz w:val="24"/>
          <w:szCs w:val="24"/>
          <w:highlight w:val="none"/>
          <w:lang w:eastAsia="zh-CN"/>
        </w:rPr>
        <w:t>本项目为非专门面向中小企业。</w:t>
      </w:r>
      <w:r>
        <w:rPr>
          <w:rFonts w:hint="eastAsia" w:ascii="仿宋" w:hAnsi="仿宋" w:eastAsia="仿宋" w:cs="仿宋"/>
          <w:b w:val="0"/>
          <w:bCs w:val="0"/>
          <w:i w:val="0"/>
          <w:iCs w:val="0"/>
          <w:caps w:val="0"/>
          <w:color w:val="auto"/>
          <w:spacing w:val="0"/>
          <w:sz w:val="24"/>
          <w:szCs w:val="24"/>
          <w:highlight w:val="none"/>
        </w:rPr>
        <w:t> </w:t>
      </w:r>
    </w:p>
    <w:p w14:paraId="76CA9A46">
      <w:pPr>
        <w:keepNext w:val="0"/>
        <w:keepLines w:val="0"/>
        <w:pageBreakBefore w:val="0"/>
        <w:kinsoku/>
        <w:wordWrap/>
        <w:overflowPunct/>
        <w:topLinePunct w:val="0"/>
        <w:autoSpaceDE/>
        <w:autoSpaceDN/>
        <w:bidi w:val="0"/>
        <w:spacing w:line="420" w:lineRule="exact"/>
        <w:ind w:firstLine="486" w:firstLineChars="200"/>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3.本项目的特定资格要求：</w:t>
      </w:r>
    </w:p>
    <w:p w14:paraId="7DB06332">
      <w:pPr>
        <w:keepNext w:val="0"/>
        <w:keepLines w:val="0"/>
        <w:pageBreakBefore w:val="0"/>
        <w:kinsoku/>
        <w:wordWrap/>
        <w:overflowPunct/>
        <w:topLinePunct w:val="0"/>
        <w:autoSpaceDE/>
        <w:autoSpaceDN/>
        <w:bidi w:val="0"/>
        <w:spacing w:line="42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1)具备三证合一营业执照副本；</w:t>
      </w:r>
    </w:p>
    <w:p w14:paraId="5FFB8DBE">
      <w:pPr>
        <w:keepNext w:val="0"/>
        <w:keepLines w:val="0"/>
        <w:pageBreakBefore w:val="0"/>
        <w:kinsoku/>
        <w:wordWrap/>
        <w:overflowPunct/>
        <w:topLinePunct w:val="0"/>
        <w:autoSpaceDE/>
        <w:autoSpaceDN/>
        <w:bidi w:val="0"/>
        <w:spacing w:line="42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2)法定代表人投标须提供法定代表人资格证明书，委托代理人投标须提供法定代表人资格证明及授权委托书；</w:t>
      </w:r>
    </w:p>
    <w:p w14:paraId="010BB053">
      <w:pPr>
        <w:keepNext w:val="0"/>
        <w:keepLines w:val="0"/>
        <w:pageBreakBefore w:val="0"/>
        <w:kinsoku/>
        <w:wordWrap/>
        <w:overflowPunct/>
        <w:topLinePunct w:val="0"/>
        <w:autoSpaceDE/>
        <w:autoSpaceDN/>
        <w:bidi w:val="0"/>
        <w:spacing w:line="42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3)投标企业须提供投标人（被授权在职人员）近6个月内任意一个月有效的社保证明；</w:t>
      </w:r>
    </w:p>
    <w:p w14:paraId="0A7FA1FF">
      <w:pPr>
        <w:pStyle w:val="38"/>
        <w:keepNext w:val="0"/>
        <w:keepLines w:val="0"/>
        <w:pageBreakBefore w:val="0"/>
        <w:kinsoku/>
        <w:wordWrap/>
        <w:overflowPunct/>
        <w:topLinePunct w:val="0"/>
        <w:autoSpaceDE/>
        <w:autoSpaceDN/>
        <w:bidi w:val="0"/>
        <w:spacing w:line="420" w:lineRule="exact"/>
        <w:ind w:left="0" w:leftChars="0"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4BEF1E1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6" w:firstLineChars="20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Style w:val="30"/>
          <w:rFonts w:hint="eastAsia" w:ascii="仿宋" w:hAnsi="仿宋" w:eastAsia="仿宋" w:cs="仿宋"/>
          <w:b w:val="0"/>
          <w:bCs w:val="0"/>
          <w:color w:val="000000"/>
          <w:sz w:val="24"/>
          <w:szCs w:val="24"/>
          <w:lang w:val="en-US" w:eastAsia="zh-CN" w:bidi="en-US"/>
        </w:rPr>
        <w:t>投标企业须提供有效的《医疗器械生产许可证》或《医疗器械经营许可证》（二类医疗器械需提供医疗器械备案凭证）。</w:t>
      </w:r>
    </w:p>
    <w:p w14:paraId="6D41176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三、获取招标文件</w:t>
      </w:r>
    </w:p>
    <w:p w14:paraId="2C50CDEC">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 xml:space="preserve"> 5</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21</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FF0000"/>
          <w:sz w:val="24"/>
          <w:szCs w:val="24"/>
          <w:highlight w:val="none"/>
          <w:lang w:eastAsia="zh-CN"/>
        </w:rPr>
        <w:t>至</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 xml:space="preserve"> 6</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 xml:space="preserve">2 </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auto"/>
          <w:sz w:val="24"/>
          <w:szCs w:val="24"/>
          <w:highlight w:val="none"/>
          <w:lang w:eastAsia="zh-CN"/>
        </w:rPr>
        <w:t>，每天上午10:00至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，下午16:</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（北京时间，节假日除外）</w:t>
      </w:r>
    </w:p>
    <w:p w14:paraId="7F7F0E8E">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地点：政采云平台线上</w:t>
      </w:r>
    </w:p>
    <w:p w14:paraId="3AE34E0F">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3C34C41">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w:t>
      </w:r>
    </w:p>
    <w:p w14:paraId="281264E4">
      <w:pPr>
        <w:keepNext w:val="0"/>
        <w:keepLines w:val="0"/>
        <w:pageBreakBefore w:val="0"/>
        <w:kinsoku/>
        <w:wordWrap/>
        <w:overflowPunct/>
        <w:topLinePunct w:val="0"/>
        <w:autoSpaceDE/>
        <w:autoSpaceDN/>
        <w:bidi w:val="0"/>
        <w:adjustRightInd/>
        <w:snapToGrid/>
        <w:spacing w:line="420" w:lineRule="exact"/>
        <w:textAlignment w:val="auto"/>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四、提交投标文件截止时间、开标时间和地点</w:t>
      </w:r>
    </w:p>
    <w:p w14:paraId="3B6998C2">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截止时间：</w:t>
      </w:r>
      <w:r>
        <w:rPr>
          <w:rFonts w:hint="eastAsia" w:ascii="仿宋" w:hAnsi="仿宋" w:eastAsia="仿宋" w:cs="仿宋"/>
          <w:color w:val="FF0000"/>
          <w:kern w:val="2"/>
          <w:sz w:val="24"/>
          <w:szCs w:val="24"/>
          <w:highlight w:val="none"/>
          <w:u w:val="single"/>
          <w:lang w:eastAsia="zh-CN" w:bidi="ar-SA"/>
        </w:rPr>
        <w:t>202</w:t>
      </w:r>
      <w:r>
        <w:rPr>
          <w:rFonts w:hint="eastAsia" w:ascii="仿宋" w:hAnsi="仿宋" w:eastAsia="仿宋" w:cs="仿宋"/>
          <w:color w:val="FF0000"/>
          <w:kern w:val="2"/>
          <w:sz w:val="24"/>
          <w:szCs w:val="24"/>
          <w:highlight w:val="none"/>
          <w:u w:val="single"/>
          <w:lang w:val="en-US" w:eastAsia="zh-CN" w:bidi="ar-SA"/>
        </w:rPr>
        <w:t>6</w:t>
      </w:r>
      <w:r>
        <w:rPr>
          <w:rFonts w:hint="eastAsia" w:ascii="仿宋" w:hAnsi="仿宋" w:eastAsia="仿宋" w:cs="仿宋"/>
          <w:color w:val="FF0000"/>
          <w:kern w:val="2"/>
          <w:sz w:val="24"/>
          <w:szCs w:val="24"/>
          <w:highlight w:val="none"/>
          <w:u w:val="single"/>
          <w:lang w:eastAsia="zh-CN" w:bidi="ar-SA"/>
        </w:rPr>
        <w:t>年</w:t>
      </w:r>
      <w:r>
        <w:rPr>
          <w:rFonts w:hint="eastAsia" w:ascii="仿宋" w:hAnsi="仿宋" w:eastAsia="仿宋" w:cs="仿宋"/>
          <w:color w:val="FF0000"/>
          <w:kern w:val="2"/>
          <w:sz w:val="24"/>
          <w:szCs w:val="24"/>
          <w:highlight w:val="none"/>
          <w:u w:val="single"/>
          <w:lang w:val="en-US" w:eastAsia="zh-CN" w:bidi="ar-SA"/>
        </w:rPr>
        <w:t xml:space="preserve">6 </w:t>
      </w:r>
      <w:r>
        <w:rPr>
          <w:rFonts w:hint="eastAsia" w:ascii="仿宋" w:hAnsi="仿宋" w:eastAsia="仿宋" w:cs="仿宋"/>
          <w:color w:val="FF0000"/>
          <w:kern w:val="2"/>
          <w:sz w:val="24"/>
          <w:szCs w:val="24"/>
          <w:highlight w:val="none"/>
          <w:u w:val="single"/>
          <w:lang w:eastAsia="zh-CN" w:bidi="ar-SA"/>
        </w:rPr>
        <w:t>月</w:t>
      </w:r>
      <w:r>
        <w:rPr>
          <w:rFonts w:hint="eastAsia" w:ascii="仿宋" w:hAnsi="仿宋" w:eastAsia="仿宋" w:cs="仿宋"/>
          <w:color w:val="FF0000"/>
          <w:kern w:val="2"/>
          <w:sz w:val="24"/>
          <w:szCs w:val="24"/>
          <w:highlight w:val="none"/>
          <w:u w:val="single"/>
          <w:lang w:val="en-US" w:eastAsia="zh-CN" w:bidi="ar-SA"/>
        </w:rPr>
        <w:t xml:space="preserve">10 </w:t>
      </w:r>
      <w:r>
        <w:rPr>
          <w:rFonts w:hint="eastAsia" w:ascii="仿宋" w:hAnsi="仿宋" w:eastAsia="仿宋" w:cs="仿宋"/>
          <w:color w:val="FF0000"/>
          <w:kern w:val="2"/>
          <w:sz w:val="24"/>
          <w:szCs w:val="24"/>
          <w:highlight w:val="none"/>
          <w:u w:val="single"/>
          <w:lang w:eastAsia="zh-CN" w:bidi="ar-SA"/>
        </w:rPr>
        <w:t xml:space="preserve">日 </w:t>
      </w:r>
      <w:r>
        <w:rPr>
          <w:rFonts w:hint="eastAsia" w:ascii="仿宋" w:hAnsi="仿宋" w:eastAsia="仿宋" w:cs="仿宋"/>
          <w:color w:val="FF0000"/>
          <w:kern w:val="2"/>
          <w:sz w:val="24"/>
          <w:szCs w:val="24"/>
          <w:highlight w:val="none"/>
          <w:u w:val="single"/>
          <w:lang w:val="en-US" w:eastAsia="zh-CN" w:bidi="ar-SA"/>
        </w:rPr>
        <w:t>10</w:t>
      </w:r>
      <w:r>
        <w:rPr>
          <w:rFonts w:hint="eastAsia" w:ascii="仿宋" w:hAnsi="仿宋" w:eastAsia="仿宋" w:cs="仿宋"/>
          <w:color w:val="FF0000"/>
          <w:kern w:val="2"/>
          <w:sz w:val="24"/>
          <w:szCs w:val="24"/>
          <w:highlight w:val="none"/>
          <w:u w:val="single"/>
          <w:lang w:eastAsia="zh-CN" w:bidi="ar-SA"/>
        </w:rPr>
        <w:t>：</w:t>
      </w:r>
      <w:r>
        <w:rPr>
          <w:rFonts w:hint="eastAsia" w:ascii="仿宋" w:hAnsi="仿宋" w:eastAsia="仿宋" w:cs="仿宋"/>
          <w:color w:val="FF0000"/>
          <w:kern w:val="2"/>
          <w:sz w:val="24"/>
          <w:szCs w:val="24"/>
          <w:highlight w:val="none"/>
          <w:u w:val="single"/>
          <w:lang w:val="en-US" w:eastAsia="zh-CN" w:bidi="ar-SA"/>
        </w:rPr>
        <w:t>30</w:t>
      </w:r>
      <w:r>
        <w:rPr>
          <w:rFonts w:hint="eastAsia" w:ascii="仿宋" w:hAnsi="仿宋" w:eastAsia="仿宋" w:cs="仿宋"/>
          <w:color w:val="FF0000"/>
          <w:kern w:val="2"/>
          <w:sz w:val="24"/>
          <w:szCs w:val="24"/>
          <w:highlight w:val="none"/>
          <w:u w:val="single"/>
          <w:lang w:eastAsia="zh-CN" w:bidi="ar-SA"/>
        </w:rPr>
        <w:t xml:space="preserve"> </w:t>
      </w:r>
      <w:r>
        <w:rPr>
          <w:rFonts w:hint="eastAsia" w:ascii="仿宋" w:hAnsi="仿宋" w:eastAsia="仿宋" w:cs="仿宋"/>
          <w:color w:val="auto"/>
          <w:kern w:val="2"/>
          <w:sz w:val="24"/>
          <w:szCs w:val="24"/>
          <w:highlight w:val="none"/>
          <w:lang w:eastAsia="zh-CN" w:bidi="ar-SA"/>
        </w:rPr>
        <w:t>（北京时间）</w:t>
      </w:r>
    </w:p>
    <w:p w14:paraId="6AFDB383">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投标地点：政府采购云平台（www.zcygov.cn）供应商应于递交投标文件截止时间之前将电子投标文件上传到“政采云”平台。</w:t>
      </w:r>
    </w:p>
    <w:p w14:paraId="5BA9EBAA">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开标时间</w:t>
      </w:r>
      <w:r>
        <w:rPr>
          <w:rFonts w:hint="eastAsia" w:ascii="仿宋" w:hAnsi="仿宋" w:eastAsia="仿宋" w:cs="仿宋"/>
          <w:color w:val="FF0000"/>
          <w:kern w:val="2"/>
          <w:sz w:val="24"/>
          <w:szCs w:val="24"/>
          <w:highlight w:val="none"/>
          <w:lang w:eastAsia="zh-CN" w:bidi="ar-SA"/>
        </w:rPr>
        <w:t>：</w:t>
      </w:r>
      <w:r>
        <w:rPr>
          <w:rFonts w:hint="eastAsia" w:ascii="仿宋" w:hAnsi="仿宋" w:eastAsia="仿宋" w:cs="仿宋"/>
          <w:color w:val="FF0000"/>
          <w:kern w:val="2"/>
          <w:sz w:val="24"/>
          <w:szCs w:val="24"/>
          <w:highlight w:val="none"/>
          <w:u w:val="single"/>
          <w:lang w:eastAsia="zh-CN" w:bidi="ar-SA"/>
        </w:rPr>
        <w:t>202</w:t>
      </w:r>
      <w:r>
        <w:rPr>
          <w:rFonts w:hint="eastAsia" w:ascii="仿宋" w:hAnsi="仿宋" w:eastAsia="仿宋" w:cs="仿宋"/>
          <w:color w:val="FF0000"/>
          <w:kern w:val="2"/>
          <w:sz w:val="24"/>
          <w:szCs w:val="24"/>
          <w:highlight w:val="none"/>
          <w:u w:val="single"/>
          <w:lang w:val="en-US" w:eastAsia="zh-CN" w:bidi="ar-SA"/>
        </w:rPr>
        <w:t>6</w:t>
      </w:r>
      <w:r>
        <w:rPr>
          <w:rFonts w:hint="eastAsia" w:ascii="仿宋" w:hAnsi="仿宋" w:eastAsia="仿宋" w:cs="仿宋"/>
          <w:color w:val="FF0000"/>
          <w:kern w:val="2"/>
          <w:sz w:val="24"/>
          <w:szCs w:val="24"/>
          <w:highlight w:val="none"/>
          <w:u w:val="single"/>
          <w:lang w:eastAsia="zh-CN" w:bidi="ar-SA"/>
        </w:rPr>
        <w:t>年</w:t>
      </w:r>
      <w:r>
        <w:rPr>
          <w:rFonts w:hint="eastAsia" w:ascii="仿宋" w:hAnsi="仿宋" w:eastAsia="仿宋" w:cs="仿宋"/>
          <w:color w:val="FF0000"/>
          <w:kern w:val="2"/>
          <w:sz w:val="24"/>
          <w:szCs w:val="24"/>
          <w:highlight w:val="none"/>
          <w:u w:val="single"/>
          <w:lang w:val="en-US" w:eastAsia="zh-CN" w:bidi="ar-SA"/>
        </w:rPr>
        <w:t xml:space="preserve"> 6 </w:t>
      </w:r>
      <w:r>
        <w:rPr>
          <w:rFonts w:hint="eastAsia" w:ascii="仿宋" w:hAnsi="仿宋" w:eastAsia="仿宋" w:cs="仿宋"/>
          <w:color w:val="FF0000"/>
          <w:kern w:val="2"/>
          <w:sz w:val="24"/>
          <w:szCs w:val="24"/>
          <w:highlight w:val="none"/>
          <w:u w:val="single"/>
          <w:lang w:eastAsia="zh-CN" w:bidi="ar-SA"/>
        </w:rPr>
        <w:t>月</w:t>
      </w:r>
      <w:r>
        <w:rPr>
          <w:rFonts w:hint="eastAsia" w:ascii="仿宋" w:hAnsi="仿宋" w:eastAsia="仿宋" w:cs="仿宋"/>
          <w:color w:val="FF0000"/>
          <w:kern w:val="2"/>
          <w:sz w:val="24"/>
          <w:szCs w:val="24"/>
          <w:highlight w:val="none"/>
          <w:u w:val="single"/>
          <w:lang w:val="en-US" w:eastAsia="zh-CN" w:bidi="ar-SA"/>
        </w:rPr>
        <w:t xml:space="preserve"> 10</w:t>
      </w:r>
      <w:r>
        <w:rPr>
          <w:rFonts w:hint="eastAsia" w:ascii="仿宋" w:hAnsi="仿宋" w:eastAsia="仿宋" w:cs="仿宋"/>
          <w:color w:val="FF0000"/>
          <w:kern w:val="2"/>
          <w:sz w:val="24"/>
          <w:szCs w:val="24"/>
          <w:highlight w:val="none"/>
          <w:u w:val="single"/>
          <w:lang w:eastAsia="zh-CN" w:bidi="ar-SA"/>
        </w:rPr>
        <w:t xml:space="preserve">日 </w:t>
      </w:r>
      <w:r>
        <w:rPr>
          <w:rFonts w:hint="eastAsia" w:ascii="仿宋" w:hAnsi="仿宋" w:eastAsia="仿宋" w:cs="仿宋"/>
          <w:color w:val="FF0000"/>
          <w:kern w:val="2"/>
          <w:sz w:val="24"/>
          <w:szCs w:val="24"/>
          <w:highlight w:val="none"/>
          <w:u w:val="single"/>
          <w:lang w:val="en-US" w:eastAsia="zh-CN" w:bidi="ar-SA"/>
        </w:rPr>
        <w:t>10</w:t>
      </w:r>
      <w:r>
        <w:rPr>
          <w:rFonts w:hint="eastAsia" w:ascii="仿宋" w:hAnsi="仿宋" w:eastAsia="仿宋" w:cs="仿宋"/>
          <w:color w:val="FF0000"/>
          <w:kern w:val="2"/>
          <w:sz w:val="24"/>
          <w:szCs w:val="24"/>
          <w:highlight w:val="none"/>
          <w:u w:val="single"/>
          <w:lang w:eastAsia="zh-CN" w:bidi="ar-SA"/>
        </w:rPr>
        <w:t>：</w:t>
      </w:r>
      <w:r>
        <w:rPr>
          <w:rFonts w:hint="eastAsia" w:ascii="仿宋" w:hAnsi="仿宋" w:eastAsia="仿宋" w:cs="仿宋"/>
          <w:color w:val="FF0000"/>
          <w:kern w:val="2"/>
          <w:sz w:val="24"/>
          <w:szCs w:val="24"/>
          <w:highlight w:val="none"/>
          <w:u w:val="single"/>
          <w:lang w:val="en-US" w:eastAsia="zh-CN" w:bidi="ar-SA"/>
        </w:rPr>
        <w:t>30</w:t>
      </w:r>
      <w:r>
        <w:rPr>
          <w:rFonts w:hint="eastAsia" w:ascii="仿宋" w:hAnsi="仿宋" w:eastAsia="仿宋" w:cs="仿宋"/>
          <w:color w:val="auto"/>
          <w:kern w:val="2"/>
          <w:sz w:val="24"/>
          <w:szCs w:val="24"/>
          <w:highlight w:val="none"/>
          <w:lang w:eastAsia="zh-CN" w:bidi="ar-SA"/>
        </w:rPr>
        <w:t>（北京时间）</w:t>
      </w:r>
    </w:p>
    <w:p w14:paraId="744BC06D">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开标地点：投标人登录政采云平台https://www.zcygov.cn/，进入“项目采购-开标评标-右边选择对应项目点击“进入项目”进入开标大厅。</w:t>
      </w:r>
    </w:p>
    <w:p w14:paraId="4425A57E">
      <w:pPr>
        <w:keepNext w:val="0"/>
        <w:keepLines w:val="0"/>
        <w:pageBreakBefore w:val="0"/>
        <w:kinsoku/>
        <w:wordWrap/>
        <w:overflowPunct/>
        <w:topLinePunct w:val="0"/>
        <w:autoSpaceDE/>
        <w:autoSpaceDN/>
        <w:bidi w:val="0"/>
        <w:adjustRightInd/>
        <w:snapToGrid/>
        <w:spacing w:line="420" w:lineRule="exact"/>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eastAsia="zh-CN" w:bidi="ar-SA"/>
        </w:rPr>
        <w:t>五、公告期限</w:t>
      </w:r>
      <w:r>
        <w:rPr>
          <w:rFonts w:hint="eastAsia" w:ascii="仿宋" w:hAnsi="仿宋" w:eastAsia="仿宋" w:cs="仿宋"/>
          <w:b/>
          <w:bCs/>
          <w:color w:val="auto"/>
          <w:kern w:val="2"/>
          <w:sz w:val="24"/>
          <w:szCs w:val="24"/>
          <w:highlight w:val="none"/>
          <w:lang w:val="en-US" w:eastAsia="zh-CN" w:bidi="ar-SA"/>
        </w:rPr>
        <w:tab/>
      </w:r>
    </w:p>
    <w:p w14:paraId="2581341E">
      <w:pPr>
        <w:keepNext w:val="0"/>
        <w:keepLines w:val="0"/>
        <w:pageBreakBefore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自本公告发布之日起5个工作日</w:t>
      </w:r>
    </w:p>
    <w:p w14:paraId="6642AA6B">
      <w:pPr>
        <w:keepNext w:val="0"/>
        <w:keepLines w:val="0"/>
        <w:pageBreakBefore w:val="0"/>
        <w:numPr>
          <w:ilvl w:val="0"/>
          <w:numId w:val="3"/>
        </w:numPr>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kern w:val="2"/>
          <w:sz w:val="24"/>
          <w:szCs w:val="24"/>
          <w:highlight w:val="none"/>
          <w:lang w:eastAsia="zh-CN" w:bidi="ar-SA"/>
        </w:rPr>
      </w:pPr>
      <w:r>
        <w:rPr>
          <w:rFonts w:hint="eastAsia" w:ascii="仿宋" w:hAnsi="仿宋" w:eastAsia="仿宋" w:cs="仿宋"/>
          <w:b/>
          <w:bCs/>
          <w:color w:val="auto"/>
          <w:kern w:val="2"/>
          <w:sz w:val="24"/>
          <w:szCs w:val="24"/>
          <w:highlight w:val="none"/>
          <w:lang w:eastAsia="zh-CN" w:bidi="ar-SA"/>
        </w:rPr>
        <w:t>其他补充事宜</w:t>
      </w:r>
    </w:p>
    <w:p w14:paraId="20153AB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 </w:t>
      </w:r>
      <w:r>
        <w:rPr>
          <w:rFonts w:hint="eastAsia" w:ascii="仿宋" w:hAnsi="仿宋" w:eastAsia="仿宋" w:cs="仿宋"/>
          <w:b w:val="0"/>
          <w:bCs w:val="0"/>
          <w:i w:val="0"/>
          <w:iCs w:val="0"/>
          <w:caps w:val="0"/>
          <w:color w:val="auto"/>
          <w:spacing w:val="0"/>
          <w:sz w:val="24"/>
          <w:szCs w:val="24"/>
          <w:highlight w:val="none"/>
          <w:lang w:val="en-US" w:eastAsia="zh-CN"/>
        </w:rPr>
        <w:t xml:space="preserve">   </w:t>
      </w:r>
      <w:r>
        <w:rPr>
          <w:rFonts w:hint="eastAsia" w:ascii="仿宋" w:hAnsi="仿宋" w:eastAsia="仿宋" w:cs="仿宋"/>
          <w:b w:val="0"/>
          <w:bCs w:val="0"/>
          <w:i w:val="0"/>
          <w:iCs w:val="0"/>
          <w:caps w:val="0"/>
          <w:color w:val="auto"/>
          <w:spacing w:val="0"/>
          <w:sz w:val="24"/>
          <w:szCs w:val="24"/>
          <w:highlight w:val="none"/>
        </w:rPr>
        <w:t>1、本项目实行网上投标，采用电子投标文件。</w:t>
      </w:r>
    </w:p>
    <w:p w14:paraId="24126A5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  </w:t>
      </w:r>
      <w:r>
        <w:rPr>
          <w:rFonts w:hint="eastAsia" w:ascii="仿宋" w:hAnsi="仿宋" w:eastAsia="仿宋" w:cs="仿宋"/>
          <w:b w:val="0"/>
          <w:bCs w:val="0"/>
          <w:i w:val="0"/>
          <w:iCs w:val="0"/>
          <w:caps w:val="0"/>
          <w:color w:val="auto"/>
          <w:spacing w:val="0"/>
          <w:sz w:val="24"/>
          <w:szCs w:val="24"/>
          <w:highlight w:val="none"/>
          <w:lang w:val="en-US" w:eastAsia="zh-CN"/>
        </w:rPr>
        <w:t xml:space="preserve"> </w:t>
      </w:r>
      <w:r>
        <w:rPr>
          <w:rFonts w:hint="eastAsia" w:ascii="仿宋" w:hAnsi="仿宋" w:eastAsia="仿宋" w:cs="仿宋"/>
          <w:b w:val="0"/>
          <w:bCs w:val="0"/>
          <w:i w:val="0"/>
          <w:iCs w:val="0"/>
          <w:caps w:val="0"/>
          <w:color w:val="auto"/>
          <w:spacing w:val="0"/>
          <w:sz w:val="24"/>
          <w:szCs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B91777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62C8B1E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   </w:t>
      </w:r>
      <w:r>
        <w:rPr>
          <w:rFonts w:hint="eastAsia" w:ascii="仿宋" w:hAnsi="仿宋" w:eastAsia="仿宋" w:cs="仿宋"/>
          <w:b w:val="0"/>
          <w:bCs w:val="0"/>
          <w:i w:val="0"/>
          <w:iCs w:val="0"/>
          <w:caps w:val="0"/>
          <w:color w:val="auto"/>
          <w:spacing w:val="0"/>
          <w:sz w:val="24"/>
          <w:szCs w:val="24"/>
          <w:highlight w:val="none"/>
          <w:lang w:val="en-US" w:eastAsia="zh-CN"/>
        </w:rPr>
        <w:t xml:space="preserve"> </w:t>
      </w:r>
      <w:r>
        <w:rPr>
          <w:rFonts w:hint="eastAsia" w:ascii="仿宋" w:hAnsi="仿宋" w:eastAsia="仿宋" w:cs="仿宋"/>
          <w:b w:val="0"/>
          <w:bCs w:val="0"/>
          <w:i w:val="0"/>
          <w:iCs w:val="0"/>
          <w:caps w:val="0"/>
          <w:color w:val="auto"/>
          <w:spacing w:val="0"/>
          <w:sz w:val="24"/>
          <w:szCs w:val="24"/>
          <w:highlight w:val="none"/>
        </w:rPr>
        <w:t> 4、其他事项： /  </w:t>
      </w:r>
    </w:p>
    <w:p w14:paraId="1C06144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七、对本次采购提出询问，请按以下方式联系</w:t>
      </w:r>
    </w:p>
    <w:p w14:paraId="357823D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7BFEF4B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名 称：克孜勒苏柯尔克孜自治州维吾尔医医院</w:t>
      </w:r>
    </w:p>
    <w:p w14:paraId="694EAB7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址：克州阿图什市光明南路19号院</w:t>
      </w:r>
    </w:p>
    <w:p w14:paraId="2258BC6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19609089080</w:t>
      </w:r>
    </w:p>
    <w:p w14:paraId="3136956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0DA81E8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604E12C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址：阿图什市帕米尔东路10号君享豪庭酒店六楼  　  　</w:t>
      </w:r>
    </w:p>
    <w:p w14:paraId="03AB57E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w:t>
      </w:r>
    </w:p>
    <w:p w14:paraId="1FC6BFF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电  话：18609088999</w:t>
      </w:r>
    </w:p>
    <w:bookmarkEnd w:id="1"/>
    <w:p w14:paraId="38074AA6">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392FE397">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4DE7C206">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191753CE">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5E112ED3">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2CE44166">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0FEE5F8B">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6713A336">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222EC226">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3646BD89">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3765AB47">
      <w:pPr>
        <w:numPr>
          <w:ilvl w:val="0"/>
          <w:numId w:val="0"/>
        </w:numPr>
        <w:spacing w:line="360" w:lineRule="auto"/>
        <w:jc w:val="center"/>
        <w:rPr>
          <w:rFonts w:hint="eastAsia" w:ascii="仿宋" w:hAnsi="仿宋" w:eastAsia="仿宋" w:cs="仿宋"/>
          <w:b/>
          <w:bCs/>
          <w:color w:val="auto"/>
          <w:sz w:val="36"/>
          <w:szCs w:val="36"/>
          <w:highlight w:val="none"/>
          <w:lang w:eastAsia="zh-CN"/>
        </w:rPr>
      </w:pPr>
    </w:p>
    <w:p w14:paraId="00FF2A3D">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36"/>
          <w:szCs w:val="36"/>
          <w:highlight w:val="none"/>
          <w:lang w:eastAsia="zh-CN"/>
        </w:rPr>
        <w:t>第二章</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投标人</w:t>
      </w:r>
      <w:r>
        <w:rPr>
          <w:rFonts w:hint="eastAsia" w:ascii="仿宋" w:hAnsi="仿宋" w:eastAsia="仿宋" w:cs="仿宋"/>
          <w:b/>
          <w:bCs/>
          <w:color w:val="auto"/>
          <w:sz w:val="36"/>
          <w:szCs w:val="36"/>
          <w:highlight w:val="none"/>
        </w:rPr>
        <w:t>须知</w:t>
      </w:r>
    </w:p>
    <w:p w14:paraId="25235575">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须知前附表</w:t>
      </w:r>
    </w:p>
    <w:tbl>
      <w:tblPr>
        <w:tblStyle w:val="27"/>
        <w:tblW w:w="9908" w:type="dxa"/>
        <w:jc w:val="center"/>
        <w:tblLayout w:type="autofit"/>
        <w:tblCellMar>
          <w:top w:w="0" w:type="dxa"/>
          <w:left w:w="108" w:type="dxa"/>
          <w:bottom w:w="0" w:type="dxa"/>
          <w:right w:w="108" w:type="dxa"/>
        </w:tblCellMar>
      </w:tblPr>
      <w:tblGrid>
        <w:gridCol w:w="558"/>
        <w:gridCol w:w="1682"/>
        <w:gridCol w:w="7668"/>
      </w:tblGrid>
      <w:tr w14:paraId="03B377F9">
        <w:tblPrEx>
          <w:tblCellMar>
            <w:top w:w="0" w:type="dxa"/>
            <w:left w:w="108" w:type="dxa"/>
            <w:bottom w:w="0" w:type="dxa"/>
            <w:right w:w="108" w:type="dxa"/>
          </w:tblCellMar>
        </w:tblPrEx>
        <w:trPr>
          <w:trHeight w:val="56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C3208E2">
            <w:pPr>
              <w:keepNext w:val="0"/>
              <w:keepLines w:val="0"/>
              <w:pageBreakBefore w:val="0"/>
              <w:widowControl/>
              <w:kinsoku/>
              <w:wordWrap/>
              <w:overflowPunct w:val="0"/>
              <w:topLinePunct w:val="0"/>
              <w:autoSpaceDE w:val="0"/>
              <w:autoSpaceDN w:val="0"/>
              <w:bidi w:val="0"/>
              <w:spacing w:line="400" w:lineRule="exact"/>
              <w:jc w:val="center"/>
              <w:rPr>
                <w:rFonts w:ascii="仿宋" w:hAnsi="仿宋" w:eastAsia="仿宋" w:cs="仿宋"/>
                <w:b/>
                <w:color w:val="auto"/>
                <w:highlight w:val="none"/>
              </w:rPr>
            </w:pPr>
            <w:r>
              <w:rPr>
                <w:rFonts w:hint="eastAsia" w:ascii="仿宋" w:hAnsi="仿宋" w:eastAsia="仿宋" w:cs="仿宋"/>
                <w:b/>
                <w:color w:val="auto"/>
                <w:highlight w:val="none"/>
              </w:rPr>
              <w:t>序 号</w:t>
            </w:r>
          </w:p>
        </w:tc>
        <w:tc>
          <w:tcPr>
            <w:tcW w:w="1682" w:type="dxa"/>
            <w:tcBorders>
              <w:top w:val="single" w:color="auto" w:sz="4" w:space="0"/>
              <w:left w:val="single" w:color="auto" w:sz="4" w:space="0"/>
              <w:bottom w:val="single" w:color="auto" w:sz="4" w:space="0"/>
              <w:right w:val="single" w:color="auto" w:sz="4" w:space="0"/>
            </w:tcBorders>
            <w:vAlign w:val="center"/>
          </w:tcPr>
          <w:p w14:paraId="274907BA">
            <w:pPr>
              <w:keepNext w:val="0"/>
              <w:keepLines w:val="0"/>
              <w:pageBreakBefore w:val="0"/>
              <w:widowControl/>
              <w:kinsoku/>
              <w:wordWrap/>
              <w:overflowPunct w:val="0"/>
              <w:topLinePunct w:val="0"/>
              <w:autoSpaceDE w:val="0"/>
              <w:autoSpaceDN w:val="0"/>
              <w:bidi w:val="0"/>
              <w:spacing w:line="400" w:lineRule="exact"/>
              <w:jc w:val="center"/>
              <w:rPr>
                <w:rFonts w:ascii="仿宋" w:hAnsi="仿宋" w:eastAsia="仿宋" w:cs="仿宋"/>
                <w:b/>
                <w:color w:val="auto"/>
                <w:highlight w:val="none"/>
              </w:rPr>
            </w:pPr>
            <w:r>
              <w:rPr>
                <w:rFonts w:hint="eastAsia" w:ascii="仿宋" w:hAnsi="仿宋" w:eastAsia="仿宋" w:cs="仿宋"/>
                <w:b/>
                <w:color w:val="auto"/>
                <w:highlight w:val="none"/>
              </w:rPr>
              <w:t>名  称</w:t>
            </w:r>
          </w:p>
        </w:tc>
        <w:tc>
          <w:tcPr>
            <w:tcW w:w="7668" w:type="dxa"/>
            <w:tcBorders>
              <w:top w:val="single" w:color="auto" w:sz="4" w:space="0"/>
              <w:left w:val="single" w:color="auto" w:sz="4" w:space="0"/>
              <w:bottom w:val="single" w:color="auto" w:sz="4" w:space="0"/>
              <w:right w:val="single" w:color="auto" w:sz="4" w:space="0"/>
            </w:tcBorders>
            <w:vAlign w:val="center"/>
          </w:tcPr>
          <w:p w14:paraId="6CBF3FA4">
            <w:pPr>
              <w:keepNext w:val="0"/>
              <w:keepLines w:val="0"/>
              <w:pageBreakBefore w:val="0"/>
              <w:widowControl/>
              <w:kinsoku/>
              <w:wordWrap/>
              <w:overflowPunct w:val="0"/>
              <w:topLinePunct w:val="0"/>
              <w:autoSpaceDE w:val="0"/>
              <w:autoSpaceDN w:val="0"/>
              <w:bidi w:val="0"/>
              <w:spacing w:line="400" w:lineRule="exact"/>
              <w:jc w:val="center"/>
              <w:rPr>
                <w:rFonts w:ascii="仿宋" w:hAnsi="仿宋" w:eastAsia="仿宋" w:cs="仿宋"/>
                <w:b/>
                <w:color w:val="auto"/>
                <w:highlight w:val="none"/>
              </w:rPr>
            </w:pPr>
            <w:r>
              <w:rPr>
                <w:rFonts w:hint="eastAsia" w:ascii="仿宋" w:hAnsi="仿宋" w:eastAsia="仿宋" w:cs="仿宋"/>
                <w:b/>
                <w:color w:val="auto"/>
                <w:highlight w:val="none"/>
              </w:rPr>
              <w:t>编  列  内  容</w:t>
            </w:r>
          </w:p>
        </w:tc>
      </w:tr>
      <w:tr w14:paraId="26232291">
        <w:tblPrEx>
          <w:tblCellMar>
            <w:top w:w="0" w:type="dxa"/>
            <w:left w:w="108" w:type="dxa"/>
            <w:bottom w:w="0" w:type="dxa"/>
            <w:right w:w="108" w:type="dxa"/>
          </w:tblCellMar>
        </w:tblPrEx>
        <w:trPr>
          <w:trHeight w:val="220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A363A50">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1682" w:type="dxa"/>
            <w:tcBorders>
              <w:top w:val="single" w:color="auto" w:sz="4" w:space="0"/>
              <w:left w:val="single" w:color="auto" w:sz="4" w:space="0"/>
              <w:bottom w:val="single" w:color="auto" w:sz="4" w:space="0"/>
              <w:right w:val="single" w:color="auto" w:sz="4" w:space="0"/>
            </w:tcBorders>
            <w:vAlign w:val="center"/>
          </w:tcPr>
          <w:p w14:paraId="4E9B15CA">
            <w:pPr>
              <w:keepNext w:val="0"/>
              <w:keepLines w:val="0"/>
              <w:pageBreakBefore w:val="0"/>
              <w:kinsoku/>
              <w:wordWrap/>
              <w:overflowPunct w:val="0"/>
              <w:topLinePunct w:val="0"/>
              <w:autoSpaceDE w:val="0"/>
              <w:autoSpaceDN w:val="0"/>
              <w:bidi w:val="0"/>
              <w:spacing w:line="40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项目名称：</w:t>
            </w:r>
          </w:p>
          <w:p w14:paraId="1B0A7F06">
            <w:pPr>
              <w:keepNext w:val="0"/>
              <w:keepLines w:val="0"/>
              <w:pageBreakBefore w:val="0"/>
              <w:kinsoku/>
              <w:wordWrap/>
              <w:overflowPunct w:val="0"/>
              <w:topLinePunct w:val="0"/>
              <w:autoSpaceDE w:val="0"/>
              <w:autoSpaceDN w:val="0"/>
              <w:bidi w:val="0"/>
              <w:spacing w:line="40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p>
          <w:p w14:paraId="07BF0BC8">
            <w:pPr>
              <w:keepNext w:val="0"/>
              <w:keepLines w:val="0"/>
              <w:pageBreakBefore w:val="0"/>
              <w:kinsoku/>
              <w:wordWrap/>
              <w:overflowPunct w:val="0"/>
              <w:topLinePunct w:val="0"/>
              <w:autoSpaceDE w:val="0"/>
              <w:autoSpaceDN w:val="0"/>
              <w:bidi w:val="0"/>
              <w:spacing w:line="400" w:lineRule="exact"/>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采购内容：</w:t>
            </w:r>
          </w:p>
          <w:p w14:paraId="0DB9668F">
            <w:pPr>
              <w:keepNext w:val="0"/>
              <w:keepLines w:val="0"/>
              <w:pageBreakBefore w:val="0"/>
              <w:kinsoku/>
              <w:wordWrap/>
              <w:overflowPunct w:val="0"/>
              <w:topLinePunct w:val="0"/>
              <w:autoSpaceDE w:val="0"/>
              <w:autoSpaceDN w:val="0"/>
              <w:bidi w:val="0"/>
              <w:spacing w:line="400" w:lineRule="exact"/>
              <w:jc w:val="both"/>
              <w:rPr>
                <w:rFonts w:hint="eastAsia"/>
                <w:lang w:val="en-US" w:eastAsia="zh-CN"/>
              </w:rPr>
            </w:pPr>
            <w:r>
              <w:rPr>
                <w:rFonts w:hint="eastAsia" w:ascii="仿宋" w:hAnsi="仿宋" w:eastAsia="仿宋" w:cs="仿宋"/>
                <w:color w:val="auto"/>
                <w:highlight w:val="none"/>
                <w:lang w:val="en-US" w:eastAsia="zh-CN"/>
              </w:rPr>
              <w:t>交货期：</w:t>
            </w:r>
          </w:p>
        </w:tc>
        <w:tc>
          <w:tcPr>
            <w:tcW w:w="7668" w:type="dxa"/>
            <w:tcBorders>
              <w:top w:val="single" w:color="auto" w:sz="4" w:space="0"/>
              <w:left w:val="single" w:color="auto" w:sz="4" w:space="0"/>
              <w:bottom w:val="single" w:color="auto" w:sz="4" w:space="0"/>
              <w:right w:val="single" w:color="auto" w:sz="4" w:space="0"/>
            </w:tcBorders>
            <w:vAlign w:val="center"/>
          </w:tcPr>
          <w:p w14:paraId="0A169E13">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项目名称：2026年试剂耗材采购项目（二次）</w:t>
            </w:r>
          </w:p>
          <w:p w14:paraId="563CA7D2">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FF0000"/>
                <w:highlight w:val="none"/>
                <w:lang w:val="en-US" w:eastAsia="zh-CN"/>
              </w:rPr>
              <w:t>KZZB-2026035-1</w:t>
            </w:r>
          </w:p>
          <w:p w14:paraId="4898522C">
            <w:pPr>
              <w:keepNext w:val="0"/>
              <w:keepLines w:val="0"/>
              <w:pageBreakBefore w:val="0"/>
              <w:numPr>
                <w:ilvl w:val="0"/>
                <w:numId w:val="0"/>
              </w:numPr>
              <w:wordWrap/>
              <w:overflowPunct/>
              <w:topLinePunct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采购内容：采购试剂耗材1批（具体采购内容详见采购清单）</w:t>
            </w:r>
          </w:p>
          <w:p w14:paraId="041E8A4E">
            <w:pPr>
              <w:keepNext w:val="0"/>
              <w:keepLines w:val="0"/>
              <w:pageBreakBefore w:val="0"/>
              <w:numPr>
                <w:ilvl w:val="0"/>
                <w:numId w:val="0"/>
              </w:numPr>
              <w:wordWrap/>
              <w:overflowPunct/>
              <w:topLinePunct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shd w:val="clear"/>
                <w:lang w:val="en-US" w:eastAsia="zh-CN"/>
              </w:rPr>
              <w:t>交货期：需按采购计划分批次供货，收到配送清单之日起3天内完成供货。</w:t>
            </w:r>
            <w:r>
              <w:rPr>
                <w:rFonts w:hint="eastAsia" w:ascii="仿宋" w:hAnsi="仿宋" w:eastAsia="仿宋" w:cs="仿宋"/>
                <w:b w:val="0"/>
                <w:bCs w:val="0"/>
                <w:color w:val="auto"/>
                <w:sz w:val="24"/>
                <w:szCs w:val="24"/>
                <w:lang w:eastAsia="zh-CN"/>
              </w:rPr>
              <w:t>（具体以甲乙双方签订合同为准）</w:t>
            </w:r>
          </w:p>
        </w:tc>
      </w:tr>
      <w:tr w14:paraId="7E6F1520">
        <w:tblPrEx>
          <w:tblCellMar>
            <w:top w:w="0" w:type="dxa"/>
            <w:left w:w="108" w:type="dxa"/>
            <w:bottom w:w="0" w:type="dxa"/>
            <w:right w:w="108" w:type="dxa"/>
          </w:tblCellMar>
        </w:tblPrEx>
        <w:trPr>
          <w:trHeight w:val="98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E4DC3AD">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1682" w:type="dxa"/>
            <w:tcBorders>
              <w:top w:val="single" w:color="auto" w:sz="4" w:space="0"/>
              <w:left w:val="single" w:color="auto" w:sz="4" w:space="0"/>
              <w:bottom w:val="single" w:color="auto" w:sz="4" w:space="0"/>
              <w:right w:val="single" w:color="auto" w:sz="4" w:space="0"/>
            </w:tcBorders>
            <w:vAlign w:val="center"/>
          </w:tcPr>
          <w:p w14:paraId="22DAF9F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采购人信息</w:t>
            </w:r>
          </w:p>
        </w:tc>
        <w:tc>
          <w:tcPr>
            <w:tcW w:w="7668" w:type="dxa"/>
            <w:tcBorders>
              <w:top w:val="single" w:color="auto" w:sz="4" w:space="0"/>
              <w:left w:val="single" w:color="auto" w:sz="4" w:space="0"/>
              <w:bottom w:val="single" w:color="auto" w:sz="4" w:space="0"/>
              <w:right w:val="single" w:color="auto" w:sz="4" w:space="0"/>
            </w:tcBorders>
            <w:vAlign w:val="center"/>
          </w:tcPr>
          <w:p w14:paraId="535150D5">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color w:val="auto"/>
                <w:highlight w:val="none"/>
                <w:lang w:eastAsia="zh-CN"/>
              </w:rPr>
              <w:t>名  称：</w:t>
            </w:r>
            <w:r>
              <w:rPr>
                <w:rFonts w:hint="eastAsia" w:ascii="仿宋" w:hAnsi="仿宋" w:eastAsia="仿宋" w:cs="仿宋"/>
                <w:i w:val="0"/>
                <w:iCs w:val="0"/>
                <w:caps w:val="0"/>
                <w:color w:val="auto"/>
                <w:spacing w:val="0"/>
                <w:sz w:val="24"/>
                <w:szCs w:val="24"/>
                <w:highlight w:val="none"/>
                <w:lang w:val="en-US" w:eastAsia="zh-CN"/>
              </w:rPr>
              <w:t xml:space="preserve">克孜勒苏柯尔克孜自治州维吾尔医医院 </w:t>
            </w:r>
          </w:p>
          <w:p w14:paraId="2E17493F">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 xml:space="preserve">联系人：田先生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电  话：</w:t>
            </w:r>
            <w:r>
              <w:rPr>
                <w:rFonts w:hint="eastAsia" w:ascii="仿宋" w:hAnsi="仿宋" w:eastAsia="仿宋" w:cs="仿宋"/>
                <w:color w:val="auto"/>
                <w:highlight w:val="none"/>
                <w:lang w:val="en-US" w:eastAsia="zh-CN"/>
              </w:rPr>
              <w:t>19609089080</w:t>
            </w:r>
          </w:p>
        </w:tc>
      </w:tr>
      <w:tr w14:paraId="763B2BCD">
        <w:tblPrEx>
          <w:tblCellMar>
            <w:top w:w="0" w:type="dxa"/>
            <w:left w:w="108" w:type="dxa"/>
            <w:bottom w:w="0" w:type="dxa"/>
            <w:right w:w="108" w:type="dxa"/>
          </w:tblCellMar>
        </w:tblPrEx>
        <w:trPr>
          <w:trHeight w:val="124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96B7615">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1682" w:type="dxa"/>
            <w:tcBorders>
              <w:top w:val="single" w:color="auto" w:sz="4" w:space="0"/>
              <w:left w:val="single" w:color="auto" w:sz="4" w:space="0"/>
              <w:bottom w:val="single" w:color="auto" w:sz="4" w:space="0"/>
              <w:right w:val="single" w:color="auto" w:sz="4" w:space="0"/>
            </w:tcBorders>
            <w:vAlign w:val="center"/>
          </w:tcPr>
          <w:p w14:paraId="7975B1D1">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采购代理机构</w:t>
            </w:r>
          </w:p>
        </w:tc>
        <w:tc>
          <w:tcPr>
            <w:tcW w:w="7668" w:type="dxa"/>
            <w:tcBorders>
              <w:top w:val="single" w:color="auto" w:sz="4" w:space="0"/>
              <w:left w:val="single" w:color="auto" w:sz="4" w:space="0"/>
              <w:bottom w:val="single" w:color="auto" w:sz="4" w:space="0"/>
              <w:right w:val="single" w:color="auto" w:sz="4" w:space="0"/>
            </w:tcBorders>
            <w:vAlign w:val="center"/>
          </w:tcPr>
          <w:p w14:paraId="2C9817D9">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名  称：鼎建项目管理有限公司</w:t>
            </w:r>
          </w:p>
          <w:p w14:paraId="7891B41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  址：</w:t>
            </w:r>
            <w:r>
              <w:rPr>
                <w:rFonts w:hint="eastAsia" w:ascii="仿宋" w:hAnsi="仿宋" w:eastAsia="仿宋" w:cs="仿宋"/>
                <w:i w:val="0"/>
                <w:iCs w:val="0"/>
                <w:caps w:val="0"/>
                <w:color w:val="auto"/>
                <w:spacing w:val="0"/>
                <w:sz w:val="24"/>
                <w:szCs w:val="24"/>
                <w:highlight w:val="none"/>
                <w:lang w:val="en-US" w:eastAsia="zh-CN"/>
              </w:rPr>
              <w:t xml:space="preserve">阿图什市帕米尔东路10号君享豪庭酒店六楼  </w:t>
            </w:r>
          </w:p>
          <w:p w14:paraId="618583AB">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联系人：朱</w:t>
            </w:r>
            <w:r>
              <w:rPr>
                <w:rFonts w:hint="eastAsia" w:ascii="仿宋" w:hAnsi="仿宋" w:eastAsia="仿宋" w:cs="仿宋"/>
                <w:color w:val="auto"/>
                <w:kern w:val="2"/>
                <w:highlight w:val="none"/>
                <w:lang w:eastAsia="zh-CN" w:bidi="ar-SA"/>
              </w:rPr>
              <w:t>先生</w:t>
            </w:r>
            <w:r>
              <w:rPr>
                <w:rFonts w:hint="eastAsia" w:ascii="仿宋" w:hAnsi="仿宋" w:eastAsia="仿宋" w:cs="仿宋"/>
                <w:color w:val="auto"/>
                <w:highlight w:val="none"/>
                <w:lang w:eastAsia="zh-CN"/>
              </w:rPr>
              <w:t xml:space="preserve">       电  话：</w:t>
            </w:r>
            <w:r>
              <w:rPr>
                <w:rFonts w:hint="eastAsia" w:ascii="仿宋" w:hAnsi="仿宋" w:eastAsia="仿宋" w:cs="仿宋"/>
                <w:color w:val="auto"/>
                <w:highlight w:val="none"/>
                <w:lang w:val="en-US" w:eastAsia="zh-CN"/>
              </w:rPr>
              <w:t>18609088999</w:t>
            </w:r>
          </w:p>
        </w:tc>
      </w:tr>
      <w:tr w14:paraId="24B531D6">
        <w:tblPrEx>
          <w:tblCellMar>
            <w:top w:w="0" w:type="dxa"/>
            <w:left w:w="108" w:type="dxa"/>
            <w:bottom w:w="0" w:type="dxa"/>
            <w:right w:w="108" w:type="dxa"/>
          </w:tblCellMar>
        </w:tblPrEx>
        <w:trPr>
          <w:trHeight w:val="77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6F092E7">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p>
        </w:tc>
        <w:tc>
          <w:tcPr>
            <w:tcW w:w="1682" w:type="dxa"/>
            <w:tcBorders>
              <w:top w:val="single" w:color="auto" w:sz="4" w:space="0"/>
              <w:left w:val="single" w:color="auto" w:sz="4" w:space="0"/>
              <w:bottom w:val="single" w:color="auto" w:sz="4" w:space="0"/>
              <w:right w:val="single" w:color="auto" w:sz="4" w:space="0"/>
            </w:tcBorders>
            <w:vAlign w:val="center"/>
          </w:tcPr>
          <w:p w14:paraId="66BB7EB3">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最终交货地点</w:t>
            </w:r>
          </w:p>
        </w:tc>
        <w:tc>
          <w:tcPr>
            <w:tcW w:w="7668" w:type="dxa"/>
            <w:tcBorders>
              <w:top w:val="single" w:color="auto" w:sz="4" w:space="0"/>
              <w:left w:val="single" w:color="auto" w:sz="4" w:space="0"/>
              <w:bottom w:val="single" w:color="auto" w:sz="4" w:space="0"/>
              <w:right w:val="single" w:color="auto" w:sz="4" w:space="0"/>
            </w:tcBorders>
            <w:vAlign w:val="center"/>
          </w:tcPr>
          <w:p w14:paraId="70E4929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甲方指定地点。</w:t>
            </w:r>
          </w:p>
        </w:tc>
      </w:tr>
      <w:tr w14:paraId="3D3C0A10">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73A6090">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1682" w:type="dxa"/>
            <w:tcBorders>
              <w:top w:val="single" w:color="auto" w:sz="4" w:space="0"/>
              <w:left w:val="single" w:color="auto" w:sz="4" w:space="0"/>
              <w:bottom w:val="single" w:color="auto" w:sz="4" w:space="0"/>
              <w:right w:val="single" w:color="auto" w:sz="4" w:space="0"/>
            </w:tcBorders>
            <w:vAlign w:val="center"/>
          </w:tcPr>
          <w:p w14:paraId="3B74C26B">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资格要求</w:t>
            </w:r>
          </w:p>
        </w:tc>
        <w:tc>
          <w:tcPr>
            <w:tcW w:w="7668" w:type="dxa"/>
            <w:tcBorders>
              <w:top w:val="single" w:color="auto" w:sz="4" w:space="0"/>
              <w:left w:val="single" w:color="auto" w:sz="4" w:space="0"/>
              <w:bottom w:val="single" w:color="auto" w:sz="4" w:space="0"/>
              <w:right w:val="single" w:color="auto" w:sz="4" w:space="0"/>
            </w:tcBorders>
            <w:vAlign w:val="center"/>
          </w:tcPr>
          <w:p w14:paraId="667D789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1.满足《中华人民共和国政府采购法》第二十二条规定；</w:t>
            </w:r>
          </w:p>
          <w:p w14:paraId="0B749DBB">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2.落实政府采购政策需满足的资格要求：本项目为非专门面向中小企业。</w:t>
            </w:r>
          </w:p>
          <w:p w14:paraId="60701C07">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3.本项目的特定资格要求：</w:t>
            </w:r>
          </w:p>
          <w:p w14:paraId="0B68C3A2">
            <w:pPr>
              <w:keepNext w:val="0"/>
              <w:keepLines w:val="0"/>
              <w:pageBreakBefore w:val="0"/>
              <w:kinsoku/>
              <w:wordWrap/>
              <w:overflowPunct/>
              <w:topLinePunct w:val="0"/>
              <w:autoSpaceDE/>
              <w:autoSpaceDN/>
              <w:bidi w:val="0"/>
              <w:spacing w:line="440" w:lineRule="exact"/>
              <w:ind w:firstLine="243"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1)具备三证合一营业执照副本；</w:t>
            </w:r>
          </w:p>
          <w:p w14:paraId="6F24A412">
            <w:pPr>
              <w:keepNext w:val="0"/>
              <w:keepLines w:val="0"/>
              <w:pageBreakBefore w:val="0"/>
              <w:kinsoku/>
              <w:wordWrap/>
              <w:overflowPunct/>
              <w:topLinePunct w:val="0"/>
              <w:autoSpaceDE/>
              <w:autoSpaceDN/>
              <w:bidi w:val="0"/>
              <w:spacing w:line="440" w:lineRule="exact"/>
              <w:ind w:firstLine="243"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2)法定代表人投标须提供法定代表人资格证明书，委托代理人投标须提供法定代表人资格证明及授权委托书；</w:t>
            </w:r>
          </w:p>
          <w:p w14:paraId="6A65B848">
            <w:pPr>
              <w:keepNext w:val="0"/>
              <w:keepLines w:val="0"/>
              <w:pageBreakBefore w:val="0"/>
              <w:kinsoku/>
              <w:wordWrap/>
              <w:overflowPunct/>
              <w:topLinePunct w:val="0"/>
              <w:autoSpaceDE/>
              <w:autoSpaceDN/>
              <w:bidi w:val="0"/>
              <w:spacing w:line="440" w:lineRule="exact"/>
              <w:ind w:firstLine="243"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3)投标企业须提供投标人（被授权在职人员）近6个月内任意一个月有效的社保证明；</w:t>
            </w:r>
          </w:p>
          <w:p w14:paraId="51D42E5C">
            <w:pPr>
              <w:pStyle w:val="38"/>
              <w:keepNext w:val="0"/>
              <w:keepLines w:val="0"/>
              <w:pageBreakBefore w:val="0"/>
              <w:kinsoku/>
              <w:wordWrap/>
              <w:overflowPunct/>
              <w:topLinePunct w:val="0"/>
              <w:autoSpaceDE/>
              <w:autoSpaceDN/>
              <w:bidi w:val="0"/>
              <w:spacing w:line="440" w:lineRule="exact"/>
              <w:ind w:left="0" w:leftChars="0" w:firstLine="243"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62012FC6">
            <w:pPr>
              <w:keepNext w:val="0"/>
              <w:keepLines w:val="0"/>
              <w:pageBreakBefore w:val="0"/>
              <w:kinsoku/>
              <w:wordWrap/>
              <w:overflowPunct/>
              <w:topLinePunct w:val="0"/>
              <w:autoSpaceDE/>
              <w:autoSpaceDN/>
              <w:bidi w:val="0"/>
              <w:spacing w:line="440" w:lineRule="exact"/>
              <w:ind w:firstLine="243"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Style w:val="30"/>
                <w:rFonts w:hint="eastAsia" w:ascii="仿宋" w:hAnsi="仿宋" w:eastAsia="仿宋" w:cs="仿宋"/>
                <w:b w:val="0"/>
                <w:bCs w:val="0"/>
                <w:color w:val="000000"/>
                <w:sz w:val="24"/>
                <w:szCs w:val="24"/>
                <w:lang w:val="en-US" w:eastAsia="zh-CN" w:bidi="en-US"/>
              </w:rPr>
              <w:t>投标企业须提供有效的《医疗器械生产许可证》或《医疗器械经营许可证》（二类医疗器械需提供医疗器械备案凭证）</w:t>
            </w:r>
            <w:r>
              <w:rPr>
                <w:rFonts w:hint="eastAsia" w:ascii="仿宋" w:hAnsi="仿宋" w:eastAsia="仿宋" w:cs="仿宋"/>
                <w:color w:val="auto"/>
                <w:sz w:val="24"/>
                <w:szCs w:val="24"/>
                <w:highlight w:val="none"/>
                <w:lang w:eastAsia="zh-CN"/>
              </w:rPr>
              <w:t>。</w:t>
            </w:r>
          </w:p>
          <w:p w14:paraId="31023362">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4.本项目不接受联合体投标。</w:t>
            </w:r>
          </w:p>
        </w:tc>
      </w:tr>
      <w:tr w14:paraId="1BAB92E4">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5120D7C">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1682" w:type="dxa"/>
            <w:tcBorders>
              <w:top w:val="single" w:color="auto" w:sz="4" w:space="0"/>
              <w:left w:val="single" w:color="auto" w:sz="4" w:space="0"/>
              <w:bottom w:val="single" w:color="auto" w:sz="4" w:space="0"/>
              <w:right w:val="single" w:color="auto" w:sz="4" w:space="0"/>
            </w:tcBorders>
            <w:vAlign w:val="center"/>
          </w:tcPr>
          <w:p w14:paraId="433A4A46">
            <w:pPr>
              <w:keepNext w:val="0"/>
              <w:keepLines w:val="0"/>
              <w:pageBreakBefore w:val="0"/>
              <w:kinsoku/>
              <w:wordWrap/>
              <w:overflowPunct w:val="0"/>
              <w:topLinePunct w:val="0"/>
              <w:autoSpaceDE w:val="0"/>
              <w:autoSpaceDN w:val="0"/>
              <w:bidi w:val="0"/>
              <w:spacing w:line="400" w:lineRule="exact"/>
              <w:jc w:val="center"/>
              <w:rPr>
                <w:rFonts w:hint="eastAsia" w:ascii="仿宋" w:hAnsi="仿宋" w:eastAsia="仿宋" w:cs="仿宋"/>
                <w:color w:val="auto"/>
                <w:highlight w:val="none"/>
                <w:lang w:eastAsia="zh-CN"/>
              </w:rPr>
            </w:pPr>
            <w:r>
              <w:rPr>
                <w:rFonts w:hint="eastAsia" w:ascii="仿宋" w:hAnsi="仿宋" w:eastAsia="仿宋" w:cs="仿宋"/>
                <w:color w:val="auto"/>
                <w:lang w:eastAsia="zh-CN"/>
              </w:rPr>
              <w:t>踏勘现场</w:t>
            </w:r>
          </w:p>
        </w:tc>
        <w:tc>
          <w:tcPr>
            <w:tcW w:w="7668" w:type="dxa"/>
            <w:tcBorders>
              <w:top w:val="single" w:color="auto" w:sz="4" w:space="0"/>
              <w:left w:val="single" w:color="auto" w:sz="4" w:space="0"/>
              <w:bottom w:val="single" w:color="auto" w:sz="4" w:space="0"/>
              <w:right w:val="single" w:color="auto" w:sz="4" w:space="0"/>
            </w:tcBorders>
            <w:vAlign w:val="center"/>
          </w:tcPr>
          <w:p w14:paraId="437CA137">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sz w:val="24"/>
                <w:highlight w:val="none"/>
              </w:rPr>
              <w:t>□</w:t>
            </w:r>
            <w:r>
              <w:rPr>
                <w:rFonts w:hint="eastAsia" w:ascii="仿宋" w:hAnsi="仿宋" w:eastAsia="仿宋" w:cs="仿宋"/>
                <w:color w:val="auto"/>
                <w:highlight w:val="none"/>
                <w:lang w:eastAsia="zh-CN"/>
              </w:rPr>
              <w:t>是</w:t>
            </w:r>
          </w:p>
          <w:p w14:paraId="51F47B91">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47969EBD">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731B568">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1682" w:type="dxa"/>
            <w:tcBorders>
              <w:top w:val="single" w:color="auto" w:sz="4" w:space="0"/>
              <w:left w:val="single" w:color="auto" w:sz="4" w:space="0"/>
              <w:bottom w:val="single" w:color="auto" w:sz="4" w:space="0"/>
              <w:right w:val="single" w:color="auto" w:sz="4" w:space="0"/>
            </w:tcBorders>
            <w:vAlign w:val="center"/>
          </w:tcPr>
          <w:p w14:paraId="214C655F">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668" w:type="dxa"/>
            <w:tcBorders>
              <w:top w:val="single" w:color="auto" w:sz="4" w:space="0"/>
              <w:left w:val="single" w:color="auto" w:sz="4" w:space="0"/>
              <w:bottom w:val="single" w:color="auto" w:sz="4" w:space="0"/>
              <w:right w:val="single" w:color="auto" w:sz="4" w:space="0"/>
            </w:tcBorders>
            <w:vAlign w:val="center"/>
          </w:tcPr>
          <w:p w14:paraId="45F100F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自筹资金</w:t>
            </w:r>
          </w:p>
        </w:tc>
      </w:tr>
      <w:tr w14:paraId="66AFCF80">
        <w:tblPrEx>
          <w:tblCellMar>
            <w:top w:w="0" w:type="dxa"/>
            <w:left w:w="108" w:type="dxa"/>
            <w:bottom w:w="0" w:type="dxa"/>
            <w:right w:w="108" w:type="dxa"/>
          </w:tblCellMar>
        </w:tblPrEx>
        <w:trPr>
          <w:trHeight w:val="52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22E9D34">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p>
        </w:tc>
        <w:tc>
          <w:tcPr>
            <w:tcW w:w="1682" w:type="dxa"/>
            <w:tcBorders>
              <w:top w:val="single" w:color="auto" w:sz="4" w:space="0"/>
              <w:left w:val="single" w:color="auto" w:sz="4" w:space="0"/>
              <w:bottom w:val="single" w:color="auto" w:sz="4" w:space="0"/>
              <w:right w:val="single" w:color="auto" w:sz="4" w:space="0"/>
            </w:tcBorders>
            <w:vAlign w:val="center"/>
          </w:tcPr>
          <w:p w14:paraId="1C67BC59">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招标方式</w:t>
            </w:r>
          </w:p>
        </w:tc>
        <w:tc>
          <w:tcPr>
            <w:tcW w:w="7668" w:type="dxa"/>
            <w:tcBorders>
              <w:top w:val="single" w:color="auto" w:sz="4" w:space="0"/>
              <w:left w:val="single" w:color="auto" w:sz="4" w:space="0"/>
              <w:bottom w:val="single" w:color="auto" w:sz="4" w:space="0"/>
              <w:right w:val="single" w:color="auto" w:sz="4" w:space="0"/>
            </w:tcBorders>
            <w:vAlign w:val="center"/>
          </w:tcPr>
          <w:p w14:paraId="563A3F9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公开招标(本项目采用网上电子招投标)  </w:t>
            </w:r>
          </w:p>
        </w:tc>
      </w:tr>
      <w:tr w14:paraId="7FE12BDF">
        <w:tblPrEx>
          <w:tblCellMar>
            <w:top w:w="0" w:type="dxa"/>
            <w:left w:w="108" w:type="dxa"/>
            <w:bottom w:w="0" w:type="dxa"/>
            <w:right w:w="108" w:type="dxa"/>
          </w:tblCellMar>
        </w:tblPrEx>
        <w:trPr>
          <w:trHeight w:val="404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94FE097">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1682" w:type="dxa"/>
            <w:tcBorders>
              <w:top w:val="single" w:color="auto" w:sz="4" w:space="0"/>
              <w:left w:val="single" w:color="auto" w:sz="4" w:space="0"/>
              <w:bottom w:val="single" w:color="auto" w:sz="4" w:space="0"/>
              <w:right w:val="single" w:color="auto" w:sz="4" w:space="0"/>
            </w:tcBorders>
            <w:vAlign w:val="center"/>
          </w:tcPr>
          <w:p w14:paraId="1F573BE3">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供应商信用查询</w:t>
            </w:r>
          </w:p>
        </w:tc>
        <w:tc>
          <w:tcPr>
            <w:tcW w:w="7668" w:type="dxa"/>
            <w:tcBorders>
              <w:top w:val="single" w:color="auto" w:sz="4" w:space="0"/>
              <w:left w:val="single" w:color="auto" w:sz="4" w:space="0"/>
              <w:bottom w:val="single" w:color="auto" w:sz="4" w:space="0"/>
              <w:right w:val="single" w:color="auto" w:sz="4" w:space="0"/>
            </w:tcBorders>
            <w:vAlign w:val="center"/>
          </w:tcPr>
          <w:p w14:paraId="7CBEA655">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1、查询渠道：信用中国（网址：http://www.creditchina.gov.cn）、中国政府采购网(网址：http://www.ccgp.gov.cn）。</w:t>
            </w:r>
          </w:p>
          <w:p w14:paraId="793BDDF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2、截止时点：开标后评标前。</w:t>
            </w:r>
          </w:p>
          <w:p w14:paraId="1988596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3、信用信息查询记录和证据留存的具体方式：由采购组织机构在规定查询时间内打印信用信息查询记录并归入项目档案。</w:t>
            </w:r>
          </w:p>
          <w:p w14:paraId="7803CC7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121CB90B">
        <w:tblPrEx>
          <w:tblCellMar>
            <w:top w:w="0" w:type="dxa"/>
            <w:left w:w="108" w:type="dxa"/>
            <w:bottom w:w="0" w:type="dxa"/>
            <w:right w:w="108" w:type="dxa"/>
          </w:tblCellMar>
        </w:tblPrEx>
        <w:trPr>
          <w:trHeight w:val="104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BD2E2FB">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682" w:type="dxa"/>
            <w:tcBorders>
              <w:top w:val="single" w:color="auto" w:sz="4" w:space="0"/>
              <w:left w:val="single" w:color="auto" w:sz="4" w:space="0"/>
              <w:bottom w:val="single" w:color="auto" w:sz="4" w:space="0"/>
              <w:right w:val="single" w:color="auto" w:sz="4" w:space="0"/>
            </w:tcBorders>
            <w:vAlign w:val="center"/>
          </w:tcPr>
          <w:p w14:paraId="018172BD">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是否接受联合体投标</w:t>
            </w:r>
          </w:p>
        </w:tc>
        <w:tc>
          <w:tcPr>
            <w:tcW w:w="7668" w:type="dxa"/>
            <w:tcBorders>
              <w:top w:val="single" w:color="auto" w:sz="4" w:space="0"/>
              <w:left w:val="single" w:color="auto" w:sz="4" w:space="0"/>
              <w:bottom w:val="single" w:color="auto" w:sz="4" w:space="0"/>
              <w:right w:val="single" w:color="auto" w:sz="4" w:space="0"/>
            </w:tcBorders>
            <w:vAlign w:val="center"/>
          </w:tcPr>
          <w:p w14:paraId="2D726F47">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■不接受</w:t>
            </w:r>
          </w:p>
          <w:p w14:paraId="09D9AC9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□接  受</w:t>
            </w:r>
          </w:p>
        </w:tc>
      </w:tr>
      <w:tr w14:paraId="202D415F">
        <w:tblPrEx>
          <w:tblCellMar>
            <w:top w:w="0" w:type="dxa"/>
            <w:left w:w="108" w:type="dxa"/>
            <w:bottom w:w="0" w:type="dxa"/>
            <w:right w:w="108" w:type="dxa"/>
          </w:tblCellMar>
        </w:tblPrEx>
        <w:trPr>
          <w:trHeight w:val="88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618FCE3">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682" w:type="dxa"/>
            <w:tcBorders>
              <w:top w:val="single" w:color="auto" w:sz="4" w:space="0"/>
              <w:left w:val="single" w:color="auto" w:sz="4" w:space="0"/>
              <w:bottom w:val="single" w:color="auto" w:sz="4" w:space="0"/>
              <w:right w:val="single" w:color="auto" w:sz="4" w:space="0"/>
            </w:tcBorders>
            <w:vAlign w:val="center"/>
          </w:tcPr>
          <w:p w14:paraId="0A02BD9B">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 （开标时间）</w:t>
            </w:r>
          </w:p>
        </w:tc>
        <w:tc>
          <w:tcPr>
            <w:tcW w:w="7668" w:type="dxa"/>
            <w:tcBorders>
              <w:top w:val="single" w:color="auto" w:sz="4" w:space="0"/>
              <w:left w:val="single" w:color="auto" w:sz="4" w:space="0"/>
              <w:bottom w:val="single" w:color="auto" w:sz="4" w:space="0"/>
              <w:right w:val="single" w:color="auto" w:sz="4" w:space="0"/>
            </w:tcBorders>
            <w:vAlign w:val="center"/>
          </w:tcPr>
          <w:p w14:paraId="5181461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截止时间：</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FF0000"/>
                <w:kern w:val="2"/>
                <w:highlight w:val="none"/>
                <w:u w:val="single"/>
                <w:lang w:eastAsia="zh-CN" w:bidi="ar-SA"/>
              </w:rPr>
              <w:t>202</w:t>
            </w:r>
            <w:r>
              <w:rPr>
                <w:rFonts w:hint="eastAsia" w:ascii="仿宋" w:hAnsi="仿宋" w:eastAsia="仿宋" w:cs="仿宋"/>
                <w:color w:val="FF0000"/>
                <w:kern w:val="2"/>
                <w:highlight w:val="none"/>
                <w:u w:val="single"/>
                <w:lang w:val="en-US" w:eastAsia="zh-CN" w:bidi="ar-SA"/>
              </w:rPr>
              <w:t xml:space="preserve">6 </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 6 </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 10 </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auto"/>
                <w:highlight w:val="none"/>
                <w:u w:val="single"/>
                <w:lang w:eastAsia="zh-CN"/>
              </w:rPr>
              <w:t>上午</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eastAsia="zh-CN"/>
              </w:rPr>
              <w:t>时</w:t>
            </w:r>
            <w:r>
              <w:rPr>
                <w:rFonts w:hint="eastAsia" w:ascii="仿宋" w:hAnsi="仿宋" w:eastAsia="仿宋" w:cs="仿宋"/>
                <w:color w:val="auto"/>
                <w:highlight w:val="none"/>
                <w:u w:val="single"/>
                <w:lang w:val="en-US" w:eastAsia="zh-CN"/>
              </w:rPr>
              <w:t>30</w:t>
            </w:r>
            <w:r>
              <w:rPr>
                <w:rFonts w:hint="eastAsia" w:ascii="仿宋" w:hAnsi="仿宋" w:eastAsia="仿宋" w:cs="仿宋"/>
                <w:color w:val="auto"/>
                <w:highlight w:val="none"/>
                <w:u w:val="single"/>
                <w:lang w:eastAsia="zh-CN"/>
              </w:rPr>
              <w:t>分</w:t>
            </w:r>
            <w:r>
              <w:rPr>
                <w:rFonts w:hint="eastAsia" w:ascii="仿宋" w:hAnsi="仿宋" w:eastAsia="仿宋" w:cs="仿宋"/>
                <w:color w:val="auto"/>
                <w:highlight w:val="none"/>
                <w:lang w:eastAsia="zh-CN"/>
              </w:rPr>
              <w:t>（北京时间）</w:t>
            </w:r>
          </w:p>
        </w:tc>
      </w:tr>
      <w:tr w14:paraId="46B0F79E">
        <w:tblPrEx>
          <w:tblCellMar>
            <w:top w:w="0" w:type="dxa"/>
            <w:left w:w="108" w:type="dxa"/>
            <w:bottom w:w="0" w:type="dxa"/>
            <w:right w:w="108" w:type="dxa"/>
          </w:tblCellMar>
        </w:tblPrEx>
        <w:trPr>
          <w:trHeight w:val="47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E4DF781">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w:t>
            </w:r>
          </w:p>
        </w:tc>
        <w:tc>
          <w:tcPr>
            <w:tcW w:w="1682" w:type="dxa"/>
            <w:tcBorders>
              <w:top w:val="single" w:color="auto" w:sz="4" w:space="0"/>
              <w:left w:val="single" w:color="auto" w:sz="4" w:space="0"/>
              <w:bottom w:val="single" w:color="auto" w:sz="4" w:space="0"/>
              <w:right w:val="single" w:color="auto" w:sz="4" w:space="0"/>
            </w:tcBorders>
            <w:vAlign w:val="center"/>
          </w:tcPr>
          <w:p w14:paraId="310ED695">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w:t>
            </w:r>
          </w:p>
        </w:tc>
        <w:tc>
          <w:tcPr>
            <w:tcW w:w="7668" w:type="dxa"/>
            <w:tcBorders>
              <w:top w:val="single" w:color="auto" w:sz="4" w:space="0"/>
              <w:left w:val="single" w:color="auto" w:sz="4" w:space="0"/>
              <w:bottom w:val="single" w:color="auto" w:sz="4" w:space="0"/>
              <w:right w:val="single" w:color="auto" w:sz="4" w:space="0"/>
            </w:tcBorders>
            <w:vAlign w:val="center"/>
          </w:tcPr>
          <w:p w14:paraId="55A15E8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投标有效期为</w:t>
            </w:r>
            <w:r>
              <w:rPr>
                <w:rFonts w:hint="eastAsia" w:ascii="仿宋" w:hAnsi="仿宋" w:eastAsia="仿宋" w:cs="仿宋"/>
                <w:color w:val="auto"/>
                <w:highlight w:val="none"/>
                <w:u w:val="single"/>
                <w:lang w:val="en-US" w:eastAsia="zh-CN"/>
              </w:rPr>
              <w:t xml:space="preserve"> 60</w:t>
            </w:r>
            <w:r>
              <w:rPr>
                <w:rFonts w:hint="eastAsia" w:ascii="仿宋" w:hAnsi="仿宋" w:eastAsia="仿宋" w:cs="仿宋"/>
                <w:color w:val="auto"/>
                <w:highlight w:val="none"/>
                <w:lang w:val="en-US" w:eastAsia="zh-CN"/>
              </w:rPr>
              <w:t>日历天（从投标截止之日算起）。在此期限内，凡符合本采购文件要求的投标文件均保持有效。</w:t>
            </w:r>
          </w:p>
        </w:tc>
      </w:tr>
      <w:tr w14:paraId="060B0263">
        <w:tblPrEx>
          <w:tblCellMar>
            <w:top w:w="0" w:type="dxa"/>
            <w:left w:w="108" w:type="dxa"/>
            <w:bottom w:w="0" w:type="dxa"/>
            <w:right w:w="108" w:type="dxa"/>
          </w:tblCellMar>
        </w:tblPrEx>
        <w:trPr>
          <w:trHeight w:val="63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164465C">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w:t>
            </w:r>
          </w:p>
        </w:tc>
        <w:tc>
          <w:tcPr>
            <w:tcW w:w="1682" w:type="dxa"/>
            <w:tcBorders>
              <w:top w:val="single" w:color="auto" w:sz="4" w:space="0"/>
              <w:left w:val="single" w:color="auto" w:sz="4" w:space="0"/>
              <w:bottom w:val="single" w:color="auto" w:sz="4" w:space="0"/>
              <w:right w:val="single" w:color="auto" w:sz="4" w:space="0"/>
            </w:tcBorders>
            <w:vAlign w:val="center"/>
          </w:tcPr>
          <w:p w14:paraId="07C93A15">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w:t>
            </w:r>
          </w:p>
        </w:tc>
        <w:tc>
          <w:tcPr>
            <w:tcW w:w="7668" w:type="dxa"/>
            <w:tcBorders>
              <w:top w:val="single" w:color="auto" w:sz="4" w:space="0"/>
              <w:left w:val="single" w:color="auto" w:sz="4" w:space="0"/>
              <w:bottom w:val="single" w:color="auto" w:sz="4" w:space="0"/>
              <w:right w:val="single" w:color="auto" w:sz="4" w:space="0"/>
            </w:tcBorders>
            <w:vAlign w:val="center"/>
          </w:tcPr>
          <w:p w14:paraId="38E571E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一、投标保证金交纳要求：</w:t>
            </w:r>
          </w:p>
          <w:p w14:paraId="1BF0D30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投标保证金应当以支票、汇票、本票、网上银行支付或者金融机构、担保机构出具的保函等非现金形式缴纳。</w:t>
            </w:r>
          </w:p>
          <w:p w14:paraId="1934A433">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highlight w:val="none"/>
                <w:lang w:val="en-US" w:eastAsia="zh-CN"/>
              </w:rPr>
              <w:t>投标保证金金额：</w:t>
            </w:r>
            <w:r>
              <w:rPr>
                <w:rFonts w:hint="eastAsia" w:ascii="仿宋" w:hAnsi="仿宋" w:eastAsia="仿宋" w:cs="仿宋"/>
                <w:b/>
                <w:bCs/>
                <w:color w:val="auto"/>
                <w:sz w:val="24"/>
                <w:szCs w:val="24"/>
                <w:highlight w:val="none"/>
                <w:lang w:val="en-US" w:eastAsia="zh-CN"/>
              </w:rPr>
              <w:t>30000.00</w:t>
            </w:r>
            <w:r>
              <w:rPr>
                <w:rFonts w:hint="eastAsia" w:ascii="仿宋" w:hAnsi="仿宋" w:eastAsia="仿宋" w:cs="仿宋"/>
                <w:b/>
                <w:bCs/>
                <w:color w:val="auto"/>
                <w:sz w:val="24"/>
                <w:szCs w:val="24"/>
                <w:lang w:val="en-US" w:eastAsia="zh-CN"/>
              </w:rPr>
              <w:t xml:space="preserve">  大写：叁万元整</w:t>
            </w:r>
          </w:p>
          <w:p w14:paraId="4FFFB6C4">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14:paraId="0C24AB0D">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14:paraId="0D145E77">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户名：克孜勒苏柯尔克孜自治州公共资源交易中心</w:t>
            </w:r>
          </w:p>
          <w:p w14:paraId="07C23EEA">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账号：30456301040005069</w:t>
            </w:r>
          </w:p>
          <w:p w14:paraId="4BF1D9E1">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行名：中国农业银行阿图什市天山分理处</w:t>
            </w:r>
          </w:p>
          <w:p w14:paraId="39B0E7C7">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行号：103893045636</w:t>
            </w:r>
          </w:p>
          <w:p w14:paraId="00CB10FA">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联系人：孙先生</w:t>
            </w:r>
          </w:p>
          <w:p w14:paraId="5A59EB80">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电话：0908-4220265    </w:t>
            </w:r>
          </w:p>
          <w:p w14:paraId="7A56544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（备注：必须写清楚xx公司xx项目保证金）</w:t>
            </w:r>
          </w:p>
          <w:p w14:paraId="4F1E80E8">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二、申请退还投标保证金资料（招投标结束中标结果公示后）：</w:t>
            </w:r>
          </w:p>
          <w:p w14:paraId="09D11C3F">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1、投标企业：待开标完成后，未中标企业3个工作日内政资中心将收取的项目投标保证金按投标企业基本户退回。</w:t>
            </w:r>
          </w:p>
          <w:p w14:paraId="64F05094">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2、中标企业：需提供已签订合同复印件一份，复印件每页需加盖企业鲜章（并携带合同原件，由中心工作人员核对后退还）。</w:t>
            </w:r>
          </w:p>
          <w:p w14:paraId="681AB793">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三、其他特殊情况处理：</w:t>
            </w:r>
          </w:p>
          <w:p w14:paraId="54BCDF6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color w:val="auto"/>
                <w:highlight w:val="none"/>
                <w:lang w:eastAsia="zh-CN"/>
              </w:rPr>
            </w:pPr>
            <w:r>
              <w:rPr>
                <w:rFonts w:hint="eastAsia" w:ascii="仿宋" w:hAnsi="仿宋" w:eastAsia="仿宋" w:cs="仿宋"/>
                <w:b w:val="0"/>
                <w:bCs w:val="0"/>
                <w:color w:val="auto"/>
                <w:sz w:val="24"/>
                <w:szCs w:val="24"/>
                <w:highlight w:val="none"/>
                <w:lang w:val="en-US" w:eastAsia="zh-CN"/>
              </w:rPr>
              <w:t xml:space="preserve">1、按照招标文件要求规定：投标企业无正当理由不参加该项目投标且在规定开标时间前不递交弃标函，投标保证金不予退还。                          </w:t>
            </w:r>
            <w:r>
              <w:rPr>
                <w:rFonts w:hint="eastAsia" w:ascii="仿宋" w:hAnsi="仿宋" w:eastAsia="仿宋" w:cs="仿宋"/>
                <w:color w:val="auto"/>
                <w:highlight w:val="none"/>
                <w:lang w:eastAsia="zh-CN"/>
              </w:rPr>
              <w:t xml:space="preserve"> </w:t>
            </w:r>
          </w:p>
        </w:tc>
      </w:tr>
      <w:tr w14:paraId="577AC6FB">
        <w:tblPrEx>
          <w:tblCellMar>
            <w:top w:w="0" w:type="dxa"/>
            <w:left w:w="108" w:type="dxa"/>
            <w:bottom w:w="0" w:type="dxa"/>
            <w:right w:w="108" w:type="dxa"/>
          </w:tblCellMar>
        </w:tblPrEx>
        <w:trPr>
          <w:trHeight w:val="140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2E86A35">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w:t>
            </w:r>
          </w:p>
        </w:tc>
        <w:tc>
          <w:tcPr>
            <w:tcW w:w="1682" w:type="dxa"/>
            <w:tcBorders>
              <w:top w:val="single" w:color="auto" w:sz="4" w:space="0"/>
              <w:left w:val="single" w:color="auto" w:sz="4" w:space="0"/>
              <w:bottom w:val="single" w:color="auto" w:sz="4" w:space="0"/>
              <w:right w:val="single" w:color="auto" w:sz="4" w:space="0"/>
            </w:tcBorders>
            <w:vAlign w:val="center"/>
          </w:tcPr>
          <w:p w14:paraId="7E21A79C">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是否允许递交备选  投标方案</w:t>
            </w:r>
          </w:p>
        </w:tc>
        <w:tc>
          <w:tcPr>
            <w:tcW w:w="7668" w:type="dxa"/>
            <w:tcBorders>
              <w:top w:val="single" w:color="auto" w:sz="4" w:space="0"/>
              <w:left w:val="single" w:color="auto" w:sz="4" w:space="0"/>
              <w:bottom w:val="single" w:color="auto" w:sz="4" w:space="0"/>
              <w:right w:val="single" w:color="auto" w:sz="4" w:space="0"/>
            </w:tcBorders>
            <w:vAlign w:val="center"/>
          </w:tcPr>
          <w:p w14:paraId="4D5ED4E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■不允许</w:t>
            </w:r>
          </w:p>
          <w:p w14:paraId="4197332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sym w:font="Wingdings 2" w:char="00A3"/>
            </w:r>
            <w:r>
              <w:rPr>
                <w:rFonts w:hint="eastAsia" w:ascii="仿宋" w:hAnsi="仿宋" w:eastAsia="仿宋" w:cs="仿宋"/>
                <w:color w:val="auto"/>
                <w:highlight w:val="none"/>
                <w:lang w:eastAsia="zh-CN"/>
              </w:rPr>
              <w:t>允  许</w:t>
            </w:r>
          </w:p>
        </w:tc>
      </w:tr>
      <w:tr w14:paraId="19E96448">
        <w:tblPrEx>
          <w:tblCellMar>
            <w:top w:w="0" w:type="dxa"/>
            <w:left w:w="108" w:type="dxa"/>
            <w:bottom w:w="0" w:type="dxa"/>
            <w:right w:w="108" w:type="dxa"/>
          </w:tblCellMar>
        </w:tblPrEx>
        <w:trPr>
          <w:trHeight w:val="67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90600C7">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w:t>
            </w:r>
          </w:p>
        </w:tc>
        <w:tc>
          <w:tcPr>
            <w:tcW w:w="1682" w:type="dxa"/>
            <w:tcBorders>
              <w:top w:val="single" w:color="auto" w:sz="4" w:space="0"/>
              <w:left w:val="single" w:color="auto" w:sz="4" w:space="0"/>
              <w:bottom w:val="single" w:color="auto" w:sz="4" w:space="0"/>
              <w:right w:val="single" w:color="auto" w:sz="4" w:space="0"/>
            </w:tcBorders>
            <w:vAlign w:val="center"/>
          </w:tcPr>
          <w:p w14:paraId="4B079029">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招标文件领取</w:t>
            </w:r>
          </w:p>
        </w:tc>
        <w:tc>
          <w:tcPr>
            <w:tcW w:w="7668" w:type="dxa"/>
            <w:tcBorders>
              <w:top w:val="single" w:color="auto" w:sz="4" w:space="0"/>
              <w:left w:val="single" w:color="auto" w:sz="4" w:space="0"/>
              <w:bottom w:val="single" w:color="auto" w:sz="4" w:space="0"/>
              <w:right w:val="single" w:color="auto" w:sz="4" w:space="0"/>
            </w:tcBorders>
            <w:vAlign w:val="center"/>
          </w:tcPr>
          <w:p w14:paraId="0B2E387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u w:val="none"/>
                <w:lang w:eastAsia="zh-CN"/>
              </w:rPr>
              <w:t>时间：</w:t>
            </w:r>
            <w:r>
              <w:rPr>
                <w:rFonts w:hint="eastAsia" w:ascii="仿宋" w:hAnsi="仿宋" w:eastAsia="仿宋" w:cs="仿宋"/>
                <w:color w:val="FF0000"/>
                <w:highlight w:val="none"/>
                <w:u w:val="single"/>
                <w:lang w:eastAsia="zh-CN"/>
              </w:rPr>
              <w:t>202</w:t>
            </w:r>
            <w:r>
              <w:rPr>
                <w:rFonts w:hint="eastAsia" w:ascii="仿宋" w:hAnsi="仿宋" w:eastAsia="仿宋" w:cs="仿宋"/>
                <w:color w:val="FF0000"/>
                <w:highlight w:val="none"/>
                <w:u w:val="single"/>
                <w:lang w:val="en-US" w:eastAsia="zh-CN"/>
              </w:rPr>
              <w:t xml:space="preserve">6 </w:t>
            </w:r>
            <w:r>
              <w:rPr>
                <w:rFonts w:hint="eastAsia" w:ascii="仿宋" w:hAnsi="仿宋" w:eastAsia="仿宋" w:cs="仿宋"/>
                <w:color w:val="FF0000"/>
                <w:highlight w:val="none"/>
                <w:u w:val="single"/>
                <w:lang w:eastAsia="zh-CN"/>
              </w:rPr>
              <w:t>年</w:t>
            </w:r>
            <w:r>
              <w:rPr>
                <w:rFonts w:hint="eastAsia" w:ascii="仿宋" w:hAnsi="仿宋" w:eastAsia="仿宋" w:cs="仿宋"/>
                <w:color w:val="FF0000"/>
                <w:highlight w:val="none"/>
                <w:u w:val="single"/>
                <w:lang w:val="en-US" w:eastAsia="zh-CN"/>
              </w:rPr>
              <w:t xml:space="preserve"> 5 </w:t>
            </w:r>
            <w:r>
              <w:rPr>
                <w:rFonts w:hint="eastAsia" w:ascii="仿宋" w:hAnsi="仿宋" w:eastAsia="仿宋" w:cs="仿宋"/>
                <w:color w:val="FF0000"/>
                <w:highlight w:val="none"/>
                <w:u w:val="single"/>
                <w:lang w:eastAsia="zh-CN"/>
              </w:rPr>
              <w:t>月</w:t>
            </w:r>
            <w:r>
              <w:rPr>
                <w:rFonts w:hint="eastAsia" w:ascii="仿宋" w:hAnsi="仿宋" w:eastAsia="仿宋" w:cs="仿宋"/>
                <w:color w:val="FF0000"/>
                <w:highlight w:val="none"/>
                <w:u w:val="single"/>
                <w:lang w:val="en-US" w:eastAsia="zh-CN"/>
              </w:rPr>
              <w:t xml:space="preserve"> 21 </w:t>
            </w:r>
            <w:r>
              <w:rPr>
                <w:rFonts w:hint="eastAsia" w:ascii="仿宋" w:hAnsi="仿宋" w:eastAsia="仿宋" w:cs="仿宋"/>
                <w:color w:val="FF0000"/>
                <w:highlight w:val="none"/>
                <w:u w:val="single"/>
                <w:lang w:eastAsia="zh-CN"/>
              </w:rPr>
              <w:t>日至</w:t>
            </w:r>
            <w:r>
              <w:rPr>
                <w:rFonts w:hint="eastAsia" w:ascii="仿宋" w:hAnsi="仿宋" w:eastAsia="仿宋" w:cs="仿宋"/>
                <w:color w:val="FF0000"/>
                <w:highlight w:val="none"/>
                <w:u w:val="single"/>
                <w:lang w:val="en-US" w:eastAsia="zh-CN"/>
              </w:rPr>
              <w:t xml:space="preserve"> </w:t>
            </w:r>
            <w:r>
              <w:rPr>
                <w:rFonts w:hint="eastAsia" w:ascii="仿宋" w:hAnsi="仿宋" w:eastAsia="仿宋" w:cs="仿宋"/>
                <w:color w:val="FF0000"/>
                <w:highlight w:val="none"/>
                <w:u w:val="single"/>
                <w:lang w:eastAsia="zh-CN"/>
              </w:rPr>
              <w:t>202</w:t>
            </w:r>
            <w:r>
              <w:rPr>
                <w:rFonts w:hint="eastAsia" w:ascii="仿宋" w:hAnsi="仿宋" w:eastAsia="仿宋" w:cs="仿宋"/>
                <w:color w:val="FF0000"/>
                <w:highlight w:val="none"/>
                <w:u w:val="single"/>
                <w:lang w:val="en-US" w:eastAsia="zh-CN"/>
              </w:rPr>
              <w:t xml:space="preserve">6 </w:t>
            </w:r>
            <w:r>
              <w:rPr>
                <w:rFonts w:hint="eastAsia" w:ascii="仿宋" w:hAnsi="仿宋" w:eastAsia="仿宋" w:cs="仿宋"/>
                <w:color w:val="FF0000"/>
                <w:highlight w:val="none"/>
                <w:u w:val="single"/>
                <w:lang w:eastAsia="zh-CN"/>
              </w:rPr>
              <w:t>年</w:t>
            </w:r>
            <w:r>
              <w:rPr>
                <w:rFonts w:hint="eastAsia" w:ascii="仿宋" w:hAnsi="仿宋" w:eastAsia="仿宋" w:cs="仿宋"/>
                <w:color w:val="FF0000"/>
                <w:highlight w:val="none"/>
                <w:u w:val="single"/>
                <w:lang w:val="en-US" w:eastAsia="zh-CN"/>
              </w:rPr>
              <w:t xml:space="preserve"> 6 </w:t>
            </w:r>
            <w:r>
              <w:rPr>
                <w:rFonts w:hint="eastAsia" w:ascii="仿宋" w:hAnsi="仿宋" w:eastAsia="仿宋" w:cs="仿宋"/>
                <w:color w:val="FF0000"/>
                <w:highlight w:val="none"/>
                <w:u w:val="single"/>
                <w:lang w:eastAsia="zh-CN"/>
              </w:rPr>
              <w:t>月</w:t>
            </w:r>
            <w:r>
              <w:rPr>
                <w:rFonts w:hint="eastAsia" w:ascii="仿宋" w:hAnsi="仿宋" w:eastAsia="仿宋" w:cs="仿宋"/>
                <w:color w:val="FF0000"/>
                <w:highlight w:val="none"/>
                <w:u w:val="single"/>
                <w:lang w:val="en-US" w:eastAsia="zh-CN"/>
              </w:rPr>
              <w:t xml:space="preserve"> 2 </w:t>
            </w:r>
            <w:r>
              <w:rPr>
                <w:rFonts w:hint="eastAsia" w:ascii="仿宋" w:hAnsi="仿宋" w:eastAsia="仿宋" w:cs="仿宋"/>
                <w:color w:val="FF0000"/>
                <w:highlight w:val="none"/>
                <w:u w:val="single"/>
                <w:lang w:eastAsia="zh-CN"/>
              </w:rPr>
              <w:t>日</w:t>
            </w:r>
            <w:r>
              <w:rPr>
                <w:rFonts w:hint="eastAsia" w:ascii="仿宋" w:hAnsi="仿宋" w:eastAsia="仿宋" w:cs="仿宋"/>
                <w:color w:val="auto"/>
                <w:highlight w:val="none"/>
                <w:lang w:eastAsia="zh-CN"/>
              </w:rPr>
              <w:t>，每天上午10:00至</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，下午16:</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至</w:t>
            </w:r>
            <w:r>
              <w:rPr>
                <w:rFonts w:hint="eastAsia" w:ascii="仿宋" w:hAnsi="仿宋" w:eastAsia="仿宋" w:cs="仿宋"/>
                <w:color w:val="auto"/>
                <w:highlight w:val="none"/>
                <w:lang w:val="en-US" w:eastAsia="zh-CN"/>
              </w:rPr>
              <w:t>20：00</w:t>
            </w:r>
            <w:r>
              <w:rPr>
                <w:rFonts w:hint="eastAsia" w:ascii="仿宋" w:hAnsi="仿宋" w:eastAsia="仿宋" w:cs="仿宋"/>
                <w:color w:val="auto"/>
                <w:highlight w:val="none"/>
                <w:lang w:eastAsia="zh-CN"/>
              </w:rPr>
              <w:t>（北京时间，节假日除外）</w:t>
            </w:r>
          </w:p>
          <w:p w14:paraId="1087D90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地点：</w:t>
            </w:r>
            <w:r>
              <w:rPr>
                <w:rFonts w:hint="eastAsia" w:ascii="仿宋" w:hAnsi="仿宋" w:eastAsia="仿宋" w:cs="仿宋"/>
                <w:color w:val="auto"/>
                <w:sz w:val="24"/>
                <w:szCs w:val="24"/>
                <w:highlight w:val="none"/>
                <w:lang w:eastAsia="zh-CN"/>
              </w:rPr>
              <w:t>政采云平台线上</w:t>
            </w:r>
          </w:p>
          <w:p w14:paraId="794AB7C7">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方式：供应商登录政采云平台https://www.zcygov.cn/在线申请获取采购文件（进入“项目采购”应用，在获取采购文件菜单中选择项目，申请获取采购文件）</w:t>
            </w:r>
          </w:p>
        </w:tc>
      </w:tr>
      <w:tr w14:paraId="480ABBDD">
        <w:tblPrEx>
          <w:tblCellMar>
            <w:top w:w="0" w:type="dxa"/>
            <w:left w:w="108" w:type="dxa"/>
            <w:bottom w:w="0" w:type="dxa"/>
            <w:right w:w="108" w:type="dxa"/>
          </w:tblCellMar>
        </w:tblPrEx>
        <w:trPr>
          <w:trHeight w:val="84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55289880">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w:t>
            </w:r>
          </w:p>
        </w:tc>
        <w:tc>
          <w:tcPr>
            <w:tcW w:w="1682" w:type="dxa"/>
            <w:tcBorders>
              <w:top w:val="single" w:color="auto" w:sz="4" w:space="0"/>
              <w:left w:val="single" w:color="auto" w:sz="4" w:space="0"/>
              <w:bottom w:val="single" w:color="auto" w:sz="4" w:space="0"/>
              <w:right w:val="single" w:color="auto" w:sz="4" w:space="0"/>
            </w:tcBorders>
            <w:vAlign w:val="center"/>
          </w:tcPr>
          <w:p w14:paraId="6F094F2D">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投标文件形式</w:t>
            </w:r>
          </w:p>
        </w:tc>
        <w:tc>
          <w:tcPr>
            <w:tcW w:w="7668" w:type="dxa"/>
            <w:tcBorders>
              <w:top w:val="single" w:color="auto" w:sz="4" w:space="0"/>
              <w:left w:val="single" w:color="auto" w:sz="4" w:space="0"/>
              <w:bottom w:val="single" w:color="auto" w:sz="4" w:space="0"/>
              <w:right w:val="single" w:color="auto" w:sz="4" w:space="0"/>
            </w:tcBorders>
            <w:vAlign w:val="center"/>
          </w:tcPr>
          <w:p w14:paraId="49D3BAE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电子投标文件包括“电子加密投标文件”和“备份投标文件”，在投标文件编制完成后同时生成。</w:t>
            </w:r>
          </w:p>
          <w:p w14:paraId="58319894">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1、“电子加密投标文件”是指通过“政采云电子交易客户端”完成投标文件编制后生成并加密的数据电文形式的投标文件。</w:t>
            </w:r>
          </w:p>
          <w:p w14:paraId="024F23B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CF32C4E">
        <w:tblPrEx>
          <w:tblCellMar>
            <w:top w:w="0" w:type="dxa"/>
            <w:left w:w="108" w:type="dxa"/>
            <w:bottom w:w="0" w:type="dxa"/>
            <w:right w:w="108" w:type="dxa"/>
          </w:tblCellMar>
        </w:tblPrEx>
        <w:trPr>
          <w:trHeight w:val="73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128F42D">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18</w:t>
            </w:r>
          </w:p>
        </w:tc>
        <w:tc>
          <w:tcPr>
            <w:tcW w:w="1682" w:type="dxa"/>
            <w:tcBorders>
              <w:top w:val="single" w:color="auto" w:sz="4" w:space="0"/>
              <w:left w:val="single" w:color="auto" w:sz="4" w:space="0"/>
              <w:bottom w:val="single" w:color="auto" w:sz="4" w:space="0"/>
              <w:right w:val="single" w:color="auto" w:sz="4" w:space="0"/>
            </w:tcBorders>
            <w:vAlign w:val="center"/>
          </w:tcPr>
          <w:p w14:paraId="6EF023E1">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投标文件要求</w:t>
            </w:r>
          </w:p>
        </w:tc>
        <w:tc>
          <w:tcPr>
            <w:tcW w:w="7668" w:type="dxa"/>
            <w:tcBorders>
              <w:top w:val="single" w:color="auto" w:sz="4" w:space="0"/>
              <w:left w:val="single" w:color="auto" w:sz="4" w:space="0"/>
              <w:bottom w:val="single" w:color="auto" w:sz="4" w:space="0"/>
              <w:right w:val="single" w:color="auto" w:sz="4" w:space="0"/>
            </w:tcBorders>
            <w:vAlign w:val="center"/>
          </w:tcPr>
          <w:p w14:paraId="3E956FBC">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1、一份电子加密标书（“.jmbs”格式），一份备份标书文件（“.bfbs”格式）。</w:t>
            </w:r>
          </w:p>
          <w:p w14:paraId="32AC5A6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2、每份电子投标文件应包括资格证明文件和商务及技术文件两部分。</w:t>
            </w:r>
          </w:p>
        </w:tc>
      </w:tr>
      <w:tr w14:paraId="667E111A">
        <w:tblPrEx>
          <w:tblCellMar>
            <w:top w:w="0" w:type="dxa"/>
            <w:left w:w="108" w:type="dxa"/>
            <w:bottom w:w="0" w:type="dxa"/>
            <w:right w:w="108" w:type="dxa"/>
          </w:tblCellMar>
        </w:tblPrEx>
        <w:trPr>
          <w:trHeight w:val="90" w:hRule="atLeast"/>
          <w:jc w:val="center"/>
        </w:trPr>
        <w:tc>
          <w:tcPr>
            <w:tcW w:w="558" w:type="dxa"/>
            <w:vMerge w:val="restart"/>
            <w:tcBorders>
              <w:top w:val="single" w:color="auto" w:sz="4" w:space="0"/>
              <w:left w:val="single" w:color="auto" w:sz="4" w:space="0"/>
              <w:right w:val="single" w:color="auto" w:sz="4" w:space="0"/>
            </w:tcBorders>
            <w:vAlign w:val="center"/>
          </w:tcPr>
          <w:p w14:paraId="5BCEA7AE">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p>
        </w:tc>
        <w:tc>
          <w:tcPr>
            <w:tcW w:w="1682" w:type="dxa"/>
            <w:vMerge w:val="restart"/>
            <w:tcBorders>
              <w:top w:val="single" w:color="auto" w:sz="4" w:space="0"/>
              <w:left w:val="single" w:color="auto" w:sz="4" w:space="0"/>
              <w:right w:val="single" w:color="auto" w:sz="4" w:space="0"/>
            </w:tcBorders>
            <w:vAlign w:val="center"/>
          </w:tcPr>
          <w:p w14:paraId="6682F358">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投标文件的上传和递交</w:t>
            </w:r>
          </w:p>
        </w:tc>
        <w:tc>
          <w:tcPr>
            <w:tcW w:w="7668" w:type="dxa"/>
            <w:tcBorders>
              <w:top w:val="single" w:color="auto" w:sz="4" w:space="0"/>
              <w:left w:val="single" w:color="auto" w:sz="4" w:space="0"/>
              <w:bottom w:val="single" w:color="auto" w:sz="4" w:space="0"/>
              <w:right w:val="single" w:color="auto" w:sz="4" w:space="0"/>
            </w:tcBorders>
            <w:vAlign w:val="center"/>
          </w:tcPr>
          <w:p w14:paraId="7C1D63E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1.电子加密投标文件：投标文件制作完成并生成加密标书，在投标截止时间前，</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需将加密的投标文件上传至政采云平台，在开标时间开始后，待采购组织机构发出解密通知后30分钟内解密投标文件。</w:t>
            </w:r>
          </w:p>
          <w:p w14:paraId="51A548B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a.投标人未能在投标截止时间前成功上传电子加密投标文件的投标无效。</w:t>
            </w:r>
          </w:p>
          <w:p w14:paraId="39CF9574">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b.供应商成功上传电子加密投标文件后，可自行打印投标文件接收回执。</w:t>
            </w:r>
          </w:p>
        </w:tc>
      </w:tr>
      <w:tr w14:paraId="4D8D0404">
        <w:tblPrEx>
          <w:tblCellMar>
            <w:top w:w="0" w:type="dxa"/>
            <w:left w:w="108" w:type="dxa"/>
            <w:bottom w:w="0" w:type="dxa"/>
            <w:right w:w="108" w:type="dxa"/>
          </w:tblCellMar>
        </w:tblPrEx>
        <w:trPr>
          <w:trHeight w:val="477" w:hRule="atLeast"/>
          <w:jc w:val="center"/>
        </w:trPr>
        <w:tc>
          <w:tcPr>
            <w:tcW w:w="558" w:type="dxa"/>
            <w:vMerge w:val="continue"/>
            <w:tcBorders>
              <w:left w:val="single" w:color="auto" w:sz="4" w:space="0"/>
              <w:bottom w:val="single" w:color="auto" w:sz="4" w:space="0"/>
              <w:right w:val="single" w:color="auto" w:sz="4" w:space="0"/>
            </w:tcBorders>
            <w:vAlign w:val="center"/>
          </w:tcPr>
          <w:p w14:paraId="03A427C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p>
        </w:tc>
        <w:tc>
          <w:tcPr>
            <w:tcW w:w="1682" w:type="dxa"/>
            <w:vMerge w:val="continue"/>
            <w:tcBorders>
              <w:left w:val="single" w:color="auto" w:sz="4" w:space="0"/>
              <w:bottom w:val="single" w:color="auto" w:sz="4" w:space="0"/>
              <w:right w:val="single" w:color="auto" w:sz="4" w:space="0"/>
            </w:tcBorders>
            <w:vAlign w:val="center"/>
          </w:tcPr>
          <w:p w14:paraId="554284F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4C5F244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highlight w:val="none"/>
                <w:lang w:val="en-US" w:eastAsia="zh-CN"/>
              </w:rPr>
              <w:t>3265613387</w:t>
            </w:r>
            <w:r>
              <w:rPr>
                <w:rFonts w:hint="eastAsia" w:ascii="仿宋" w:hAnsi="仿宋" w:eastAsia="仿宋" w:cs="仿宋"/>
                <w:color w:val="auto"/>
                <w:highlight w:val="none"/>
                <w:lang w:eastAsia="zh-CN"/>
              </w:rPr>
              <w:t>@qq.com，接收人：朱先生，电话：</w:t>
            </w:r>
            <w:r>
              <w:rPr>
                <w:rFonts w:hint="eastAsia" w:ascii="仿宋" w:hAnsi="仿宋" w:eastAsia="仿宋" w:cs="仿宋"/>
                <w:color w:val="auto"/>
                <w:highlight w:val="none"/>
                <w:lang w:val="en-US" w:eastAsia="zh-CN"/>
              </w:rPr>
              <w:t>18609088999</w:t>
            </w:r>
            <w:r>
              <w:rPr>
                <w:rFonts w:hint="eastAsia" w:ascii="仿宋" w:hAnsi="仿宋" w:eastAsia="仿宋" w:cs="仿宋"/>
                <w:color w:val="auto"/>
                <w:highlight w:val="none"/>
                <w:lang w:eastAsia="zh-CN"/>
              </w:rPr>
              <w:t>），“备份投标文件”由</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自愿提供，招标文件 不作强制性要求；如不提供或未按要求提供的，当电子投标文件无法解密时，将导致无备份投标文件而失去投标资格。</w:t>
            </w:r>
          </w:p>
          <w:p w14:paraId="0A20077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a.备份投标文件提供要求：</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可以将备份投标文件打包压缩并加密，压缩包命名为“XX单位备份投标文件”，加密密码由</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自行保管；送达时间以采购代理机构实际接收时间为准。“备份投标文件”逾期或未按要求提供的视为未提供，建议</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提前1日办理邮件提供事宜。</w:t>
            </w:r>
          </w:p>
          <w:p w14:paraId="3B14AF4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b.通过“政府采购云平台”成功上传递交的“电子加密投标文件”已按时解密的，“备份投标文件”自动失效。投标截止时间前，投标人仅提供了“备份投标文件”而未将“电子加密投标文件”成功上传至“政府采购云平台”的，投标无效。</w:t>
            </w:r>
          </w:p>
        </w:tc>
      </w:tr>
      <w:tr w14:paraId="69605D2E">
        <w:tblPrEx>
          <w:tblCellMar>
            <w:top w:w="0" w:type="dxa"/>
            <w:left w:w="108" w:type="dxa"/>
            <w:bottom w:w="0" w:type="dxa"/>
            <w:right w:w="108" w:type="dxa"/>
          </w:tblCellMar>
        </w:tblPrEx>
        <w:trPr>
          <w:trHeight w:val="52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9FC99F7">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w:t>
            </w:r>
          </w:p>
        </w:tc>
        <w:tc>
          <w:tcPr>
            <w:tcW w:w="1682" w:type="dxa"/>
            <w:tcBorders>
              <w:top w:val="single" w:color="auto" w:sz="4" w:space="0"/>
              <w:left w:val="single" w:color="auto" w:sz="4" w:space="0"/>
              <w:bottom w:val="single" w:color="auto" w:sz="4" w:space="0"/>
              <w:right w:val="single" w:color="auto" w:sz="4" w:space="0"/>
            </w:tcBorders>
            <w:vAlign w:val="center"/>
          </w:tcPr>
          <w:p w14:paraId="50C55F9A">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评标委员会的组建</w:t>
            </w:r>
          </w:p>
        </w:tc>
        <w:tc>
          <w:tcPr>
            <w:tcW w:w="7668" w:type="dxa"/>
            <w:tcBorders>
              <w:top w:val="single" w:color="auto" w:sz="4" w:space="0"/>
              <w:left w:val="single" w:color="auto" w:sz="4" w:space="0"/>
              <w:bottom w:val="single" w:color="auto" w:sz="4" w:space="0"/>
              <w:right w:val="single" w:color="auto" w:sz="4" w:space="0"/>
            </w:tcBorders>
            <w:vAlign w:val="center"/>
          </w:tcPr>
          <w:p w14:paraId="00FDFFA5">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评标委员会由招标人依法组建；采购人代表1人，评审专家4人，共5人。</w:t>
            </w:r>
          </w:p>
          <w:p w14:paraId="507B260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评标专家确定方式：评标委员会由招标人在开标前从政采云专家库中随机抽取</w:t>
            </w:r>
          </w:p>
        </w:tc>
      </w:tr>
      <w:tr w14:paraId="690B8D75">
        <w:tblPrEx>
          <w:tblCellMar>
            <w:top w:w="0" w:type="dxa"/>
            <w:left w:w="108" w:type="dxa"/>
            <w:bottom w:w="0" w:type="dxa"/>
            <w:right w:w="108" w:type="dxa"/>
          </w:tblCellMar>
        </w:tblPrEx>
        <w:trPr>
          <w:trHeight w:val="130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9A5CBEF">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w:t>
            </w:r>
          </w:p>
        </w:tc>
        <w:tc>
          <w:tcPr>
            <w:tcW w:w="1682" w:type="dxa"/>
            <w:tcBorders>
              <w:top w:val="single" w:color="auto" w:sz="4" w:space="0"/>
              <w:left w:val="single" w:color="auto" w:sz="4" w:space="0"/>
              <w:bottom w:val="single" w:color="auto" w:sz="4" w:space="0"/>
              <w:right w:val="single" w:color="auto" w:sz="4" w:space="0"/>
            </w:tcBorders>
            <w:vAlign w:val="center"/>
          </w:tcPr>
          <w:p w14:paraId="2DD4FA6E">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是否授权评标委员会确定中标候选人</w:t>
            </w:r>
          </w:p>
        </w:tc>
        <w:tc>
          <w:tcPr>
            <w:tcW w:w="7668" w:type="dxa"/>
            <w:tcBorders>
              <w:top w:val="single" w:color="auto" w:sz="4" w:space="0"/>
              <w:left w:val="single" w:color="auto" w:sz="4" w:space="0"/>
              <w:bottom w:val="single" w:color="auto" w:sz="4" w:space="0"/>
              <w:right w:val="single" w:color="auto" w:sz="4" w:space="0"/>
            </w:tcBorders>
            <w:vAlign w:val="center"/>
          </w:tcPr>
          <w:p w14:paraId="09D70A26">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val="zh-CN" w:eastAsia="zh-CN"/>
              </w:rPr>
            </w:pPr>
            <w:r>
              <w:rPr>
                <w:rFonts w:hint="eastAsia" w:ascii="仿宋" w:hAnsi="仿宋" w:eastAsia="仿宋" w:cs="仿宋"/>
                <w:color w:val="auto"/>
                <w:highlight w:val="none"/>
                <w:lang w:eastAsia="zh-CN"/>
              </w:rPr>
              <w:t>是</w:t>
            </w:r>
          </w:p>
        </w:tc>
      </w:tr>
      <w:tr w14:paraId="1082F850">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6992C67">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w:t>
            </w:r>
          </w:p>
        </w:tc>
        <w:tc>
          <w:tcPr>
            <w:tcW w:w="1682" w:type="dxa"/>
            <w:tcBorders>
              <w:top w:val="single" w:color="auto" w:sz="4" w:space="0"/>
              <w:left w:val="single" w:color="auto" w:sz="4" w:space="0"/>
              <w:bottom w:val="single" w:color="auto" w:sz="4" w:space="0"/>
              <w:right w:val="single" w:color="auto" w:sz="4" w:space="0"/>
            </w:tcBorders>
            <w:vAlign w:val="center"/>
          </w:tcPr>
          <w:p w14:paraId="7BB718BE">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递交投标文件地点</w:t>
            </w:r>
          </w:p>
        </w:tc>
        <w:tc>
          <w:tcPr>
            <w:tcW w:w="7668" w:type="dxa"/>
            <w:tcBorders>
              <w:top w:val="single" w:color="auto" w:sz="4" w:space="0"/>
              <w:left w:val="single" w:color="auto" w:sz="4" w:space="0"/>
              <w:bottom w:val="single" w:color="auto" w:sz="4" w:space="0"/>
              <w:right w:val="single" w:color="auto" w:sz="4" w:space="0"/>
            </w:tcBorders>
            <w:vAlign w:val="center"/>
          </w:tcPr>
          <w:p w14:paraId="758A2E3C">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w:t>
            </w:r>
            <w:r>
              <w:rPr>
                <w:rFonts w:hint="eastAsia" w:ascii="仿宋" w:hAnsi="仿宋" w:eastAsia="仿宋" w:cs="仿宋"/>
                <w:color w:val="FF0000"/>
                <w:kern w:val="2"/>
                <w:highlight w:val="none"/>
                <w:u w:val="single"/>
                <w:lang w:eastAsia="zh-CN" w:bidi="ar-SA"/>
              </w:rPr>
              <w:t>202</w:t>
            </w:r>
            <w:r>
              <w:rPr>
                <w:rFonts w:hint="eastAsia" w:ascii="仿宋" w:hAnsi="仿宋" w:eastAsia="仿宋" w:cs="仿宋"/>
                <w:color w:val="FF0000"/>
                <w:kern w:val="2"/>
                <w:highlight w:val="none"/>
                <w:u w:val="single"/>
                <w:lang w:val="en-US" w:eastAsia="zh-CN" w:bidi="ar-SA"/>
              </w:rPr>
              <w:t xml:space="preserve">6 </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 6 </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 10 </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14:paraId="568E3A8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投标地点：政府采购云平台（www.zcygov.cn）供应商应于递交投标文件截止时间之前将电子投标文件上传到“政采云”平台。</w:t>
            </w:r>
          </w:p>
        </w:tc>
      </w:tr>
      <w:tr w14:paraId="484D94A6">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right w:val="single" w:color="auto" w:sz="4" w:space="0"/>
            </w:tcBorders>
            <w:vAlign w:val="center"/>
          </w:tcPr>
          <w:p w14:paraId="4EDBFF9D">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23</w:t>
            </w:r>
          </w:p>
        </w:tc>
        <w:tc>
          <w:tcPr>
            <w:tcW w:w="1682" w:type="dxa"/>
            <w:tcBorders>
              <w:top w:val="single" w:color="auto" w:sz="4" w:space="0"/>
              <w:left w:val="single" w:color="auto" w:sz="4" w:space="0"/>
              <w:right w:val="single" w:color="auto" w:sz="4" w:space="0"/>
            </w:tcBorders>
            <w:vAlign w:val="center"/>
          </w:tcPr>
          <w:p w14:paraId="10492C10">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开标时间和地点</w:t>
            </w:r>
          </w:p>
        </w:tc>
        <w:tc>
          <w:tcPr>
            <w:tcW w:w="7668" w:type="dxa"/>
            <w:tcBorders>
              <w:top w:val="single" w:color="auto" w:sz="4" w:space="0"/>
              <w:left w:val="single" w:color="auto" w:sz="4" w:space="0"/>
              <w:right w:val="single" w:color="auto" w:sz="4" w:space="0"/>
            </w:tcBorders>
            <w:vAlign w:val="center"/>
          </w:tcPr>
          <w:p w14:paraId="3158BEC6">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w:t>
            </w:r>
            <w:r>
              <w:rPr>
                <w:rFonts w:hint="eastAsia" w:ascii="仿宋" w:hAnsi="仿宋" w:eastAsia="仿宋" w:cs="仿宋"/>
                <w:color w:val="FF0000"/>
                <w:kern w:val="2"/>
                <w:highlight w:val="none"/>
                <w:u w:val="single"/>
                <w:lang w:eastAsia="zh-CN" w:bidi="ar-SA"/>
              </w:rPr>
              <w:t>20</w:t>
            </w:r>
            <w:r>
              <w:rPr>
                <w:rFonts w:hint="eastAsia" w:ascii="仿宋" w:hAnsi="仿宋" w:eastAsia="仿宋" w:cs="仿宋"/>
                <w:color w:val="FF0000"/>
                <w:kern w:val="2"/>
                <w:highlight w:val="none"/>
                <w:u w:val="single"/>
                <w:lang w:val="en-US" w:eastAsia="zh-CN" w:bidi="ar-SA"/>
              </w:rPr>
              <w:t xml:space="preserve">26 </w:t>
            </w:r>
            <w:r>
              <w:rPr>
                <w:rFonts w:hint="eastAsia" w:ascii="仿宋" w:hAnsi="仿宋" w:eastAsia="仿宋" w:cs="仿宋"/>
                <w:color w:val="FF0000"/>
                <w:kern w:val="2"/>
                <w:highlight w:val="none"/>
                <w:u w:val="single"/>
                <w:lang w:eastAsia="zh-CN" w:bidi="ar-SA"/>
              </w:rPr>
              <w:t>年</w:t>
            </w:r>
            <w:r>
              <w:rPr>
                <w:rFonts w:hint="eastAsia" w:ascii="仿宋" w:hAnsi="仿宋" w:eastAsia="仿宋" w:cs="仿宋"/>
                <w:color w:val="FF0000"/>
                <w:kern w:val="2"/>
                <w:highlight w:val="none"/>
                <w:u w:val="single"/>
                <w:lang w:val="en-US" w:eastAsia="zh-CN" w:bidi="ar-SA"/>
              </w:rPr>
              <w:t xml:space="preserve"> 6 </w:t>
            </w:r>
            <w:r>
              <w:rPr>
                <w:rFonts w:hint="eastAsia" w:ascii="仿宋" w:hAnsi="仿宋" w:eastAsia="仿宋" w:cs="仿宋"/>
                <w:color w:val="FF0000"/>
                <w:kern w:val="2"/>
                <w:highlight w:val="none"/>
                <w:u w:val="single"/>
                <w:lang w:eastAsia="zh-CN" w:bidi="ar-SA"/>
              </w:rPr>
              <w:t>月</w:t>
            </w:r>
            <w:r>
              <w:rPr>
                <w:rFonts w:hint="eastAsia" w:ascii="仿宋" w:hAnsi="仿宋" w:eastAsia="仿宋" w:cs="仿宋"/>
                <w:color w:val="FF0000"/>
                <w:kern w:val="2"/>
                <w:highlight w:val="none"/>
                <w:u w:val="single"/>
                <w:lang w:val="en-US" w:eastAsia="zh-CN" w:bidi="ar-SA"/>
              </w:rPr>
              <w:t xml:space="preserve"> 10 </w:t>
            </w:r>
            <w:r>
              <w:rPr>
                <w:rFonts w:hint="eastAsia" w:ascii="仿宋" w:hAnsi="仿宋" w:eastAsia="仿宋" w:cs="仿宋"/>
                <w:color w:val="FF0000"/>
                <w:kern w:val="2"/>
                <w:highlight w:val="none"/>
                <w:u w:val="single"/>
                <w:lang w:eastAsia="zh-CN" w:bidi="ar-SA"/>
              </w:rPr>
              <w:t>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14:paraId="72BDE31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开标地点：投标人登录政采云平台https://www.zcygov.cn/，进入“项目采购-开标评标-右边选择对应项目点击“进入项目”进入开标大厅。         </w:t>
            </w:r>
          </w:p>
        </w:tc>
      </w:tr>
      <w:tr w14:paraId="4AEA131D">
        <w:tblPrEx>
          <w:tblCellMar>
            <w:top w:w="0" w:type="dxa"/>
            <w:left w:w="108" w:type="dxa"/>
            <w:bottom w:w="0" w:type="dxa"/>
            <w:right w:w="108" w:type="dxa"/>
          </w:tblCellMar>
        </w:tblPrEx>
        <w:trPr>
          <w:trHeight w:val="467" w:hRule="atLeast"/>
          <w:jc w:val="center"/>
        </w:trPr>
        <w:tc>
          <w:tcPr>
            <w:tcW w:w="558" w:type="dxa"/>
            <w:vMerge w:val="restart"/>
            <w:tcBorders>
              <w:top w:val="single" w:color="auto" w:sz="4" w:space="0"/>
              <w:left w:val="single" w:color="auto" w:sz="4" w:space="0"/>
              <w:right w:val="single" w:color="auto" w:sz="4" w:space="0"/>
            </w:tcBorders>
            <w:vAlign w:val="center"/>
          </w:tcPr>
          <w:p w14:paraId="7B913810">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24</w:t>
            </w:r>
          </w:p>
        </w:tc>
        <w:tc>
          <w:tcPr>
            <w:tcW w:w="1682" w:type="dxa"/>
            <w:vMerge w:val="restart"/>
            <w:tcBorders>
              <w:top w:val="single" w:color="auto" w:sz="4" w:space="0"/>
              <w:left w:val="single" w:color="auto" w:sz="4" w:space="0"/>
              <w:right w:val="single" w:color="auto" w:sz="4" w:space="0"/>
            </w:tcBorders>
            <w:vAlign w:val="center"/>
          </w:tcPr>
          <w:p w14:paraId="65DEDE62">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t>重要说明</w:t>
            </w:r>
          </w:p>
        </w:tc>
        <w:tc>
          <w:tcPr>
            <w:tcW w:w="7668" w:type="dxa"/>
            <w:tcBorders>
              <w:top w:val="single" w:color="auto" w:sz="4" w:space="0"/>
              <w:left w:val="single" w:color="auto" w:sz="4" w:space="0"/>
              <w:right w:val="single" w:color="auto" w:sz="4" w:space="0"/>
            </w:tcBorders>
            <w:vAlign w:val="center"/>
          </w:tcPr>
          <w:p w14:paraId="642C307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1.本项目采用全流程不见面电子开评标，投标供应商需要使用CA加密设备，供应商可通过新疆数字证书认证中心官网（https://www.xjca.com.cn/）或下载“新疆政务通”APP自行进行申领。</w:t>
            </w:r>
          </w:p>
          <w:p w14:paraId="03F1C1E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2.本项目实行网上投标，采用加密电子投标文件(</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须使用CA加密设备通过政采云电子投标客户端制作投标文件)。若</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参与投标，自行承担投标一切费用。</w:t>
            </w:r>
          </w:p>
          <w:p w14:paraId="28AC4EE2">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各投标人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3DFD8B2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5C74469">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在开标时须使用制作加密电子投标文件所使用的CA锁及电脑，电脑须提前配置好浏览器（建议使用谷歌浏览器），以便开标时解锁。</w:t>
            </w:r>
          </w:p>
          <w:p w14:paraId="586CBE87">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highlight w:val="none"/>
                <w:lang w:eastAsia="zh-CN"/>
              </w:rPr>
              <w:fldChar w:fldCharType="begin"/>
            </w:r>
            <w:r>
              <w:rPr>
                <w:rFonts w:hint="eastAsia" w:ascii="仿宋" w:hAnsi="仿宋" w:eastAsia="仿宋" w:cs="仿宋"/>
                <w:color w:val="auto"/>
                <w:highlight w:val="none"/>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highlight w:val="none"/>
                <w:lang w:eastAsia="zh-CN"/>
              </w:rPr>
              <w:fldChar w:fldCharType="separate"/>
            </w:r>
            <w:r>
              <w:rPr>
                <w:rFonts w:hint="eastAsia" w:ascii="仿宋" w:hAnsi="仿宋" w:eastAsia="仿宋" w:cs="仿宋"/>
                <w:color w:val="auto"/>
                <w:highlight w:val="none"/>
                <w:lang w:eastAsia="zh-CN"/>
              </w:rPr>
              <w:t>https://service.zcygov.cn/#/help，“项目采购”—“操作流程-电子招投标”—“政府采购项目电子交易管理操作指南-供应商”版面获取操作指南。</w:t>
            </w:r>
            <w:r>
              <w:rPr>
                <w:rFonts w:hint="eastAsia" w:ascii="仿宋" w:hAnsi="仿宋" w:eastAsia="仿宋" w:cs="仿宋"/>
                <w:color w:val="auto"/>
                <w:highlight w:val="none"/>
                <w:lang w:eastAsia="zh-CN"/>
              </w:rPr>
              <w:fldChar w:fldCharType="end"/>
            </w:r>
          </w:p>
          <w:p w14:paraId="77D061D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7.为了保证开评标顺利进行，政采云线上开标功能完全实现，供应商开标所使用的电脑设备须具有视频及语音功能。</w:t>
            </w:r>
          </w:p>
        </w:tc>
      </w:tr>
      <w:tr w14:paraId="73D61A55">
        <w:tblPrEx>
          <w:tblCellMar>
            <w:top w:w="0" w:type="dxa"/>
            <w:left w:w="108" w:type="dxa"/>
            <w:bottom w:w="0" w:type="dxa"/>
            <w:right w:w="108" w:type="dxa"/>
          </w:tblCellMar>
        </w:tblPrEx>
        <w:trPr>
          <w:trHeight w:val="710" w:hRule="atLeast"/>
          <w:jc w:val="center"/>
        </w:trPr>
        <w:tc>
          <w:tcPr>
            <w:tcW w:w="558" w:type="dxa"/>
            <w:vMerge w:val="continue"/>
            <w:tcBorders>
              <w:left w:val="single" w:color="auto" w:sz="4" w:space="0"/>
              <w:bottom w:val="single" w:color="auto" w:sz="4" w:space="0"/>
              <w:right w:val="single" w:color="auto" w:sz="4" w:space="0"/>
            </w:tcBorders>
            <w:vAlign w:val="center"/>
          </w:tcPr>
          <w:p w14:paraId="76FEF569">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1682" w:type="dxa"/>
            <w:vMerge w:val="continue"/>
            <w:tcBorders>
              <w:left w:val="single" w:color="auto" w:sz="4" w:space="0"/>
              <w:bottom w:val="single" w:color="auto" w:sz="4" w:space="0"/>
              <w:right w:val="single" w:color="auto" w:sz="4" w:space="0"/>
            </w:tcBorders>
            <w:vAlign w:val="center"/>
          </w:tcPr>
          <w:p w14:paraId="6C2788E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1856C9F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1、电子招投标情况说明：</w:t>
            </w:r>
          </w:p>
          <w:p w14:paraId="5601B3E4">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（1）电子招投标：本项目以数据电文形式，依托“政府采购云平台（www.zcygov.cn）”进行招投标活动。</w:t>
            </w:r>
          </w:p>
          <w:p w14:paraId="10FACBA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B3D453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（3）招标文件 的获取：使用账号登录或者短信验证码或者使用CA登录政采云平台；进入“项目采购”应用，在获取招标文件 菜单中选择项目，获取招标文件 。</w:t>
            </w:r>
          </w:p>
          <w:p w14:paraId="21311D3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（4）投标文件的制作：在“政采云电子交易客户端”中完成“填写基本信息”、“导入投标文件”、“标书关联”、“标书检查”、“电子签名”、“生成电子标书”等操作。</w:t>
            </w:r>
          </w:p>
          <w:p w14:paraId="546594A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（5）投标文件的传输递交：</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highlight w:val="none"/>
                <w:lang w:val="en-US" w:eastAsia="zh-CN"/>
              </w:rPr>
              <w:t>3265613387</w:t>
            </w:r>
            <w:r>
              <w:rPr>
                <w:rFonts w:hint="eastAsia" w:ascii="仿宋" w:hAnsi="仿宋" w:eastAsia="仿宋" w:cs="仿宋"/>
                <w:color w:val="auto"/>
                <w:highlight w:val="none"/>
                <w:lang w:eastAsia="zh-CN"/>
              </w:rPr>
              <w:t>@qq.com，接收人：朱先生，电话：</w:t>
            </w:r>
            <w:r>
              <w:rPr>
                <w:rFonts w:hint="eastAsia" w:ascii="仿宋" w:hAnsi="仿宋" w:eastAsia="仿宋" w:cs="仿宋"/>
                <w:color w:val="auto"/>
                <w:highlight w:val="none"/>
                <w:lang w:val="en-US" w:eastAsia="zh-CN"/>
              </w:rPr>
              <w:t>18609088999</w:t>
            </w:r>
            <w:r>
              <w:rPr>
                <w:rFonts w:hint="eastAsia" w:ascii="仿宋" w:hAnsi="仿宋" w:eastAsia="仿宋" w:cs="仿宋"/>
                <w:color w:val="auto"/>
                <w:highlight w:val="none"/>
                <w:lang w:eastAsia="zh-CN"/>
              </w:rPr>
              <w:t>），备份投标文件可以打包压缩并加密，压缩包命名为“XX单位备份投标文件”，加密密码由</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自行保管（“备份投标文件”由</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自愿提供，招标文件 不作强制性要求；如不提供或未按要求提供的，当电子投标文件无法解密时，将导致无备份投标文件而失去投标资格）。</w:t>
            </w:r>
          </w:p>
          <w:p w14:paraId="5216707E">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4052060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（7）具体操作指南：详见政采云平台“服务中心-帮助文档-项目采购-操作流程-电子招投标-政府采购项目电子交易管理操作指南-供应商”。</w:t>
            </w:r>
          </w:p>
          <w:p w14:paraId="2F8D8E06">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（8）供应商在进行上述操作时，如遇技术问题可登录政采云（https://</w:t>
            </w: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rFonts w:hint="eastAsia" w:ascii="仿宋" w:hAnsi="仿宋" w:eastAsia="仿宋" w:cs="仿宋"/>
                <w:color w:val="auto"/>
                <w:highlight w:val="none"/>
                <w:lang w:eastAsia="zh-CN"/>
              </w:rPr>
              <w:t>www.zcygov.cn/</w:t>
            </w:r>
            <w:r>
              <w:rPr>
                <w:rFonts w:hint="eastAsia" w:ascii="仿宋" w:hAnsi="仿宋" w:eastAsia="仿宋" w:cs="仿宋"/>
                <w:color w:val="auto"/>
                <w:highlight w:val="none"/>
                <w:lang w:eastAsia="zh-CN"/>
              </w:rPr>
              <w:fldChar w:fldCharType="end"/>
            </w:r>
            <w:r>
              <w:rPr>
                <w:rFonts w:hint="eastAsia" w:ascii="仿宋" w:hAnsi="仿宋" w:eastAsia="仿宋" w:cs="仿宋"/>
                <w:color w:val="auto"/>
                <w:highlight w:val="none"/>
                <w:lang w:eastAsia="zh-CN"/>
              </w:rPr>
              <w:t>），点击右侧咨询小采，获取采小蜜智能服务管家帮助，或拨打政采云服务热线 95763 获取热线服务帮助。</w:t>
            </w:r>
          </w:p>
          <w:p w14:paraId="055800E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温馨提醒：供应商应提前上传，以便在上传时遇到技术问题，有充足的时间请教平台的技术人员。</w:t>
            </w:r>
          </w:p>
          <w:p w14:paraId="16006A5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2、投标人认为招标文件 使自己的权益受到损害的，可以自收到招标文件之日（招标文件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14:paraId="2D15AC57">
        <w:tblPrEx>
          <w:tblCellMar>
            <w:top w:w="0" w:type="dxa"/>
            <w:left w:w="108" w:type="dxa"/>
            <w:bottom w:w="0" w:type="dxa"/>
            <w:right w:w="108" w:type="dxa"/>
          </w:tblCellMar>
        </w:tblPrEx>
        <w:trPr>
          <w:trHeight w:val="91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743DF20">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25</w:t>
            </w:r>
          </w:p>
        </w:tc>
        <w:tc>
          <w:tcPr>
            <w:tcW w:w="1682" w:type="dxa"/>
            <w:tcBorders>
              <w:top w:val="single" w:color="auto" w:sz="4" w:space="0"/>
              <w:left w:val="single" w:color="auto" w:sz="4" w:space="0"/>
              <w:bottom w:val="single" w:color="auto" w:sz="4" w:space="0"/>
              <w:right w:val="single" w:color="auto" w:sz="4" w:space="0"/>
            </w:tcBorders>
            <w:vAlign w:val="center"/>
          </w:tcPr>
          <w:p w14:paraId="3AE58AD9">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中标候选人公示媒介</w:t>
            </w:r>
          </w:p>
        </w:tc>
        <w:tc>
          <w:tcPr>
            <w:tcW w:w="7668" w:type="dxa"/>
            <w:tcBorders>
              <w:top w:val="single" w:color="auto" w:sz="4" w:space="0"/>
              <w:left w:val="single" w:color="auto" w:sz="4" w:space="0"/>
              <w:bottom w:val="single" w:color="auto" w:sz="4" w:space="0"/>
              <w:right w:val="single" w:color="auto" w:sz="4" w:space="0"/>
            </w:tcBorders>
            <w:vAlign w:val="center"/>
          </w:tcPr>
          <w:p w14:paraId="44D359F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新疆政府采购网、克州公共资源交易中心网，公示期为一个工作日。</w:t>
            </w:r>
          </w:p>
        </w:tc>
      </w:tr>
      <w:tr w14:paraId="3AC81BFC">
        <w:tblPrEx>
          <w:tblCellMar>
            <w:top w:w="0" w:type="dxa"/>
            <w:left w:w="108" w:type="dxa"/>
            <w:bottom w:w="0" w:type="dxa"/>
            <w:right w:w="108" w:type="dxa"/>
          </w:tblCellMar>
        </w:tblPrEx>
        <w:trPr>
          <w:trHeight w:val="41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2D259F9">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26</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6241D32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招标代理服务费</w:t>
            </w:r>
          </w:p>
        </w:tc>
      </w:tr>
      <w:tr w14:paraId="749CBF07">
        <w:tblPrEx>
          <w:tblCellMar>
            <w:top w:w="0" w:type="dxa"/>
            <w:left w:w="108" w:type="dxa"/>
            <w:bottom w:w="0" w:type="dxa"/>
            <w:right w:w="108" w:type="dxa"/>
          </w:tblCellMar>
        </w:tblPrEx>
        <w:trPr>
          <w:trHeight w:val="65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EFF05D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6F986D9D">
            <w:pPr>
              <w:spacing w:line="400" w:lineRule="exact"/>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val="en-US" w:eastAsia="zh-CN"/>
              </w:rPr>
              <w:t>代理服务收费标准：根据(发改价格[2015]299号文件)，根据国家计委关于印发《招标代理服务收费管理暂行办法》的通知-计价格〔2002〕1980号文件为参考，按差额定率累进法计算。</w:t>
            </w:r>
            <w:r>
              <w:rPr>
                <w:rFonts w:hint="eastAsia" w:ascii="仿宋" w:hAnsi="仿宋" w:eastAsia="仿宋" w:cs="仿宋"/>
                <w:b w:val="0"/>
                <w:bCs w:val="0"/>
                <w:i w:val="0"/>
                <w:iCs w:val="0"/>
                <w:caps w:val="0"/>
                <w:color w:val="auto"/>
                <w:spacing w:val="0"/>
                <w:sz w:val="24"/>
                <w:szCs w:val="24"/>
                <w:highlight w:val="none"/>
                <w:lang w:val="en-US" w:eastAsia="zh-CN"/>
              </w:rPr>
              <w:t>本项目招标代理服务费：22180</w:t>
            </w:r>
            <w:r>
              <w:rPr>
                <w:rFonts w:hint="eastAsia" w:ascii="仿宋" w:hAnsi="仿宋" w:eastAsia="仿宋" w:cs="仿宋"/>
                <w:color w:val="auto"/>
                <w:highlight w:val="none"/>
                <w:lang w:val="en-US" w:eastAsia="zh-CN"/>
              </w:rPr>
              <w:t>元，招标代理费在中标通知书发放之日前由中标人缴纳。</w:t>
            </w:r>
          </w:p>
        </w:tc>
      </w:tr>
      <w:tr w14:paraId="187F5B13">
        <w:tblPrEx>
          <w:tblCellMar>
            <w:top w:w="0" w:type="dxa"/>
            <w:left w:w="108" w:type="dxa"/>
            <w:bottom w:w="0" w:type="dxa"/>
            <w:right w:w="108" w:type="dxa"/>
          </w:tblCellMar>
        </w:tblPrEx>
        <w:trPr>
          <w:trHeight w:val="84" w:hRule="atLeast"/>
          <w:jc w:val="center"/>
        </w:trPr>
        <w:tc>
          <w:tcPr>
            <w:tcW w:w="558" w:type="dxa"/>
            <w:vMerge w:val="restart"/>
            <w:tcBorders>
              <w:top w:val="single" w:color="auto" w:sz="4" w:space="0"/>
              <w:left w:val="single" w:color="auto" w:sz="4" w:space="0"/>
              <w:right w:val="single" w:color="auto" w:sz="4" w:space="0"/>
            </w:tcBorders>
            <w:vAlign w:val="center"/>
          </w:tcPr>
          <w:p w14:paraId="6A5D0471">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27</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2FEEBE1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评标办法：本项目采用综合评分法</w:t>
            </w:r>
          </w:p>
        </w:tc>
      </w:tr>
      <w:tr w14:paraId="72D42C7D">
        <w:tblPrEx>
          <w:tblCellMar>
            <w:top w:w="0" w:type="dxa"/>
            <w:left w:w="108" w:type="dxa"/>
            <w:bottom w:w="0" w:type="dxa"/>
            <w:right w:w="108" w:type="dxa"/>
          </w:tblCellMar>
        </w:tblPrEx>
        <w:trPr>
          <w:trHeight w:val="84" w:hRule="atLeast"/>
          <w:jc w:val="center"/>
        </w:trPr>
        <w:tc>
          <w:tcPr>
            <w:tcW w:w="558" w:type="dxa"/>
            <w:vMerge w:val="continue"/>
            <w:tcBorders>
              <w:left w:val="single" w:color="auto" w:sz="4" w:space="0"/>
              <w:bottom w:val="single" w:color="auto" w:sz="4" w:space="0"/>
              <w:right w:val="single" w:color="auto" w:sz="4" w:space="0"/>
            </w:tcBorders>
            <w:vAlign w:val="center"/>
          </w:tcPr>
          <w:p w14:paraId="6EF6C443">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54434ADE">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依据财库〔2026〕2号《关于推动解决政府采购异常低价问题的通知》</w:t>
            </w:r>
          </w:p>
          <w:p w14:paraId="0F9176AB">
            <w:pPr>
              <w:spacing w:line="360" w:lineRule="auto"/>
              <w:ind w:firstLine="486"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为强化政府采购异常低价审查，在此次政府采购评审中出现下列情形之一的，评审委员会应当启动异常低价投标（响应）审查程序：</w:t>
            </w:r>
          </w:p>
          <w:p w14:paraId="677363AC">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1.投标（响应）报价低于全部通过符合性审查供应商投标（响应）报价平均值50%的，即投标（响应）报价&lt;全部通过符合性审查供应商投标（响应）报价平均值×50%；</w:t>
            </w:r>
          </w:p>
          <w:p w14:paraId="56D34B99">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2.投标（响应）报价低于通过符合性审查的次低报价供应商投标（响应）报价50%的，即投标（响应）报价&lt;通过符合性审查的次低报价供应商投标（响应）报价×50%；</w:t>
            </w:r>
          </w:p>
          <w:p w14:paraId="7C633D4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3.投标（响应）报价低于采购项目最高限价45%的，即投标（响应）报价&lt;采购项目最高限价×45%；</w:t>
            </w:r>
          </w:p>
          <w:p w14:paraId="52FE4A6F">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eastAsia="zh-CN"/>
              </w:rPr>
            </w:pPr>
            <w:r>
              <w:rPr>
                <w:rFonts w:hint="eastAsia" w:ascii="仿宋" w:hAnsi="仿宋" w:eastAsia="仿宋" w:cs="仿宋"/>
                <w:b w:val="0"/>
                <w:bCs w:val="0"/>
                <w:color w:val="auto"/>
                <w:sz w:val="24"/>
                <w:szCs w:val="24"/>
                <w:lang w:val="en-US" w:eastAsia="zh-CN"/>
              </w:rPr>
              <w:t>4.评审委员会基于专业判断，认为供应商报价过低，有可能影响产品质量或者不能诚信履约的其他情形。</w:t>
            </w:r>
          </w:p>
        </w:tc>
      </w:tr>
      <w:tr w14:paraId="32FA4614">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E17C655">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28</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6F5C4B04">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不管投标结果如何，供应商均应承担自己投标所需一切费用。</w:t>
            </w:r>
          </w:p>
        </w:tc>
      </w:tr>
      <w:tr w14:paraId="7CCEAA3A">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6848093">
            <w:pPr>
              <w:keepNext w:val="0"/>
              <w:keepLines w:val="0"/>
              <w:pageBreakBefore w:val="0"/>
              <w:kinsoku/>
              <w:wordWrap/>
              <w:overflowPunct w:val="0"/>
              <w:topLinePunct w:val="0"/>
              <w:autoSpaceDE w:val="0"/>
              <w:autoSpaceDN w:val="0"/>
              <w:bidi w:val="0"/>
              <w:spacing w:line="4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29</w:t>
            </w:r>
          </w:p>
        </w:tc>
        <w:tc>
          <w:tcPr>
            <w:tcW w:w="9350" w:type="dxa"/>
            <w:gridSpan w:val="2"/>
            <w:tcBorders>
              <w:top w:val="single" w:color="auto" w:sz="4" w:space="0"/>
              <w:left w:val="single" w:color="auto" w:sz="4" w:space="0"/>
              <w:bottom w:val="single" w:color="auto" w:sz="4" w:space="0"/>
              <w:right w:val="single" w:color="auto" w:sz="4" w:space="0"/>
            </w:tcBorders>
            <w:vAlign w:val="center"/>
          </w:tcPr>
          <w:p w14:paraId="47841A2E">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本项目预算金额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1550000.00</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最高限价</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219315.89元;</w:t>
            </w:r>
          </w:p>
          <w:p w14:paraId="79BEBE1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b/>
                <w:bCs/>
                <w:color w:val="auto"/>
                <w:highlight w:val="none"/>
                <w:lang w:eastAsia="zh-CN"/>
              </w:rPr>
              <w:t>注：</w:t>
            </w:r>
            <w:r>
              <w:rPr>
                <w:rFonts w:hint="eastAsia" w:ascii="仿宋" w:hAnsi="仿宋" w:eastAsia="仿宋" w:cs="仿宋"/>
                <w:b/>
                <w:bCs/>
                <w:color w:val="auto"/>
                <w:highlight w:val="none"/>
                <w:lang w:val="en-US" w:eastAsia="zh-CN"/>
              </w:rPr>
              <w:t>本项目单价招标。每项单价报价不得高于招标单价控制价，否则其投标将被否决。</w:t>
            </w:r>
          </w:p>
        </w:tc>
      </w:tr>
      <w:tr w14:paraId="37C0A8DF">
        <w:tblPrEx>
          <w:tblCellMar>
            <w:top w:w="0" w:type="dxa"/>
            <w:left w:w="108" w:type="dxa"/>
            <w:bottom w:w="0" w:type="dxa"/>
            <w:right w:w="108" w:type="dxa"/>
          </w:tblCellMar>
        </w:tblPrEx>
        <w:trPr>
          <w:trHeight w:val="2579" w:hRule="atLeast"/>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14:paraId="0748CCAA">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682" w:type="dxa"/>
            <w:vMerge w:val="restart"/>
            <w:tcBorders>
              <w:top w:val="single" w:color="auto" w:sz="4" w:space="0"/>
              <w:left w:val="single" w:color="auto" w:sz="4" w:space="0"/>
              <w:bottom w:val="single" w:color="auto" w:sz="4" w:space="0"/>
              <w:right w:val="single" w:color="auto" w:sz="4" w:space="0"/>
            </w:tcBorders>
            <w:vAlign w:val="center"/>
          </w:tcPr>
          <w:p w14:paraId="71F5DF18">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w:t>
            </w:r>
          </w:p>
        </w:tc>
        <w:tc>
          <w:tcPr>
            <w:tcW w:w="7668" w:type="dxa"/>
            <w:tcBorders>
              <w:top w:val="single" w:color="auto" w:sz="4" w:space="0"/>
              <w:left w:val="single" w:color="auto" w:sz="4" w:space="0"/>
              <w:bottom w:val="single" w:color="auto" w:sz="4" w:space="0"/>
              <w:right w:val="single" w:color="auto" w:sz="4" w:space="0"/>
            </w:tcBorders>
            <w:vAlign w:val="center"/>
          </w:tcPr>
          <w:p w14:paraId="7E5BA027">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w:t>
            </w:r>
            <w:r>
              <w:rPr>
                <w:rFonts w:hint="eastAsia" w:ascii="仿宋" w:hAnsi="仿宋" w:eastAsia="仿宋" w:cs="仿宋"/>
                <w:b/>
                <w:bCs/>
                <w:color w:val="auto"/>
                <w:highlight w:val="none"/>
                <w:lang w:eastAsia="zh-CN"/>
              </w:rPr>
              <w:t>供应商所投产品的制造商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仿宋" w:hAnsi="仿宋" w:eastAsia="仿宋" w:cs="仿宋"/>
                <w:color w:val="auto"/>
                <w:highlight w:val="none"/>
                <w:lang w:eastAsia="zh-CN"/>
              </w:rPr>
              <w:t>。</w:t>
            </w:r>
          </w:p>
        </w:tc>
      </w:tr>
      <w:tr w14:paraId="4FFAD2E5">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3D662FE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1682" w:type="dxa"/>
            <w:vMerge w:val="continue"/>
            <w:tcBorders>
              <w:top w:val="single" w:color="auto" w:sz="4" w:space="0"/>
              <w:left w:val="single" w:color="auto" w:sz="4" w:space="0"/>
              <w:bottom w:val="single" w:color="auto" w:sz="4" w:space="0"/>
              <w:right w:val="single" w:color="auto" w:sz="4" w:space="0"/>
            </w:tcBorders>
            <w:vAlign w:val="center"/>
          </w:tcPr>
          <w:p w14:paraId="4E31930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52B64300">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仿宋" w:hAnsi="仿宋" w:eastAsia="仿宋" w:cs="仿宋"/>
                <w:b w:val="0"/>
                <w:bCs w:val="0"/>
                <w:color w:val="auto"/>
                <w:highlight w:val="none"/>
                <w:lang w:eastAsia="zh-CN"/>
              </w:rPr>
              <w:t>监狱企业的证明文件。</w:t>
            </w:r>
            <w:r>
              <w:rPr>
                <w:rFonts w:hint="eastAsia" w:ascii="仿宋" w:hAnsi="仿宋" w:eastAsia="仿宋" w:cs="仿宋"/>
                <w:color w:val="auto"/>
                <w:highlight w:val="none"/>
                <w:lang w:eastAsia="zh-CN"/>
              </w:rPr>
              <w:t>监狱企业视同小型、微型企业。</w:t>
            </w:r>
          </w:p>
        </w:tc>
      </w:tr>
      <w:tr w14:paraId="516E32C6">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3C1A05A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1682" w:type="dxa"/>
            <w:vMerge w:val="continue"/>
            <w:tcBorders>
              <w:top w:val="single" w:color="auto" w:sz="4" w:space="0"/>
              <w:left w:val="single" w:color="auto" w:sz="4" w:space="0"/>
              <w:bottom w:val="single" w:color="auto" w:sz="4" w:space="0"/>
              <w:right w:val="single" w:color="auto" w:sz="4" w:space="0"/>
            </w:tcBorders>
            <w:vAlign w:val="center"/>
          </w:tcPr>
          <w:p w14:paraId="2C466051">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1DF957E2">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0FF7BFA6">
        <w:tblPrEx>
          <w:tblCellMar>
            <w:top w:w="0" w:type="dxa"/>
            <w:left w:w="108" w:type="dxa"/>
            <w:bottom w:w="0" w:type="dxa"/>
            <w:right w:w="108" w:type="dxa"/>
          </w:tblCellMar>
        </w:tblPrEx>
        <w:trPr>
          <w:trHeight w:val="90" w:hRule="atLeast"/>
          <w:jc w:val="center"/>
        </w:trPr>
        <w:tc>
          <w:tcPr>
            <w:tcW w:w="558" w:type="dxa"/>
            <w:vMerge w:val="restart"/>
            <w:tcBorders>
              <w:top w:val="single" w:color="auto" w:sz="4" w:space="0"/>
              <w:left w:val="single" w:color="auto" w:sz="4" w:space="0"/>
              <w:right w:val="single" w:color="auto" w:sz="4" w:space="0"/>
            </w:tcBorders>
            <w:vAlign w:val="center"/>
          </w:tcPr>
          <w:p w14:paraId="2BD7F807">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w:t>
            </w:r>
          </w:p>
        </w:tc>
        <w:tc>
          <w:tcPr>
            <w:tcW w:w="1682" w:type="dxa"/>
            <w:vMerge w:val="restart"/>
            <w:tcBorders>
              <w:top w:val="single" w:color="auto" w:sz="4" w:space="0"/>
              <w:left w:val="single" w:color="auto" w:sz="4" w:space="0"/>
              <w:right w:val="single" w:color="auto" w:sz="4" w:space="0"/>
            </w:tcBorders>
            <w:vAlign w:val="center"/>
          </w:tcPr>
          <w:p w14:paraId="24A6064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中小微企业政策文件说明</w:t>
            </w:r>
          </w:p>
        </w:tc>
        <w:tc>
          <w:tcPr>
            <w:tcW w:w="7668" w:type="dxa"/>
            <w:tcBorders>
              <w:top w:val="single" w:color="auto" w:sz="4" w:space="0"/>
              <w:left w:val="single" w:color="auto" w:sz="4" w:space="0"/>
              <w:bottom w:val="single" w:color="auto" w:sz="4" w:space="0"/>
              <w:right w:val="single" w:color="auto" w:sz="4" w:space="0"/>
            </w:tcBorders>
            <w:vAlign w:val="center"/>
          </w:tcPr>
          <w:p w14:paraId="38771A3C">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b/>
                <w:bCs/>
                <w:color w:val="auto"/>
                <w:highlight w:val="none"/>
                <w:lang w:eastAsia="zh-CN"/>
              </w:rPr>
              <w:t>1）支持中小企业发展：给予小型和微型企业产品的价格10%-20%的扣除，用扣除后的价格参与评审，</w:t>
            </w:r>
            <w:r>
              <w:rPr>
                <w:rFonts w:hint="eastAsia" w:ascii="仿宋" w:hAnsi="仿宋" w:eastAsia="仿宋" w:cs="仿宋"/>
                <w:b/>
                <w:bCs/>
                <w:color w:val="auto"/>
                <w:highlight w:val="none"/>
                <w:u w:val="single"/>
                <w:lang w:eastAsia="zh-CN"/>
              </w:rPr>
              <w:t>本项目具体扣除比例为10%</w:t>
            </w:r>
            <w:r>
              <w:rPr>
                <w:rFonts w:hint="eastAsia" w:ascii="仿宋" w:hAnsi="仿宋" w:eastAsia="仿宋" w:cs="仿宋"/>
                <w:color w:val="auto"/>
                <w:highlight w:val="none"/>
                <w:lang w:eastAsia="zh-CN"/>
              </w:rPr>
              <w:t>。用扣除后的价格参与评审。残疾人福利性单位视同小型、微型企业，享受同等价格扣除，但同时属于残疾人福利性单位和小微企业的，不重复价格扣除。</w:t>
            </w:r>
          </w:p>
        </w:tc>
      </w:tr>
      <w:tr w14:paraId="1F24C22F">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right w:val="single" w:color="auto" w:sz="4" w:space="0"/>
            </w:tcBorders>
            <w:vAlign w:val="center"/>
          </w:tcPr>
          <w:p w14:paraId="2E6E3605">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sz w:val="21"/>
                <w:szCs w:val="21"/>
                <w:highlight w:val="none"/>
                <w:lang w:eastAsia="zh-CN"/>
              </w:rPr>
            </w:pPr>
          </w:p>
        </w:tc>
        <w:tc>
          <w:tcPr>
            <w:tcW w:w="1682" w:type="dxa"/>
            <w:vMerge w:val="continue"/>
            <w:tcBorders>
              <w:left w:val="single" w:color="auto" w:sz="4" w:space="0"/>
              <w:right w:val="single" w:color="auto" w:sz="4" w:space="0"/>
            </w:tcBorders>
            <w:vAlign w:val="center"/>
          </w:tcPr>
          <w:p w14:paraId="7B676A3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78A54B3A">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lang w:eastAsia="zh-CN"/>
              </w:rPr>
              <w:t>）不符合上述适用情形的供应商无需提供上述声明函件。</w:t>
            </w:r>
          </w:p>
        </w:tc>
      </w:tr>
      <w:tr w14:paraId="77C0A725">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right w:val="single" w:color="auto" w:sz="4" w:space="0"/>
            </w:tcBorders>
            <w:vAlign w:val="center"/>
          </w:tcPr>
          <w:p w14:paraId="23A841E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sz w:val="21"/>
                <w:szCs w:val="21"/>
                <w:highlight w:val="none"/>
                <w:lang w:eastAsia="zh-CN"/>
              </w:rPr>
            </w:pPr>
          </w:p>
        </w:tc>
        <w:tc>
          <w:tcPr>
            <w:tcW w:w="1682" w:type="dxa"/>
            <w:vMerge w:val="continue"/>
            <w:tcBorders>
              <w:left w:val="single" w:color="auto" w:sz="4" w:space="0"/>
              <w:right w:val="single" w:color="auto" w:sz="4" w:space="0"/>
            </w:tcBorders>
            <w:vAlign w:val="center"/>
          </w:tcPr>
          <w:p w14:paraId="76F7420C">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106F8CA9">
            <w:pPr>
              <w:keepNext w:val="0"/>
              <w:keepLines w:val="0"/>
              <w:pageBreakBefore w:val="0"/>
              <w:numPr>
                <w:ilvl w:val="0"/>
                <w:numId w:val="4"/>
              </w:numPr>
              <w:kinsoku/>
              <w:wordWrap/>
              <w:overflowPunct w:val="0"/>
              <w:topLinePunct w:val="0"/>
              <w:autoSpaceDE w:val="0"/>
              <w:autoSpaceDN w:val="0"/>
              <w:bidi w:val="0"/>
              <w:spacing w:line="400" w:lineRule="exact"/>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本项目所属行业：工业</w:t>
            </w:r>
          </w:p>
        </w:tc>
      </w:tr>
      <w:tr w14:paraId="5E19525B">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bottom w:val="single" w:color="auto" w:sz="4" w:space="0"/>
              <w:right w:val="single" w:color="auto" w:sz="4" w:space="0"/>
            </w:tcBorders>
            <w:vAlign w:val="center"/>
          </w:tcPr>
          <w:p w14:paraId="5F597D8C">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sz w:val="21"/>
                <w:szCs w:val="21"/>
                <w:highlight w:val="none"/>
                <w:lang w:eastAsia="zh-CN"/>
              </w:rPr>
            </w:pPr>
          </w:p>
        </w:tc>
        <w:tc>
          <w:tcPr>
            <w:tcW w:w="1682" w:type="dxa"/>
            <w:vMerge w:val="continue"/>
            <w:tcBorders>
              <w:left w:val="single" w:color="auto" w:sz="4" w:space="0"/>
              <w:bottom w:val="single" w:color="auto" w:sz="4" w:space="0"/>
              <w:right w:val="single" w:color="auto" w:sz="4" w:space="0"/>
            </w:tcBorders>
            <w:vAlign w:val="center"/>
          </w:tcPr>
          <w:p w14:paraId="3D344DC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sz w:val="21"/>
                <w:szCs w:val="21"/>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1C79FE2C">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着重提醒：投标人在提供《中小企业声明函》时，必须将招标文件采购标的物全部列入《中小企业声明函》，否则不享受扣除价格政策。</w:t>
            </w:r>
          </w:p>
        </w:tc>
      </w:tr>
      <w:tr w14:paraId="2557B3C3">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9D7FA20">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w:t>
            </w:r>
          </w:p>
        </w:tc>
        <w:tc>
          <w:tcPr>
            <w:tcW w:w="1682" w:type="dxa"/>
            <w:tcBorders>
              <w:top w:val="single" w:color="auto" w:sz="4" w:space="0"/>
              <w:left w:val="single" w:color="auto" w:sz="4" w:space="0"/>
              <w:bottom w:val="single" w:color="auto" w:sz="4" w:space="0"/>
              <w:right w:val="single" w:color="auto" w:sz="4" w:space="0"/>
            </w:tcBorders>
            <w:vAlign w:val="center"/>
          </w:tcPr>
          <w:p w14:paraId="2AE2B913">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val="zh-CN" w:eastAsia="zh-CN"/>
              </w:rPr>
            </w:pPr>
          </w:p>
          <w:p w14:paraId="34FE91A6">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履约保证金</w:t>
            </w:r>
          </w:p>
          <w:p w14:paraId="0077EE12">
            <w:pPr>
              <w:keepNext w:val="0"/>
              <w:keepLines w:val="0"/>
              <w:pageBreakBefore w:val="0"/>
              <w:kinsoku/>
              <w:wordWrap/>
              <w:overflowPunct w:val="0"/>
              <w:topLinePunct w:val="0"/>
              <w:autoSpaceDE w:val="0"/>
              <w:autoSpaceDN w:val="0"/>
              <w:bidi w:val="0"/>
              <w:spacing w:line="400" w:lineRule="exact"/>
              <w:jc w:val="center"/>
              <w:rPr>
                <w:rFonts w:ascii="仿宋" w:hAnsi="仿宋" w:eastAsia="仿宋" w:cs="仿宋"/>
                <w:color w:val="auto"/>
                <w:highlight w:val="none"/>
                <w:lang w:eastAsia="zh-CN"/>
              </w:rPr>
            </w:pPr>
          </w:p>
        </w:tc>
        <w:tc>
          <w:tcPr>
            <w:tcW w:w="7668" w:type="dxa"/>
            <w:tcBorders>
              <w:top w:val="single" w:color="auto" w:sz="4" w:space="0"/>
              <w:left w:val="single" w:color="auto" w:sz="4" w:space="0"/>
              <w:bottom w:val="single" w:color="auto" w:sz="4" w:space="0"/>
              <w:right w:val="single" w:color="auto" w:sz="4" w:space="0"/>
            </w:tcBorders>
            <w:vAlign w:val="center"/>
          </w:tcPr>
          <w:p w14:paraId="71F5DE55">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zh-CN" w:eastAsia="zh-CN"/>
              </w:rPr>
              <w:t>中标供应商在签订合同后10个工作日内向采购人缴纳不超过</w:t>
            </w:r>
            <w:r>
              <w:rPr>
                <w:rFonts w:hint="eastAsia" w:ascii="仿宋" w:hAnsi="仿宋" w:eastAsia="仿宋" w:cs="仿宋"/>
                <w:color w:val="auto"/>
                <w:highlight w:val="none"/>
                <w:u w:val="single"/>
                <w:lang w:val="zh-CN" w:eastAsia="zh-CN"/>
              </w:rPr>
              <w:t>中标价10%</w:t>
            </w:r>
            <w:r>
              <w:rPr>
                <w:rFonts w:hint="eastAsia" w:ascii="仿宋" w:hAnsi="仿宋" w:eastAsia="仿宋" w:cs="仿宋"/>
                <w:color w:val="auto"/>
                <w:highlight w:val="none"/>
                <w:lang w:val="zh-CN" w:eastAsia="zh-CN"/>
              </w:rPr>
              <w:t>的履约保证金（鼓励以银行、保险公司出具的履约保函形式提交；若以电汇、银行转账方式提交的，必须转到采购人的指定账户）。</w:t>
            </w:r>
          </w:p>
        </w:tc>
      </w:tr>
      <w:tr w14:paraId="6D296E28">
        <w:tblPrEx>
          <w:tblCellMar>
            <w:top w:w="0" w:type="dxa"/>
            <w:left w:w="108" w:type="dxa"/>
            <w:bottom w:w="0" w:type="dxa"/>
            <w:right w:w="108" w:type="dxa"/>
          </w:tblCellMar>
        </w:tblPrEx>
        <w:trPr>
          <w:trHeight w:val="84" w:hRule="atLeast"/>
          <w:jc w:val="center"/>
        </w:trPr>
        <w:tc>
          <w:tcPr>
            <w:tcW w:w="2240" w:type="dxa"/>
            <w:gridSpan w:val="2"/>
            <w:tcBorders>
              <w:top w:val="single" w:color="auto" w:sz="4" w:space="0"/>
              <w:left w:val="single" w:color="auto" w:sz="4" w:space="0"/>
              <w:bottom w:val="single" w:color="auto" w:sz="4" w:space="0"/>
              <w:right w:val="single" w:color="auto" w:sz="4" w:space="0"/>
            </w:tcBorders>
            <w:vAlign w:val="center"/>
          </w:tcPr>
          <w:p w14:paraId="69F9F386">
            <w:pPr>
              <w:keepNext w:val="0"/>
              <w:keepLines w:val="0"/>
              <w:pageBreakBefore w:val="0"/>
              <w:kinsoku/>
              <w:wordWrap/>
              <w:overflowPunct w:val="0"/>
              <w:topLinePunct w:val="0"/>
              <w:autoSpaceDE w:val="0"/>
              <w:autoSpaceDN w:val="0"/>
              <w:bidi w:val="0"/>
              <w:spacing w:line="400" w:lineRule="exact"/>
              <w:ind w:firstLine="729" w:firstLineChars="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w:t>
            </w:r>
          </w:p>
        </w:tc>
        <w:tc>
          <w:tcPr>
            <w:tcW w:w="7668" w:type="dxa"/>
            <w:tcBorders>
              <w:top w:val="single" w:color="auto" w:sz="4" w:space="0"/>
              <w:left w:val="single" w:color="auto" w:sz="4" w:space="0"/>
              <w:bottom w:val="single" w:color="auto" w:sz="4" w:space="0"/>
              <w:right w:val="single" w:color="auto" w:sz="4" w:space="0"/>
            </w:tcBorders>
            <w:vAlign w:val="center"/>
          </w:tcPr>
          <w:p w14:paraId="571F511B">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1、着重提醒各供应商注意，并认真查看招标文件中的每一个条款及要求，因误读招标文件而造成的后果，招标人概不负责。</w:t>
            </w:r>
          </w:p>
          <w:p w14:paraId="5B6C95A3">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2、供应商使用相同IP地址的，一经发现，相关部门将进一步核实，查实后按串通投标处理。</w:t>
            </w:r>
          </w:p>
          <w:p w14:paraId="22314577">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3、为保证本项目质量，良好的售后服务，最低报价不作为中标的唯一依据。</w:t>
            </w:r>
          </w:p>
          <w:p w14:paraId="46692A59">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4340ABBF">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5、如为信息系统采购项目，供应商不得为该整体项目或其中分项目前期工作提供过设计、编制、管理等服务的法人及附属单位。</w:t>
            </w:r>
          </w:p>
          <w:p w14:paraId="4181EB9D">
            <w:pPr>
              <w:keepNext w:val="0"/>
              <w:keepLines w:val="0"/>
              <w:pageBreakBefore w:val="0"/>
              <w:kinsoku/>
              <w:wordWrap/>
              <w:overflowPunct w:val="0"/>
              <w:topLinePunct w:val="0"/>
              <w:autoSpaceDE w:val="0"/>
              <w:autoSpaceDN w:val="0"/>
              <w:bidi w:val="0"/>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5982C2B8">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、其它：</w:t>
            </w:r>
          </w:p>
          <w:p w14:paraId="1341C0F6">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（1）投标企业严格遵守国家的法律法规及招标纪律，无违法违纪及商业贿赂行为。</w:t>
            </w:r>
          </w:p>
          <w:p w14:paraId="1202CADD">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（2）不管投标结果如何，投标人均应自行承担投标所需一切费用。</w:t>
            </w:r>
          </w:p>
          <w:p w14:paraId="4CA479F2">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（3）投标人应以书面形式保证中标后由本公司组织实施，不得以任何理由将项目转包给其他机构。</w:t>
            </w:r>
          </w:p>
          <w:p w14:paraId="6D5B6A2F">
            <w:pPr>
              <w:keepNext w:val="0"/>
              <w:keepLines w:val="0"/>
              <w:pageBreakBefore w:val="0"/>
              <w:kinsoku/>
              <w:wordWrap/>
              <w:overflowPunct w:val="0"/>
              <w:topLinePunct w:val="0"/>
              <w:autoSpaceDE w:val="0"/>
              <w:autoSpaceDN w:val="0"/>
              <w:bidi w:val="0"/>
              <w:spacing w:line="400" w:lineRule="exact"/>
              <w:rPr>
                <w:rFonts w:ascii="仿宋" w:hAnsi="仿宋" w:eastAsia="仿宋" w:cs="仿宋"/>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4</w:t>
            </w:r>
            <w:r>
              <w:rPr>
                <w:rFonts w:hint="eastAsia" w:ascii="仿宋" w:hAnsi="仿宋" w:eastAsia="仿宋" w:cs="仿宋"/>
                <w:b w:val="0"/>
                <w:bCs w:val="0"/>
                <w:color w:val="auto"/>
                <w:highlight w:val="none"/>
                <w:lang w:eastAsia="zh-CN"/>
              </w:rPr>
              <w:t>）招标文件中如出现前后不一致情况，均以前附表内容为准。</w:t>
            </w:r>
          </w:p>
        </w:tc>
      </w:tr>
    </w:tbl>
    <w:p w14:paraId="204E57BF">
      <w:pPr>
        <w:pageBreakBefore/>
        <w:spacing w:beforeLines="100" w:afterLines="100" w:line="340" w:lineRule="exact"/>
        <w:jc w:val="center"/>
        <w:outlineLvl w:val="1"/>
        <w:rPr>
          <w:rFonts w:ascii="仿宋" w:hAnsi="仿宋" w:eastAsia="仿宋" w:cs="仿宋"/>
          <w:b/>
          <w:color w:val="auto"/>
          <w:sz w:val="28"/>
          <w:szCs w:val="32"/>
          <w:highlight w:val="none"/>
          <w:lang w:eastAsia="zh-CN"/>
        </w:rPr>
      </w:pPr>
      <w:r>
        <w:rPr>
          <w:rFonts w:hint="eastAsia" w:ascii="仿宋" w:hAnsi="仿宋" w:eastAsia="仿宋" w:cs="仿宋"/>
          <w:b/>
          <w:color w:val="auto"/>
          <w:sz w:val="28"/>
          <w:szCs w:val="28"/>
          <w:highlight w:val="none"/>
          <w:lang w:eastAsia="zh-CN"/>
        </w:rPr>
        <w:t>二、投标人须知</w:t>
      </w:r>
    </w:p>
    <w:p w14:paraId="74FBFD2D">
      <w:pPr>
        <w:spacing w:line="340" w:lineRule="exact"/>
        <w:jc w:val="center"/>
        <w:outlineLvl w:val="2"/>
        <w:rPr>
          <w:rFonts w:ascii="仿宋" w:hAnsi="仿宋" w:eastAsia="仿宋" w:cs="仿宋"/>
          <w:color w:val="auto"/>
          <w:sz w:val="28"/>
          <w:szCs w:val="28"/>
          <w:highlight w:val="none"/>
          <w:lang w:eastAsia="zh-CN"/>
        </w:rPr>
      </w:pPr>
      <w:bookmarkStart w:id="2" w:name="_Toc469495724"/>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32"/>
          <w:highlight w:val="none"/>
          <w:lang w:eastAsia="zh-CN"/>
        </w:rPr>
        <w:t>总  则</w:t>
      </w:r>
      <w:bookmarkEnd w:id="2"/>
    </w:p>
    <w:p w14:paraId="5992BC35">
      <w:pPr>
        <w:snapToGrid w:val="0"/>
        <w:spacing w:line="3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1.项目概况</w:t>
      </w:r>
    </w:p>
    <w:p w14:paraId="219FCF78">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1.1本次招标采购项目名称：见投标人须知前附表。</w:t>
      </w:r>
    </w:p>
    <w:p w14:paraId="2B63EB1A">
      <w:pPr>
        <w:snapToGrid w:val="0"/>
        <w:spacing w:line="440" w:lineRule="exact"/>
        <w:ind w:firstLine="2430" w:firstLineChars="10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项目编号：见投标人须知前附表。</w:t>
      </w:r>
    </w:p>
    <w:p w14:paraId="698B460E">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招标人：见投标人须知前附表。</w:t>
      </w:r>
    </w:p>
    <w:p w14:paraId="629320E4">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供货期：见投标人须知前附表。</w:t>
      </w:r>
    </w:p>
    <w:p w14:paraId="6BB45B1E">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供货地点：见投标人须知前附表。</w:t>
      </w:r>
    </w:p>
    <w:p w14:paraId="06CE5F8A">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1.2招标人及联系人: 见投标人须知前附表。</w:t>
      </w:r>
    </w:p>
    <w:p w14:paraId="0BFE214B">
      <w:pPr>
        <w:snapToGrid w:val="0"/>
        <w:spacing w:line="440" w:lineRule="exact"/>
        <w:ind w:firstLine="607" w:firstLineChars="25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代理机构及联系人: 见投标人须知前附表。</w:t>
      </w:r>
    </w:p>
    <w:p w14:paraId="53E19355">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1.3资金来源：见投标人须知前附表。</w:t>
      </w:r>
    </w:p>
    <w:p w14:paraId="55B0566D">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1.4本项目预算：见投标人须知前附表。</w:t>
      </w:r>
    </w:p>
    <w:p w14:paraId="1C9C36A6">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1.5本项目控制价：见投标人须知前附表。</w:t>
      </w:r>
    </w:p>
    <w:p w14:paraId="5C41C88D">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2.招标范围：</w:t>
      </w:r>
    </w:p>
    <w:p w14:paraId="54B1601A">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2.1 采购内容：见投标人须知前附表。</w:t>
      </w:r>
    </w:p>
    <w:p w14:paraId="4F8A1B07">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 技术要求：详见采购文件第四章技术规格、数量及质量要求。</w:t>
      </w:r>
    </w:p>
    <w:p w14:paraId="536F13DB">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3.标包划分：</w:t>
      </w:r>
    </w:p>
    <w:p w14:paraId="57B89254">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3.1本项目划分：</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 xml:space="preserve">1 </w:t>
      </w:r>
      <w:r>
        <w:rPr>
          <w:rFonts w:hint="eastAsia" w:ascii="仿宋" w:hAnsi="仿宋" w:eastAsia="仿宋" w:cs="仿宋"/>
          <w:color w:val="auto"/>
          <w:szCs w:val="21"/>
          <w:highlight w:val="none"/>
          <w:lang w:eastAsia="zh-CN"/>
        </w:rPr>
        <w:t>个包。</w:t>
      </w:r>
    </w:p>
    <w:p w14:paraId="12E81A36">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4.招标方式：</w:t>
      </w:r>
    </w:p>
    <w:p w14:paraId="78896547">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4.1本项目招标方式：公开招标。</w:t>
      </w:r>
    </w:p>
    <w:p w14:paraId="207EFDA6">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5.计价方式：</w:t>
      </w:r>
    </w:p>
    <w:p w14:paraId="1D21D9DD">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5.1本次招标项目合同采用</w:t>
      </w:r>
      <w:r>
        <w:rPr>
          <w:rFonts w:hint="eastAsia" w:ascii="仿宋" w:hAnsi="仿宋" w:eastAsia="仿宋" w:cs="仿宋"/>
          <w:color w:val="auto"/>
          <w:szCs w:val="21"/>
          <w:highlight w:val="none"/>
          <w:u w:val="single"/>
          <w:lang w:eastAsia="zh-CN"/>
        </w:rPr>
        <w:t xml:space="preserve">   固定单价 。</w:t>
      </w:r>
    </w:p>
    <w:p w14:paraId="526A52A9">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6.评标办法：</w:t>
      </w:r>
    </w:p>
    <w:p w14:paraId="5F88887F">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6.1本次招标评标采用</w:t>
      </w:r>
      <w:r>
        <w:rPr>
          <w:rFonts w:hint="eastAsia" w:ascii="仿宋" w:hAnsi="仿宋" w:eastAsia="仿宋" w:cs="仿宋"/>
          <w:color w:val="auto"/>
          <w:szCs w:val="21"/>
          <w:highlight w:val="none"/>
          <w:u w:val="single"/>
          <w:lang w:eastAsia="zh-CN"/>
        </w:rPr>
        <w:t xml:space="preserve">  综合评分法 </w:t>
      </w:r>
      <w:r>
        <w:rPr>
          <w:rFonts w:hint="eastAsia" w:ascii="仿宋" w:hAnsi="仿宋" w:eastAsia="仿宋" w:cs="仿宋"/>
          <w:color w:val="auto"/>
          <w:szCs w:val="21"/>
          <w:highlight w:val="none"/>
          <w:lang w:eastAsia="zh-CN"/>
        </w:rPr>
        <w:t>（详见第三章评标办法）</w:t>
      </w:r>
    </w:p>
    <w:p w14:paraId="48B07993">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7.供应商资格：</w:t>
      </w:r>
    </w:p>
    <w:p w14:paraId="7D3367E4">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7.1参与采购活动的投标人必须是满足《中华人民共和国政府采购法》规定条件的法人、其他组织或者自然人：</w:t>
      </w:r>
    </w:p>
    <w:p w14:paraId="063DD16A">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7.2由于政府采购项目的差异性，投标人在参与具体政府采购项目活动时，应仔细阅读该项目的资质要求,具体见投标人须知前附表。</w:t>
      </w:r>
    </w:p>
    <w:p w14:paraId="7BD11CFA">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7.3根据电子化政府采购的特点，各投标人在开标前应确保成为新疆维吾尔自治区政府采购网正式注册入库供应商，</w:t>
      </w:r>
      <w:r>
        <w:rPr>
          <w:rFonts w:hint="eastAsia" w:ascii="仿宋" w:hAnsi="仿宋" w:eastAsia="仿宋" w:cs="仿宋"/>
          <w:color w:val="auto"/>
          <w:kern w:val="2"/>
          <w:highlight w:val="none"/>
          <w:lang w:eastAsia="zh-CN" w:bidi="ar-SA"/>
        </w:rPr>
        <w:t>(已在政采云平台其他省份入驻的供应商无须重复注册），</w:t>
      </w:r>
      <w:r>
        <w:rPr>
          <w:rFonts w:hint="eastAsia" w:ascii="仿宋" w:hAnsi="仿宋" w:eastAsia="仿宋" w:cs="仿宋"/>
          <w:color w:val="auto"/>
          <w:szCs w:val="21"/>
          <w:highlight w:val="none"/>
          <w:lang w:eastAsia="zh-CN"/>
        </w:rPr>
        <w:t>并完成CA数字证书申领。因未注册入库、未办理CA数字证书等原因造成无法投标或投标失败等后果由供应商自行承担。</w:t>
      </w:r>
    </w:p>
    <w:p w14:paraId="2776E1A6">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7.4投标人必须确保自己在信息库中注册的信息真实、准确，并保证投标文件中的有关信息与库中的信息相一致。否则，供应商因此蒙受损失，招标人概不负责。</w:t>
      </w:r>
    </w:p>
    <w:p w14:paraId="71E5697F">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8. 投标费用</w:t>
      </w:r>
    </w:p>
    <w:p w14:paraId="17399F0D">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8.1供应商准备和参加投标活动发生的费用自理。</w:t>
      </w:r>
    </w:p>
    <w:p w14:paraId="77FFA45B">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9.</w:t>
      </w:r>
      <w:bookmarkStart w:id="3" w:name="_Toc152045539"/>
      <w:bookmarkStart w:id="4" w:name="_Toc152042315"/>
      <w:bookmarkStart w:id="5" w:name="_Toc247527563"/>
      <w:bookmarkStart w:id="6" w:name="_Toc144974507"/>
      <w:bookmarkStart w:id="7" w:name="_Toc247513962"/>
      <w:bookmarkStart w:id="8" w:name="_Toc296602429"/>
      <w:bookmarkStart w:id="9" w:name="_Toc247592876"/>
      <w:r>
        <w:rPr>
          <w:rFonts w:hint="eastAsia" w:ascii="仿宋" w:hAnsi="仿宋" w:eastAsia="仿宋" w:cs="仿宋"/>
          <w:b/>
          <w:color w:val="auto"/>
          <w:szCs w:val="21"/>
          <w:highlight w:val="none"/>
          <w:lang w:eastAsia="zh-CN"/>
        </w:rPr>
        <w:t xml:space="preserve"> 踏勘现场</w:t>
      </w:r>
      <w:bookmarkEnd w:id="3"/>
      <w:bookmarkEnd w:id="4"/>
      <w:bookmarkEnd w:id="5"/>
      <w:bookmarkEnd w:id="6"/>
      <w:bookmarkEnd w:id="7"/>
      <w:bookmarkEnd w:id="8"/>
      <w:bookmarkEnd w:id="9"/>
    </w:p>
    <w:p w14:paraId="04F837F8">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投标人须知前附表规定组织踏勘现场的，招标人按投标人须知前附表规定的时间、地点组织投标人踏勘项目现场。如需踏勘现场，投标人</w:t>
      </w:r>
      <w:r>
        <w:rPr>
          <w:rFonts w:hint="eastAsia" w:ascii="仿宋" w:hAnsi="仿宋" w:eastAsia="仿宋" w:cs="仿宋"/>
          <w:color w:val="auto"/>
          <w:highlight w:val="none"/>
          <w:lang w:eastAsia="zh-CN"/>
        </w:rPr>
        <w:t>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lang w:eastAsia="zh-CN"/>
        </w:rPr>
        <w:t xml:space="preserve"> </w:t>
      </w:r>
    </w:p>
    <w:p w14:paraId="61F79B31">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投标人踏勘现场发生的费用自理。</w:t>
      </w:r>
    </w:p>
    <w:p w14:paraId="7FF3BF37">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除招标人的原因外，投标人自行负责在踏勘现场中所发生的人员伤亡和财产损失。</w:t>
      </w:r>
    </w:p>
    <w:p w14:paraId="75428431">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招标人在踏勘现场中介绍的场地和相关的周边环境情况，供投标人在编制投标文件时参考，招标人不对投标人据此作出的判断和决策负责。</w:t>
      </w:r>
      <w:bookmarkStart w:id="10" w:name="_Toc296602430"/>
      <w:bookmarkStart w:id="11" w:name="_Toc247527564"/>
      <w:bookmarkStart w:id="12" w:name="_Toc144974508"/>
      <w:bookmarkStart w:id="13" w:name="_Toc152045540"/>
      <w:bookmarkStart w:id="14" w:name="_Toc247513963"/>
      <w:bookmarkStart w:id="15" w:name="_Toc247592877"/>
      <w:bookmarkStart w:id="16" w:name="_Toc152042316"/>
    </w:p>
    <w:p w14:paraId="797257BE">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10. 投标预备会</w:t>
      </w:r>
      <w:bookmarkEnd w:id="10"/>
      <w:bookmarkEnd w:id="11"/>
      <w:bookmarkEnd w:id="12"/>
      <w:bookmarkEnd w:id="13"/>
      <w:bookmarkEnd w:id="14"/>
      <w:bookmarkEnd w:id="15"/>
      <w:bookmarkEnd w:id="16"/>
    </w:p>
    <w:p w14:paraId="46261418">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10.1投标人须知前附表规定召开投标预备会的，招标人按投标人商须知前附表规定的时间和地点召开投标预备会，澄清投标人提出的问题。</w:t>
      </w:r>
    </w:p>
    <w:p w14:paraId="70BDFB43">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10.2投标人应在投标人须知前附表规定的时间前，将提出的问题送达招标人，以便招标人澄清。</w:t>
      </w:r>
    </w:p>
    <w:p w14:paraId="115F9435">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10.3招标人在供应商须知前附表规定的时间，将对供应商所提的问题进行澄清。该澄清内容为采购文件的组成部分。</w:t>
      </w:r>
    </w:p>
    <w:p w14:paraId="4BFB62E7">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11. 联合投标</w:t>
      </w:r>
    </w:p>
    <w:p w14:paraId="7C67347F">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135E2299">
      <w:pPr>
        <w:spacing w:line="40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5803E18D">
      <w:pPr>
        <w:spacing w:line="400" w:lineRule="exact"/>
        <w:ind w:firstLine="475" w:firstLineChars="196"/>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11.3 联合体应当确定其中一个单位为投标的全权代表，负责参加投标的一切事务，并承担投标及履约中应承担的全部责任与义务。</w:t>
      </w:r>
    </w:p>
    <w:p w14:paraId="2D7017E3">
      <w:pPr>
        <w:pStyle w:val="11"/>
        <w:spacing w:after="0" w:line="400" w:lineRule="exact"/>
        <w:ind w:left="0" w:leftChars="0" w:firstLine="490" w:firstLineChars="20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11.4 联合体各方应当共同与招标人签订采购合同，就采购合同约定的事项对招标人承担连带责任。</w:t>
      </w:r>
    </w:p>
    <w:p w14:paraId="1FCC01B2">
      <w:pPr>
        <w:spacing w:line="440" w:lineRule="exact"/>
        <w:ind w:firstLine="475" w:firstLineChars="196"/>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12.招标代理费:</w:t>
      </w:r>
      <w:r>
        <w:rPr>
          <w:rFonts w:hint="eastAsia" w:ascii="仿宋" w:hAnsi="仿宋" w:eastAsia="仿宋" w:cs="仿宋"/>
          <w:color w:val="auto"/>
          <w:szCs w:val="21"/>
          <w:highlight w:val="none"/>
          <w:lang w:eastAsia="zh-CN"/>
        </w:rPr>
        <w:t xml:space="preserve"> 见投标人须知前附表。</w:t>
      </w:r>
    </w:p>
    <w:p w14:paraId="17DBC56A">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13.投标人应注意的事项</w:t>
      </w:r>
    </w:p>
    <w:p w14:paraId="264BB0B6">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color w:val="auto"/>
          <w:szCs w:val="21"/>
          <w:highlight w:val="none"/>
          <w:lang w:eastAsia="zh-CN"/>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供应商承担。</w:t>
      </w:r>
    </w:p>
    <w:p w14:paraId="7C8F02B8">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 xml:space="preserve">13.2 </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1"/>
          <w:highlight w:val="none"/>
          <w:lang w:eastAsia="zh-CN"/>
        </w:rPr>
        <w:t>对采购内容中规定的技术参数、规格等要求必须完全响应或优于采购文件中的要求。</w:t>
      </w:r>
    </w:p>
    <w:p w14:paraId="7796C601">
      <w:pPr>
        <w:spacing w:line="440" w:lineRule="exact"/>
        <w:ind w:firstLine="475"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13.3所有</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1"/>
          <w:highlight w:val="none"/>
          <w:lang w:eastAsia="zh-CN"/>
        </w:rPr>
        <w:t>的投标保证金都应在采购文件规定的投标保证金缴纳截止日期前缴纳。</w:t>
      </w:r>
    </w:p>
    <w:p w14:paraId="0F8D166E">
      <w:pPr>
        <w:spacing w:line="440" w:lineRule="exact"/>
        <w:ind w:firstLine="475"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13.4单位负责人为同一人或者存在直接控股、管理关系的不同</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1"/>
          <w:highlight w:val="none"/>
          <w:lang w:eastAsia="zh-CN"/>
        </w:rPr>
        <w:t>，不得参加同一合同项下的政府采购活动。</w:t>
      </w:r>
      <w:r>
        <w:rPr>
          <w:rFonts w:hint="eastAsia" w:ascii="仿宋" w:hAnsi="仿宋" w:eastAsia="仿宋" w:cs="仿宋"/>
          <w:color w:val="auto"/>
          <w:szCs w:val="21"/>
          <w:highlight w:val="none"/>
          <w:lang w:eastAsia="zh-CN"/>
        </w:rPr>
        <w:t>为采购项目提供整体设计、规范编制或者项目管理、监理、检测等服务的投标人，不得再参加该采购项目的其他采购活动。</w:t>
      </w:r>
    </w:p>
    <w:p w14:paraId="0116E3C8">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13.5本项目只接受</w:t>
      </w:r>
      <w:r>
        <w:rPr>
          <w:rFonts w:hint="eastAsia" w:ascii="仿宋" w:hAnsi="仿宋" w:eastAsia="仿宋" w:cs="仿宋"/>
          <w:color w:val="auto"/>
          <w:szCs w:val="21"/>
          <w:highlight w:val="none"/>
          <w:lang w:eastAsia="zh-CN"/>
        </w:rPr>
        <w:t>成为新疆维吾尔自治区政府采购网正式注册入库并完成CA数字证书申领投标人参与投标。因未注册入库、未办理CA数字证书等原因造成无法投标或投标失败等后果由投标人自行承担。</w:t>
      </w:r>
    </w:p>
    <w:p w14:paraId="7C401241">
      <w:pPr>
        <w:wordWrap w:val="0"/>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 xml:space="preserve">13.6  </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1"/>
          <w:highlight w:val="none"/>
          <w:lang w:eastAsia="zh-CN"/>
        </w:rPr>
        <w:t>被视为充分熟悉本招标项目所在地的与履行合同有关的各种情况，包括但不限于：</w:t>
      </w:r>
    </w:p>
    <w:p w14:paraId="1376F88B">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（1）国家对本次投标货物和服务的生产、安装调试、验收、维修等有关法律、法规及行业管理标准；</w:t>
      </w:r>
    </w:p>
    <w:p w14:paraId="5D766EE2">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（2）本地区有关管理部门的相关规定；</w:t>
      </w:r>
    </w:p>
    <w:p w14:paraId="25AA6FD9">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（3）招标人的相关场地情况、基础建设、电力供应情况及相关设计标准。</w:t>
      </w:r>
    </w:p>
    <w:p w14:paraId="0E25FFE6">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本采购文件不再对上述情况进行描述。</w:t>
      </w:r>
      <w:bookmarkStart w:id="17" w:name="_Toc469495725"/>
    </w:p>
    <w:p w14:paraId="31533CB0">
      <w:pPr>
        <w:spacing w:line="400" w:lineRule="exact"/>
        <w:ind w:firstLine="424" w:firstLineChars="150"/>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w:t>
      </w:r>
      <w:bookmarkEnd w:id="17"/>
      <w:r>
        <w:rPr>
          <w:rFonts w:hint="eastAsia" w:ascii="仿宋" w:hAnsi="仿宋" w:eastAsia="仿宋" w:cs="仿宋"/>
          <w:b/>
          <w:color w:val="auto"/>
          <w:sz w:val="28"/>
          <w:szCs w:val="28"/>
          <w:highlight w:val="none"/>
          <w:lang w:eastAsia="zh-CN"/>
        </w:rPr>
        <w:t>招标文件</w:t>
      </w:r>
    </w:p>
    <w:p w14:paraId="1F6F43E8">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14</w:t>
      </w:r>
      <w:r>
        <w:rPr>
          <w:rFonts w:hint="eastAsia" w:ascii="仿宋" w:hAnsi="仿宋" w:eastAsia="仿宋" w:cs="仿宋"/>
          <w:b/>
          <w:color w:val="auto"/>
          <w:szCs w:val="21"/>
          <w:highlight w:val="none"/>
          <w:lang w:eastAsia="zh-CN"/>
        </w:rPr>
        <w:t>. 采购文件的编制依据</w:t>
      </w:r>
    </w:p>
    <w:p w14:paraId="0742FCB4">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根据《中华人民共和国政府采购法》、《政府采购货物和服务招标投标管理办法》和《中华人民共和国民法典》</w:t>
      </w:r>
      <w:r>
        <w:rPr>
          <w:rFonts w:hint="eastAsia" w:ascii="仿宋" w:hAnsi="仿宋" w:eastAsia="仿宋" w:cs="仿宋"/>
          <w:color w:val="auto"/>
          <w:spacing w:val="-2"/>
          <w:szCs w:val="21"/>
          <w:highlight w:val="none"/>
          <w:lang w:eastAsia="zh-CN"/>
        </w:rPr>
        <w:t>等相关法律法规和规章及部、省、市级规范性文件的规定，编制本采购文件。</w:t>
      </w:r>
    </w:p>
    <w:p w14:paraId="30988EB3">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15</w:t>
      </w:r>
      <w:r>
        <w:rPr>
          <w:rFonts w:hint="eastAsia" w:ascii="仿宋" w:hAnsi="仿宋" w:eastAsia="仿宋" w:cs="仿宋"/>
          <w:b/>
          <w:color w:val="auto"/>
          <w:szCs w:val="21"/>
          <w:highlight w:val="none"/>
          <w:lang w:eastAsia="zh-CN"/>
        </w:rPr>
        <w:t>. 采购文件的组成</w:t>
      </w:r>
    </w:p>
    <w:p w14:paraId="4D4D4E2D">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.1 采购文件包括内容：</w:t>
      </w:r>
    </w:p>
    <w:p w14:paraId="00D2B4B7">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第一章  招标公告</w:t>
      </w:r>
    </w:p>
    <w:p w14:paraId="25ADE2E3">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第二章  投标须知</w:t>
      </w:r>
    </w:p>
    <w:p w14:paraId="1B205127">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第三章  评标办法</w:t>
      </w:r>
    </w:p>
    <w:p w14:paraId="2094DCDE">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第四章  技术规格、数量及质量要求</w:t>
      </w:r>
    </w:p>
    <w:p w14:paraId="175EE512">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第五章  合同条款及格式</w:t>
      </w:r>
    </w:p>
    <w:p w14:paraId="1607E033">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第六章  投标文件格式文本</w:t>
      </w:r>
    </w:p>
    <w:p w14:paraId="2088F4DD">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.2 除1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.1内容外，招标答疑亦为采购文件的组成部分，对招标人和投标人起约束作用。</w:t>
      </w:r>
    </w:p>
    <w:p w14:paraId="15A4AA74">
      <w:pPr>
        <w:pStyle w:val="13"/>
        <w:wordWrap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.3投标人应仔细阅读和检查采购文件的全部内容。如发现缺页或附件不全，应及时向招标人提出，以便补齐。如有疑问，供应商应在以书面形式一次性向采购人和采购代理机构提出同一环节的质疑。</w:t>
      </w:r>
    </w:p>
    <w:p w14:paraId="6C0402AD">
      <w:pPr>
        <w:wordWrap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4投标人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08E537CC">
      <w:pPr>
        <w:spacing w:line="440" w:lineRule="exact"/>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1</w:t>
      </w: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lang w:eastAsia="zh-CN"/>
        </w:rPr>
        <w:t>. 采购文件的修改、补充、解释</w:t>
      </w:r>
    </w:p>
    <w:p w14:paraId="0D86DF85">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61193373">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237127F9">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lang w:eastAsia="zh-CN"/>
        </w:rPr>
        <w:t xml:space="preserve">.3 </w:t>
      </w:r>
      <w:r>
        <w:rPr>
          <w:rFonts w:hint="eastAsia" w:ascii="仿宋" w:hAnsi="仿宋" w:eastAsia="仿宋" w:cs="仿宋"/>
          <w:color w:val="auto"/>
          <w:szCs w:val="21"/>
          <w:highlight w:val="none"/>
          <w:lang w:eastAsia="zh-CN"/>
        </w:rPr>
        <w:t>投标人在规定的时间内未对采购文件提出疑问、质疑或要求澄清的，将视其为无异议。</w:t>
      </w:r>
    </w:p>
    <w:p w14:paraId="441B84A6">
      <w:pPr>
        <w:spacing w:line="400" w:lineRule="exact"/>
        <w:ind w:firstLine="243" w:firstLineChars="1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lang w:eastAsia="zh-CN"/>
        </w:rPr>
        <w:t>.4 采购文件的解释</w:t>
      </w:r>
    </w:p>
    <w:p w14:paraId="5214ECCE">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本采购文件由招标人（或其委托的招标代理机构）负责解释。</w:t>
      </w:r>
    </w:p>
    <w:p w14:paraId="67ABFC52">
      <w:pPr>
        <w:spacing w:line="40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 1</w:t>
      </w: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lang w:eastAsia="zh-CN"/>
        </w:rPr>
        <w:t>. 采购文件的发出</w:t>
      </w:r>
    </w:p>
    <w:p w14:paraId="6FBA0CA5">
      <w:pPr>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 采购文件、采购文件的澄清、修改、补充及招标答疑等均应报相关部门备案后，方可发出。</w:t>
      </w:r>
    </w:p>
    <w:p w14:paraId="04EB07DF">
      <w:pPr>
        <w:spacing w:line="440" w:lineRule="exact"/>
        <w:rPr>
          <w:rFonts w:ascii="仿宋" w:hAnsi="仿宋" w:eastAsia="仿宋" w:cs="仿宋"/>
          <w:color w:val="auto"/>
          <w:szCs w:val="21"/>
          <w:highlight w:val="none"/>
          <w:lang w:eastAsia="zh-CN"/>
        </w:rPr>
      </w:pPr>
      <w:bookmarkStart w:id="18" w:name="_Toc469495726"/>
      <w:r>
        <w:rPr>
          <w:rFonts w:hint="eastAsia" w:ascii="仿宋" w:hAnsi="仿宋" w:eastAsia="仿宋" w:cs="仿宋"/>
          <w:b/>
          <w:color w:val="auto"/>
          <w:szCs w:val="21"/>
          <w:highlight w:val="none"/>
          <w:lang w:eastAsia="zh-CN"/>
        </w:rPr>
        <w:t>1</w:t>
      </w:r>
      <w:r>
        <w:rPr>
          <w:rFonts w:hint="eastAsia" w:ascii="仿宋" w:hAnsi="仿宋" w:eastAsia="仿宋" w:cs="仿宋"/>
          <w:b/>
          <w:color w:val="auto"/>
          <w:szCs w:val="21"/>
          <w:highlight w:val="none"/>
          <w:lang w:val="en-US" w:eastAsia="zh-CN"/>
        </w:rPr>
        <w:t>8</w:t>
      </w:r>
      <w:r>
        <w:rPr>
          <w:rFonts w:hint="eastAsia" w:ascii="仿宋" w:hAnsi="仿宋" w:eastAsia="仿宋" w:cs="仿宋"/>
          <w:b/>
          <w:color w:val="auto"/>
          <w:szCs w:val="21"/>
          <w:highlight w:val="none"/>
          <w:lang w:eastAsia="zh-CN"/>
        </w:rPr>
        <w:t xml:space="preserve">. </w:t>
      </w:r>
      <w:r>
        <w:rPr>
          <w:rFonts w:hint="eastAsia" w:ascii="仿宋" w:hAnsi="仿宋" w:eastAsia="仿宋" w:cs="仿宋"/>
          <w:color w:val="auto"/>
          <w:szCs w:val="21"/>
          <w:highlight w:val="none"/>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19FE4CD4">
      <w:pPr>
        <w:spacing w:line="440" w:lineRule="exact"/>
        <w:ind w:firstLine="42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采购文件中应明确样品送检方式、检测费用支付方法、供应商在规定时间内无法提供第三方权威检测机构检测报告的处理方式。（采购人根据项目需求按上述要求自行描述）</w:t>
      </w:r>
    </w:p>
    <w:p w14:paraId="775BED52">
      <w:pPr>
        <w:spacing w:beforeLines="100" w:afterLines="100" w:line="440" w:lineRule="exact"/>
        <w:jc w:val="center"/>
        <w:outlineLvl w:val="2"/>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（三）投标文件的编制</w:t>
      </w:r>
      <w:bookmarkEnd w:id="18"/>
    </w:p>
    <w:p w14:paraId="66B42CB7">
      <w:pPr>
        <w:spacing w:line="440" w:lineRule="exact"/>
        <w:ind w:firstLine="352" w:firstLineChars="145"/>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19</w:t>
      </w:r>
      <w:r>
        <w:rPr>
          <w:rFonts w:hint="eastAsia" w:ascii="仿宋" w:hAnsi="仿宋" w:eastAsia="仿宋" w:cs="仿宋"/>
          <w:b/>
          <w:color w:val="auto"/>
          <w:szCs w:val="21"/>
          <w:highlight w:val="none"/>
          <w:lang w:eastAsia="zh-CN"/>
        </w:rPr>
        <w:t>. 投标的语言及度量衡单位</w:t>
      </w:r>
    </w:p>
    <w:p w14:paraId="1E28CD9C">
      <w:pPr>
        <w:spacing w:line="440" w:lineRule="exact"/>
        <w:ind w:firstLine="328" w:firstLineChars="13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4AC01E7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.2除采购文件中另有规定外，投标书所使用的度量衡均须采用法定计量单位。</w:t>
      </w:r>
    </w:p>
    <w:p w14:paraId="32190263">
      <w:pPr>
        <w:spacing w:line="400" w:lineRule="exact"/>
        <w:ind w:firstLine="237" w:firstLineChars="98"/>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 投标文件的组成</w:t>
      </w:r>
    </w:p>
    <w:p w14:paraId="46121A82">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资格证明文件和商务及技术文件两部分。</w:t>
      </w:r>
    </w:p>
    <w:p w14:paraId="784E794C">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.1资格证明文件（包括但不限于）</w:t>
      </w:r>
    </w:p>
    <w:p w14:paraId="2AEF28A0">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资格证明文件是证明投标人有资格参加投标和中标后有能力履行合同的文件，这些文件应能满足招标的要求，否则作无效投标处理。</w:t>
      </w:r>
    </w:p>
    <w:p w14:paraId="54490339">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1、法人或者非法人组织的营业执照等证明文件复印件（须加盖本单位章）或自然人的身份证明复印件;</w:t>
      </w:r>
    </w:p>
    <w:p w14:paraId="00317B4A">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2、法定代表人资格证明书</w:t>
      </w:r>
    </w:p>
    <w:p w14:paraId="7D0E8772">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3、法定代表人授权委托书</w:t>
      </w:r>
    </w:p>
    <w:p w14:paraId="6122EFDD">
      <w:pPr>
        <w:spacing w:line="440" w:lineRule="exact"/>
        <w:ind w:firstLine="356" w:firstLineChars="147"/>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63308891">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、投标保证金缴纳凭证或投标担保函；</w:t>
      </w:r>
    </w:p>
    <w:p w14:paraId="5201D497">
      <w:pPr>
        <w:spacing w:line="440" w:lineRule="exact"/>
        <w:ind w:firstLine="356" w:firstLineChars="147"/>
        <w:rPr>
          <w:color w:val="auto"/>
          <w:highlight w:val="none"/>
          <w:lang w:eastAsia="zh-CN"/>
        </w:rPr>
      </w:pPr>
      <w:r>
        <w:rPr>
          <w:rFonts w:hint="eastAsia" w:ascii="仿宋" w:hAnsi="仿宋" w:eastAsia="仿宋" w:cs="仿宋"/>
          <w:color w:val="auto"/>
          <w:szCs w:val="21"/>
          <w:highlight w:val="none"/>
          <w:lang w:eastAsia="zh-CN"/>
        </w:rPr>
        <w:t>6、投标企业须提供投标人（被授权在职人员）近6个月内任意一个月有效的社保证明；</w:t>
      </w:r>
    </w:p>
    <w:p w14:paraId="614238CC">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8D0A88F">
      <w:pPr>
        <w:keepNext w:val="0"/>
        <w:keepLines w:val="0"/>
        <w:pageBreakBefore w:val="0"/>
        <w:kinsoku/>
        <w:wordWrap/>
        <w:overflowPunct/>
        <w:topLinePunct w:val="0"/>
        <w:autoSpaceDE/>
        <w:autoSpaceDN/>
        <w:bidi w:val="0"/>
        <w:spacing w:line="440" w:lineRule="exact"/>
        <w:ind w:firstLine="243" w:firstLineChars="1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highlight w:val="none"/>
          <w:lang w:val="en-US" w:eastAsia="zh-CN"/>
        </w:rPr>
        <w:t>投标企业须提供有效的《医疗器械生产许可证》或《医疗器械经营许可证》（二类医疗器械需提供医疗器械备案凭证）</w:t>
      </w:r>
      <w:r>
        <w:rPr>
          <w:rFonts w:hint="eastAsia" w:ascii="仿宋" w:hAnsi="仿宋" w:eastAsia="仿宋" w:cs="仿宋"/>
          <w:color w:val="auto"/>
          <w:szCs w:val="21"/>
          <w:highlight w:val="none"/>
          <w:lang w:val="en-US" w:eastAsia="zh-CN"/>
        </w:rPr>
        <w:t>；</w:t>
      </w:r>
    </w:p>
    <w:p w14:paraId="19C72BDC">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Cs w:val="21"/>
          <w:highlight w:val="none"/>
          <w:lang w:eastAsia="zh-CN"/>
        </w:rPr>
        <w:t xml:space="preserve">投标人须知资料表要求的其他资格证明文件; </w:t>
      </w:r>
    </w:p>
    <w:p w14:paraId="7FBD1EB9">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.2 商务及技术文件（包括但不限于）</w:t>
      </w:r>
    </w:p>
    <w:p w14:paraId="0DD668A6">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2C36406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7615268C">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3、货物说明一览表</w:t>
      </w:r>
    </w:p>
    <w:p w14:paraId="6C2E222B">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4、投标分项报价明细表</w:t>
      </w:r>
    </w:p>
    <w:p w14:paraId="52F396F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4B3AF56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5C9365BB">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7、投标人基本情况表</w:t>
      </w:r>
    </w:p>
    <w:p w14:paraId="608FBBF7">
      <w:pPr>
        <w:spacing w:line="400" w:lineRule="exact"/>
        <w:ind w:firstLine="482" w:firstLineChars="199"/>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8、中标服务费支付承诺书</w:t>
      </w:r>
    </w:p>
    <w:p w14:paraId="4AAFCAA2">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、中小企业声明函(货物)</w:t>
      </w:r>
    </w:p>
    <w:p w14:paraId="6CED3228">
      <w:pPr>
        <w:pStyle w:val="13"/>
        <w:spacing w:line="400" w:lineRule="exact"/>
        <w:ind w:firstLine="486" w:firstLineChars="200"/>
        <w:rPr>
          <w:rFonts w:hint="default" w:ascii="仿宋" w:hAnsi="仿宋" w:eastAsia="仿宋" w:cs="仿宋"/>
          <w:color w:val="auto"/>
          <w:highlight w:val="none"/>
          <w:lang w:val="en-US" w:eastAsia="zh-CN"/>
        </w:rPr>
      </w:pP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残疾人福利性单位声明函</w:t>
      </w:r>
    </w:p>
    <w:p w14:paraId="693BB577">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、评分标准和细则中技术、商务部分证明材料</w:t>
      </w:r>
    </w:p>
    <w:p w14:paraId="60F0A57E">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、供应商认为有必要提供的其他证明材料（格式自拟）</w:t>
      </w:r>
    </w:p>
    <w:p w14:paraId="69DC3472">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17B4A625">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.3投标文件的要求</w:t>
      </w:r>
    </w:p>
    <w:p w14:paraId="18FFD5D4">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人应仔细阅读采购文件的所有内容，按照采购文件的要求详细编制投标文件，所提交的全部资料必须真实有效，并且要保证字迹清晰易于辨认。投标文件应对采购文件实质性内容作出响应，否则按无效标处理。</w:t>
      </w:r>
    </w:p>
    <w:p w14:paraId="1F7BCD1F">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（2）投标文件格式应按本采购文件第六章格式要求编制，不得对采购文件格式进行增删更改，否则按无效标处理。</w:t>
      </w:r>
    </w:p>
    <w:p w14:paraId="672BDB54">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（3）对采购文件格式可更改的例外情况：采购文件第六章附件格式要求中明确规定表格中行数不够用时可按相同格式增加行数，其他一切内容和格式不得更改。 </w:t>
      </w:r>
    </w:p>
    <w:p w14:paraId="54EB668B">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（4）投标文件为电子投标文件，电子投标文件按“政采云供应商项目采购-电子招投标操作指南”及本采购文件要求制作、加密传输。</w:t>
      </w:r>
    </w:p>
    <w:p w14:paraId="113822E2">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（5）投标文件未在投标截止时间前完成传输的，视为投标文件撤回；投标文件未按时解密也未提供备份投标文件的，亦视为投标文件撤回。</w:t>
      </w:r>
    </w:p>
    <w:p w14:paraId="7C783263">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b/>
          <w:color w:val="auto"/>
          <w:szCs w:val="21"/>
          <w:highlight w:val="none"/>
          <w:lang w:eastAsia="zh-CN"/>
        </w:rPr>
        <w:t>投标报价</w:t>
      </w:r>
    </w:p>
    <w:p w14:paraId="171134C2">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.1投标报价文件中的单价和总价全部采用人民币表示。</w:t>
      </w:r>
    </w:p>
    <w:p w14:paraId="5FDAA87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.2投标报价表上应清楚地标明供应商拟提供货物的名称、型号、生产厂家、数量、单价和总价。</w:t>
      </w:r>
    </w:p>
    <w:p w14:paraId="5965C6E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.3供应商只允许有一个方案、一个报价。</w:t>
      </w:r>
    </w:p>
    <w:p w14:paraId="266D7953">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.4投标人应按“</w:t>
      </w:r>
      <w:r>
        <w:rPr>
          <w:rFonts w:hint="eastAsia" w:ascii="仿宋" w:hAnsi="仿宋" w:eastAsia="仿宋" w:cs="仿宋"/>
          <w:color w:val="auto"/>
          <w:szCs w:val="21"/>
          <w:highlight w:val="none"/>
          <w:lang w:val="en-US" w:eastAsia="zh-CN"/>
        </w:rPr>
        <w:t xml:space="preserve">第四章 </w:t>
      </w:r>
      <w:r>
        <w:rPr>
          <w:rFonts w:hint="eastAsia" w:ascii="仿宋" w:hAnsi="仿宋" w:eastAsia="仿宋" w:cs="仿宋"/>
          <w:color w:val="auto"/>
          <w:szCs w:val="21"/>
          <w:highlight w:val="none"/>
          <w:lang w:eastAsia="zh-CN"/>
        </w:rPr>
        <w:t>技术规格、数量及质量要求”所列货物逐项进行报价，并最终按货物总量乘以货物单价报总价。综合单价包括：设备费、安装费、材料费、辅材费、运输费、管理费、利润、风险费用、代理费、调试、验收、培训及后期服务及国家对中标单位征收的各种税费等所有一切费用，综合单价今后将不作任何调整。</w:t>
      </w:r>
    </w:p>
    <w:p w14:paraId="63B22CB7">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.5投标报价的价格是货物交货地验收价格，其总价即为履行合同的固定总价。</w:t>
      </w:r>
    </w:p>
    <w:p w14:paraId="28850C4C">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.6技术要求中规定的安装、调试和培训费用应包括在投标价格中。投标文件报价为含税价，招标人不再为此次招标支付任何费用。</w:t>
      </w:r>
    </w:p>
    <w:p w14:paraId="1EC5788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.7投标报价应由法定代表人或被授权人签署。</w:t>
      </w:r>
    </w:p>
    <w:p w14:paraId="30248806">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w:t>
      </w: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lang w:eastAsia="zh-CN"/>
        </w:rPr>
        <w:t>.8</w:t>
      </w:r>
      <w:r>
        <w:rPr>
          <w:rFonts w:hint="eastAsia" w:ascii="仿宋" w:hAnsi="仿宋" w:eastAsia="仿宋" w:cs="仿宋"/>
          <w:b/>
          <w:color w:val="auto"/>
          <w:szCs w:val="21"/>
          <w:highlight w:val="none"/>
          <w:lang w:eastAsia="zh-CN"/>
        </w:rPr>
        <w:t>投标人的投标总报价，不得高于本次招标设置的最高限价，</w:t>
      </w:r>
      <w:r>
        <w:rPr>
          <w:rFonts w:hint="eastAsia" w:ascii="仿宋" w:hAnsi="仿宋" w:eastAsia="仿宋" w:cs="仿宋"/>
          <w:b/>
          <w:bCs/>
          <w:color w:val="auto"/>
          <w:szCs w:val="21"/>
          <w:highlight w:val="none"/>
          <w:lang w:eastAsia="zh-CN"/>
        </w:rPr>
        <w:t>否则将作为无效投标处理。</w:t>
      </w:r>
    </w:p>
    <w:p w14:paraId="2BFE55CC">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.9如投标文件中未列明全面实现投标货物功能而必须配置的配套或辅助设施及相应技术措施的费用，这些费用将被视为已包含在总投标价中。</w:t>
      </w:r>
    </w:p>
    <w:p w14:paraId="04EF321D">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.10总投标价中不得包含采购文件要求以外的内容，否则，在评标时不予核减，但在授予合同时，招标人有权将这部分价格从其中标价格中扣除。</w:t>
      </w:r>
    </w:p>
    <w:p w14:paraId="2310A56E">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267ECE08">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.12投标人不得对从第三方采购货物的随机备品、备件另行收费，否则在计算评标价时这部分费用将不予扣除，在授予合同时将从中标价格中扣除该部分费用。</w:t>
      </w:r>
    </w:p>
    <w:p w14:paraId="65257BF2">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6E2F1C8C">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2</w:t>
      </w:r>
      <w:r>
        <w:rPr>
          <w:rFonts w:hint="eastAsia" w:ascii="仿宋" w:hAnsi="仿宋" w:eastAsia="仿宋" w:cs="仿宋"/>
          <w:b/>
          <w:color w:val="auto"/>
          <w:szCs w:val="21"/>
          <w:highlight w:val="none"/>
          <w:lang w:eastAsia="zh-CN"/>
        </w:rPr>
        <w:t>. 投标有效期</w:t>
      </w:r>
    </w:p>
    <w:p w14:paraId="77B7D6BD">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 除投标人须知前附表另有规定外，投标有效期为60天。</w:t>
      </w:r>
    </w:p>
    <w:p w14:paraId="6C320A9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.2在投标有效期内，供应商撤销或修改其投标文件的，应承担采购文件和法律规定的责任。</w:t>
      </w:r>
    </w:p>
    <w:p w14:paraId="0203443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出现特殊情况需要延长投标有效期的，招标人以书面形式通知所有投标人延长投标有效期。投标人同意延长的，应相应延长其投标保证金的有效期，但不得要求或被允许修改或撤销其投标文件；供应商拒绝延长的，其投标失效，但投标人有权收回其投标保证金。</w:t>
      </w:r>
    </w:p>
    <w:p w14:paraId="668C4033">
      <w:pPr>
        <w:spacing w:line="440" w:lineRule="exact"/>
        <w:ind w:firstLine="465" w:firstLineChars="192"/>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lang w:eastAsia="zh-CN"/>
        </w:rPr>
        <w:t>. 投标保证金</w:t>
      </w:r>
    </w:p>
    <w:p w14:paraId="0C928CED">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34FB7EE1">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.2自中标通知书发出之日起5个工作日内退还未中标供应商的投标保证金，自政府采购合同签订之日起5个工作日内退还中标人的投标保证金。</w:t>
      </w:r>
    </w:p>
    <w:p w14:paraId="425151DD">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.3有下列情形之一的，投标保证金将不予退还： </w:t>
      </w:r>
    </w:p>
    <w:p w14:paraId="417E4A37">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（1）投标人在规定的投标有效期内撤回或修改其投标文件；</w:t>
      </w:r>
    </w:p>
    <w:p w14:paraId="67C120BE">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（2）中标通知书发出后三十天内，中标人无正当理由拒签合同协议书或未按采购文件规定提交履约担保。</w:t>
      </w:r>
    </w:p>
    <w:p w14:paraId="7FEDA9A7">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（3）提供虚假材料谋取中标的；</w:t>
      </w:r>
    </w:p>
    <w:p w14:paraId="538EBDCB">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（4）经查实属于陪标、串通投标的等。</w:t>
      </w:r>
    </w:p>
    <w:p w14:paraId="5309C8CB">
      <w:pPr>
        <w:spacing w:line="400" w:lineRule="exact"/>
        <w:ind w:firstLine="486" w:firstLineChars="200"/>
        <w:rPr>
          <w:rFonts w:ascii="仿宋" w:hAnsi="仿宋" w:eastAsia="仿宋" w:cs="仿宋"/>
          <w:color w:val="auto"/>
          <w:szCs w:val="21"/>
          <w:highlight w:val="none"/>
          <w:lang w:eastAsia="zh-CN"/>
        </w:rPr>
      </w:pPr>
      <w:bookmarkStart w:id="19" w:name="_Toc469495727"/>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.4投标保证金按供应商须知前附表规定执行。</w:t>
      </w:r>
    </w:p>
    <w:p w14:paraId="5C3F62DC">
      <w:pPr>
        <w:pStyle w:val="2"/>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w:t>
      </w:r>
      <w:bookmarkEnd w:id="19"/>
      <w:r>
        <w:rPr>
          <w:rFonts w:hint="eastAsia" w:ascii="仿宋" w:hAnsi="仿宋" w:eastAsia="仿宋" w:cs="仿宋"/>
          <w:color w:val="auto"/>
          <w:sz w:val="28"/>
          <w:szCs w:val="28"/>
          <w:highlight w:val="none"/>
          <w:lang w:eastAsia="zh-CN"/>
        </w:rPr>
        <w:t>投标文件的制作、上传及递交要求</w:t>
      </w:r>
    </w:p>
    <w:p w14:paraId="3676622F">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.投标文件的制作要求</w:t>
      </w:r>
    </w:p>
    <w:p w14:paraId="568F3FC3">
      <w:pPr>
        <w:pStyle w:val="7"/>
        <w:snapToGrid w:val="0"/>
        <w:spacing w:line="360" w:lineRule="auto"/>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（1）</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应按照投标文件组成内容及项目招标需求和新疆政府采购云平台要求制作投标文件，不按采购文件和新疆政府采购云平台要求制作投标文件的将视情况处理（拒收等），由此产生的责任由供应商自行承担。</w:t>
      </w:r>
    </w:p>
    <w:p w14:paraId="323F1C16">
      <w:pPr>
        <w:pStyle w:val="7"/>
        <w:snapToGrid w:val="0"/>
        <w:spacing w:line="360" w:lineRule="auto"/>
        <w:ind w:firstLine="486" w:firstLineChars="200"/>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电子投标文件部分：</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4902540F">
      <w:pPr>
        <w:pStyle w:val="7"/>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备份电子投标文件：通过“政采云”平台电子投标工具制作投标文件所产生的备份文件。</w:t>
      </w:r>
    </w:p>
    <w:p w14:paraId="1E478890">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应对所提供的全部资料的真实性、有效性承担法律责任，电子投标文件中所须加盖公章部分均采用CA签章。</w:t>
      </w:r>
    </w:p>
    <w:p w14:paraId="3B905184">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（3）投标文件以及</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与采购组织机构就有关投标事宜的所有来往函电，均应以中文汉语书写。除签章、盖章、专用名称等特殊情形外，以中文汉语以外的文字表述的投标文件视同未提供。</w:t>
      </w:r>
    </w:p>
    <w:p w14:paraId="6F421069">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（4）投标计量单位，采购文件已有明确规定的，使用采购文件规定的计量单位；采购文件没有规定的，应采用中华人民共和国法定计量单位（货币单位：人民币元）。</w:t>
      </w:r>
    </w:p>
    <w:p w14:paraId="57B44FD3">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（5）若供应商不按采购文件的要求提供资格审查材料，其风险由供应商自行承担。</w:t>
      </w:r>
    </w:p>
    <w:p w14:paraId="5DD91599">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（6）与本次投标无关的内容请不要制作在内，确保投标文件有针对性、简洁明了。</w:t>
      </w:r>
    </w:p>
    <w:p w14:paraId="190EBC6C">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lang w:eastAsia="zh-CN"/>
        </w:rPr>
        <w:t>.投标文件的上传</w:t>
      </w:r>
    </w:p>
    <w:p w14:paraId="1444CAF3">
      <w:pPr>
        <w:pStyle w:val="7"/>
        <w:snapToGrid w:val="0"/>
        <w:spacing w:line="360" w:lineRule="auto"/>
        <w:rPr>
          <w:rFonts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lang w:eastAsia="zh-CN"/>
        </w:rPr>
        <w:t>（1）</w:t>
      </w:r>
      <w:r>
        <w:rPr>
          <w:rFonts w:hint="eastAsia" w:ascii="仿宋" w:hAnsi="仿宋" w:eastAsia="仿宋" w:cs="仿宋"/>
          <w:b/>
          <w:bCs/>
          <w:color w:val="auto"/>
          <w:szCs w:val="24"/>
          <w:highlight w:val="none"/>
          <w:lang w:eastAsia="zh-CN" w:bidi="zh-CN"/>
        </w:rPr>
        <w:t>电子加密投标文件（“.jmbs”格式）</w:t>
      </w:r>
      <w:r>
        <w:rPr>
          <w:rFonts w:hint="eastAsia" w:ascii="仿宋" w:hAnsi="仿宋" w:eastAsia="仿宋" w:cs="仿宋"/>
          <w:b/>
          <w:bCs/>
          <w:color w:val="auto"/>
          <w:szCs w:val="24"/>
          <w:highlight w:val="none"/>
          <w:lang w:eastAsia="zh-CN"/>
        </w:rPr>
        <w:t>：</w:t>
      </w:r>
    </w:p>
    <w:p w14:paraId="57028D57">
      <w:pPr>
        <w:pStyle w:val="7"/>
        <w:snapToGrid w:val="0"/>
        <w:spacing w:line="360" w:lineRule="auto"/>
        <w:ind w:firstLine="607"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a.</w:t>
      </w:r>
      <w:r>
        <w:rPr>
          <w:rFonts w:hint="eastAsia" w:ascii="仿宋" w:hAnsi="仿宋" w:eastAsia="仿宋" w:cs="仿宋"/>
          <w:bCs/>
          <w:color w:val="auto"/>
          <w:szCs w:val="24"/>
          <w:highlight w:val="none"/>
          <w:lang w:eastAsia="zh-CN"/>
        </w:rPr>
        <w:t xml:space="preserve"> </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应在投标截止时间前将电子加密投标文件成功上传递交至新疆政府采购云平台，否则投标无效；</w:t>
      </w:r>
    </w:p>
    <w:p w14:paraId="5082D711">
      <w:pPr>
        <w:pStyle w:val="7"/>
        <w:snapToGrid w:val="0"/>
        <w:spacing w:line="360" w:lineRule="auto"/>
        <w:ind w:firstLine="607" w:firstLineChars="25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bidi="zh-CN"/>
        </w:rPr>
        <w:t>b.</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成功上传电子加密投标文件后，可自行打印投标文件接收回执。</w:t>
      </w:r>
    </w:p>
    <w:p w14:paraId="43BE15ED">
      <w:pPr>
        <w:pStyle w:val="7"/>
        <w:snapToGrid w:val="0"/>
        <w:spacing w:line="360" w:lineRule="auto"/>
        <w:rPr>
          <w:rFonts w:ascii="仿宋" w:hAnsi="仿宋" w:eastAsia="仿宋" w:cs="仿宋"/>
          <w:b/>
          <w:bCs/>
          <w:color w:val="auto"/>
          <w:szCs w:val="24"/>
          <w:highlight w:val="none"/>
          <w:lang w:eastAsia="zh-CN" w:bidi="zh-CN"/>
        </w:rPr>
      </w:pPr>
      <w:r>
        <w:rPr>
          <w:rFonts w:hint="eastAsia" w:ascii="仿宋" w:hAnsi="仿宋" w:eastAsia="仿宋" w:cs="仿宋"/>
          <w:b/>
          <w:bCs/>
          <w:color w:val="auto"/>
          <w:szCs w:val="24"/>
          <w:highlight w:val="none"/>
          <w:lang w:eastAsia="zh-CN"/>
        </w:rPr>
        <w:t>（2）</w:t>
      </w:r>
      <w:r>
        <w:rPr>
          <w:rFonts w:hint="eastAsia" w:ascii="仿宋" w:hAnsi="仿宋" w:eastAsia="仿宋" w:cs="仿宋"/>
          <w:b/>
          <w:bCs/>
          <w:color w:val="auto"/>
          <w:szCs w:val="24"/>
          <w:highlight w:val="none"/>
          <w:lang w:eastAsia="zh-CN" w:bidi="zh-CN"/>
        </w:rPr>
        <w:t>备份投标文件（“.bfbs”格式）：</w:t>
      </w:r>
    </w:p>
    <w:p w14:paraId="7E4C3288">
      <w:pPr>
        <w:pStyle w:val="7"/>
        <w:snapToGrid w:val="0"/>
        <w:spacing w:line="360" w:lineRule="auto"/>
        <w:ind w:firstLine="607" w:firstLineChars="250"/>
        <w:rPr>
          <w:rFonts w:ascii="仿宋" w:hAnsi="仿宋" w:eastAsia="仿宋" w:cs="仿宋"/>
          <w:color w:val="auto"/>
          <w:szCs w:val="24"/>
          <w:highlight w:val="none"/>
          <w:lang w:eastAsia="zh-CN" w:bidi="zh-CN"/>
        </w:rPr>
      </w:pPr>
      <w:r>
        <w:rPr>
          <w:rFonts w:hint="eastAsia" w:ascii="仿宋" w:hAnsi="仿宋" w:eastAsia="仿宋" w:cs="仿宋"/>
          <w:bCs/>
          <w:color w:val="auto"/>
          <w:szCs w:val="24"/>
          <w:highlight w:val="none"/>
          <w:lang w:eastAsia="zh-CN" w:bidi="zh-CN"/>
        </w:rPr>
        <w:t>a.</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可以将备份投标文件打包压缩并加密，压缩包命名为“XX单位备份投标文件”，加密密码由</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自行保管；送达时间以采购代理机构实际接收时间为准。</w:t>
      </w:r>
      <w:r>
        <w:rPr>
          <w:rFonts w:hint="eastAsia" w:ascii="仿宋" w:hAnsi="仿宋" w:eastAsia="仿宋" w:cs="仿宋"/>
          <w:color w:val="auto"/>
          <w:szCs w:val="24"/>
          <w:highlight w:val="none"/>
          <w:lang w:eastAsia="zh-CN" w:bidi="zh-CN"/>
        </w:rPr>
        <w:t>“备份投标文件”以投标截止时间前指定接收邮箱最终收到的文件为准，逾期或未按要求提供的视为未提供，建议供应商提前1日办理邮件提供事宜（接收人邮箱：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val="en-US" w:eastAsia="zh-CN" w:bidi="zh-CN"/>
        </w:rPr>
        <w:t>3265613387</w:t>
      </w:r>
      <w:r>
        <w:rPr>
          <w:rFonts w:hint="eastAsia" w:ascii="仿宋" w:hAnsi="仿宋" w:eastAsia="仿宋" w:cs="仿宋"/>
          <w:color w:val="auto"/>
          <w:szCs w:val="24"/>
          <w:highlight w:val="none"/>
          <w:u w:val="single"/>
          <w:lang w:eastAsia="zh-CN" w:bidi="zh-CN"/>
        </w:rPr>
        <w:t>@qq.com</w:t>
      </w:r>
      <w:r>
        <w:rPr>
          <w:rStyle w:val="31"/>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朱先生</w:t>
      </w:r>
      <w:r>
        <w:rPr>
          <w:rStyle w:val="31"/>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eastAsia="zh-CN" w:bidi="zh-CN"/>
        </w:rPr>
        <w:t>8609088999</w:t>
      </w:r>
      <w:r>
        <w:rPr>
          <w:rFonts w:hint="eastAsia" w:ascii="仿宋" w:hAnsi="仿宋" w:eastAsia="仿宋" w:cs="仿宋"/>
          <w:color w:val="auto"/>
          <w:szCs w:val="24"/>
          <w:highlight w:val="none"/>
          <w:lang w:eastAsia="zh-CN" w:bidi="zh-CN"/>
        </w:rPr>
        <w:t>）；</w:t>
      </w:r>
    </w:p>
    <w:p w14:paraId="17E1F0BA">
      <w:pPr>
        <w:pStyle w:val="7"/>
        <w:snapToGrid w:val="0"/>
        <w:spacing w:line="360" w:lineRule="auto"/>
        <w:ind w:firstLine="607"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b.通过“新疆政府采购云平台”成功上传递交的“电子加密投标文件”已按时解密的，“备份投标文件”自动失效。投标截止时间前，</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bidi="zh-CN"/>
        </w:rPr>
        <w:t>仅递交了“备份投标文件”而未将“电子加密投标文件”成功上传至“政府采购云平台”的，投标无效。</w:t>
      </w:r>
    </w:p>
    <w:p w14:paraId="6C81DC26">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w:t>
      </w:r>
      <w:r>
        <w:rPr>
          <w:rFonts w:hint="eastAsia" w:ascii="仿宋" w:hAnsi="仿宋" w:eastAsia="仿宋" w:cs="仿宋"/>
          <w:b/>
          <w:color w:val="auto"/>
          <w:highlight w:val="none"/>
          <w:lang w:eastAsia="zh-CN"/>
        </w:rPr>
        <w:t>投标文件的递交要求</w:t>
      </w:r>
    </w:p>
    <w:p w14:paraId="0F0D6CE6">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须按照采购文件和政采云平台的要求编制并加密投标文件。在投标文件递交截止时间以前完成投标文件的传输递交，截止时间后递交的投标文件，将被拒收。</w:t>
      </w:r>
    </w:p>
    <w:p w14:paraId="2DF42240">
      <w:pPr>
        <w:tabs>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（2）备份电子投标文件必须在投标截止时间前送达指定的投标地点。备份电子投标文件在截止时间后提交，采购组织机构将拒绝接收。</w:t>
      </w:r>
    </w:p>
    <w:p w14:paraId="2A862194">
      <w:pPr>
        <w:tabs>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（3）如有特殊情况，采购组织机构延长截止时间和开标时间，采购组织机构和供应商的权利和义务将受到新的截止时间和开标时间的约束。</w:t>
      </w:r>
    </w:p>
    <w:p w14:paraId="021985AB">
      <w:pPr>
        <w:snapToGrid w:val="0"/>
        <w:spacing w:line="360" w:lineRule="auto"/>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lang w:eastAsia="zh-CN"/>
        </w:rPr>
        <w:t>．投标文件的补充、修改与撤回</w:t>
      </w:r>
    </w:p>
    <w:p w14:paraId="509CBF55">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0" w:name="_Toc469495728"/>
    </w:p>
    <w:p w14:paraId="4F21F6AC">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（五）开标、评标和定标</w:t>
      </w:r>
      <w:bookmarkEnd w:id="20"/>
    </w:p>
    <w:p w14:paraId="63FB03CE">
      <w:pPr>
        <w:snapToGrid w:val="0"/>
        <w:spacing w:line="360" w:lineRule="auto"/>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 开标</w:t>
      </w:r>
    </w:p>
    <w:p w14:paraId="4832C770">
      <w:pPr>
        <w:snapToGrid w:val="0"/>
        <w:spacing w:line="360" w:lineRule="auto"/>
        <w:ind w:firstLine="486" w:firstLineChars="200"/>
        <w:rPr>
          <w:rFonts w:ascii="仿宋" w:hAnsi="仿宋" w:eastAsia="仿宋" w:cs="仿宋"/>
          <w:b/>
          <w:bCs/>
          <w:color w:val="auto"/>
          <w:highlight w:val="none"/>
          <w:lang w:eastAsia="zh-CN"/>
        </w:rPr>
      </w:pPr>
      <w:bookmarkStart w:id="21" w:name="_Toc73975822"/>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lang w:eastAsia="zh-CN"/>
        </w:rPr>
        <w:t>.1开标邀请</w:t>
      </w:r>
      <w:bookmarkEnd w:id="21"/>
    </w:p>
    <w:p w14:paraId="32DE9098">
      <w:pPr>
        <w:pStyle w:val="13"/>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（1）开标准备：本项目开标的准备工作由采购组织机构负责落实，开标过程由采购组织机构负责记录；</w:t>
      </w:r>
    </w:p>
    <w:p w14:paraId="50CEA328">
      <w:pPr>
        <w:pStyle w:val="13"/>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（2）开标主持:本项目开标由采购人或者采购代理机构主持；</w:t>
      </w:r>
    </w:p>
    <w:p w14:paraId="7BA31BD1">
      <w:pPr>
        <w:pStyle w:val="13"/>
        <w:snapToGrid w:val="0"/>
        <w:spacing w:line="360" w:lineRule="auto"/>
        <w:ind w:firstLine="486"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（3）</w:t>
      </w:r>
      <w:r>
        <w:rPr>
          <w:rFonts w:hint="eastAsia" w:ascii="仿宋" w:hAnsi="仿宋" w:eastAsia="仿宋" w:cs="仿宋"/>
          <w:color w:val="auto"/>
          <w:szCs w:val="24"/>
          <w:highlight w:val="none"/>
        </w:rPr>
        <w:t>开标邀请：本项目采用电子交易，采购组织机构将按照采购文件规定的时间通过“</w:t>
      </w:r>
      <w:r>
        <w:rPr>
          <w:rFonts w:hint="eastAsia" w:ascii="仿宋" w:hAnsi="仿宋" w:eastAsia="仿宋" w:cs="仿宋"/>
          <w:color w:val="auto"/>
          <w:szCs w:val="24"/>
          <w:highlight w:val="none"/>
          <w:lang w:eastAsia="zh-CN"/>
        </w:rPr>
        <w:t>新疆</w:t>
      </w:r>
      <w:r>
        <w:rPr>
          <w:rFonts w:hint="eastAsia" w:ascii="仿宋" w:hAnsi="仿宋" w:eastAsia="仿宋" w:cs="仿宋"/>
          <w:color w:val="auto"/>
          <w:szCs w:val="24"/>
          <w:highlight w:val="none"/>
        </w:rPr>
        <w:t>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31"/>
          <w:rFonts w:hint="eastAsia" w:ascii="仿宋" w:hAnsi="仿宋" w:eastAsia="仿宋" w:cs="仿宋"/>
          <w:color w:val="auto"/>
          <w:szCs w:val="24"/>
          <w:highlight w:val="none"/>
          <w:u w:val="none"/>
        </w:rPr>
        <w:t>www.zcygov.cn</w:t>
      </w:r>
      <w:r>
        <w:rPr>
          <w:rStyle w:val="31"/>
          <w:rFonts w:hint="eastAsia" w:ascii="仿宋" w:hAnsi="仿宋" w:eastAsia="仿宋" w:cs="仿宋"/>
          <w:color w:val="auto"/>
          <w:szCs w:val="24"/>
          <w:highlight w:val="none"/>
          <w:u w:val="none"/>
        </w:rPr>
        <w:fldChar w:fldCharType="end"/>
      </w:r>
      <w:r>
        <w:rPr>
          <w:rFonts w:hint="eastAsia" w:ascii="仿宋" w:hAnsi="仿宋" w:eastAsia="仿宋" w:cs="仿宋"/>
          <w:color w:val="auto"/>
          <w:szCs w:val="24"/>
          <w:highlight w:val="none"/>
        </w:rPr>
        <w:t>”组织开标、开启投标响应文件，所有供应商均应当准时在线参加。</w:t>
      </w:r>
    </w:p>
    <w:p w14:paraId="72489157">
      <w:pPr>
        <w:pStyle w:val="13"/>
        <w:snapToGrid w:val="0"/>
        <w:spacing w:line="360" w:lineRule="auto"/>
        <w:ind w:firstLine="486"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（4）</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4"/>
          <w:highlight w:val="none"/>
          <w:lang w:eastAsia="zh-CN"/>
        </w:rPr>
        <w:t>对开标过程和开标记录有疑义，以及认为采购人、采购代理机构相关工作人员有需要回避的情形的，应当场提出询问或回避申请。</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4"/>
          <w:highlight w:val="none"/>
          <w:lang w:eastAsia="zh-CN"/>
        </w:rPr>
        <w:t>未参加开标的视同认可开标结果，事后不得对采购相关人员、开标过程和开标结果提出异议，同时投标供应商因未在线参加开标而导致投标文件无法按时解密等一切后果由供应商自行承担。</w:t>
      </w:r>
    </w:p>
    <w:p w14:paraId="67B6353E">
      <w:pPr>
        <w:snapToGrid w:val="0"/>
        <w:spacing w:line="360" w:lineRule="auto"/>
        <w:ind w:firstLine="486" w:firstLineChars="200"/>
        <w:outlineLvl w:val="2"/>
        <w:rPr>
          <w:rFonts w:ascii="仿宋" w:hAnsi="仿宋" w:eastAsia="仿宋" w:cs="仿宋"/>
          <w:b/>
          <w:color w:val="auto"/>
          <w:highlight w:val="none"/>
          <w:lang w:eastAsia="zh-CN"/>
        </w:rPr>
      </w:pPr>
      <w:bookmarkStart w:id="22" w:name="_Toc73975823"/>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lang w:eastAsia="zh-CN"/>
        </w:rPr>
        <w:t>.2</w:t>
      </w:r>
      <w:r>
        <w:rPr>
          <w:rFonts w:hint="eastAsia" w:ascii="仿宋" w:hAnsi="仿宋" w:eastAsia="仿宋" w:cs="仿宋"/>
          <w:b/>
          <w:bCs/>
          <w:color w:val="auto"/>
          <w:highlight w:val="none"/>
          <w:lang w:eastAsia="zh-CN"/>
        </w:rPr>
        <w:t>开标程序（先资格、商务技术后报价）</w:t>
      </w:r>
      <w:bookmarkEnd w:id="22"/>
    </w:p>
    <w:p w14:paraId="42E7A1DE">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（1）开标时间到后，主持人宣布开标会议开始。</w:t>
      </w:r>
    </w:p>
    <w:p w14:paraId="767B6EA2">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（2）投标文件解密（</w:t>
      </w:r>
      <w:r>
        <w:rPr>
          <w:rFonts w:hint="eastAsia" w:ascii="仿宋" w:hAnsi="仿宋" w:eastAsia="仿宋" w:cs="仿宋"/>
          <w:b/>
          <w:color w:val="auto"/>
          <w:highlight w:val="none"/>
          <w:lang w:eastAsia="zh-CN"/>
        </w:rPr>
        <w:t>解密规定见</w:t>
      </w:r>
      <w:r>
        <w:rPr>
          <w:rFonts w:hint="eastAsia" w:ascii="仿宋" w:hAnsi="仿宋" w:eastAsia="仿宋" w:cs="仿宋"/>
          <w:b/>
          <w:bCs w:val="0"/>
          <w:color w:val="auto"/>
          <w:highlight w:val="none"/>
          <w:lang w:eastAsia="zh-CN"/>
        </w:rPr>
        <w:t>《</w:t>
      </w:r>
      <w:r>
        <w:rPr>
          <w:rFonts w:hint="eastAsia" w:ascii="仿宋" w:hAnsi="仿宋" w:eastAsia="仿宋" w:cs="仿宋"/>
          <w:b/>
          <w:bCs w:val="0"/>
          <w:color w:val="auto"/>
          <w:szCs w:val="21"/>
          <w:highlight w:val="none"/>
          <w:lang w:eastAsia="zh-CN"/>
        </w:rPr>
        <w:t>投标人</w:t>
      </w:r>
      <w:r>
        <w:rPr>
          <w:rFonts w:hint="eastAsia" w:ascii="仿宋" w:hAnsi="仿宋" w:eastAsia="仿宋" w:cs="仿宋"/>
          <w:b/>
          <w:bCs w:val="0"/>
          <w:color w:val="auto"/>
          <w:highlight w:val="none"/>
          <w:lang w:eastAsia="zh-CN"/>
        </w:rPr>
        <w:t>须知前附表》</w:t>
      </w:r>
      <w:r>
        <w:rPr>
          <w:rFonts w:hint="eastAsia" w:ascii="仿宋" w:hAnsi="仿宋" w:eastAsia="仿宋" w:cs="仿宋"/>
          <w:color w:val="auto"/>
          <w:highlight w:val="none"/>
          <w:lang w:eastAsia="zh-CN"/>
        </w:rPr>
        <w:t>）。</w:t>
      </w:r>
    </w:p>
    <w:p w14:paraId="08D2883D">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（3）投标文件解密异常情况处理（</w:t>
      </w:r>
      <w:r>
        <w:rPr>
          <w:rFonts w:hint="eastAsia" w:ascii="仿宋" w:hAnsi="仿宋" w:eastAsia="仿宋" w:cs="仿宋"/>
          <w:b/>
          <w:color w:val="auto"/>
          <w:highlight w:val="none"/>
          <w:lang w:eastAsia="zh-CN"/>
        </w:rPr>
        <w:t>处理办法见</w:t>
      </w:r>
      <w:r>
        <w:rPr>
          <w:rFonts w:hint="eastAsia" w:ascii="仿宋" w:hAnsi="仿宋" w:eastAsia="仿宋" w:cs="仿宋"/>
          <w:b/>
          <w:bCs w:val="0"/>
          <w:color w:val="auto"/>
          <w:highlight w:val="none"/>
          <w:lang w:eastAsia="zh-CN"/>
        </w:rPr>
        <w:t>《</w:t>
      </w:r>
      <w:r>
        <w:rPr>
          <w:rFonts w:hint="eastAsia" w:ascii="仿宋" w:hAnsi="仿宋" w:eastAsia="仿宋" w:cs="仿宋"/>
          <w:b/>
          <w:bCs w:val="0"/>
          <w:color w:val="auto"/>
          <w:szCs w:val="21"/>
          <w:highlight w:val="none"/>
          <w:lang w:eastAsia="zh-CN"/>
        </w:rPr>
        <w:t>投标人</w:t>
      </w:r>
      <w:r>
        <w:rPr>
          <w:rFonts w:hint="eastAsia" w:ascii="仿宋" w:hAnsi="仿宋" w:eastAsia="仿宋" w:cs="仿宋"/>
          <w:b/>
          <w:bCs w:val="0"/>
          <w:color w:val="auto"/>
          <w:highlight w:val="none"/>
          <w:lang w:eastAsia="zh-CN"/>
        </w:rPr>
        <w:t>须知前附表</w:t>
      </w:r>
      <w:r>
        <w:rPr>
          <w:rFonts w:hint="eastAsia" w:ascii="仿宋" w:hAnsi="仿宋" w:eastAsia="仿宋" w:cs="仿宋"/>
          <w:b/>
          <w:color w:val="auto"/>
          <w:highlight w:val="none"/>
          <w:lang w:eastAsia="zh-CN"/>
        </w:rPr>
        <w:t>》</w:t>
      </w:r>
      <w:r>
        <w:rPr>
          <w:rFonts w:hint="eastAsia" w:ascii="仿宋" w:hAnsi="仿宋" w:eastAsia="仿宋" w:cs="仿宋"/>
          <w:color w:val="auto"/>
          <w:highlight w:val="none"/>
          <w:lang w:eastAsia="zh-CN"/>
        </w:rPr>
        <w:t>）。</w:t>
      </w:r>
    </w:p>
    <w:p w14:paraId="1FDA7763">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（4）公布投标文件解密情况（投标文件成功解密的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lang w:eastAsia="zh-CN"/>
        </w:rPr>
        <w:t>名单等信息），组织签署</w:t>
      </w:r>
      <w:r>
        <w:rPr>
          <w:rFonts w:hint="eastAsia" w:ascii="仿宋" w:hAnsi="仿宋" w:eastAsia="仿宋" w:cs="仿宋"/>
          <w:b/>
          <w:bCs/>
          <w:color w:val="auto"/>
          <w:highlight w:val="none"/>
          <w:lang w:eastAsia="zh-CN"/>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highlight w:val="none"/>
          <w:lang w:val="en-US" w:eastAsia="zh-CN"/>
        </w:rPr>
        <w:t>3265613387</w:t>
      </w:r>
      <w:r>
        <w:rPr>
          <w:rFonts w:hint="eastAsia" w:ascii="仿宋" w:hAnsi="仿宋" w:eastAsia="仿宋" w:cs="仿宋"/>
          <w:b/>
          <w:bCs/>
          <w:color w:val="auto"/>
          <w:highlight w:val="none"/>
          <w:lang w:eastAsia="zh-CN"/>
        </w:rPr>
        <w:t>@qq.com ，逾期发送或未发送的视为无异议</w:t>
      </w:r>
      <w:r>
        <w:rPr>
          <w:rFonts w:hint="eastAsia" w:ascii="仿宋" w:hAnsi="仿宋" w:eastAsia="仿宋" w:cs="仿宋"/>
          <w:color w:val="auto"/>
          <w:highlight w:val="none"/>
          <w:lang w:eastAsia="zh-CN"/>
        </w:rPr>
        <w:t>。</w:t>
      </w:r>
    </w:p>
    <w:p w14:paraId="30E847C8">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00E0AD44">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（6）商务技术评审结束后，主持人公布商务技术评审无效投标供应商名单和商务技术评审有效投标供应商名单及其商务技术得分情况。商务技术评审无效的供应商，其报价不再进入评审。</w:t>
      </w:r>
    </w:p>
    <w:p w14:paraId="62F778A6">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0459E630">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2D076DB0">
      <w:pPr>
        <w:snapToGrid w:val="0"/>
        <w:spacing w:line="360" w:lineRule="auto"/>
        <w:ind w:left="48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特别情况说明：</w:t>
      </w:r>
    </w:p>
    <w:p w14:paraId="361051B2">
      <w:pPr>
        <w:snapToGrid w:val="0"/>
        <w:spacing w:line="360" w:lineRule="auto"/>
        <w:ind w:firstLine="429"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（1）本项目采用电子交易，如遇“新疆政府采购云平台”电子化开标或评审程序调整的，按调整后程序执行。</w:t>
      </w:r>
    </w:p>
    <w:p w14:paraId="6767E6B1">
      <w:pPr>
        <w:snapToGrid w:val="0"/>
        <w:spacing w:line="360" w:lineRule="auto"/>
        <w:ind w:firstLine="429"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highlight w:val="none"/>
          <w:u w:val="single"/>
          <w:lang w:eastAsia="zh-CN"/>
        </w:rPr>
        <w:t>请投标人保证办理投标事宜人员电话畅通、网络在线，签章或盖章确认的时间为20分钟。如未及时签章或盖章确认的，视为无异议</w:t>
      </w:r>
      <w:r>
        <w:rPr>
          <w:rFonts w:hint="eastAsia" w:ascii="仿宋" w:hAnsi="仿宋" w:eastAsia="仿宋" w:cs="仿宋"/>
          <w:b/>
          <w:color w:val="auto"/>
          <w:highlight w:val="none"/>
          <w:lang w:eastAsia="zh-CN"/>
        </w:rPr>
        <w:t>。</w:t>
      </w:r>
    </w:p>
    <w:p w14:paraId="56A6E424">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lang w:eastAsia="zh-CN"/>
        </w:rPr>
        <w:t>.3 投标供应商资格审查：</w:t>
      </w:r>
    </w:p>
    <w:p w14:paraId="36FA3799">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bCs/>
          <w:color w:val="auto"/>
          <w:highlight w:val="none"/>
          <w:lang w:eastAsia="zh-CN"/>
        </w:rPr>
        <w:t>开标（标书信息开启）后，采购人或采购代理机构或</w:t>
      </w:r>
      <w:r>
        <w:rPr>
          <w:rFonts w:hint="eastAsia" w:ascii="仿宋" w:hAnsi="仿宋" w:eastAsia="仿宋" w:cs="仿宋"/>
          <w:color w:val="auto"/>
          <w:highlight w:val="none"/>
          <w:lang w:eastAsia="zh-CN"/>
        </w:rPr>
        <w:t>评审小组</w:t>
      </w:r>
      <w:r>
        <w:rPr>
          <w:rFonts w:hint="eastAsia" w:ascii="仿宋" w:hAnsi="仿宋" w:eastAsia="仿宋" w:cs="仿宋"/>
          <w:bCs/>
          <w:color w:val="auto"/>
          <w:highlight w:val="none"/>
          <w:lang w:eastAsia="zh-CN"/>
        </w:rPr>
        <w:t>首先依法对投标供应商的资格文件进行审查，审查各投标人的资格符合情况。</w:t>
      </w:r>
      <w:r>
        <w:rPr>
          <w:rFonts w:hint="eastAsia" w:ascii="仿宋" w:hAnsi="仿宋" w:eastAsia="仿宋" w:cs="仿宋"/>
          <w:color w:val="auto"/>
          <w:highlight w:val="none"/>
          <w:lang w:eastAsia="zh-CN"/>
        </w:rPr>
        <w:t>采购人或采购代理机构</w:t>
      </w:r>
      <w:r>
        <w:rPr>
          <w:rFonts w:hint="eastAsia" w:ascii="仿宋" w:hAnsi="仿宋" w:eastAsia="仿宋" w:cs="仿宋"/>
          <w:bCs/>
          <w:color w:val="auto"/>
          <w:highlight w:val="none"/>
          <w:lang w:eastAsia="zh-CN"/>
        </w:rPr>
        <w:t>或</w:t>
      </w:r>
      <w:r>
        <w:rPr>
          <w:rFonts w:hint="eastAsia" w:ascii="仿宋" w:hAnsi="仿宋" w:eastAsia="仿宋" w:cs="仿宋"/>
          <w:color w:val="auto"/>
          <w:highlight w:val="none"/>
          <w:lang w:eastAsia="zh-CN"/>
        </w:rPr>
        <w:t>评审小组对投标人所提交的资格证明材料仅负审核的责任。如发现投标人所提交的资格证明材料不合法或与事实不符，采购人可取消其中标资格并追究投标供应商的法律责任。</w:t>
      </w:r>
    </w:p>
    <w:p w14:paraId="76CFE8C8">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（2）投标人提交的资格证明材料无法证明其符合采购文件规定的“投标人资格要求”的，采购人或采购代理机构将对其作“资格审查不合格”处理（无效投标），并不再将其投标提交评标委员会进行后续评审。</w:t>
      </w:r>
    </w:p>
    <w:p w14:paraId="0F57C841">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信用记录查询与使用：见《</w:t>
      </w:r>
      <w:r>
        <w:rPr>
          <w:rFonts w:hint="eastAsia" w:ascii="仿宋" w:hAnsi="仿宋" w:eastAsia="仿宋" w:cs="仿宋"/>
          <w:color w:val="auto"/>
          <w:szCs w:val="21"/>
          <w:highlight w:val="none"/>
          <w:lang w:eastAsia="zh-CN"/>
        </w:rPr>
        <w:t>投标人</w:t>
      </w:r>
      <w:r>
        <w:rPr>
          <w:rFonts w:hint="eastAsia" w:ascii="仿宋" w:hAnsi="仿宋" w:eastAsia="仿宋" w:cs="仿宋"/>
          <w:bCs/>
          <w:color w:val="auto"/>
          <w:szCs w:val="24"/>
          <w:highlight w:val="none"/>
          <w:lang w:eastAsia="zh-CN"/>
        </w:rPr>
        <w:t>须知前附表》。</w:t>
      </w:r>
    </w:p>
    <w:p w14:paraId="1A91A74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lang w:eastAsia="zh-CN"/>
        </w:rPr>
        <w:t>.评审工作的组织</w:t>
      </w:r>
    </w:p>
    <w:p w14:paraId="118A4678">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采购人或采购代理机构负责组织本项目的评审工作，并依据《政府采购货物和服务招标投标管理办法（财政部第87号令）》第四十五条的相关规定履行职责。</w:t>
      </w:r>
    </w:p>
    <w:p w14:paraId="78F60A0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 评标委员会的组建</w:t>
      </w:r>
    </w:p>
    <w:p w14:paraId="2D18F09E">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.1评标委员会由采购人或采购代理机构依法组建，成员由采购人代表1人和评审专家4人，成员人数为5人，其中评审专家不少于成员总数的三分之二。</w:t>
      </w:r>
    </w:p>
    <w:p w14:paraId="01E72E5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.2评审专家从新疆政府采购云平台专家库中通过随机方式抽取产生。评标委员会成员名单在采购结果公告前保密。</w:t>
      </w:r>
    </w:p>
    <w:p w14:paraId="649196D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.评标委员会的职责</w:t>
      </w:r>
    </w:p>
    <w:p w14:paraId="097A107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.1审查、评价投标文件是否符合采购文件的商务、技术等实质性要求。</w:t>
      </w:r>
    </w:p>
    <w:p w14:paraId="2BC825D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.2要求投标人对投标文件有关事项作出澄清或者说明。</w:t>
      </w:r>
    </w:p>
    <w:p w14:paraId="7C7903A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.3对投标文件进行比较和评价。</w:t>
      </w:r>
    </w:p>
    <w:p w14:paraId="2A118B0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.4确定中标候选人名单，以及根据采购人委托直接确定中标人。</w:t>
      </w:r>
    </w:p>
    <w:p w14:paraId="6773A16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.5向采购人、采购代理机构或者有关部门报告评审中发现的违法行为。</w:t>
      </w:r>
    </w:p>
    <w:p w14:paraId="443CB2A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评标原则</w:t>
      </w:r>
    </w:p>
    <w:p w14:paraId="29C1DFCA">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.1评标委员会将遵循公平、公正、科学的原则，对供应商提交的投标文件进行综合评审，评标委员会按照采购文件规定的评标细则进行评分。</w:t>
      </w:r>
    </w:p>
    <w:p w14:paraId="066CB04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xml:space="preserve">.2客观公正对待所有投标人，对所有投标评价均采用相同的程序和标准。 </w:t>
      </w:r>
    </w:p>
    <w:p w14:paraId="2BAC560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.3评标委员会成员对需要共同认定的事项存在争议的，按照少数服从多数的原则作出结论。持不同意见的评标委员会成员应当在评审报告上签署不同意见及理由，否则视为同意评审报告。</w:t>
      </w:r>
    </w:p>
    <w:p w14:paraId="6B895685">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759806D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5A6B19B2">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评委纪律</w:t>
      </w:r>
    </w:p>
    <w:p w14:paraId="5668942E">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268DE88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.评标程序</w:t>
      </w:r>
    </w:p>
    <w:p w14:paraId="6E3F6AA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.1 在评审专家中推选评标委员会组长，采购人代表不得担任评标委员会组长。</w:t>
      </w:r>
    </w:p>
    <w:p w14:paraId="16AAC8DC">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55CFA31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.3 评审人员对符合资格的供应商的投标文件的有效性、符合性、完整性和响应程度进行审查，确定是否对采购文件作出实质性响应。</w:t>
      </w:r>
    </w:p>
    <w:p w14:paraId="2F6E05D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.4 评审人员按采购文件规定的评审方法和评审标准，依法独立对供应商投标文件进行评估、比较，并给予评价或打分，不受任何单位和个人的干预。</w:t>
      </w:r>
    </w:p>
    <w:p w14:paraId="4B3E0D07">
      <w:pPr>
        <w:widowControl/>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综合评分法货物项目的价格分值占总分值的比重(即权值)为</w:t>
      </w: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％，采购项目中含不同采购对象的，以占项目资金比例最高的采购对象确定其项目属性。其价格不列为评分因素，有特殊情况需要在上述规定范围外设定价格分权重的。</w:t>
      </w:r>
    </w:p>
    <w:p w14:paraId="175E9B50">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1BB49C45">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投标报价得分=（基准价/投标报价）×价格权值×100</w:t>
      </w:r>
    </w:p>
    <w:p w14:paraId="1C0E5130">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项目评审过程中，不得去掉最后报价中的最高报价和最低报价。</w:t>
      </w:r>
    </w:p>
    <w:p w14:paraId="5284F1E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4B177C85">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%以上的）情形的，应由相关人员当场改正或作出书面说明；拒不改正又不作书面说明的，由现场监督员如实记载后存入项目档案资料。</w:t>
      </w:r>
    </w:p>
    <w:p w14:paraId="7C13EA4C">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.7 评标委员会根据评审汇总情况和采购文件规定确定中标候选供应商排序名单。</w:t>
      </w:r>
    </w:p>
    <w:p w14:paraId="47CC098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 xml:space="preserve">.8 起草评审报告，所有评审人员须在评审报告上签章确认，对自己的评审意见承担法律责任。 </w:t>
      </w:r>
    </w:p>
    <w:p w14:paraId="7807CD8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.9 采购组织机构对评标委员会评审专家进行评价。</w:t>
      </w:r>
    </w:p>
    <w:p w14:paraId="2AE2488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.10 修改评审结果</w:t>
      </w:r>
    </w:p>
    <w:p w14:paraId="670DC35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评标结果汇总完成后，除下列情形外，任何人不得修改评标结果：</w:t>
      </w:r>
    </w:p>
    <w:p w14:paraId="7C837C0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（1）分值汇总计算错误的；</w:t>
      </w:r>
    </w:p>
    <w:p w14:paraId="0259B71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（2）分项评分超出评分标准范围的；</w:t>
      </w:r>
    </w:p>
    <w:p w14:paraId="1434753E">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（3）评标委员会成员对客观评审因素评分不一致的；</w:t>
      </w:r>
    </w:p>
    <w:p w14:paraId="378F911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（4）经评标委员会认定评分畸高、畸低的。</w:t>
      </w:r>
    </w:p>
    <w:p w14:paraId="42B034B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403D72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．澄清、说明或补正的形式</w:t>
      </w:r>
    </w:p>
    <w:p w14:paraId="2C60BA2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仿宋" w:hAnsi="仿宋" w:eastAsia="仿宋" w:cs="仿宋"/>
          <w:b/>
          <w:bCs/>
          <w:color w:val="auto"/>
          <w:szCs w:val="21"/>
          <w:highlight w:val="none"/>
          <w:lang w:eastAsia="zh-CN"/>
        </w:rPr>
        <w:t>投标人澄清、说明或补正时间为20分钟</w:t>
      </w:r>
      <w:r>
        <w:rPr>
          <w:rFonts w:hint="eastAsia" w:ascii="仿宋" w:hAnsi="仿宋" w:eastAsia="仿宋" w:cs="仿宋"/>
          <w:color w:val="auto"/>
          <w:szCs w:val="21"/>
          <w:highlight w:val="none"/>
          <w:lang w:eastAsia="zh-CN"/>
        </w:rPr>
        <w:t>。</w:t>
      </w:r>
    </w:p>
    <w:p w14:paraId="714581E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2投标人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009AC63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017904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．错误修正的原则</w:t>
      </w:r>
    </w:p>
    <w:p w14:paraId="5D6DFE9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5FE1C1A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03E81B4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.1 投标函中表述的内容与报价表中不一致的，以报价表为准；报价表中的内容与报价明细表不一致的，以报价表为准；</w:t>
      </w:r>
    </w:p>
    <w:p w14:paraId="61C0E2E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.2 投标文件中的大写金额和小写金额不一致的，以大写金额为准；</w:t>
      </w:r>
    </w:p>
    <w:p w14:paraId="782BA90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.3 单价金额小数点或者百分比有明显错位的，以开标一览表的总价为准，并修改单价；</w:t>
      </w:r>
    </w:p>
    <w:p w14:paraId="44A1C7A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.4 总价金额与按单价汇总金额不一致的，以单价金额计算结果为准；</w:t>
      </w:r>
    </w:p>
    <w:p w14:paraId="567C503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.5 若用文字表示的数值与用数字表示的数值不一致，以文字表示的数值为准；</w:t>
      </w:r>
    </w:p>
    <w:p w14:paraId="286BD0F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.6 如有多报（指数量超出采购文件需求）、重报（指同一货物重复报价），其投标总价在评标过程中不予调整，如其中标，其合同价按其投标单价予以调整；</w:t>
      </w:r>
    </w:p>
    <w:p w14:paraId="05222F9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.7 对不同文字文本投标文件的解释发生异议的，以中文文本为准；</w:t>
      </w:r>
    </w:p>
    <w:p w14:paraId="63F87858">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eastAsia="zh-CN"/>
        </w:rPr>
        <w:t>修正应当采用电子询标的形式，并加盖公章（电子印章）。</w:t>
      </w:r>
    </w:p>
    <w:p w14:paraId="2307EEF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．无效投标文件</w:t>
      </w:r>
    </w:p>
    <w:p w14:paraId="3D6B2B1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有下列情形之一的，投标文件按无效标处理：</w:t>
      </w:r>
    </w:p>
    <w:p w14:paraId="13FA39F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 报名的投标人与参加投标的投标人发生实质性变更的且未提供有效证明的；</w:t>
      </w:r>
    </w:p>
    <w:p w14:paraId="16FCC4B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.2 供应商提交两份或两份以上内容不同的投标文件，未声明哪一份有效的；</w:t>
      </w:r>
    </w:p>
    <w:p w14:paraId="08995AF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.3 投标文件非供应商法定代表人签署的，未提供或提供无效的法定代表人授权书；</w:t>
      </w:r>
    </w:p>
    <w:p w14:paraId="750FF0B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.4 未按招标文件规定装订；</w:t>
      </w:r>
    </w:p>
    <w:p w14:paraId="783957B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.5 投标文件内容未按招标文件规定签章或盖章的；</w:t>
      </w:r>
    </w:p>
    <w:p w14:paraId="5B59821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.6 投标文件组成漏项或未按规定的格式编制或投标文件正、副本份数不足或内容不全或内容字迹模糊辨认不清的等而导致评标活动无法正常进行；</w:t>
      </w:r>
    </w:p>
    <w:p w14:paraId="4B7ED46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.7 投标人未按招标文件变更通知更改投标文件的；</w:t>
      </w:r>
    </w:p>
    <w:p w14:paraId="63EB211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.8 《开标一览表》和《投标分项报价</w:t>
      </w:r>
      <w:r>
        <w:rPr>
          <w:rFonts w:hint="eastAsia" w:ascii="仿宋" w:hAnsi="仿宋" w:eastAsia="仿宋" w:cs="仿宋"/>
          <w:color w:val="auto"/>
          <w:szCs w:val="21"/>
          <w:highlight w:val="none"/>
          <w:lang w:val="en-US" w:eastAsia="zh-CN"/>
        </w:rPr>
        <w:t>明细</w:t>
      </w:r>
      <w:r>
        <w:rPr>
          <w:rFonts w:hint="eastAsia" w:ascii="仿宋" w:hAnsi="仿宋" w:eastAsia="仿宋" w:cs="仿宋"/>
          <w:color w:val="auto"/>
          <w:szCs w:val="21"/>
          <w:highlight w:val="none"/>
          <w:lang w:eastAsia="zh-CN"/>
        </w:rPr>
        <w:t>表》内容不完整且不接受修正意见或字迹不能辨认的或未提供；</w:t>
      </w:r>
    </w:p>
    <w:p w14:paraId="07386F4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.9 标项投标报价超过招标文件规定的预算金额或最高限价</w:t>
      </w:r>
    </w:p>
    <w:p w14:paraId="0812247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.10 因投标人原因编制错误造成经评标委员会修正后的报价达到或超过投标报价的0.5%；</w:t>
      </w:r>
    </w:p>
    <w:p w14:paraId="14BFBBE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.11 投标人的报价明显低于其他通过符合性审查投标人的报价，有可能影响产品质量或者不能诚信履约的，且在规定时间内不能合理说明原因并提供证明材料的；</w:t>
      </w:r>
    </w:p>
    <w:p w14:paraId="176E248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.12 未实质性响应招标文件中条款要求的投标文件；</w:t>
      </w:r>
    </w:p>
    <w:p w14:paraId="250C34E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.13 不符合招标范围、技术规格、技术标准的要求无法满足采购人使用要求；</w:t>
      </w:r>
    </w:p>
    <w:p w14:paraId="066CA7C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.14 投标文件附有采购人不能接受的条款；</w:t>
      </w:r>
    </w:p>
    <w:p w14:paraId="46A113D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.15 投标文件中提供了赠品或者与本项目采购无关的其他商品、服务；</w:t>
      </w:r>
    </w:p>
    <w:p w14:paraId="2370C3E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.16 投标文件中承诺的投标有效期少于招标文件中载明的投标有效期；</w:t>
      </w:r>
    </w:p>
    <w:p w14:paraId="01EE371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.17投标人串通投标，妨碍其他投标人的竞争行为，损害采购人或者其他投标人的合法权益；</w:t>
      </w:r>
    </w:p>
    <w:p w14:paraId="292AD58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.18违反国家及政府部门相关法律、法规、文件规定或经评标委员会认定的其他属于重大偏离；</w:t>
      </w:r>
    </w:p>
    <w:p w14:paraId="42EE161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．废标</w:t>
      </w:r>
    </w:p>
    <w:p w14:paraId="0D5CB0D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.1 符合招标文件规定废标情形的；</w:t>
      </w:r>
    </w:p>
    <w:p w14:paraId="7920BFA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.2 出现影响采购公正的违法、违规行为的；</w:t>
      </w:r>
    </w:p>
    <w:p w14:paraId="0DD7E98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.3 供应商的报价均超过了采购预算（或最高限价），采购人不能支付的;</w:t>
      </w:r>
    </w:p>
    <w:p w14:paraId="6843E3C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.4 因重大变故，采购任务取消的。</w:t>
      </w:r>
    </w:p>
    <w:p w14:paraId="1ADBC96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．突发情况处理</w:t>
      </w:r>
    </w:p>
    <w:p w14:paraId="5687614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.1 采购过程中出现以下情形，导致电子交易平台无法正常运行，或者无法保证电子交易的公平、公正和安全时，采购组织机构可中止电子交易活动：</w:t>
      </w:r>
    </w:p>
    <w:p w14:paraId="7C58272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（1）电子交易平台发生故障而无法登录访问的； </w:t>
      </w:r>
    </w:p>
    <w:p w14:paraId="325BF96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（2）电子交易平台应用或数据库出现错误，不能进行正常操作的；</w:t>
      </w:r>
    </w:p>
    <w:p w14:paraId="5EF690E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（3）电子交易平台发现严重安全漏洞，有潜在泄密危险的；</w:t>
      </w:r>
    </w:p>
    <w:p w14:paraId="5830985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（4）病毒发作导致不能进行正常操作的； </w:t>
      </w:r>
    </w:p>
    <w:p w14:paraId="07AAE15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（5）其他无法保证电子交易的公平、公正和安全的情况。</w:t>
      </w:r>
    </w:p>
    <w:p w14:paraId="256DE3D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AA9F4B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.2 采购代理机构或评审小组因不可抗力（不可抗力包括但不限于自然灾害、断电、传播疫病等）原因造成电子交易活动无法正常运行的，将采取以下措施：</w:t>
      </w:r>
    </w:p>
    <w:p w14:paraId="7622B6D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（1）短时间内能消除不可抗力因素的，采购代理机构或评审小组在消除不可抗力因素后继续组织电子交易活动； </w:t>
      </w:r>
    </w:p>
    <w:p w14:paraId="37F023B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（2）长时间内无法消除不可抗力因素的，采购代理机构或评审小组将中止电子交易活动。中止电子交易活动的，采购人应当重新组织政府采购活动。</w:t>
      </w:r>
    </w:p>
    <w:p w14:paraId="72D77A2F">
      <w:pPr>
        <w:snapToGrid w:val="0"/>
        <w:spacing w:line="360" w:lineRule="exact"/>
        <w:ind w:firstLine="421"/>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0</w:t>
      </w:r>
      <w:r>
        <w:rPr>
          <w:rFonts w:hint="eastAsia" w:ascii="仿宋" w:hAnsi="仿宋" w:eastAsia="仿宋" w:cs="仿宋"/>
          <w:b/>
          <w:color w:val="auto"/>
          <w:szCs w:val="21"/>
          <w:highlight w:val="none"/>
          <w:lang w:eastAsia="zh-CN"/>
        </w:rPr>
        <w:t>. 定标</w:t>
      </w:r>
    </w:p>
    <w:p w14:paraId="4E2F3EB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bookmarkStart w:id="23" w:name="_Toc469495729"/>
      <w:r>
        <w:rPr>
          <w:rFonts w:hint="eastAsia" w:ascii="仿宋" w:hAnsi="仿宋" w:eastAsia="仿宋" w:cs="仿宋"/>
          <w:color w:val="auto"/>
          <w:szCs w:val="21"/>
          <w:highlight w:val="none"/>
          <w:lang w:eastAsia="zh-CN"/>
        </w:rPr>
        <w:t>41.1采购结果确认（确定中标供应商）</w:t>
      </w:r>
    </w:p>
    <w:p w14:paraId="1CB5AD8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采购结果确认（确定中标供应商）：本项目由采购人根据评标委员会提交的《评审报告》，通过“政府采购云平台”依法确认采购结果、确定中标供应商。具体流程如下：</w:t>
      </w:r>
    </w:p>
    <w:p w14:paraId="143F43A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（1）采购代理机构将在评审结束后2个工作日内将评审报告送采购人。</w:t>
      </w:r>
    </w:p>
    <w:p w14:paraId="2EA6A09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（2）采购人将在收到评审报告之日起5个工作日内，在评审报告推荐的中标候选供应商名单中按顺序确定中标供应商，并将确认意见以书面形式回复采购代理机构。 </w:t>
      </w:r>
    </w:p>
    <w:p w14:paraId="07D50C7A">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.2采购结果经采购人确认后2个工作日内，采购代理机构将在</w:t>
      </w:r>
      <w:r>
        <w:rPr>
          <w:rFonts w:hint="eastAsia" w:ascii="仿宋" w:hAnsi="仿宋" w:eastAsia="仿宋" w:cs="仿宋"/>
          <w:b/>
          <w:bCs/>
          <w:color w:val="auto"/>
          <w:szCs w:val="21"/>
          <w:highlight w:val="none"/>
          <w:lang w:eastAsia="zh-CN"/>
        </w:rPr>
        <w:t>新疆政府采购网、克州公共资源交易中心网上公告采购结果，中标公告期限为1个工作日。</w:t>
      </w:r>
    </w:p>
    <w:p w14:paraId="17DB050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 中标通知书</w:t>
      </w:r>
    </w:p>
    <w:p w14:paraId="521462D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.1在中标通知书发出前，招标人将中标侯选人的情况在新疆政府采购网、克州公共资源交易中心网予以公示，</w:t>
      </w:r>
      <w:r>
        <w:rPr>
          <w:rFonts w:hint="eastAsia" w:ascii="仿宋" w:hAnsi="仿宋" w:eastAsia="仿宋" w:cs="仿宋"/>
          <w:b/>
          <w:bCs/>
          <w:color w:val="auto"/>
          <w:szCs w:val="21"/>
          <w:highlight w:val="none"/>
          <w:lang w:eastAsia="zh-CN"/>
        </w:rPr>
        <w:t>公示期为一个工作日。待公示期结束后，</w:t>
      </w:r>
      <w:r>
        <w:rPr>
          <w:rFonts w:hint="eastAsia" w:ascii="仿宋" w:hAnsi="仿宋" w:eastAsia="仿宋" w:cs="仿宋"/>
          <w:color w:val="auto"/>
          <w:szCs w:val="21"/>
          <w:highlight w:val="none"/>
          <w:lang w:eastAsia="zh-CN"/>
        </w:rPr>
        <w:t>采购组织机构向中标人发出中标通知书。</w:t>
      </w:r>
    </w:p>
    <w:p w14:paraId="7BCD0D3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1D0D4CEF">
      <w:pPr>
        <w:spacing w:beforeLines="50" w:line="440" w:lineRule="exact"/>
        <w:jc w:val="center"/>
        <w:outlineLvl w:val="2"/>
        <w:rPr>
          <w:rFonts w:ascii="仿宋" w:hAnsi="仿宋" w:eastAsia="仿宋" w:cs="仿宋"/>
          <w:b/>
          <w:bCs/>
          <w:color w:val="auto"/>
          <w:highlight w:val="none"/>
          <w:lang w:eastAsia="zh-CN"/>
        </w:rPr>
      </w:pPr>
      <w:r>
        <w:rPr>
          <w:rFonts w:hint="eastAsia" w:ascii="仿宋" w:hAnsi="仿宋" w:eastAsia="仿宋" w:cs="仿宋"/>
          <w:b/>
          <w:bCs/>
          <w:color w:val="auto"/>
          <w:sz w:val="28"/>
          <w:szCs w:val="28"/>
          <w:highlight w:val="none"/>
          <w:lang w:eastAsia="zh-CN"/>
        </w:rPr>
        <w:t>（六）合同的授予</w:t>
      </w:r>
      <w:bookmarkEnd w:id="23"/>
    </w:p>
    <w:p w14:paraId="2B55BA2E">
      <w:pPr>
        <w:spacing w:line="440" w:lineRule="exact"/>
        <w:ind w:firstLine="243" w:firstLineChars="100"/>
        <w:rPr>
          <w:rFonts w:ascii="仿宋" w:hAnsi="仿宋" w:eastAsia="仿宋" w:cs="仿宋"/>
          <w:color w:val="auto"/>
          <w:szCs w:val="21"/>
          <w:highlight w:val="none"/>
          <w:lang w:eastAsia="zh-CN"/>
        </w:rPr>
      </w:pPr>
      <w:bookmarkStart w:id="24" w:name="_Toc73975842"/>
      <w:bookmarkStart w:id="25" w:name="_Toc469495730"/>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．履约保证金</w:t>
      </w:r>
      <w:bookmarkEnd w:id="24"/>
    </w:p>
    <w:p w14:paraId="6B4318E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 中标供应商在签订合同后</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日内向采购人缴纳</w:t>
      </w:r>
      <w:r>
        <w:rPr>
          <w:rFonts w:hint="eastAsia" w:ascii="仿宋" w:hAnsi="仿宋" w:eastAsia="仿宋" w:cs="仿宋"/>
          <w:color w:val="auto"/>
          <w:highlight w:val="none"/>
          <w:u w:val="single"/>
          <w:lang w:val="zh-CN" w:eastAsia="zh-CN"/>
        </w:rPr>
        <w:t>金额为合同总价的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szCs w:val="21"/>
          <w:highlight w:val="none"/>
          <w:lang w:eastAsia="zh-CN"/>
        </w:rPr>
        <w:t>的履约保证金（鼓励以银行、保险公司出具的履约保函形式提交；若以电汇、银行转账方式提交的，必须转到采购人的指定账户）。</w:t>
      </w:r>
    </w:p>
    <w:p w14:paraId="31DCD73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 签订合同后，如中标供应商不按合同约定履约的，履约保证金不予退还，履约保证金不足以赔偿损失的，按实际损失赔偿。</w:t>
      </w:r>
    </w:p>
    <w:p w14:paraId="0FA12C0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 如果中标供应商在建设期内没有涉及采购人的应付而未付金额或违约行为，采购人在项目验收合格后或提前终止合同后全额无息退还履约保证金。</w:t>
      </w:r>
    </w:p>
    <w:p w14:paraId="27C52FA5">
      <w:pPr>
        <w:spacing w:line="440" w:lineRule="exact"/>
        <w:ind w:firstLine="243" w:firstLineChars="100"/>
        <w:rPr>
          <w:rFonts w:ascii="仿宋" w:hAnsi="仿宋" w:eastAsia="仿宋" w:cs="仿宋"/>
          <w:color w:val="auto"/>
          <w:szCs w:val="21"/>
          <w:highlight w:val="none"/>
          <w:lang w:eastAsia="zh-CN"/>
        </w:rPr>
      </w:pPr>
      <w:bookmarkStart w:id="26" w:name="_Toc73975843"/>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．签订合同及公告</w:t>
      </w:r>
      <w:bookmarkEnd w:id="26"/>
    </w:p>
    <w:p w14:paraId="76E76BB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.1采购人在中标通知书发出之日起30日内与中标供应商签订合同。</w:t>
      </w:r>
    </w:p>
    <w:p w14:paraId="5DB2634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.2中标供应商拖延、拒签合同的,取消中标资格。</w:t>
      </w:r>
    </w:p>
    <w:p w14:paraId="4B2251A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.3 采购文件、中标供应商的投标文件及评标过程中有关澄清文件等均作为签订合同的依据。所签订的合同不得对采购文件和中标供应商的投标文件的内容作实质性修改。</w:t>
      </w:r>
    </w:p>
    <w:p w14:paraId="34ADBDF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.4采购人应当自政府采购合同签订之日起2个工作日内，在省级以上财政部门指定的政府采购信息发布媒体及相关网站上公告。</w:t>
      </w:r>
    </w:p>
    <w:p w14:paraId="2939A23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.5采购人应当自政府采购合同签订之日起7个工作日内，将政府采购合同副本报同级人民政府财政部门备案以及采购代理机构存档。</w:t>
      </w:r>
    </w:p>
    <w:p w14:paraId="4A5199B7">
      <w:pPr>
        <w:adjustRightInd w:val="0"/>
        <w:snapToGrid w:val="0"/>
        <w:spacing w:line="440" w:lineRule="exact"/>
        <w:jc w:val="center"/>
        <w:outlineLvl w:val="2"/>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（七）纪律和监督</w:t>
      </w:r>
      <w:bookmarkEnd w:id="25"/>
    </w:p>
    <w:p w14:paraId="7F84F81A">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lang w:eastAsia="zh-CN"/>
        </w:rPr>
        <w:t xml:space="preserve">. 对招标人的纪律要求 </w:t>
      </w:r>
    </w:p>
    <w:p w14:paraId="341EAA0E">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4</w:t>
      </w:r>
      <w:r>
        <w:rPr>
          <w:rFonts w:hint="eastAsia" w:ascii="仿宋" w:hAnsi="仿宋" w:eastAsia="仿宋" w:cs="仿宋"/>
          <w:color w:val="auto"/>
          <w:kern w:val="10"/>
          <w:szCs w:val="21"/>
          <w:highlight w:val="none"/>
          <w:lang w:eastAsia="zh-CN"/>
        </w:rPr>
        <w:t xml:space="preserve">.1招标人不得泄漏招标投标活动中应当保密的情况和资料，不得与供应商串通损害国家利益，社会公共利益或者他人合法权益。 </w:t>
      </w:r>
    </w:p>
    <w:p w14:paraId="1E40170E">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lang w:eastAsia="zh-CN"/>
        </w:rPr>
        <w:t xml:space="preserve">. 对供应商的纪律要求 </w:t>
      </w:r>
    </w:p>
    <w:p w14:paraId="5B658713">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5</w:t>
      </w:r>
      <w:r>
        <w:rPr>
          <w:rFonts w:hint="eastAsia" w:ascii="仿宋" w:hAnsi="仿宋" w:eastAsia="仿宋" w:cs="仿宋"/>
          <w:color w:val="auto"/>
          <w:kern w:val="10"/>
          <w:szCs w:val="21"/>
          <w:highlight w:val="none"/>
          <w:lang w:eastAsia="zh-CN"/>
        </w:rPr>
        <w:t>.1</w:t>
      </w:r>
      <w:r>
        <w:rPr>
          <w:rFonts w:hint="eastAsia" w:ascii="仿宋" w:hAnsi="仿宋" w:eastAsia="仿宋" w:cs="仿宋"/>
          <w:color w:val="auto"/>
          <w:szCs w:val="21"/>
          <w:highlight w:val="none"/>
          <w:lang w:eastAsia="zh-CN"/>
        </w:rPr>
        <w:t>投标人</w:t>
      </w:r>
      <w:r>
        <w:rPr>
          <w:rFonts w:hint="eastAsia" w:ascii="仿宋" w:hAnsi="仿宋" w:eastAsia="仿宋" w:cs="仿宋"/>
          <w:color w:val="auto"/>
          <w:kern w:val="10"/>
          <w:szCs w:val="21"/>
          <w:highlight w:val="none"/>
          <w:lang w:eastAsia="zh-CN"/>
        </w:rPr>
        <w:t>不得相互串通投标或者与招标人串通投标，不得向招标人或者评标委员会成员行贿谋取中标，不得以他人名义投标或者以其他方式弄虚作假骗取中标；供应商不得以任何方式干扰、影响评标工作。</w:t>
      </w:r>
    </w:p>
    <w:p w14:paraId="05D29CC5">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6</w:t>
      </w:r>
      <w:r>
        <w:rPr>
          <w:rFonts w:hint="eastAsia" w:ascii="仿宋" w:hAnsi="仿宋" w:eastAsia="仿宋" w:cs="仿宋"/>
          <w:b/>
          <w:color w:val="auto"/>
          <w:szCs w:val="21"/>
          <w:highlight w:val="none"/>
          <w:lang w:eastAsia="zh-CN"/>
        </w:rPr>
        <w:t xml:space="preserve">. 对评标委员会成员的纪律要求 </w:t>
      </w:r>
    </w:p>
    <w:p w14:paraId="0AF77734">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6</w:t>
      </w:r>
      <w:r>
        <w:rPr>
          <w:rFonts w:hint="eastAsia" w:ascii="仿宋" w:hAnsi="仿宋" w:eastAsia="仿宋" w:cs="仿宋"/>
          <w:color w:val="auto"/>
          <w:kern w:val="10"/>
          <w:szCs w:val="21"/>
          <w:highlight w:val="none"/>
          <w:lang w:eastAsia="zh-CN"/>
        </w:rPr>
        <w:t>.1评标委员会成员不得收受他人的财物或者其他好处，不得向他人透漏对投标文件的评审和比较、中标候选人的推荐情况以及评标有关的其他情况。</w:t>
      </w:r>
    </w:p>
    <w:p w14:paraId="02340C47">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6</w:t>
      </w:r>
      <w:r>
        <w:rPr>
          <w:rFonts w:hint="eastAsia" w:ascii="仿宋" w:hAnsi="仿宋" w:eastAsia="仿宋" w:cs="仿宋"/>
          <w:color w:val="auto"/>
          <w:kern w:val="10"/>
          <w:szCs w:val="21"/>
          <w:highlight w:val="none"/>
          <w:lang w:eastAsia="zh-CN"/>
        </w:rPr>
        <w:t xml:space="preserve">.2在评标活动中，评标委员会成员不得擅离职守，影响评标程序正常进行，不得使用第三章“评标办法”没有规定的评审因素和标准进行评标。 </w:t>
      </w:r>
    </w:p>
    <w:p w14:paraId="42337212">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lang w:eastAsia="zh-CN"/>
        </w:rPr>
        <w:t xml:space="preserve">. 对与评标活动有关的工作人员的纪律要求 </w:t>
      </w:r>
    </w:p>
    <w:p w14:paraId="28D39A8F">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7</w:t>
      </w:r>
      <w:r>
        <w:rPr>
          <w:rFonts w:hint="eastAsia" w:ascii="仿宋" w:hAnsi="仿宋" w:eastAsia="仿宋" w:cs="仿宋"/>
          <w:color w:val="auto"/>
          <w:kern w:val="10"/>
          <w:szCs w:val="21"/>
          <w:highlight w:val="none"/>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1165AF">
      <w:pPr>
        <w:spacing w:beforeLines="50" w:afterLines="50" w:line="320" w:lineRule="exact"/>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（八）质疑与投诉</w:t>
      </w:r>
    </w:p>
    <w:p w14:paraId="43BB8FCC">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．质疑和投诉</w:t>
      </w:r>
    </w:p>
    <w:p w14:paraId="0275DC8C">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1.投标人认为采购文件、采购过程和中标、成交结果使自己的权益受到损害的，可以在知道或者应知其权益受到损害之日起七个工作日内，以书面形式向采购人提出质疑。投标人应当在法定质疑期内一次性提出针对同一采购程序环节的质疑。供应商应知其权益受到损害之日，是指：</w:t>
      </w:r>
    </w:p>
    <w:p w14:paraId="1D6C8E10">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3D9C6B0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593851B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7D58205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2投标人提出质疑应当提交质疑函和必要的证明材料。质疑函应当包括下列内容：投标人的姓名或者名称、地址、邮编、联系人及联系电话；质疑项目的名称、编号；具体、明确的质疑事项和与质疑事项相关的请求；事实依据；必要的法律依据；提出质疑的日期。（具体格式详见附件）</w:t>
      </w:r>
    </w:p>
    <w:p w14:paraId="1E12E7D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投标人为自然人的，应当由本人签章；供应商为法人或者其他组织的，应当由法定代表人、主要负责人，或者其授权代表签章或者盖章，并加盖公章。</w:t>
      </w:r>
    </w:p>
    <w:p w14:paraId="5730800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.3投标人质疑、投诉应当有明确的请求和必要的证明材料。投标人投诉的事项不得超出已质疑事项的范围。采购人及采购代理机构按《政府采购质疑和投诉办法》进行处理投标人质疑事项。</w:t>
      </w:r>
    </w:p>
    <w:p w14:paraId="0B7FB04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.4质疑投标人对采购人、采购代理机构的质疑答复不满意，或者采购人、采购代理机构未在规定期限内作出答复的，供应商可以在答复期满后15个工作日内向同级财政部门提起投诉。</w:t>
      </w:r>
    </w:p>
    <w:p w14:paraId="13BA70C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.5投标人有下列情形之一的，采购代理机构将报告克州财政局，将其列入不良行为记录名单：</w:t>
      </w:r>
    </w:p>
    <w:p w14:paraId="2492C36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1F9BA3C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164637D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7B792DAD">
      <w:pPr>
        <w:spacing w:line="360" w:lineRule="exact"/>
        <w:jc w:val="center"/>
        <w:rPr>
          <w:rFonts w:ascii="仿宋" w:hAnsi="仿宋" w:eastAsia="仿宋" w:cs="仿宋"/>
          <w:color w:val="auto"/>
          <w:sz w:val="30"/>
          <w:szCs w:val="30"/>
          <w:highlight w:val="none"/>
          <w:lang w:eastAsia="zh-CN"/>
        </w:rPr>
      </w:pPr>
    </w:p>
    <w:p w14:paraId="697BD0D2">
      <w:pPr>
        <w:pStyle w:val="38"/>
        <w:rPr>
          <w:rFonts w:ascii="仿宋" w:hAnsi="仿宋" w:eastAsia="仿宋" w:cs="仿宋"/>
          <w:color w:val="auto"/>
          <w:sz w:val="30"/>
          <w:szCs w:val="30"/>
          <w:highlight w:val="none"/>
          <w:lang w:eastAsia="zh-CN"/>
        </w:rPr>
      </w:pPr>
    </w:p>
    <w:p w14:paraId="3FA3D664">
      <w:pPr>
        <w:pStyle w:val="38"/>
        <w:rPr>
          <w:rFonts w:ascii="仿宋" w:hAnsi="仿宋" w:eastAsia="仿宋" w:cs="仿宋"/>
          <w:color w:val="auto"/>
          <w:sz w:val="30"/>
          <w:szCs w:val="30"/>
          <w:highlight w:val="none"/>
          <w:lang w:eastAsia="zh-CN"/>
        </w:rPr>
      </w:pPr>
    </w:p>
    <w:p w14:paraId="19D618C7">
      <w:pPr>
        <w:pStyle w:val="38"/>
        <w:rPr>
          <w:rFonts w:ascii="仿宋" w:hAnsi="仿宋" w:eastAsia="仿宋" w:cs="仿宋"/>
          <w:color w:val="auto"/>
          <w:sz w:val="30"/>
          <w:szCs w:val="30"/>
          <w:highlight w:val="none"/>
          <w:lang w:eastAsia="zh-CN"/>
        </w:rPr>
      </w:pPr>
    </w:p>
    <w:p w14:paraId="1EAD497D">
      <w:pPr>
        <w:pStyle w:val="38"/>
        <w:rPr>
          <w:rFonts w:ascii="仿宋" w:hAnsi="仿宋" w:eastAsia="仿宋" w:cs="仿宋"/>
          <w:color w:val="auto"/>
          <w:sz w:val="30"/>
          <w:szCs w:val="30"/>
          <w:highlight w:val="none"/>
          <w:lang w:eastAsia="zh-CN"/>
        </w:rPr>
      </w:pPr>
    </w:p>
    <w:p w14:paraId="511478B0">
      <w:pPr>
        <w:pStyle w:val="38"/>
        <w:rPr>
          <w:rFonts w:ascii="仿宋" w:hAnsi="仿宋" w:eastAsia="仿宋" w:cs="仿宋"/>
          <w:color w:val="auto"/>
          <w:sz w:val="30"/>
          <w:szCs w:val="30"/>
          <w:highlight w:val="none"/>
          <w:lang w:eastAsia="zh-CN"/>
        </w:rPr>
      </w:pPr>
    </w:p>
    <w:p w14:paraId="288ED8AF">
      <w:pPr>
        <w:pStyle w:val="38"/>
        <w:rPr>
          <w:rFonts w:ascii="仿宋" w:hAnsi="仿宋" w:eastAsia="仿宋" w:cs="仿宋"/>
          <w:color w:val="auto"/>
          <w:sz w:val="30"/>
          <w:szCs w:val="30"/>
          <w:highlight w:val="none"/>
          <w:lang w:eastAsia="zh-CN"/>
        </w:rPr>
      </w:pPr>
    </w:p>
    <w:p w14:paraId="6CD652D9">
      <w:pPr>
        <w:pStyle w:val="38"/>
        <w:rPr>
          <w:rFonts w:ascii="仿宋" w:hAnsi="仿宋" w:eastAsia="仿宋" w:cs="仿宋"/>
          <w:color w:val="auto"/>
          <w:sz w:val="30"/>
          <w:szCs w:val="30"/>
          <w:highlight w:val="none"/>
          <w:lang w:eastAsia="zh-CN"/>
        </w:rPr>
      </w:pPr>
    </w:p>
    <w:p w14:paraId="0F6A3A73">
      <w:pPr>
        <w:pStyle w:val="38"/>
        <w:rPr>
          <w:rFonts w:ascii="仿宋" w:hAnsi="仿宋" w:eastAsia="仿宋" w:cs="仿宋"/>
          <w:color w:val="auto"/>
          <w:sz w:val="30"/>
          <w:szCs w:val="30"/>
          <w:highlight w:val="none"/>
          <w:lang w:eastAsia="zh-CN"/>
        </w:rPr>
      </w:pPr>
    </w:p>
    <w:p w14:paraId="5EDB51B3">
      <w:pPr>
        <w:pStyle w:val="38"/>
        <w:rPr>
          <w:rFonts w:ascii="仿宋" w:hAnsi="仿宋" w:eastAsia="仿宋" w:cs="仿宋"/>
          <w:color w:val="auto"/>
          <w:sz w:val="30"/>
          <w:szCs w:val="30"/>
          <w:highlight w:val="none"/>
          <w:lang w:eastAsia="zh-CN"/>
        </w:rPr>
      </w:pPr>
    </w:p>
    <w:p w14:paraId="0BD46046">
      <w:pPr>
        <w:pStyle w:val="38"/>
        <w:rPr>
          <w:rFonts w:ascii="仿宋" w:hAnsi="仿宋" w:eastAsia="仿宋" w:cs="仿宋"/>
          <w:color w:val="auto"/>
          <w:sz w:val="30"/>
          <w:szCs w:val="30"/>
          <w:highlight w:val="none"/>
          <w:lang w:eastAsia="zh-CN"/>
        </w:rPr>
      </w:pPr>
    </w:p>
    <w:p w14:paraId="1EC97E55">
      <w:pPr>
        <w:rPr>
          <w:rFonts w:hint="eastAsia" w:ascii="仿宋" w:hAnsi="仿宋" w:eastAsia="仿宋" w:cs="仿宋"/>
          <w:b/>
          <w:bCs/>
          <w:color w:val="auto"/>
          <w:highlight w:val="none"/>
          <w:lang w:eastAsia="zh-CN"/>
        </w:rPr>
      </w:pPr>
    </w:p>
    <w:p w14:paraId="739C4577">
      <w:pPr>
        <w:rPr>
          <w:rFonts w:hint="eastAsia" w:ascii="仿宋" w:hAnsi="仿宋" w:eastAsia="仿宋" w:cs="仿宋"/>
          <w:b/>
          <w:bCs/>
          <w:color w:val="auto"/>
          <w:highlight w:val="none"/>
          <w:lang w:eastAsia="zh-CN"/>
        </w:rPr>
      </w:pPr>
    </w:p>
    <w:p w14:paraId="69023CD6">
      <w:pPr>
        <w:rPr>
          <w:rFonts w:hint="eastAsia" w:ascii="仿宋" w:hAnsi="仿宋" w:eastAsia="仿宋" w:cs="仿宋"/>
          <w:b/>
          <w:bCs/>
          <w:color w:val="auto"/>
          <w:highlight w:val="none"/>
          <w:lang w:eastAsia="zh-CN"/>
        </w:rPr>
      </w:pPr>
    </w:p>
    <w:p w14:paraId="53D2AD9E">
      <w:pPr>
        <w:rPr>
          <w:rFonts w:hint="eastAsia" w:ascii="仿宋" w:hAnsi="仿宋" w:eastAsia="仿宋" w:cs="仿宋"/>
          <w:b/>
          <w:bCs/>
          <w:color w:val="auto"/>
          <w:highlight w:val="none"/>
          <w:lang w:eastAsia="zh-CN"/>
        </w:rPr>
      </w:pPr>
    </w:p>
    <w:p w14:paraId="0D0C920D">
      <w:pPr>
        <w:rPr>
          <w:rFonts w:hint="eastAsia" w:ascii="仿宋" w:hAnsi="仿宋" w:eastAsia="仿宋" w:cs="仿宋"/>
          <w:b/>
          <w:bCs/>
          <w:color w:val="auto"/>
          <w:highlight w:val="none"/>
          <w:lang w:eastAsia="zh-CN"/>
        </w:rPr>
      </w:pPr>
    </w:p>
    <w:p w14:paraId="326F1128">
      <w:pPr>
        <w:rPr>
          <w:rFonts w:hint="eastAsia" w:ascii="仿宋" w:hAnsi="仿宋" w:eastAsia="仿宋" w:cs="仿宋"/>
          <w:b/>
          <w:bCs/>
          <w:color w:val="auto"/>
          <w:highlight w:val="none"/>
          <w:lang w:eastAsia="zh-CN"/>
        </w:rPr>
      </w:pPr>
    </w:p>
    <w:p w14:paraId="2CC79965">
      <w:pPr>
        <w:rPr>
          <w:rFonts w:hint="eastAsia" w:ascii="仿宋" w:hAnsi="仿宋" w:eastAsia="仿宋" w:cs="仿宋"/>
          <w:b/>
          <w:bCs/>
          <w:color w:val="auto"/>
          <w:highlight w:val="none"/>
          <w:lang w:eastAsia="zh-CN"/>
        </w:rPr>
      </w:pPr>
    </w:p>
    <w:p w14:paraId="336D2D6E">
      <w:pPr>
        <w:rPr>
          <w:rFonts w:hint="eastAsia" w:ascii="仿宋" w:hAnsi="仿宋" w:eastAsia="仿宋" w:cs="仿宋"/>
          <w:b/>
          <w:bCs/>
          <w:color w:val="auto"/>
          <w:highlight w:val="none"/>
          <w:lang w:eastAsia="zh-CN"/>
        </w:rPr>
      </w:pPr>
    </w:p>
    <w:p w14:paraId="3228AF94">
      <w:pPr>
        <w:rPr>
          <w:rFonts w:hint="eastAsia" w:ascii="仿宋" w:hAnsi="仿宋" w:eastAsia="仿宋" w:cs="仿宋"/>
          <w:b/>
          <w:bCs/>
          <w:color w:val="auto"/>
          <w:highlight w:val="none"/>
          <w:lang w:eastAsia="zh-CN"/>
        </w:rPr>
      </w:pPr>
    </w:p>
    <w:p w14:paraId="426FE873">
      <w:pPr>
        <w:rPr>
          <w:rFonts w:hint="eastAsia" w:ascii="仿宋" w:hAnsi="仿宋" w:eastAsia="仿宋" w:cs="仿宋"/>
          <w:b/>
          <w:bCs/>
          <w:color w:val="auto"/>
          <w:highlight w:val="none"/>
          <w:lang w:eastAsia="zh-CN"/>
        </w:rPr>
      </w:pPr>
    </w:p>
    <w:p w14:paraId="28188D7A">
      <w:pPr>
        <w:rPr>
          <w:rFonts w:hint="eastAsia" w:ascii="仿宋" w:hAnsi="仿宋" w:eastAsia="仿宋" w:cs="仿宋"/>
          <w:b/>
          <w:bCs/>
          <w:color w:val="auto"/>
          <w:highlight w:val="none"/>
          <w:lang w:eastAsia="zh-CN"/>
        </w:rPr>
      </w:pPr>
    </w:p>
    <w:p w14:paraId="08FAF033">
      <w:pPr>
        <w:rPr>
          <w:rFonts w:hint="eastAsia" w:ascii="仿宋" w:hAnsi="仿宋" w:eastAsia="仿宋" w:cs="仿宋"/>
          <w:b/>
          <w:bCs/>
          <w:color w:val="auto"/>
          <w:highlight w:val="none"/>
          <w:lang w:eastAsia="zh-CN"/>
        </w:rPr>
      </w:pPr>
    </w:p>
    <w:p w14:paraId="2C9E6CE3">
      <w:pPr>
        <w:rPr>
          <w:rFonts w:hint="eastAsia" w:ascii="仿宋" w:hAnsi="仿宋" w:eastAsia="仿宋" w:cs="仿宋"/>
          <w:b/>
          <w:bCs/>
          <w:color w:val="auto"/>
          <w:highlight w:val="none"/>
          <w:lang w:eastAsia="zh-CN"/>
        </w:rPr>
      </w:pPr>
    </w:p>
    <w:p w14:paraId="312FFCAF">
      <w:pPr>
        <w:rPr>
          <w:rFonts w:hint="eastAsia" w:ascii="仿宋" w:hAnsi="仿宋" w:eastAsia="仿宋" w:cs="仿宋"/>
          <w:b/>
          <w:bCs/>
          <w:color w:val="auto"/>
          <w:highlight w:val="none"/>
          <w:lang w:eastAsia="zh-CN"/>
        </w:rPr>
      </w:pPr>
    </w:p>
    <w:p w14:paraId="1D06EDDA">
      <w:pPr>
        <w:rPr>
          <w:rFonts w:hint="eastAsia" w:ascii="仿宋" w:hAnsi="仿宋" w:eastAsia="仿宋" w:cs="仿宋"/>
          <w:b/>
          <w:bCs/>
          <w:color w:val="auto"/>
          <w:highlight w:val="none"/>
          <w:lang w:eastAsia="zh-CN"/>
        </w:rPr>
      </w:pPr>
    </w:p>
    <w:p w14:paraId="2C25F0B1">
      <w:pPr>
        <w:rPr>
          <w:rFonts w:hint="eastAsia" w:ascii="仿宋" w:hAnsi="仿宋" w:eastAsia="仿宋" w:cs="仿宋"/>
          <w:b/>
          <w:bCs/>
          <w:color w:val="auto"/>
          <w:highlight w:val="none"/>
          <w:lang w:eastAsia="zh-CN"/>
        </w:rPr>
      </w:pPr>
    </w:p>
    <w:p w14:paraId="5F2B7763">
      <w:pPr>
        <w:rPr>
          <w:rFonts w:hint="eastAsia" w:ascii="仿宋" w:hAnsi="仿宋" w:eastAsia="仿宋" w:cs="仿宋"/>
          <w:b/>
          <w:bCs/>
          <w:color w:val="auto"/>
          <w:highlight w:val="none"/>
          <w:lang w:eastAsia="zh-CN"/>
        </w:rPr>
      </w:pPr>
    </w:p>
    <w:p w14:paraId="1267FBDA">
      <w:pPr>
        <w:rPr>
          <w:rFonts w:hint="eastAsia" w:ascii="仿宋" w:hAnsi="仿宋" w:eastAsia="仿宋" w:cs="仿宋"/>
          <w:b/>
          <w:bCs/>
          <w:color w:val="auto"/>
          <w:highlight w:val="none"/>
          <w:lang w:eastAsia="zh-CN"/>
        </w:rPr>
      </w:pPr>
    </w:p>
    <w:p w14:paraId="031F3578">
      <w:pPr>
        <w:rPr>
          <w:rFonts w:hint="eastAsia" w:ascii="仿宋" w:hAnsi="仿宋" w:eastAsia="仿宋" w:cs="仿宋"/>
          <w:b/>
          <w:bCs/>
          <w:color w:val="auto"/>
          <w:highlight w:val="none"/>
          <w:lang w:eastAsia="zh-CN"/>
        </w:rPr>
      </w:pPr>
    </w:p>
    <w:p w14:paraId="760A997A">
      <w:pPr>
        <w:rPr>
          <w:rFonts w:hint="eastAsia" w:ascii="仿宋" w:hAnsi="仿宋" w:eastAsia="仿宋" w:cs="仿宋"/>
          <w:b/>
          <w:bCs/>
          <w:color w:val="auto"/>
          <w:highlight w:val="none"/>
          <w:lang w:eastAsia="zh-CN"/>
        </w:rPr>
      </w:pPr>
    </w:p>
    <w:p w14:paraId="2FA53650">
      <w:pPr>
        <w:rPr>
          <w:rFonts w:hint="eastAsia" w:ascii="仿宋" w:hAnsi="仿宋" w:eastAsia="仿宋" w:cs="仿宋"/>
          <w:b/>
          <w:bCs/>
          <w:color w:val="auto"/>
          <w:highlight w:val="none"/>
          <w:lang w:eastAsia="zh-CN"/>
        </w:rPr>
      </w:pPr>
    </w:p>
    <w:p w14:paraId="5EEE04CD">
      <w:pPr>
        <w:rPr>
          <w:rFonts w:hint="eastAsia" w:ascii="仿宋" w:hAnsi="仿宋" w:eastAsia="仿宋" w:cs="仿宋"/>
          <w:b/>
          <w:bCs/>
          <w:color w:val="auto"/>
          <w:highlight w:val="none"/>
          <w:lang w:eastAsia="zh-CN"/>
        </w:rPr>
      </w:pPr>
    </w:p>
    <w:p w14:paraId="54AF8936">
      <w:pPr>
        <w:rPr>
          <w:rFonts w:hint="eastAsia" w:ascii="仿宋" w:hAnsi="仿宋" w:eastAsia="仿宋" w:cs="仿宋"/>
          <w:b/>
          <w:bCs/>
          <w:color w:val="auto"/>
          <w:highlight w:val="none"/>
          <w:lang w:eastAsia="zh-CN"/>
        </w:rPr>
      </w:pPr>
    </w:p>
    <w:p w14:paraId="4CDA2B9C">
      <w:pPr>
        <w:rPr>
          <w:rFonts w:hint="eastAsia" w:ascii="仿宋" w:hAnsi="仿宋" w:eastAsia="仿宋" w:cs="仿宋"/>
          <w:b/>
          <w:bCs/>
          <w:color w:val="auto"/>
          <w:highlight w:val="none"/>
          <w:lang w:eastAsia="zh-CN"/>
        </w:rPr>
      </w:pPr>
    </w:p>
    <w:p w14:paraId="2C92D8A6">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508F77E1">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2BC95B7D">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101F93D4">
      <w:pPr>
        <w:spacing w:line="400" w:lineRule="exact"/>
        <w:rPr>
          <w:rFonts w:ascii="仿宋" w:hAnsi="仿宋" w:eastAsia="仿宋" w:cs="仿宋"/>
          <w:color w:val="auto"/>
          <w:highlight w:val="none"/>
          <w:lang w:eastAsia="zh-CN"/>
        </w:rPr>
      </w:pPr>
    </w:p>
    <w:p w14:paraId="49D00D5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outlineLvl w:val="0"/>
        <w:rPr>
          <w:rFonts w:hint="eastAsia" w:ascii="仿宋" w:hAnsi="仿宋" w:eastAsia="仿宋" w:cs="仿宋"/>
          <w:color w:val="auto"/>
          <w:kern w:val="0"/>
          <w:sz w:val="24"/>
          <w:szCs w:val="24"/>
          <w:highlight w:val="none"/>
          <w:lang w:eastAsia="zh-CN"/>
        </w:rPr>
      </w:pPr>
      <w:bookmarkStart w:id="27" w:name="_Toc17515"/>
      <w:r>
        <w:rPr>
          <w:rFonts w:hint="eastAsia" w:ascii="仿宋" w:hAnsi="仿宋" w:eastAsia="仿宋" w:cs="仿宋"/>
          <w:color w:val="auto"/>
          <w:kern w:val="0"/>
          <w:sz w:val="24"/>
          <w:szCs w:val="24"/>
          <w:highlight w:val="none"/>
          <w:lang w:eastAsia="zh-CN"/>
        </w:rPr>
        <w:t>一、投诉相关主体基本情况</w:t>
      </w:r>
    </w:p>
    <w:p w14:paraId="0AAA21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投诉人：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14:paraId="001FB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p>
    <w:p w14:paraId="3603E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法定代表人/主要负责人：</w:t>
      </w:r>
      <w:r>
        <w:rPr>
          <w:rFonts w:hint="eastAsia" w:ascii="仿宋" w:hAnsi="仿宋" w:eastAsia="仿宋" w:cs="仿宋"/>
          <w:color w:val="auto"/>
          <w:kern w:val="0"/>
          <w:sz w:val="24"/>
          <w:szCs w:val="24"/>
          <w:highlight w:val="none"/>
          <w:u w:val="single"/>
          <w:lang w:val="en-US" w:eastAsia="zh-CN"/>
        </w:rPr>
        <w:t xml:space="preserve">                             </w:t>
      </w:r>
    </w:p>
    <w:p w14:paraId="5A5CDD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9FD3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p>
    <w:p w14:paraId="4B496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eastAsia="zh-CN"/>
        </w:rPr>
        <w:t>授权代表（如有）：</w:t>
      </w:r>
      <w:r>
        <w:rPr>
          <w:rFonts w:hint="eastAsia" w:ascii="仿宋" w:hAnsi="仿宋" w:eastAsia="仿宋" w:cs="仿宋"/>
          <w:color w:val="auto"/>
          <w:kern w:val="0"/>
          <w:sz w:val="24"/>
          <w:szCs w:val="24"/>
          <w:highlight w:val="none"/>
          <w:u w:val="single"/>
          <w:lang w:val="en-US" w:eastAsia="zh-CN"/>
        </w:rPr>
        <w:t xml:space="preserve">                         </w:t>
      </w:r>
    </w:p>
    <w:p w14:paraId="5923C8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val="en-US" w:eastAsia="zh-CN"/>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7F36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77139C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lang w:eastAsia="zh-CN"/>
        </w:rPr>
        <w:t>被投诉人</w:t>
      </w: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654D1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5E0293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联系人：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2C29E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eastAsia="zh-CN"/>
        </w:rPr>
        <w:t>被投诉人</w:t>
      </w:r>
      <w:r>
        <w:rPr>
          <w:rFonts w:hint="eastAsia" w:ascii="仿宋" w:hAnsi="仿宋" w:eastAsia="仿宋" w:cs="仿宋"/>
          <w:color w:val="auto"/>
          <w:kern w:val="0"/>
          <w:sz w:val="24"/>
          <w:szCs w:val="24"/>
          <w:highlight w:val="none"/>
          <w:u w:val="none"/>
          <w:lang w:val="en-US" w:eastAsia="zh-CN"/>
        </w:rPr>
        <w:t>2：</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05C3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lang w:val="en-US" w:eastAsia="zh-CN"/>
        </w:rPr>
        <w:t>相关供应商</w:t>
      </w:r>
      <w:r>
        <w:rPr>
          <w:rFonts w:hint="eastAsia" w:ascii="仿宋" w:hAnsi="仿宋" w:eastAsia="仿宋" w:cs="仿宋"/>
          <w:color w:val="auto"/>
          <w:kern w:val="0"/>
          <w:sz w:val="24"/>
          <w:szCs w:val="24"/>
          <w:highlight w:val="none"/>
          <w:u w:val="none"/>
          <w:lang w:eastAsia="zh-CN"/>
        </w:rPr>
        <w:t>（如有）</w:t>
      </w:r>
      <w:r>
        <w:rPr>
          <w:rFonts w:hint="eastAsia" w:ascii="仿宋" w:hAnsi="仿宋" w:eastAsia="仿宋" w:cs="仿宋"/>
          <w:color w:val="auto"/>
          <w:kern w:val="0"/>
          <w:sz w:val="24"/>
          <w:szCs w:val="24"/>
          <w:highlight w:val="none"/>
          <w:u w:val="none"/>
          <w:lang w:val="en-US" w:eastAsia="zh-CN"/>
        </w:rPr>
        <w:t>：</w:t>
      </w:r>
      <w:r>
        <w:rPr>
          <w:rFonts w:hint="eastAsia" w:ascii="仿宋" w:hAnsi="仿宋" w:eastAsia="仿宋" w:cs="仿宋"/>
          <w:color w:val="auto"/>
          <w:kern w:val="0"/>
          <w:sz w:val="24"/>
          <w:szCs w:val="24"/>
          <w:highlight w:val="none"/>
          <w:u w:val="single"/>
        </w:rPr>
        <w:t xml:space="preserve">                                        </w:t>
      </w:r>
    </w:p>
    <w:p w14:paraId="41275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56025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0211C3D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outlineLvl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二、投诉项目基本情况</w:t>
      </w:r>
    </w:p>
    <w:p w14:paraId="62D514B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采购项目名称：</w:t>
      </w:r>
    </w:p>
    <w:p w14:paraId="5BA376E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采购项目编号：</w:t>
      </w:r>
      <w:r>
        <w:rPr>
          <w:rFonts w:hint="eastAsia" w:ascii="仿宋" w:hAnsi="仿宋" w:eastAsia="仿宋" w:cs="仿宋"/>
          <w:color w:val="auto"/>
          <w:kern w:val="0"/>
          <w:sz w:val="24"/>
          <w:szCs w:val="24"/>
          <w:highlight w:val="none"/>
          <w:lang w:val="en-US" w:eastAsia="zh-CN"/>
        </w:rPr>
        <w:t xml:space="preserve">        包号：</w:t>
      </w:r>
    </w:p>
    <w:p w14:paraId="42371F9A">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采购人名称：</w:t>
      </w:r>
    </w:p>
    <w:p w14:paraId="0F23CF8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代理机构名称：</w:t>
      </w:r>
    </w:p>
    <w:p w14:paraId="5A854E1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采购文件公告：是/否 公告期限：</w:t>
      </w:r>
    </w:p>
    <w:p w14:paraId="3B031BA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采购结果公告：是/否 公告期限：</w:t>
      </w:r>
    </w:p>
    <w:p w14:paraId="3C68F10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三、质疑基本情况</w:t>
      </w:r>
    </w:p>
    <w:p w14:paraId="1C18016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投诉人于    年  月  日，向       提出质疑，</w:t>
      </w:r>
    </w:p>
    <w:p w14:paraId="406224C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质疑事项为：</w:t>
      </w:r>
    </w:p>
    <w:p w14:paraId="1E5F218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采购人/代理机构于   年  月  日，就质疑事项做出了答复/没有在法定期限内做出答复。</w:t>
      </w:r>
    </w:p>
    <w:p w14:paraId="767FB2D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四、投诉事项具体内容</w:t>
      </w:r>
    </w:p>
    <w:p w14:paraId="18E0531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投诉事项1：</w:t>
      </w:r>
    </w:p>
    <w:p w14:paraId="4830C57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事实依据：</w:t>
      </w:r>
    </w:p>
    <w:p w14:paraId="5C69712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法律依据1：</w:t>
      </w:r>
    </w:p>
    <w:p w14:paraId="419C18B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法律依据2：</w:t>
      </w:r>
    </w:p>
    <w:p w14:paraId="75BE543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p>
    <w:p w14:paraId="519BA16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投诉事项2：</w:t>
      </w:r>
    </w:p>
    <w:p w14:paraId="12C088D3">
      <w:pPr>
        <w:ind w:firstLine="486"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w:t>
      </w:r>
    </w:p>
    <w:p w14:paraId="03B2EB0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outlineLvl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五、与投诉事项相关的投诉请求</w:t>
      </w:r>
    </w:p>
    <w:p w14:paraId="628F3CD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486"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请求：</w:t>
      </w:r>
    </w:p>
    <w:p w14:paraId="06E0A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color w:val="auto"/>
          <w:kern w:val="0"/>
          <w:sz w:val="24"/>
          <w:szCs w:val="24"/>
          <w:highlight w:val="none"/>
        </w:rPr>
      </w:pPr>
    </w:p>
    <w:p w14:paraId="5AF648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签字（签章）</w:t>
      </w:r>
      <w:r>
        <w:rPr>
          <w:rFonts w:hint="eastAsia" w:ascii="仿宋" w:hAnsi="仿宋" w:eastAsia="仿宋" w:cs="仿宋"/>
          <w:color w:val="auto"/>
          <w:kern w:val="0"/>
          <w:sz w:val="22"/>
          <w:szCs w:val="22"/>
          <w:highlight w:val="none"/>
          <w:lang w:eastAsia="zh-CN"/>
        </w:rPr>
        <w:t>（法人代表或负责人、代理人）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 xml:space="preserve">       </w:t>
      </w:r>
    </w:p>
    <w:p w14:paraId="7D545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公章</w:t>
      </w:r>
      <w:r>
        <w:rPr>
          <w:rFonts w:hint="eastAsia" w:ascii="仿宋" w:hAnsi="仿宋" w:eastAsia="仿宋" w:cs="仿宋"/>
          <w:color w:val="auto"/>
          <w:kern w:val="0"/>
          <w:sz w:val="22"/>
          <w:szCs w:val="22"/>
          <w:highlight w:val="none"/>
          <w:lang w:eastAsia="zh-CN"/>
        </w:rPr>
        <w:t>（单位）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w:t>
      </w:r>
    </w:p>
    <w:p w14:paraId="7195FF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日期：</w:t>
      </w:r>
    </w:p>
    <w:p w14:paraId="7E308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486"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附件：质疑及答复材料</w:t>
      </w:r>
    </w:p>
    <w:p w14:paraId="384095DD">
      <w:pPr>
        <w:rPr>
          <w:rFonts w:hint="eastAsia" w:ascii="仿宋" w:hAnsi="仿宋" w:eastAsia="仿宋" w:cs="仿宋"/>
          <w:b/>
          <w:bCs/>
          <w:color w:val="auto"/>
          <w:kern w:val="0"/>
          <w:sz w:val="32"/>
          <w:szCs w:val="32"/>
          <w:highlight w:val="none"/>
          <w:lang w:eastAsia="zh-CN"/>
        </w:rPr>
      </w:pPr>
      <w:r>
        <w:rPr>
          <w:rFonts w:hint="eastAsia" w:ascii="仿宋" w:hAnsi="仿宋" w:eastAsia="仿宋" w:cs="仿宋"/>
          <w:b/>
          <w:bCs/>
          <w:color w:val="auto"/>
          <w:kern w:val="0"/>
          <w:sz w:val="32"/>
          <w:szCs w:val="32"/>
          <w:highlight w:val="none"/>
          <w:lang w:eastAsia="zh-CN"/>
        </w:rPr>
        <w:br w:type="page"/>
      </w:r>
    </w:p>
    <w:p w14:paraId="3D71E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outlineLvl w:val="0"/>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投诉书制作说明：</w:t>
      </w:r>
    </w:p>
    <w:p w14:paraId="07FA8CC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1.投诉人应当按照《政府采购质疑和投诉办法》（财政部令第94号）规定提起投诉。</w:t>
      </w:r>
    </w:p>
    <w:p w14:paraId="5DC1FC8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2.投诉人提起投诉时，应当提交投诉书和必要的证明材料，并按照被投诉人和与投诉事项有关的供应商数量提供投诉书副本。</w:t>
      </w:r>
    </w:p>
    <w:p w14:paraId="4FC797D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329A84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4.投诉人若对项目的某一分包进行投诉，投诉书应列明具体分包号。</w:t>
      </w:r>
    </w:p>
    <w:p w14:paraId="67B2B20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5.投诉书应简要列明质疑事项，质疑函、质疑答复等作为附件材料提供。</w:t>
      </w:r>
    </w:p>
    <w:p w14:paraId="063B52F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6.投诉书的投诉事项应具体、明确，并由必要的事实依据和法律依据。</w:t>
      </w:r>
    </w:p>
    <w:p w14:paraId="0806EE2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7.投诉书的投诉请求应与投诉事项相关。</w:t>
      </w:r>
    </w:p>
    <w:p w14:paraId="1EAC1B1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8.投诉人为自然人的，投诉书应当由本人签字；投诉书应当由法定代表人、主要负责人，或者其授权代表签字或者盖章，并加盖公章。</w:t>
      </w:r>
    </w:p>
    <w:p w14:paraId="29C96E0D">
      <w:pPr>
        <w:ind w:left="5783" w:hanging="5814" w:hangingChars="1800"/>
        <w:jc w:val="center"/>
        <w:outlineLvl w:val="0"/>
        <w:rPr>
          <w:rFonts w:hint="eastAsia" w:ascii="仿宋" w:hAnsi="仿宋" w:eastAsia="仿宋" w:cs="仿宋"/>
          <w:b/>
          <w:bCs/>
          <w:color w:val="auto"/>
          <w:sz w:val="32"/>
          <w:szCs w:val="32"/>
          <w:highlight w:val="none"/>
          <w:lang w:eastAsia="zh-CN"/>
        </w:rPr>
      </w:pPr>
    </w:p>
    <w:p w14:paraId="4D182F10">
      <w:pPr>
        <w:ind w:left="5783" w:hanging="5814" w:hangingChars="1800"/>
        <w:jc w:val="center"/>
        <w:outlineLvl w:val="0"/>
        <w:rPr>
          <w:rFonts w:hint="eastAsia" w:ascii="仿宋" w:hAnsi="仿宋" w:eastAsia="仿宋" w:cs="仿宋"/>
          <w:b/>
          <w:bCs/>
          <w:color w:val="auto"/>
          <w:sz w:val="32"/>
          <w:szCs w:val="32"/>
          <w:highlight w:val="none"/>
          <w:lang w:eastAsia="zh-CN"/>
        </w:rPr>
      </w:pPr>
    </w:p>
    <w:p w14:paraId="50BFA690">
      <w:pPr>
        <w:ind w:left="5783" w:hanging="5814" w:hangingChars="1800"/>
        <w:jc w:val="center"/>
        <w:outlineLvl w:val="0"/>
        <w:rPr>
          <w:rFonts w:hint="eastAsia" w:ascii="仿宋" w:hAnsi="仿宋" w:eastAsia="仿宋" w:cs="仿宋"/>
          <w:b/>
          <w:bCs/>
          <w:color w:val="auto"/>
          <w:sz w:val="32"/>
          <w:szCs w:val="32"/>
          <w:highlight w:val="none"/>
          <w:lang w:eastAsia="zh-CN"/>
        </w:rPr>
      </w:pPr>
    </w:p>
    <w:p w14:paraId="57589206">
      <w:pPr>
        <w:ind w:left="5783" w:hanging="5814" w:hangingChars="1800"/>
        <w:jc w:val="center"/>
        <w:outlineLvl w:val="0"/>
        <w:rPr>
          <w:rFonts w:hint="eastAsia" w:ascii="仿宋" w:hAnsi="仿宋" w:eastAsia="仿宋" w:cs="仿宋"/>
          <w:b/>
          <w:bCs/>
          <w:color w:val="auto"/>
          <w:sz w:val="32"/>
          <w:szCs w:val="32"/>
          <w:highlight w:val="none"/>
          <w:lang w:eastAsia="zh-CN"/>
        </w:rPr>
      </w:pPr>
    </w:p>
    <w:p w14:paraId="2CCD8F12">
      <w:pPr>
        <w:ind w:left="5783" w:hanging="5814" w:hangingChars="1800"/>
        <w:jc w:val="center"/>
        <w:outlineLvl w:val="0"/>
        <w:rPr>
          <w:rFonts w:hint="eastAsia" w:ascii="仿宋" w:hAnsi="仿宋" w:eastAsia="仿宋" w:cs="仿宋"/>
          <w:b/>
          <w:bCs/>
          <w:color w:val="auto"/>
          <w:sz w:val="32"/>
          <w:szCs w:val="32"/>
          <w:highlight w:val="none"/>
          <w:lang w:eastAsia="zh-CN"/>
        </w:rPr>
      </w:pPr>
    </w:p>
    <w:p w14:paraId="60AF2D60">
      <w:pPr>
        <w:ind w:left="5783" w:hanging="5814" w:hangingChars="1800"/>
        <w:jc w:val="center"/>
        <w:outlineLvl w:val="0"/>
        <w:rPr>
          <w:rFonts w:hint="eastAsia" w:ascii="仿宋" w:hAnsi="仿宋" w:eastAsia="仿宋" w:cs="仿宋"/>
          <w:b/>
          <w:bCs/>
          <w:color w:val="auto"/>
          <w:sz w:val="32"/>
          <w:szCs w:val="32"/>
          <w:highlight w:val="none"/>
          <w:lang w:eastAsia="zh-CN"/>
        </w:rPr>
      </w:pPr>
    </w:p>
    <w:p w14:paraId="72CAB87C">
      <w:pPr>
        <w:pStyle w:val="34"/>
        <w:rPr>
          <w:rFonts w:hint="eastAsia" w:ascii="仿宋" w:hAnsi="仿宋" w:eastAsia="仿宋" w:cs="仿宋"/>
          <w:b/>
          <w:bCs/>
          <w:color w:val="auto"/>
          <w:sz w:val="32"/>
          <w:szCs w:val="32"/>
          <w:highlight w:val="none"/>
          <w:lang w:eastAsia="zh-CN"/>
        </w:rPr>
      </w:pPr>
    </w:p>
    <w:p w14:paraId="5AD330A1">
      <w:pPr>
        <w:pStyle w:val="34"/>
        <w:rPr>
          <w:rFonts w:hint="eastAsia" w:ascii="仿宋" w:hAnsi="仿宋" w:eastAsia="仿宋" w:cs="仿宋"/>
          <w:b/>
          <w:bCs/>
          <w:color w:val="auto"/>
          <w:sz w:val="32"/>
          <w:szCs w:val="32"/>
          <w:highlight w:val="none"/>
          <w:lang w:eastAsia="zh-CN"/>
        </w:rPr>
      </w:pPr>
    </w:p>
    <w:p w14:paraId="5DDFD08B">
      <w:pPr>
        <w:ind w:left="5783" w:hanging="5814" w:hangingChars="1800"/>
        <w:jc w:val="center"/>
        <w:outlineLvl w:val="0"/>
        <w:rPr>
          <w:rFonts w:hint="eastAsia" w:ascii="仿宋" w:hAnsi="仿宋" w:eastAsia="仿宋" w:cs="仿宋"/>
          <w:b/>
          <w:bCs/>
          <w:color w:val="auto"/>
          <w:sz w:val="32"/>
          <w:szCs w:val="32"/>
          <w:highlight w:val="none"/>
          <w:lang w:eastAsia="zh-CN"/>
        </w:rPr>
      </w:pPr>
    </w:p>
    <w:p w14:paraId="5BB3BBDF">
      <w:pPr>
        <w:ind w:left="5783" w:hanging="5814"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27"/>
    </w:p>
    <w:p w14:paraId="550CA8C4">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3BD90293">
      <w:pPr>
        <w:numPr>
          <w:ilvl w:val="0"/>
          <w:numId w:val="5"/>
        </w:numPr>
        <w:spacing w:line="400" w:lineRule="exact"/>
        <w:ind w:left="4626" w:leftChars="304" w:hanging="3888" w:hangingChars="1600"/>
        <w:outlineLvl w:val="0"/>
        <w:rPr>
          <w:rFonts w:ascii="仿宋" w:hAnsi="仿宋" w:eastAsia="仿宋" w:cs="仿宋"/>
          <w:b/>
          <w:bCs/>
          <w:color w:val="auto"/>
          <w:sz w:val="24"/>
          <w:szCs w:val="24"/>
          <w:highlight w:val="none"/>
        </w:rPr>
      </w:pPr>
      <w:bookmarkStart w:id="28" w:name="_Toc11499"/>
      <w:r>
        <w:rPr>
          <w:rFonts w:hint="eastAsia" w:ascii="仿宋" w:hAnsi="仿宋" w:eastAsia="仿宋" w:cs="仿宋"/>
          <w:b/>
          <w:bCs/>
          <w:color w:val="auto"/>
          <w:sz w:val="24"/>
          <w:szCs w:val="24"/>
          <w:highlight w:val="none"/>
        </w:rPr>
        <w:t>质疑前置及时间要求</w:t>
      </w:r>
      <w:bookmarkEnd w:id="28"/>
    </w:p>
    <w:p w14:paraId="6A495A33">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35F5D021">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13FD4CCB">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4A9E3DD1">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2F24FAF">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1CAF421F">
      <w:pPr>
        <w:spacing w:line="400" w:lineRule="exact"/>
        <w:ind w:left="3780" w:hanging="3834"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29" w:name="_Toc13508"/>
      <w:r>
        <w:rPr>
          <w:rFonts w:hint="eastAsia" w:ascii="仿宋" w:hAnsi="仿宋" w:eastAsia="仿宋" w:cs="仿宋"/>
          <w:b/>
          <w:bCs/>
          <w:color w:val="auto"/>
          <w:sz w:val="21"/>
          <w:szCs w:val="21"/>
          <w:highlight w:val="none"/>
          <w:lang w:eastAsia="zh-CN"/>
        </w:rPr>
        <w:t>二、书面方式</w:t>
      </w:r>
      <w:bookmarkEnd w:id="29"/>
    </w:p>
    <w:p w14:paraId="5F84BA72">
      <w:pPr>
        <w:spacing w:line="400" w:lineRule="exact"/>
        <w:ind w:left="3780" w:hanging="3834"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549850F7">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707B7762">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23B5B87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3CA07AE2">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3BB51048">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74DE53EA">
      <w:pPr>
        <w:numPr>
          <w:ilvl w:val="0"/>
          <w:numId w:val="6"/>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6098CE6B">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2C37A9E1">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7B7907A">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1F0D2B4C">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074E29CD">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1E54884D">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3BB01C7E">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0CE15B28">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38F98C76">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C4BA77C">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1BD9C078">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5CD9C0B7">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30" w:name="_Toc5978"/>
      <w:r>
        <w:rPr>
          <w:rFonts w:hint="eastAsia" w:ascii="仿宋" w:hAnsi="仿宋" w:eastAsia="仿宋" w:cs="仿宋"/>
          <w:b/>
          <w:bCs/>
          <w:color w:val="auto"/>
          <w:highlight w:val="none"/>
          <w:lang w:eastAsia="zh-CN"/>
        </w:rPr>
        <w:t>三、虚假、恶意投诉法律责任</w:t>
      </w:r>
      <w:bookmarkEnd w:id="30"/>
    </w:p>
    <w:p w14:paraId="4C69D034">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71DEEDF1">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3D3A4A5B">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6942CBEB">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4794F1F0">
      <w:pPr>
        <w:spacing w:line="400" w:lineRule="exact"/>
        <w:rPr>
          <w:rFonts w:ascii="仿宋" w:hAnsi="仿宋" w:eastAsia="仿宋" w:cs="仿宋"/>
          <w:color w:val="auto"/>
          <w:sz w:val="21"/>
          <w:szCs w:val="21"/>
          <w:highlight w:val="none"/>
          <w:lang w:eastAsia="zh-CN"/>
        </w:rPr>
      </w:pPr>
    </w:p>
    <w:p w14:paraId="74B909B3">
      <w:pPr>
        <w:spacing w:line="400" w:lineRule="exact"/>
        <w:rPr>
          <w:rFonts w:ascii="仿宋" w:hAnsi="仿宋" w:eastAsia="仿宋" w:cs="仿宋"/>
          <w:color w:val="auto"/>
          <w:sz w:val="21"/>
          <w:szCs w:val="21"/>
          <w:highlight w:val="none"/>
          <w:lang w:eastAsia="zh-CN"/>
        </w:rPr>
      </w:pPr>
    </w:p>
    <w:p w14:paraId="5BE8BA87">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递交投诉书地址：克州政府采购办监管办公室</w:t>
      </w:r>
    </w:p>
    <w:p w14:paraId="4D30D17E">
      <w:pPr>
        <w:jc w:val="right"/>
        <w:rPr>
          <w:rFonts w:ascii="仿宋" w:hAnsi="仿宋" w:eastAsia="仿宋" w:cs="仿宋"/>
          <w:color w:val="auto"/>
          <w:sz w:val="32"/>
          <w:szCs w:val="32"/>
          <w:highlight w:val="none"/>
          <w:lang w:eastAsia="zh-CN"/>
        </w:rPr>
      </w:pPr>
    </w:p>
    <w:p w14:paraId="3AA1F7B5">
      <w:pPr>
        <w:spacing w:line="540" w:lineRule="exact"/>
        <w:jc w:val="center"/>
        <w:rPr>
          <w:rFonts w:ascii="仿宋" w:hAnsi="仿宋" w:eastAsia="仿宋" w:cs="仿宋"/>
          <w:b/>
          <w:bCs/>
          <w:color w:val="auto"/>
          <w:sz w:val="44"/>
          <w:szCs w:val="44"/>
          <w:highlight w:val="none"/>
          <w:lang w:eastAsia="zh-CN"/>
        </w:rPr>
      </w:pPr>
    </w:p>
    <w:p w14:paraId="733CF552">
      <w:pPr>
        <w:spacing w:line="540" w:lineRule="exact"/>
        <w:jc w:val="center"/>
        <w:rPr>
          <w:rFonts w:ascii="仿宋" w:hAnsi="仿宋" w:eastAsia="仿宋" w:cs="仿宋"/>
          <w:b/>
          <w:bCs/>
          <w:color w:val="auto"/>
          <w:sz w:val="44"/>
          <w:szCs w:val="44"/>
          <w:highlight w:val="none"/>
          <w:lang w:eastAsia="zh-CN"/>
        </w:rPr>
      </w:pPr>
    </w:p>
    <w:p w14:paraId="29DE1D8B">
      <w:pPr>
        <w:spacing w:line="540" w:lineRule="exact"/>
        <w:jc w:val="center"/>
        <w:rPr>
          <w:rFonts w:ascii="仿宋" w:hAnsi="仿宋" w:eastAsia="仿宋" w:cs="仿宋"/>
          <w:b/>
          <w:bCs/>
          <w:color w:val="auto"/>
          <w:sz w:val="44"/>
          <w:szCs w:val="44"/>
          <w:highlight w:val="none"/>
          <w:lang w:eastAsia="zh-CN"/>
        </w:rPr>
      </w:pPr>
    </w:p>
    <w:p w14:paraId="3800152F">
      <w:pPr>
        <w:spacing w:line="540" w:lineRule="exact"/>
        <w:jc w:val="center"/>
        <w:rPr>
          <w:rFonts w:ascii="仿宋" w:hAnsi="仿宋" w:eastAsia="仿宋" w:cs="仿宋"/>
          <w:b/>
          <w:bCs/>
          <w:color w:val="auto"/>
          <w:sz w:val="44"/>
          <w:szCs w:val="44"/>
          <w:highlight w:val="none"/>
          <w:lang w:eastAsia="zh-CN"/>
        </w:rPr>
      </w:pPr>
    </w:p>
    <w:p w14:paraId="0AD92AAA">
      <w:pPr>
        <w:spacing w:line="540" w:lineRule="exact"/>
        <w:jc w:val="center"/>
        <w:rPr>
          <w:rFonts w:ascii="仿宋" w:hAnsi="仿宋" w:eastAsia="仿宋" w:cs="仿宋"/>
          <w:b/>
          <w:bCs/>
          <w:color w:val="auto"/>
          <w:sz w:val="44"/>
          <w:szCs w:val="44"/>
          <w:highlight w:val="none"/>
          <w:lang w:eastAsia="zh-CN"/>
        </w:rPr>
      </w:pPr>
    </w:p>
    <w:p w14:paraId="7FDA8B06">
      <w:pPr>
        <w:spacing w:line="540" w:lineRule="exact"/>
        <w:jc w:val="center"/>
        <w:rPr>
          <w:rFonts w:ascii="仿宋" w:hAnsi="仿宋" w:eastAsia="仿宋" w:cs="仿宋"/>
          <w:b/>
          <w:bCs/>
          <w:color w:val="auto"/>
          <w:sz w:val="44"/>
          <w:szCs w:val="44"/>
          <w:highlight w:val="none"/>
          <w:lang w:eastAsia="zh-CN"/>
        </w:rPr>
      </w:pPr>
    </w:p>
    <w:p w14:paraId="102F8C53">
      <w:pPr>
        <w:spacing w:line="540" w:lineRule="exact"/>
        <w:jc w:val="center"/>
        <w:rPr>
          <w:rFonts w:ascii="仿宋" w:hAnsi="仿宋" w:eastAsia="仿宋" w:cs="仿宋"/>
          <w:b/>
          <w:bCs/>
          <w:color w:val="auto"/>
          <w:sz w:val="44"/>
          <w:szCs w:val="44"/>
          <w:highlight w:val="none"/>
          <w:lang w:eastAsia="zh-CN"/>
        </w:rPr>
      </w:pPr>
    </w:p>
    <w:p w14:paraId="6D19FE52">
      <w:pPr>
        <w:spacing w:line="540" w:lineRule="exact"/>
        <w:jc w:val="center"/>
        <w:rPr>
          <w:rFonts w:ascii="仿宋" w:hAnsi="仿宋" w:eastAsia="仿宋" w:cs="仿宋"/>
          <w:b/>
          <w:bCs/>
          <w:color w:val="auto"/>
          <w:sz w:val="44"/>
          <w:szCs w:val="44"/>
          <w:highlight w:val="none"/>
          <w:lang w:eastAsia="zh-CN"/>
        </w:rPr>
      </w:pPr>
    </w:p>
    <w:p w14:paraId="61F4D247">
      <w:pPr>
        <w:spacing w:line="540" w:lineRule="exact"/>
        <w:jc w:val="center"/>
        <w:rPr>
          <w:rFonts w:ascii="仿宋" w:hAnsi="仿宋" w:eastAsia="仿宋" w:cs="仿宋"/>
          <w:b/>
          <w:bCs/>
          <w:color w:val="auto"/>
          <w:sz w:val="44"/>
          <w:szCs w:val="44"/>
          <w:highlight w:val="none"/>
          <w:lang w:eastAsia="zh-CN"/>
        </w:rPr>
      </w:pPr>
    </w:p>
    <w:p w14:paraId="3722372B">
      <w:pPr>
        <w:pStyle w:val="36"/>
        <w:rPr>
          <w:rFonts w:ascii="仿宋" w:hAnsi="仿宋" w:eastAsia="仿宋" w:cs="仿宋"/>
          <w:b/>
          <w:bCs/>
          <w:color w:val="auto"/>
          <w:sz w:val="44"/>
          <w:szCs w:val="44"/>
          <w:highlight w:val="none"/>
          <w:lang w:eastAsia="zh-CN"/>
        </w:rPr>
      </w:pPr>
    </w:p>
    <w:p w14:paraId="60075F63">
      <w:pPr>
        <w:pStyle w:val="36"/>
        <w:rPr>
          <w:rFonts w:ascii="仿宋" w:hAnsi="仿宋" w:eastAsia="仿宋" w:cs="仿宋"/>
          <w:b/>
          <w:bCs/>
          <w:color w:val="auto"/>
          <w:sz w:val="44"/>
          <w:szCs w:val="44"/>
          <w:highlight w:val="none"/>
          <w:lang w:eastAsia="zh-CN"/>
        </w:rPr>
      </w:pPr>
    </w:p>
    <w:p w14:paraId="39AD0ACF">
      <w:pPr>
        <w:spacing w:line="540" w:lineRule="exact"/>
        <w:jc w:val="center"/>
        <w:outlineLvl w:val="0"/>
        <w:rPr>
          <w:rFonts w:ascii="仿宋" w:hAnsi="仿宋" w:eastAsia="仿宋" w:cs="仿宋"/>
          <w:b/>
          <w:bCs/>
          <w:color w:val="auto"/>
          <w:sz w:val="32"/>
          <w:szCs w:val="32"/>
          <w:highlight w:val="none"/>
          <w:lang w:eastAsia="zh-CN"/>
        </w:rPr>
      </w:pPr>
      <w:bookmarkStart w:id="31" w:name="_Toc1697"/>
      <w:r>
        <w:rPr>
          <w:rFonts w:hint="eastAsia" w:ascii="仿宋" w:hAnsi="仿宋" w:eastAsia="仿宋" w:cs="仿宋"/>
          <w:b/>
          <w:bCs/>
          <w:color w:val="auto"/>
          <w:sz w:val="32"/>
          <w:szCs w:val="32"/>
          <w:highlight w:val="none"/>
          <w:lang w:eastAsia="zh-CN"/>
        </w:rPr>
        <w:t>质疑函范本</w:t>
      </w:r>
      <w:bookmarkEnd w:id="31"/>
    </w:p>
    <w:p w14:paraId="30CDA656">
      <w:pPr>
        <w:adjustRightInd w:val="0"/>
        <w:snapToGrid w:val="0"/>
        <w:spacing w:beforeLines="100" w:line="540" w:lineRule="exact"/>
        <w:ind w:firstLine="486" w:firstLineChars="200"/>
        <w:outlineLvl w:val="0"/>
        <w:rPr>
          <w:rFonts w:ascii="仿宋" w:hAnsi="仿宋" w:eastAsia="仿宋" w:cs="仿宋"/>
          <w:bCs/>
          <w:color w:val="auto"/>
          <w:highlight w:val="none"/>
          <w:lang w:eastAsia="zh-CN"/>
        </w:rPr>
      </w:pPr>
      <w:bookmarkStart w:id="32" w:name="_Toc9061"/>
      <w:r>
        <w:rPr>
          <w:rFonts w:hint="eastAsia" w:ascii="仿宋" w:hAnsi="仿宋" w:eastAsia="仿宋" w:cs="仿宋"/>
          <w:bCs/>
          <w:color w:val="auto"/>
          <w:highlight w:val="none"/>
          <w:lang w:eastAsia="zh-CN"/>
        </w:rPr>
        <w:t>一、质疑供应商基本信息</w:t>
      </w:r>
      <w:bookmarkEnd w:id="32"/>
    </w:p>
    <w:p w14:paraId="46E0175D">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2518D74A">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3F170157">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67525333">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1C17D46C">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4C04F912">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127289EB">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3" w:name="_Toc15938"/>
      <w:r>
        <w:rPr>
          <w:rFonts w:hint="eastAsia" w:ascii="仿宋" w:hAnsi="仿宋" w:eastAsia="仿宋" w:cs="仿宋"/>
          <w:bCs/>
          <w:color w:val="auto"/>
          <w:highlight w:val="none"/>
          <w:lang w:eastAsia="zh-CN"/>
        </w:rPr>
        <w:t>二、质疑项目基本情况</w:t>
      </w:r>
      <w:bookmarkEnd w:id="33"/>
    </w:p>
    <w:p w14:paraId="6B4FD75B">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61D6EB0">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5C558F11">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434E45A8">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3FA3E96F">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4" w:name="_Toc18271"/>
      <w:r>
        <w:rPr>
          <w:rFonts w:hint="eastAsia" w:ascii="仿宋" w:hAnsi="仿宋" w:eastAsia="仿宋" w:cs="仿宋"/>
          <w:bCs/>
          <w:color w:val="auto"/>
          <w:highlight w:val="none"/>
          <w:lang w:eastAsia="zh-CN"/>
        </w:rPr>
        <w:t>三、质疑事项具体内容</w:t>
      </w:r>
      <w:bookmarkEnd w:id="34"/>
    </w:p>
    <w:p w14:paraId="20B5988A">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57D58EFF">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74D3AC67">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1DEEB2A2">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7702A0EE">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DFBC575">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5" w:name="_Toc22365"/>
      <w:r>
        <w:rPr>
          <w:rFonts w:hint="eastAsia" w:ascii="仿宋" w:hAnsi="仿宋" w:eastAsia="仿宋" w:cs="仿宋"/>
          <w:bCs/>
          <w:color w:val="auto"/>
          <w:highlight w:val="none"/>
          <w:lang w:eastAsia="zh-CN"/>
        </w:rPr>
        <w:t>四、与质疑事项相关的质疑请求</w:t>
      </w:r>
      <w:bookmarkEnd w:id="35"/>
    </w:p>
    <w:p w14:paraId="10E32C43">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28C7503A">
      <w:pPr>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3ADB3B81">
      <w:pPr>
        <w:spacing w:line="540" w:lineRule="exact"/>
        <w:ind w:firstLine="486" w:firstLineChars="20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3C7F6D5D">
      <w:pPr>
        <w:spacing w:line="540" w:lineRule="exact"/>
        <w:ind w:firstLine="426" w:firstLineChars="200"/>
        <w:rPr>
          <w:rFonts w:ascii="仿宋" w:hAnsi="仿宋" w:eastAsia="仿宋" w:cs="仿宋"/>
          <w:b/>
          <w:bCs/>
          <w:color w:val="auto"/>
          <w:sz w:val="21"/>
          <w:szCs w:val="21"/>
          <w:highlight w:val="none"/>
          <w:lang w:eastAsia="zh-CN"/>
        </w:rPr>
      </w:pPr>
    </w:p>
    <w:p w14:paraId="35755593">
      <w:pPr>
        <w:pageBreakBefore/>
        <w:spacing w:line="440" w:lineRule="exact"/>
        <w:jc w:val="center"/>
        <w:outlineLvl w:val="0"/>
        <w:rPr>
          <w:rFonts w:ascii="仿宋" w:hAnsi="仿宋" w:eastAsia="仿宋" w:cs="仿宋"/>
          <w:b/>
          <w:bCs/>
          <w:color w:val="auto"/>
          <w:sz w:val="30"/>
          <w:szCs w:val="30"/>
          <w:highlight w:val="none"/>
          <w:lang w:eastAsia="zh-CN"/>
        </w:rPr>
      </w:pPr>
      <w:bookmarkStart w:id="36" w:name="_Toc469495731"/>
      <w:r>
        <w:rPr>
          <w:rFonts w:hint="eastAsia" w:ascii="仿宋" w:hAnsi="仿宋" w:eastAsia="仿宋" w:cs="仿宋"/>
          <w:b/>
          <w:bCs/>
          <w:color w:val="auto"/>
          <w:sz w:val="30"/>
          <w:szCs w:val="30"/>
          <w:highlight w:val="none"/>
          <w:lang w:eastAsia="zh-CN"/>
        </w:rPr>
        <w:t>第三章  评标办法</w:t>
      </w:r>
      <w:bookmarkEnd w:id="36"/>
    </w:p>
    <w:p w14:paraId="7A2FBCC0">
      <w:pPr>
        <w:jc w:val="center"/>
        <w:outlineLvl w:val="1"/>
        <w:rPr>
          <w:rFonts w:ascii="仿宋" w:hAnsi="仿宋" w:eastAsia="仿宋" w:cs="仿宋"/>
          <w:b/>
          <w:color w:val="auto"/>
          <w:sz w:val="28"/>
          <w:szCs w:val="28"/>
          <w:highlight w:val="none"/>
          <w:lang w:eastAsia="zh-CN"/>
        </w:rPr>
      </w:pPr>
      <w:bookmarkStart w:id="37" w:name="_Toc469495733"/>
      <w:bookmarkStart w:id="38" w:name="_Toc362983802"/>
      <w:bookmarkStart w:id="39" w:name="_Toc267320058"/>
      <w:bookmarkStart w:id="40" w:name="_Toc363135205"/>
      <w:r>
        <w:rPr>
          <w:rFonts w:hint="eastAsia" w:ascii="仿宋" w:hAnsi="仿宋" w:eastAsia="仿宋" w:cs="仿宋"/>
          <w:b/>
          <w:color w:val="auto"/>
          <w:sz w:val="28"/>
          <w:szCs w:val="28"/>
          <w:highlight w:val="none"/>
          <w:lang w:eastAsia="zh-CN"/>
        </w:rPr>
        <w:t>一  总  则</w:t>
      </w:r>
    </w:p>
    <w:p w14:paraId="15468312">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1、一般规定</w:t>
      </w:r>
    </w:p>
    <w:p w14:paraId="4733E21E">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1.1本项目的招标按照《中华人民共和国政府采购法》、《政府采购货物和服务招标投标管理办法》及政府采购的有关规定进行。</w:t>
      </w:r>
    </w:p>
    <w:p w14:paraId="08F88B02">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1.2评标必须遵循邀请、公平、公正、诚实信用的原则。</w:t>
      </w:r>
    </w:p>
    <w:p w14:paraId="021619A6">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1.3招标代理机构组织招标、开标、评标工作，全过程接受政府采购有关部门的监督、管理和指导。</w:t>
      </w:r>
    </w:p>
    <w:p w14:paraId="308FCD6E">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1.4本办法的评标对象是指供应商按照招标文件要求提供的有效投标文件，包括供应商应评标委员会要求对原投标文件作出的正式书面澄清文件。</w:t>
      </w:r>
    </w:p>
    <w:p w14:paraId="2677816E">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2、评标组织机构的组成</w:t>
      </w:r>
    </w:p>
    <w:p w14:paraId="19CE92B0">
      <w:pPr>
        <w:keepNext w:val="0"/>
        <w:keepLines w:val="0"/>
        <w:pageBreakBefore w:val="0"/>
        <w:widowControl/>
        <w:kinsoku/>
        <w:wordWrap/>
        <w:overflowPunct/>
        <w:topLinePunct w:val="0"/>
        <w:autoSpaceDE/>
        <w:autoSpaceDN/>
        <w:bidi w:val="0"/>
        <w:adjustRightInd/>
        <w:snapToGrid/>
        <w:spacing w:line="440" w:lineRule="exact"/>
        <w:ind w:firstLine="480"/>
        <w:textAlignment w:val="auto"/>
        <w:rPr>
          <w:rFonts w:ascii="仿宋" w:hAnsi="仿宋" w:eastAsia="仿宋" w:cs="仿宋"/>
          <w:b/>
          <w:bCs/>
          <w:color w:val="auto"/>
          <w:szCs w:val="21"/>
          <w:highlight w:val="none"/>
          <w:lang w:eastAsia="zh-CN"/>
        </w:rPr>
      </w:pPr>
      <w:r>
        <w:rPr>
          <w:rFonts w:hint="eastAsia" w:ascii="仿宋" w:hAnsi="仿宋" w:eastAsia="仿宋" w:cs="仿宋"/>
          <w:b w:val="0"/>
          <w:bCs w:val="0"/>
          <w:color w:val="auto"/>
          <w:szCs w:val="21"/>
          <w:highlight w:val="none"/>
          <w:lang w:eastAsia="zh-CN"/>
        </w:rPr>
        <w:t>2.1</w:t>
      </w:r>
      <w:r>
        <w:rPr>
          <w:rFonts w:hint="eastAsia" w:ascii="仿宋" w:hAnsi="仿宋" w:eastAsia="仿宋" w:cs="仿宋"/>
          <w:b w:val="0"/>
          <w:bCs w:val="0"/>
          <w:color w:val="auto"/>
          <w:spacing w:val="-2"/>
          <w:highlight w:val="none"/>
          <w:lang w:eastAsia="zh-CN"/>
        </w:rPr>
        <w:t xml:space="preserve"> </w:t>
      </w:r>
      <w:r>
        <w:rPr>
          <w:rFonts w:hint="eastAsia" w:ascii="仿宋" w:hAnsi="仿宋" w:eastAsia="仿宋" w:cs="仿宋"/>
          <w:color w:val="auto"/>
          <w:spacing w:val="-2"/>
          <w:highlight w:val="none"/>
          <w:lang w:eastAsia="zh-CN"/>
        </w:rPr>
        <w:t>评标委员会由采购人代表1人和有关技术、经济等方面的专家4人组成，成员人数为5人。</w:t>
      </w:r>
      <w:r>
        <w:rPr>
          <w:rFonts w:hint="eastAsia" w:ascii="仿宋" w:hAnsi="仿宋" w:eastAsia="仿宋" w:cs="仿宋"/>
          <w:color w:val="auto"/>
          <w:szCs w:val="21"/>
          <w:highlight w:val="none"/>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644B77E2">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2.2评标工作组由招标人及有关专家组成，由评标委员会确认，并接受其领导。</w:t>
      </w:r>
    </w:p>
    <w:p w14:paraId="28D22960">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2.3评标委员会应相对独立工作，负责评标、撰写技术、商务评标报告。采购代理机构负责评标过程中资料的保管、发放、回收，整理、汇总评标资料。</w:t>
      </w:r>
    </w:p>
    <w:p w14:paraId="01155206">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3、评标委员会职责</w:t>
      </w:r>
    </w:p>
    <w:p w14:paraId="6072DA2D">
      <w:pPr>
        <w:pStyle w:val="46"/>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3.1审查投标文件是否符合招标文件要求，并作出评价；</w:t>
      </w:r>
    </w:p>
    <w:p w14:paraId="61B38E3A">
      <w:pPr>
        <w:pStyle w:val="46"/>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3.2要求供应商对投标文件有关事项作出解释或者澄清；</w:t>
      </w:r>
    </w:p>
    <w:p w14:paraId="212222FE">
      <w:pPr>
        <w:pStyle w:val="46"/>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3.3推荐中标候选人名单；</w:t>
      </w:r>
    </w:p>
    <w:p w14:paraId="140838D2">
      <w:pPr>
        <w:pStyle w:val="46"/>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3.4向招标人、招标代理机构或者有关部门报告非法干预评标工作的行为。</w:t>
      </w:r>
    </w:p>
    <w:p w14:paraId="02D9C3F3">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4、评标委员会义务</w:t>
      </w:r>
    </w:p>
    <w:p w14:paraId="30F64132">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4.1遵纪守法，客观、公正、廉洁地履行职责；</w:t>
      </w:r>
    </w:p>
    <w:p w14:paraId="66F93A88">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4.2按照招标文件规定的评标方法和评标标准进行评标，对评审意见承担个人责任；</w:t>
      </w:r>
    </w:p>
    <w:p w14:paraId="45C45D1B">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4.3对评标过程和结果，以及供应商的商业秘密保密；</w:t>
      </w:r>
    </w:p>
    <w:p w14:paraId="0744494D">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4.4参与评标报告的起草；</w:t>
      </w:r>
    </w:p>
    <w:p w14:paraId="4754F31D">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4.5配合有关部门的投诉处理工作；</w:t>
      </w:r>
    </w:p>
    <w:p w14:paraId="23CC939B">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4.6配合招标人、招标代理机构答复投标供应商提出的质疑。</w:t>
      </w:r>
    </w:p>
    <w:p w14:paraId="0E2C20C8">
      <w:pPr>
        <w:keepNext w:val="0"/>
        <w:keepLines w:val="0"/>
        <w:pageBreakBefore w:val="0"/>
        <w:tabs>
          <w:tab w:val="left" w:pos="1547"/>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 评标程序</w:t>
      </w:r>
    </w:p>
    <w:p w14:paraId="0EE77B5B">
      <w:pPr>
        <w:pStyle w:val="21"/>
        <w:keepNext w:val="0"/>
        <w:keepLines w:val="0"/>
        <w:pageBreakBefore w:val="0"/>
        <w:tabs>
          <w:tab w:val="left" w:pos="720"/>
          <w:tab w:val="clear" w:pos="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bCs/>
          <w:color w:val="auto"/>
          <w:szCs w:val="21"/>
          <w:highlight w:val="none"/>
          <w:lang w:eastAsia="zh-CN" w:bidi="ar-SA"/>
        </w:rPr>
      </w:pPr>
      <w:r>
        <w:rPr>
          <w:rFonts w:hint="eastAsia" w:ascii="仿宋" w:hAnsi="仿宋" w:eastAsia="仿宋" w:cs="仿宋"/>
          <w:bCs/>
          <w:color w:val="auto"/>
          <w:szCs w:val="21"/>
          <w:highlight w:val="none"/>
          <w:lang w:eastAsia="zh-CN" w:bidi="ar-SA"/>
        </w:rPr>
        <w:t>5.1本次评标首先由评标委员会对供应商的投标文件进行初审，对未能通过初审的投标文件作无效标处理；</w:t>
      </w:r>
    </w:p>
    <w:p w14:paraId="48CE4CFD">
      <w:pPr>
        <w:keepNext w:val="0"/>
        <w:keepLines w:val="0"/>
        <w:pageBreakBefore w:val="0"/>
        <w:tabs>
          <w:tab w:val="left" w:pos="72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5.2对通过初审的供应商的投标文件进行详细的比较和评价。如需要，进行必要的澄清工作；</w:t>
      </w:r>
    </w:p>
    <w:p w14:paraId="22440D49">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ascii="仿宋" w:hAnsi="仿宋" w:eastAsia="仿宋" w:cs="仿宋"/>
          <w:b/>
          <w:bCs/>
          <w:color w:val="auto"/>
          <w:sz w:val="36"/>
          <w:szCs w:val="36"/>
          <w:highlight w:val="none"/>
          <w:lang w:eastAsia="zh-CN" w:bidi="ar-SA"/>
        </w:rPr>
      </w:pPr>
      <w:r>
        <w:rPr>
          <w:rFonts w:hint="eastAsia" w:ascii="仿宋" w:hAnsi="仿宋" w:eastAsia="仿宋" w:cs="仿宋"/>
          <w:color w:val="auto"/>
          <w:szCs w:val="21"/>
          <w:highlight w:val="none"/>
          <w:lang w:eastAsia="zh-CN" w:bidi="ar-SA"/>
        </w:rPr>
        <w:t>5.3依据评分标准以及各项权值，各位评委单独就每个供应商的投标文件进行价格、技术、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14:paraId="39D487F2">
      <w:pPr>
        <w:jc w:val="center"/>
        <w:outlineLvl w:val="1"/>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  投标文件初审</w:t>
      </w:r>
      <w:bookmarkEnd w:id="37"/>
      <w:bookmarkEnd w:id="38"/>
    </w:p>
    <w:p w14:paraId="1037112D">
      <w:pPr>
        <w:spacing w:line="40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6.资格性审查:</w:t>
      </w:r>
    </w:p>
    <w:p w14:paraId="77AA90CD">
      <w:pPr>
        <w:spacing w:line="400" w:lineRule="exact"/>
        <w:ind w:firstLine="356"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.1评审细则</w:t>
      </w:r>
    </w:p>
    <w:tbl>
      <w:tblPr>
        <w:tblStyle w:val="27"/>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14:paraId="770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14:paraId="0496A3EE">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8157" w:type="dxa"/>
            <w:gridSpan w:val="2"/>
            <w:vMerge w:val="restart"/>
            <w:vAlign w:val="center"/>
          </w:tcPr>
          <w:p w14:paraId="62EFA205">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1093" w:type="dxa"/>
            <w:gridSpan w:val="2"/>
            <w:vAlign w:val="center"/>
          </w:tcPr>
          <w:p w14:paraId="44CA47E2">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评审意见</w:t>
            </w:r>
          </w:p>
        </w:tc>
      </w:tr>
      <w:tr w14:paraId="6416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14:paraId="061666ED">
            <w:pPr>
              <w:rPr>
                <w:rFonts w:ascii="仿宋" w:hAnsi="仿宋" w:eastAsia="仿宋" w:cs="仿宋"/>
                <w:color w:val="auto"/>
                <w:sz w:val="18"/>
                <w:szCs w:val="21"/>
                <w:highlight w:val="none"/>
              </w:rPr>
            </w:pPr>
          </w:p>
        </w:tc>
        <w:tc>
          <w:tcPr>
            <w:tcW w:w="8157" w:type="dxa"/>
            <w:gridSpan w:val="2"/>
            <w:vMerge w:val="continue"/>
          </w:tcPr>
          <w:p w14:paraId="72CEE891">
            <w:pPr>
              <w:rPr>
                <w:rFonts w:ascii="仿宋" w:hAnsi="仿宋" w:eastAsia="仿宋" w:cs="仿宋"/>
                <w:color w:val="auto"/>
                <w:sz w:val="18"/>
                <w:szCs w:val="21"/>
                <w:highlight w:val="none"/>
              </w:rPr>
            </w:pPr>
          </w:p>
        </w:tc>
        <w:tc>
          <w:tcPr>
            <w:tcW w:w="525" w:type="dxa"/>
            <w:vAlign w:val="center"/>
          </w:tcPr>
          <w:p w14:paraId="117963DD">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是</w:t>
            </w:r>
          </w:p>
        </w:tc>
        <w:tc>
          <w:tcPr>
            <w:tcW w:w="568" w:type="dxa"/>
            <w:vAlign w:val="center"/>
          </w:tcPr>
          <w:p w14:paraId="14DD6E4A">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w:t>
            </w:r>
          </w:p>
        </w:tc>
      </w:tr>
      <w:tr w14:paraId="200C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7652EC52">
            <w:pPr>
              <w:jc w:val="center"/>
              <w:rPr>
                <w:rFonts w:ascii="仿宋" w:hAnsi="仿宋" w:eastAsia="仿宋" w:cs="仿宋"/>
                <w:color w:val="auto"/>
                <w:szCs w:val="21"/>
                <w:highlight w:val="none"/>
                <w:lang w:eastAsia="zh-CN"/>
              </w:rPr>
            </w:pPr>
          </w:p>
        </w:tc>
        <w:tc>
          <w:tcPr>
            <w:tcW w:w="495" w:type="dxa"/>
            <w:vAlign w:val="center"/>
          </w:tcPr>
          <w:p w14:paraId="768C217D">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7662" w:type="dxa"/>
            <w:vAlign w:val="center"/>
          </w:tcPr>
          <w:p w14:paraId="698DBB75">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（三证合一）营业执照</w:t>
            </w:r>
          </w:p>
        </w:tc>
        <w:tc>
          <w:tcPr>
            <w:tcW w:w="525" w:type="dxa"/>
          </w:tcPr>
          <w:p w14:paraId="36F31AAC">
            <w:pPr>
              <w:rPr>
                <w:rFonts w:ascii="仿宋" w:hAnsi="仿宋" w:eastAsia="仿宋" w:cs="仿宋"/>
                <w:color w:val="auto"/>
                <w:szCs w:val="21"/>
                <w:highlight w:val="none"/>
                <w:lang w:eastAsia="zh-CN"/>
              </w:rPr>
            </w:pPr>
          </w:p>
        </w:tc>
        <w:tc>
          <w:tcPr>
            <w:tcW w:w="568" w:type="dxa"/>
          </w:tcPr>
          <w:p w14:paraId="44391A04">
            <w:pPr>
              <w:rPr>
                <w:rFonts w:ascii="仿宋" w:hAnsi="仿宋" w:eastAsia="仿宋" w:cs="仿宋"/>
                <w:color w:val="auto"/>
                <w:szCs w:val="21"/>
                <w:highlight w:val="none"/>
                <w:lang w:eastAsia="zh-CN"/>
              </w:rPr>
            </w:pPr>
          </w:p>
        </w:tc>
      </w:tr>
      <w:tr w14:paraId="7329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254A129D">
            <w:pPr>
              <w:rPr>
                <w:rFonts w:ascii="仿宋" w:hAnsi="仿宋" w:eastAsia="仿宋" w:cs="仿宋"/>
                <w:color w:val="auto"/>
                <w:highlight w:val="none"/>
                <w:lang w:eastAsia="zh-CN"/>
              </w:rPr>
            </w:pPr>
          </w:p>
        </w:tc>
        <w:tc>
          <w:tcPr>
            <w:tcW w:w="495" w:type="dxa"/>
            <w:vAlign w:val="center"/>
          </w:tcPr>
          <w:p w14:paraId="164CCABC">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7662" w:type="dxa"/>
            <w:vAlign w:val="center"/>
          </w:tcPr>
          <w:p w14:paraId="776E98D3">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法定代表人投标须提供法定代表人资格证明书，委托代理人投标须提供法定代表人资格证明及授权委托书；</w:t>
            </w:r>
          </w:p>
        </w:tc>
        <w:tc>
          <w:tcPr>
            <w:tcW w:w="525" w:type="dxa"/>
          </w:tcPr>
          <w:p w14:paraId="22AB2C38">
            <w:pPr>
              <w:rPr>
                <w:rFonts w:ascii="仿宋" w:hAnsi="仿宋" w:eastAsia="仿宋" w:cs="仿宋"/>
                <w:color w:val="auto"/>
                <w:szCs w:val="21"/>
                <w:highlight w:val="none"/>
                <w:lang w:eastAsia="zh-CN"/>
              </w:rPr>
            </w:pPr>
          </w:p>
        </w:tc>
        <w:tc>
          <w:tcPr>
            <w:tcW w:w="568" w:type="dxa"/>
          </w:tcPr>
          <w:p w14:paraId="0DA1A6E1">
            <w:pPr>
              <w:rPr>
                <w:rFonts w:ascii="仿宋" w:hAnsi="仿宋" w:eastAsia="仿宋" w:cs="仿宋"/>
                <w:color w:val="auto"/>
                <w:szCs w:val="21"/>
                <w:highlight w:val="none"/>
                <w:lang w:eastAsia="zh-CN"/>
              </w:rPr>
            </w:pPr>
          </w:p>
        </w:tc>
      </w:tr>
      <w:tr w14:paraId="31F2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vAlign w:val="center"/>
          </w:tcPr>
          <w:p w14:paraId="0F9A3F08">
            <w:pPr>
              <w:rPr>
                <w:rFonts w:ascii="仿宋" w:hAnsi="仿宋" w:eastAsia="仿宋" w:cs="仿宋"/>
                <w:color w:val="auto"/>
                <w:highlight w:val="none"/>
                <w:lang w:eastAsia="zh-CN"/>
              </w:rPr>
            </w:pPr>
          </w:p>
        </w:tc>
        <w:tc>
          <w:tcPr>
            <w:tcW w:w="495" w:type="dxa"/>
            <w:vAlign w:val="center"/>
          </w:tcPr>
          <w:p w14:paraId="2EF2B23C">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7662" w:type="dxa"/>
            <w:vAlign w:val="center"/>
          </w:tcPr>
          <w:p w14:paraId="3BB1D13D">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38515892">
            <w:pPr>
              <w:rPr>
                <w:rFonts w:ascii="仿宋" w:hAnsi="仿宋" w:eastAsia="仿宋" w:cs="仿宋"/>
                <w:color w:val="auto"/>
                <w:szCs w:val="21"/>
                <w:highlight w:val="none"/>
                <w:lang w:eastAsia="zh-CN"/>
              </w:rPr>
            </w:pPr>
          </w:p>
        </w:tc>
        <w:tc>
          <w:tcPr>
            <w:tcW w:w="568" w:type="dxa"/>
          </w:tcPr>
          <w:p w14:paraId="1314CADF">
            <w:pPr>
              <w:rPr>
                <w:rFonts w:ascii="仿宋" w:hAnsi="仿宋" w:eastAsia="仿宋" w:cs="仿宋"/>
                <w:color w:val="auto"/>
                <w:szCs w:val="21"/>
                <w:highlight w:val="none"/>
                <w:lang w:eastAsia="zh-CN"/>
              </w:rPr>
            </w:pPr>
          </w:p>
        </w:tc>
      </w:tr>
      <w:tr w14:paraId="40A3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313F1654">
            <w:pPr>
              <w:rPr>
                <w:rFonts w:ascii="仿宋" w:hAnsi="仿宋" w:eastAsia="仿宋" w:cs="仿宋"/>
                <w:color w:val="auto"/>
                <w:highlight w:val="none"/>
                <w:lang w:eastAsia="zh-CN"/>
              </w:rPr>
            </w:pPr>
          </w:p>
        </w:tc>
        <w:tc>
          <w:tcPr>
            <w:tcW w:w="495" w:type="dxa"/>
            <w:vAlign w:val="center"/>
          </w:tcPr>
          <w:p w14:paraId="04F22291">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7662" w:type="dxa"/>
            <w:vAlign w:val="center"/>
          </w:tcPr>
          <w:p w14:paraId="5FAE8F60">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投标保证金缴纳凭证或投标担保函</w:t>
            </w:r>
          </w:p>
        </w:tc>
        <w:tc>
          <w:tcPr>
            <w:tcW w:w="525" w:type="dxa"/>
          </w:tcPr>
          <w:p w14:paraId="0F13C276">
            <w:pPr>
              <w:rPr>
                <w:rFonts w:ascii="仿宋" w:hAnsi="仿宋" w:eastAsia="仿宋" w:cs="仿宋"/>
                <w:color w:val="auto"/>
                <w:szCs w:val="21"/>
                <w:highlight w:val="none"/>
                <w:lang w:eastAsia="zh-CN"/>
              </w:rPr>
            </w:pPr>
          </w:p>
        </w:tc>
        <w:tc>
          <w:tcPr>
            <w:tcW w:w="568" w:type="dxa"/>
          </w:tcPr>
          <w:p w14:paraId="76C2D110">
            <w:pPr>
              <w:rPr>
                <w:rFonts w:ascii="仿宋" w:hAnsi="仿宋" w:eastAsia="仿宋" w:cs="仿宋"/>
                <w:color w:val="auto"/>
                <w:szCs w:val="21"/>
                <w:highlight w:val="none"/>
                <w:lang w:eastAsia="zh-CN"/>
              </w:rPr>
            </w:pPr>
          </w:p>
        </w:tc>
      </w:tr>
      <w:tr w14:paraId="4738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7FFD3B21">
            <w:pPr>
              <w:rPr>
                <w:rFonts w:ascii="仿宋" w:hAnsi="仿宋" w:eastAsia="仿宋" w:cs="仿宋"/>
                <w:color w:val="auto"/>
                <w:highlight w:val="none"/>
                <w:lang w:eastAsia="zh-CN"/>
              </w:rPr>
            </w:pPr>
          </w:p>
        </w:tc>
        <w:tc>
          <w:tcPr>
            <w:tcW w:w="495" w:type="dxa"/>
            <w:vAlign w:val="center"/>
          </w:tcPr>
          <w:p w14:paraId="503BF771">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7662" w:type="dxa"/>
            <w:vAlign w:val="center"/>
          </w:tcPr>
          <w:p w14:paraId="170F3B11">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投标企业须提供投标人（被授权在职人员）近6个月内任意一个月有效的社保证明</w:t>
            </w:r>
          </w:p>
        </w:tc>
        <w:tc>
          <w:tcPr>
            <w:tcW w:w="525" w:type="dxa"/>
          </w:tcPr>
          <w:p w14:paraId="0E1623DC">
            <w:pPr>
              <w:rPr>
                <w:rFonts w:ascii="仿宋" w:hAnsi="仿宋" w:eastAsia="仿宋" w:cs="仿宋"/>
                <w:color w:val="auto"/>
                <w:szCs w:val="21"/>
                <w:highlight w:val="none"/>
                <w:lang w:eastAsia="zh-CN"/>
              </w:rPr>
            </w:pPr>
          </w:p>
        </w:tc>
        <w:tc>
          <w:tcPr>
            <w:tcW w:w="568" w:type="dxa"/>
          </w:tcPr>
          <w:p w14:paraId="32BFCF57">
            <w:pPr>
              <w:rPr>
                <w:rFonts w:ascii="仿宋" w:hAnsi="仿宋" w:eastAsia="仿宋" w:cs="仿宋"/>
                <w:color w:val="auto"/>
                <w:szCs w:val="21"/>
                <w:highlight w:val="none"/>
                <w:lang w:eastAsia="zh-CN"/>
              </w:rPr>
            </w:pPr>
          </w:p>
        </w:tc>
      </w:tr>
      <w:tr w14:paraId="3217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36" w:type="dxa"/>
            <w:vMerge w:val="continue"/>
            <w:vAlign w:val="center"/>
          </w:tcPr>
          <w:p w14:paraId="7D1A087F">
            <w:pPr>
              <w:rPr>
                <w:rFonts w:ascii="仿宋" w:hAnsi="仿宋" w:eastAsia="仿宋" w:cs="仿宋"/>
                <w:color w:val="auto"/>
                <w:highlight w:val="none"/>
                <w:lang w:eastAsia="zh-CN"/>
              </w:rPr>
            </w:pPr>
          </w:p>
        </w:tc>
        <w:tc>
          <w:tcPr>
            <w:tcW w:w="495" w:type="dxa"/>
            <w:vAlign w:val="center"/>
          </w:tcPr>
          <w:p w14:paraId="1B96DA30">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7662" w:type="dxa"/>
            <w:vAlign w:val="center"/>
          </w:tcPr>
          <w:p w14:paraId="47B4F6CC">
            <w:pPr>
              <w:widowControl/>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投标企业须提供有效的《医疗器械生产许可证》或《医疗器械经营许可证》（二类医疗器械需提供医疗器械备案凭证）</w:t>
            </w:r>
          </w:p>
        </w:tc>
        <w:tc>
          <w:tcPr>
            <w:tcW w:w="525" w:type="dxa"/>
          </w:tcPr>
          <w:p w14:paraId="4490F503">
            <w:pPr>
              <w:rPr>
                <w:rFonts w:ascii="仿宋" w:hAnsi="仿宋" w:eastAsia="仿宋" w:cs="仿宋"/>
                <w:color w:val="auto"/>
                <w:szCs w:val="21"/>
                <w:highlight w:val="none"/>
                <w:lang w:eastAsia="zh-CN"/>
              </w:rPr>
            </w:pPr>
          </w:p>
        </w:tc>
        <w:tc>
          <w:tcPr>
            <w:tcW w:w="568" w:type="dxa"/>
          </w:tcPr>
          <w:p w14:paraId="209F8556">
            <w:pPr>
              <w:rPr>
                <w:rFonts w:ascii="仿宋" w:hAnsi="仿宋" w:eastAsia="仿宋" w:cs="仿宋"/>
                <w:color w:val="auto"/>
                <w:szCs w:val="21"/>
                <w:highlight w:val="none"/>
                <w:lang w:eastAsia="zh-CN"/>
              </w:rPr>
            </w:pPr>
          </w:p>
        </w:tc>
      </w:tr>
      <w:tr w14:paraId="14B9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14:paraId="39E5C383">
            <w:pPr>
              <w:jc w:val="center"/>
              <w:rPr>
                <w:rFonts w:ascii="仿宋" w:hAnsi="仿宋" w:eastAsia="仿宋" w:cs="仿宋"/>
                <w:color w:val="auto"/>
                <w:szCs w:val="21"/>
                <w:highlight w:val="none"/>
                <w:lang w:eastAsia="zh-CN"/>
              </w:rPr>
            </w:pPr>
          </w:p>
        </w:tc>
        <w:tc>
          <w:tcPr>
            <w:tcW w:w="495" w:type="dxa"/>
          </w:tcPr>
          <w:p w14:paraId="1952AD4C">
            <w:pPr>
              <w:spacing w:line="440" w:lineRule="exact"/>
              <w:rPr>
                <w:rFonts w:ascii="仿宋" w:hAnsi="仿宋" w:eastAsia="仿宋" w:cs="仿宋"/>
                <w:color w:val="auto"/>
                <w:szCs w:val="21"/>
                <w:highlight w:val="none"/>
                <w:lang w:eastAsia="zh-CN"/>
              </w:rPr>
            </w:pPr>
          </w:p>
        </w:tc>
        <w:tc>
          <w:tcPr>
            <w:tcW w:w="7662" w:type="dxa"/>
          </w:tcPr>
          <w:p w14:paraId="63E3B7FC">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3EFE626D">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注：如有一项不合格，作无效投标处理。</w:t>
            </w:r>
          </w:p>
        </w:tc>
        <w:tc>
          <w:tcPr>
            <w:tcW w:w="1093" w:type="dxa"/>
            <w:gridSpan w:val="2"/>
          </w:tcPr>
          <w:p w14:paraId="7F1920FE">
            <w:pPr>
              <w:rPr>
                <w:rFonts w:ascii="仿宋" w:hAnsi="仿宋" w:eastAsia="仿宋" w:cs="仿宋"/>
                <w:color w:val="auto"/>
                <w:szCs w:val="21"/>
                <w:highlight w:val="none"/>
                <w:lang w:eastAsia="zh-CN"/>
              </w:rPr>
            </w:pPr>
          </w:p>
        </w:tc>
      </w:tr>
    </w:tbl>
    <w:p w14:paraId="59326807">
      <w:pPr>
        <w:keepNext w:val="0"/>
        <w:keepLines w:val="0"/>
        <w:pageBreakBefore w:val="0"/>
        <w:widowControl w:val="0"/>
        <w:kinsoku/>
        <w:wordWrap/>
        <w:overflowPunct/>
        <w:topLinePunct w:val="0"/>
        <w:autoSpaceDE/>
        <w:autoSpaceDN/>
        <w:bidi w:val="0"/>
        <w:adjustRightInd/>
        <w:snapToGrid/>
        <w:spacing w:line="480" w:lineRule="exact"/>
        <w:ind w:firstLine="585" w:firstLineChars="241"/>
        <w:textAlignment w:val="auto"/>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43FD7694">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ascii="仿宋" w:hAnsi="仿宋" w:eastAsia="仿宋" w:cs="仿宋"/>
          <w:b/>
          <w:color w:val="auto"/>
          <w:szCs w:val="21"/>
          <w:highlight w:val="none"/>
        </w:rPr>
      </w:pPr>
      <w:r>
        <w:rPr>
          <w:rFonts w:hint="eastAsia" w:ascii="仿宋" w:hAnsi="仿宋" w:eastAsia="仿宋" w:cs="仿宋"/>
          <w:b/>
          <w:color w:val="auto"/>
          <w:szCs w:val="21"/>
          <w:highlight w:val="none"/>
          <w:lang w:eastAsia="zh-CN"/>
        </w:rPr>
        <w:t>7</w:t>
      </w:r>
      <w:r>
        <w:rPr>
          <w:rFonts w:hint="eastAsia" w:ascii="仿宋" w:hAnsi="仿宋" w:eastAsia="仿宋" w:cs="仿宋"/>
          <w:b/>
          <w:color w:val="auto"/>
          <w:szCs w:val="21"/>
          <w:highlight w:val="none"/>
        </w:rPr>
        <w:t>.符合性审查</w:t>
      </w:r>
    </w:p>
    <w:p w14:paraId="368BFF45">
      <w:pPr>
        <w:keepNext w:val="0"/>
        <w:keepLines w:val="0"/>
        <w:pageBreakBefore w:val="0"/>
        <w:widowControl w:val="0"/>
        <w:kinsoku/>
        <w:wordWrap/>
        <w:overflowPunct/>
        <w:topLinePunct w:val="0"/>
        <w:autoSpaceDE/>
        <w:autoSpaceDN/>
        <w:bidi w:val="0"/>
        <w:adjustRightInd/>
        <w:snapToGrid/>
        <w:spacing w:line="480" w:lineRule="exact"/>
        <w:ind w:firstLine="364" w:firstLineChars="15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．1评审细则</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14957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769C194D">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7573CFDB">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0173FD0E">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0B7E5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3C052F58">
            <w:pPr>
              <w:spacing w:line="360" w:lineRule="auto"/>
              <w:rPr>
                <w:rFonts w:ascii="仿宋" w:hAnsi="仿宋" w:eastAsia="仿宋" w:cs="仿宋"/>
                <w:color w:val="auto"/>
                <w:highlight w:val="none"/>
              </w:rPr>
            </w:pPr>
          </w:p>
        </w:tc>
        <w:tc>
          <w:tcPr>
            <w:tcW w:w="6975" w:type="dxa"/>
            <w:gridSpan w:val="2"/>
            <w:vMerge w:val="continue"/>
            <w:tcBorders>
              <w:bottom w:val="single" w:color="auto" w:sz="4" w:space="0"/>
            </w:tcBorders>
          </w:tcPr>
          <w:p w14:paraId="3F9E303E">
            <w:pPr>
              <w:spacing w:line="360" w:lineRule="auto"/>
              <w:rPr>
                <w:rFonts w:ascii="仿宋" w:hAnsi="仿宋" w:eastAsia="仿宋" w:cs="仿宋"/>
                <w:color w:val="auto"/>
                <w:highlight w:val="none"/>
              </w:rPr>
            </w:pPr>
          </w:p>
        </w:tc>
        <w:tc>
          <w:tcPr>
            <w:tcW w:w="749" w:type="dxa"/>
            <w:vAlign w:val="center"/>
          </w:tcPr>
          <w:p w14:paraId="47894DE8">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422D76C2">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2D3A7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4C8D81F4">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3B53C87A">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127D16D7">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429E58EC">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15C6D11E">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69AA1A3D">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报价高于设定的采购</w:t>
            </w:r>
            <w:r>
              <w:rPr>
                <w:rFonts w:hint="eastAsia" w:ascii="仿宋" w:hAnsi="仿宋" w:eastAsia="仿宋" w:cs="仿宋"/>
                <w:color w:val="auto"/>
                <w:highlight w:val="none"/>
                <w:lang w:val="en-US" w:eastAsia="zh-CN"/>
              </w:rPr>
              <w:t>最高限价</w:t>
            </w:r>
            <w:r>
              <w:rPr>
                <w:rFonts w:hint="eastAsia" w:ascii="仿宋" w:hAnsi="仿宋" w:eastAsia="仿宋" w:cs="仿宋"/>
                <w:color w:val="auto"/>
                <w:highlight w:val="none"/>
                <w:lang w:eastAsia="zh-CN"/>
              </w:rPr>
              <w:t>的。</w:t>
            </w:r>
          </w:p>
        </w:tc>
        <w:tc>
          <w:tcPr>
            <w:tcW w:w="749" w:type="dxa"/>
            <w:tcBorders>
              <w:left w:val="single" w:color="auto" w:sz="4" w:space="0"/>
              <w:right w:val="single" w:color="auto" w:sz="4" w:space="0"/>
            </w:tcBorders>
          </w:tcPr>
          <w:p w14:paraId="22BE81F7">
            <w:pPr>
              <w:spacing w:line="360" w:lineRule="auto"/>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3B744FAD">
            <w:pPr>
              <w:spacing w:line="360" w:lineRule="auto"/>
              <w:jc w:val="center"/>
              <w:rPr>
                <w:rFonts w:ascii="仿宋" w:hAnsi="仿宋" w:eastAsia="仿宋" w:cs="仿宋"/>
                <w:b/>
                <w:color w:val="auto"/>
                <w:szCs w:val="21"/>
                <w:highlight w:val="none"/>
                <w:lang w:eastAsia="zh-CN"/>
              </w:rPr>
            </w:pPr>
          </w:p>
        </w:tc>
      </w:tr>
      <w:tr w14:paraId="56089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77B37026">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5A2FD9CD">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7D412E0F">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法定代表人身份证明及授权委托书有效，且符合招标文件规定的格式。</w:t>
            </w:r>
          </w:p>
        </w:tc>
        <w:tc>
          <w:tcPr>
            <w:tcW w:w="749" w:type="dxa"/>
            <w:tcBorders>
              <w:left w:val="single" w:color="auto" w:sz="4" w:space="0"/>
            </w:tcBorders>
          </w:tcPr>
          <w:p w14:paraId="3D6A2A45">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BFDFF5C">
            <w:pPr>
              <w:spacing w:line="360" w:lineRule="auto"/>
              <w:rPr>
                <w:rFonts w:ascii="仿宋" w:hAnsi="仿宋" w:eastAsia="仿宋" w:cs="仿宋"/>
                <w:color w:val="auto"/>
                <w:szCs w:val="21"/>
                <w:highlight w:val="none"/>
                <w:lang w:eastAsia="zh-CN"/>
              </w:rPr>
            </w:pPr>
          </w:p>
        </w:tc>
      </w:tr>
      <w:tr w14:paraId="2979F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73037EE8">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right w:val="single" w:color="auto" w:sz="4" w:space="0"/>
            </w:tcBorders>
            <w:vAlign w:val="center"/>
          </w:tcPr>
          <w:p w14:paraId="2CF47840">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378" w:type="dxa"/>
            <w:tcBorders>
              <w:top w:val="single" w:color="auto" w:sz="4" w:space="0"/>
              <w:left w:val="single" w:color="auto" w:sz="4" w:space="0"/>
              <w:right w:val="single" w:color="auto" w:sz="4" w:space="0"/>
            </w:tcBorders>
            <w:vAlign w:val="center"/>
          </w:tcPr>
          <w:p w14:paraId="57DE45EE">
            <w:pPr>
              <w:widowControl/>
              <w:spacing w:line="360" w:lineRule="auto"/>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只有一个方案投标</w:t>
            </w:r>
            <w:r>
              <w:rPr>
                <w:rFonts w:hint="eastAsia" w:ascii="仿宋" w:hAnsi="仿宋" w:eastAsia="仿宋" w:cs="仿宋"/>
                <w:color w:val="auto"/>
                <w:highlight w:val="none"/>
                <w:lang w:eastAsia="zh-CN"/>
              </w:rPr>
              <w:t>，投标文件内容齐全、无遗漏。</w:t>
            </w:r>
          </w:p>
        </w:tc>
        <w:tc>
          <w:tcPr>
            <w:tcW w:w="749" w:type="dxa"/>
            <w:tcBorders>
              <w:left w:val="single" w:color="auto" w:sz="4" w:space="0"/>
            </w:tcBorders>
          </w:tcPr>
          <w:p w14:paraId="08A27938">
            <w:pPr>
              <w:spacing w:line="360" w:lineRule="auto"/>
              <w:rPr>
                <w:rFonts w:ascii="仿宋" w:hAnsi="仿宋" w:eastAsia="仿宋" w:cs="仿宋"/>
                <w:color w:val="auto"/>
                <w:szCs w:val="21"/>
                <w:highlight w:val="none"/>
              </w:rPr>
            </w:pPr>
          </w:p>
        </w:tc>
        <w:tc>
          <w:tcPr>
            <w:tcW w:w="617" w:type="dxa"/>
            <w:tcBorders>
              <w:right w:val="single" w:color="auto" w:sz="4" w:space="0"/>
            </w:tcBorders>
          </w:tcPr>
          <w:p w14:paraId="3E62CA6B">
            <w:pPr>
              <w:spacing w:line="360" w:lineRule="auto"/>
              <w:rPr>
                <w:rFonts w:ascii="仿宋" w:hAnsi="仿宋" w:eastAsia="仿宋" w:cs="仿宋"/>
                <w:color w:val="auto"/>
                <w:szCs w:val="21"/>
                <w:highlight w:val="none"/>
              </w:rPr>
            </w:pPr>
          </w:p>
        </w:tc>
      </w:tr>
      <w:tr w14:paraId="47750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5874ABC6">
            <w:pPr>
              <w:spacing w:line="360" w:lineRule="auto"/>
              <w:rPr>
                <w:rFonts w:ascii="仿宋" w:hAnsi="仿宋" w:eastAsia="仿宋" w:cs="仿宋"/>
                <w:color w:val="auto"/>
                <w:highlight w:val="none"/>
                <w:lang w:eastAsia="zh-CN"/>
              </w:rPr>
            </w:pPr>
          </w:p>
        </w:tc>
        <w:tc>
          <w:tcPr>
            <w:tcW w:w="597" w:type="dxa"/>
            <w:tcBorders>
              <w:left w:val="single" w:color="auto" w:sz="4" w:space="0"/>
              <w:bottom w:val="single" w:color="auto" w:sz="4" w:space="0"/>
            </w:tcBorders>
            <w:vAlign w:val="center"/>
          </w:tcPr>
          <w:p w14:paraId="59C9342D">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p>
        </w:tc>
        <w:tc>
          <w:tcPr>
            <w:tcW w:w="6378" w:type="dxa"/>
            <w:tcBorders>
              <w:bottom w:val="single" w:color="auto" w:sz="4" w:space="0"/>
              <w:right w:val="single" w:color="auto" w:sz="4" w:space="0"/>
            </w:tcBorders>
            <w:vAlign w:val="center"/>
          </w:tcPr>
          <w:p w14:paraId="43FBAA18">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对招标文件规定的招标内容全部作出响应。</w:t>
            </w:r>
          </w:p>
        </w:tc>
        <w:tc>
          <w:tcPr>
            <w:tcW w:w="749" w:type="dxa"/>
            <w:tcBorders>
              <w:left w:val="single" w:color="auto" w:sz="4" w:space="0"/>
              <w:bottom w:val="single" w:color="auto" w:sz="4" w:space="0"/>
            </w:tcBorders>
          </w:tcPr>
          <w:p w14:paraId="4940CAAA">
            <w:pPr>
              <w:spacing w:line="360" w:lineRule="auto"/>
              <w:rPr>
                <w:rFonts w:ascii="仿宋" w:hAnsi="仿宋" w:eastAsia="仿宋" w:cs="仿宋"/>
                <w:color w:val="auto"/>
                <w:szCs w:val="21"/>
                <w:highlight w:val="none"/>
                <w:lang w:eastAsia="zh-CN"/>
              </w:rPr>
            </w:pPr>
          </w:p>
        </w:tc>
        <w:tc>
          <w:tcPr>
            <w:tcW w:w="617" w:type="dxa"/>
            <w:tcBorders>
              <w:bottom w:val="single" w:color="auto" w:sz="4" w:space="0"/>
              <w:right w:val="single" w:color="auto" w:sz="4" w:space="0"/>
            </w:tcBorders>
          </w:tcPr>
          <w:p w14:paraId="6B457401">
            <w:pPr>
              <w:spacing w:line="360" w:lineRule="auto"/>
              <w:rPr>
                <w:rFonts w:ascii="仿宋" w:hAnsi="仿宋" w:eastAsia="仿宋" w:cs="仿宋"/>
                <w:color w:val="auto"/>
                <w:szCs w:val="21"/>
                <w:highlight w:val="none"/>
                <w:lang w:eastAsia="zh-CN"/>
              </w:rPr>
            </w:pPr>
          </w:p>
        </w:tc>
      </w:tr>
      <w:tr w14:paraId="0292A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657FB517">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38324F61">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p>
        </w:tc>
        <w:tc>
          <w:tcPr>
            <w:tcW w:w="6378" w:type="dxa"/>
            <w:tcBorders>
              <w:top w:val="single" w:color="auto" w:sz="4" w:space="0"/>
              <w:left w:val="single" w:color="auto" w:sz="4" w:space="0"/>
              <w:bottom w:val="single" w:color="auto" w:sz="4" w:space="0"/>
              <w:right w:val="single" w:color="auto" w:sz="4" w:space="0"/>
            </w:tcBorders>
            <w:vAlign w:val="center"/>
          </w:tcPr>
          <w:p w14:paraId="623231C6">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20A3CE76">
            <w:pPr>
              <w:spacing w:line="360" w:lineRule="auto"/>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56811926">
            <w:pPr>
              <w:spacing w:line="360" w:lineRule="auto"/>
              <w:rPr>
                <w:rFonts w:ascii="仿宋" w:hAnsi="仿宋" w:eastAsia="仿宋" w:cs="仿宋"/>
                <w:color w:val="auto"/>
                <w:szCs w:val="21"/>
                <w:highlight w:val="none"/>
                <w:lang w:eastAsia="zh-CN"/>
              </w:rPr>
            </w:pPr>
          </w:p>
        </w:tc>
      </w:tr>
      <w:tr w14:paraId="0A825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5AD3E2D7">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68C95510">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6</w:t>
            </w:r>
          </w:p>
        </w:tc>
        <w:tc>
          <w:tcPr>
            <w:tcW w:w="6378" w:type="dxa"/>
            <w:tcBorders>
              <w:top w:val="single" w:color="auto" w:sz="4" w:space="0"/>
              <w:right w:val="single" w:color="auto" w:sz="4" w:space="0"/>
            </w:tcBorders>
            <w:vAlign w:val="center"/>
          </w:tcPr>
          <w:p w14:paraId="449634E0">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完成期限满足招标文件要求。</w:t>
            </w:r>
          </w:p>
        </w:tc>
        <w:tc>
          <w:tcPr>
            <w:tcW w:w="749" w:type="dxa"/>
            <w:tcBorders>
              <w:top w:val="single" w:color="auto" w:sz="4" w:space="0"/>
              <w:left w:val="single" w:color="auto" w:sz="4" w:space="0"/>
            </w:tcBorders>
          </w:tcPr>
          <w:p w14:paraId="7F8BC99A">
            <w:pPr>
              <w:spacing w:line="360" w:lineRule="auto"/>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5BDE2DCE">
            <w:pPr>
              <w:spacing w:line="360" w:lineRule="auto"/>
              <w:rPr>
                <w:rFonts w:ascii="仿宋" w:hAnsi="仿宋" w:eastAsia="仿宋" w:cs="仿宋"/>
                <w:color w:val="auto"/>
                <w:szCs w:val="21"/>
                <w:highlight w:val="none"/>
                <w:lang w:eastAsia="zh-CN"/>
              </w:rPr>
            </w:pPr>
          </w:p>
        </w:tc>
      </w:tr>
      <w:tr w14:paraId="6CDD2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65877BC1">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1ECDE1A7">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6378" w:type="dxa"/>
            <w:tcBorders>
              <w:right w:val="single" w:color="auto" w:sz="4" w:space="0"/>
            </w:tcBorders>
            <w:vAlign w:val="center"/>
          </w:tcPr>
          <w:p w14:paraId="1EA7B856">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售后服务满足招标文件要求。</w:t>
            </w:r>
          </w:p>
        </w:tc>
        <w:tc>
          <w:tcPr>
            <w:tcW w:w="749" w:type="dxa"/>
            <w:tcBorders>
              <w:left w:val="single" w:color="auto" w:sz="4" w:space="0"/>
            </w:tcBorders>
          </w:tcPr>
          <w:p w14:paraId="317A77BC">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19B5ABE0">
            <w:pPr>
              <w:spacing w:line="360" w:lineRule="auto"/>
              <w:rPr>
                <w:rFonts w:ascii="仿宋" w:hAnsi="仿宋" w:eastAsia="仿宋" w:cs="仿宋"/>
                <w:color w:val="auto"/>
                <w:szCs w:val="21"/>
                <w:highlight w:val="none"/>
                <w:lang w:eastAsia="zh-CN"/>
              </w:rPr>
            </w:pPr>
          </w:p>
        </w:tc>
      </w:tr>
      <w:tr w14:paraId="51F39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2112CEA5">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4948E97F">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6378" w:type="dxa"/>
            <w:tcBorders>
              <w:right w:val="single" w:color="auto" w:sz="4" w:space="0"/>
            </w:tcBorders>
            <w:vAlign w:val="center"/>
          </w:tcPr>
          <w:p w14:paraId="7E1BAB1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投标有效期满足招标文件要求。</w:t>
            </w:r>
          </w:p>
        </w:tc>
        <w:tc>
          <w:tcPr>
            <w:tcW w:w="749" w:type="dxa"/>
            <w:tcBorders>
              <w:left w:val="single" w:color="auto" w:sz="4" w:space="0"/>
            </w:tcBorders>
          </w:tcPr>
          <w:p w14:paraId="7F5303BE">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7EFFCB37">
            <w:pPr>
              <w:spacing w:line="360" w:lineRule="auto"/>
              <w:rPr>
                <w:rFonts w:ascii="仿宋" w:hAnsi="仿宋" w:eastAsia="仿宋" w:cs="仿宋"/>
                <w:color w:val="auto"/>
                <w:szCs w:val="21"/>
                <w:highlight w:val="none"/>
                <w:lang w:eastAsia="zh-CN"/>
              </w:rPr>
            </w:pPr>
          </w:p>
        </w:tc>
      </w:tr>
      <w:tr w14:paraId="18EE4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0FA03B9F">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6980A2F6">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p>
        </w:tc>
        <w:tc>
          <w:tcPr>
            <w:tcW w:w="6378" w:type="dxa"/>
            <w:tcBorders>
              <w:right w:val="single" w:color="auto" w:sz="4" w:space="0"/>
            </w:tcBorders>
            <w:vAlign w:val="center"/>
          </w:tcPr>
          <w:p w14:paraId="07CA95C3">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投标人详细地址、联系人、电话。</w:t>
            </w:r>
          </w:p>
        </w:tc>
        <w:tc>
          <w:tcPr>
            <w:tcW w:w="749" w:type="dxa"/>
            <w:tcBorders>
              <w:left w:val="single" w:color="auto" w:sz="4" w:space="0"/>
            </w:tcBorders>
          </w:tcPr>
          <w:p w14:paraId="5E29D6DF">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5F2751F4">
            <w:pPr>
              <w:spacing w:line="360" w:lineRule="auto"/>
              <w:rPr>
                <w:rFonts w:ascii="仿宋" w:hAnsi="仿宋" w:eastAsia="仿宋" w:cs="仿宋"/>
                <w:color w:val="auto"/>
                <w:szCs w:val="21"/>
                <w:highlight w:val="none"/>
                <w:lang w:eastAsia="zh-CN"/>
              </w:rPr>
            </w:pPr>
          </w:p>
        </w:tc>
      </w:tr>
      <w:tr w14:paraId="6F64A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71FFC6B7">
            <w:pPr>
              <w:spacing w:line="360" w:lineRule="auto"/>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5A69AED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6519005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注：如有一项不合格，无效投标处理。</w:t>
            </w:r>
          </w:p>
        </w:tc>
        <w:tc>
          <w:tcPr>
            <w:tcW w:w="1366" w:type="dxa"/>
            <w:gridSpan w:val="2"/>
            <w:tcBorders>
              <w:left w:val="single" w:color="auto" w:sz="4" w:space="0"/>
              <w:bottom w:val="single" w:color="auto" w:sz="4" w:space="0"/>
              <w:right w:val="single" w:color="auto" w:sz="4" w:space="0"/>
            </w:tcBorders>
          </w:tcPr>
          <w:p w14:paraId="2BF87454">
            <w:pPr>
              <w:spacing w:line="360" w:lineRule="auto"/>
              <w:rPr>
                <w:rFonts w:ascii="仿宋" w:hAnsi="仿宋" w:eastAsia="仿宋" w:cs="仿宋"/>
                <w:color w:val="auto"/>
                <w:szCs w:val="21"/>
                <w:highlight w:val="none"/>
                <w:lang w:eastAsia="zh-CN"/>
              </w:rPr>
            </w:pPr>
          </w:p>
        </w:tc>
      </w:tr>
    </w:tbl>
    <w:p w14:paraId="142B0AFE">
      <w:pPr>
        <w:rPr>
          <w:rFonts w:ascii="仿宋" w:hAnsi="仿宋" w:eastAsia="仿宋" w:cs="仿宋"/>
          <w:color w:val="auto"/>
          <w:highlight w:val="none"/>
          <w:lang w:eastAsia="zh-CN"/>
        </w:rPr>
      </w:pPr>
    </w:p>
    <w:p w14:paraId="15715F18">
      <w:pPr>
        <w:keepNext w:val="0"/>
        <w:keepLines w:val="0"/>
        <w:pageBreakBefore w:val="0"/>
        <w:widowControl w:val="0"/>
        <w:kinsoku/>
        <w:wordWrap/>
        <w:overflowPunct/>
        <w:topLinePunct w:val="0"/>
        <w:bidi w:val="0"/>
        <w:snapToGrid/>
        <w:spacing w:line="500" w:lineRule="exact"/>
        <w:ind w:firstLine="585"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7.2评委会判定投标文件的响应性只根据投标文件本身的内容，而不寻求外部的证据，但投标有不真实不正确的内容时除外。</w:t>
      </w:r>
    </w:p>
    <w:p w14:paraId="76F16B5A">
      <w:pPr>
        <w:keepNext w:val="0"/>
        <w:keepLines w:val="0"/>
        <w:pageBreakBefore w:val="0"/>
        <w:widowControl w:val="0"/>
        <w:kinsoku/>
        <w:wordWrap/>
        <w:overflowPunct/>
        <w:topLinePunct w:val="0"/>
        <w:bidi w:val="0"/>
        <w:snapToGrid/>
        <w:spacing w:line="500" w:lineRule="exact"/>
        <w:ind w:firstLine="585"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7.3如果投标文件实质上没有响应采购文件的要求，评委会将予以拒绝，供应商不得通过修正或撤销不符合要求的偏离或保留，而使其投标成为实质上响应的投标。</w:t>
      </w:r>
    </w:p>
    <w:p w14:paraId="7E090326">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7.4供应商可在现场20分钟内对评标委员会的评审结论提出异议，评标委员会根据采购文件及有关规定对供应商的异议进行复议</w:t>
      </w:r>
    </w:p>
    <w:p w14:paraId="29A1CA40">
      <w:pPr>
        <w:keepNext w:val="0"/>
        <w:keepLines w:val="0"/>
        <w:pageBreakBefore w:val="0"/>
        <w:widowControl w:val="0"/>
        <w:kinsoku/>
        <w:wordWrap/>
        <w:overflowPunct/>
        <w:topLinePunct w:val="0"/>
        <w:bidi w:val="0"/>
        <w:snapToGrid/>
        <w:spacing w:line="500" w:lineRule="exact"/>
        <w:ind w:firstLine="607" w:firstLineChars="2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7.5只有通过初审的供应商才能进入下一步评标程序。</w:t>
      </w:r>
    </w:p>
    <w:p w14:paraId="69EF60E7">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2B8609AB">
      <w:pPr>
        <w:keepNext w:val="0"/>
        <w:keepLines w:val="0"/>
        <w:pageBreakBefore w:val="0"/>
        <w:widowControl w:val="0"/>
        <w:kinsoku/>
        <w:wordWrap/>
        <w:overflowPunct/>
        <w:topLinePunct w:val="0"/>
        <w:bidi w:val="0"/>
        <w:snapToGrid/>
        <w:spacing w:beforeLines="50" w:line="500" w:lineRule="exact"/>
        <w:jc w:val="center"/>
        <w:textAlignment w:val="auto"/>
        <w:outlineLvl w:val="1"/>
        <w:rPr>
          <w:rFonts w:ascii="仿宋" w:hAnsi="仿宋" w:eastAsia="仿宋" w:cs="仿宋"/>
          <w:b/>
          <w:color w:val="auto"/>
          <w:highlight w:val="none"/>
          <w:lang w:eastAsia="zh-CN"/>
        </w:rPr>
      </w:pPr>
      <w:bookmarkStart w:id="41" w:name="_Toc362983803"/>
      <w:bookmarkStart w:id="42" w:name="_Toc469495734"/>
      <w:r>
        <w:rPr>
          <w:rFonts w:hint="eastAsia" w:ascii="仿宋" w:hAnsi="仿宋" w:eastAsia="仿宋" w:cs="仿宋"/>
          <w:b/>
          <w:color w:val="auto"/>
          <w:highlight w:val="none"/>
          <w:lang w:eastAsia="zh-CN"/>
        </w:rPr>
        <w:t xml:space="preserve">三 </w:t>
      </w:r>
      <w:r>
        <w:rPr>
          <w:rFonts w:hint="eastAsia" w:ascii="仿宋" w:hAnsi="仿宋" w:eastAsia="仿宋" w:cs="仿宋"/>
          <w:b/>
          <w:color w:val="auto"/>
          <w:sz w:val="28"/>
          <w:szCs w:val="28"/>
          <w:highlight w:val="none"/>
          <w:lang w:eastAsia="zh-CN"/>
        </w:rPr>
        <w:t xml:space="preserve"> </w:t>
      </w:r>
      <w:r>
        <w:rPr>
          <w:rFonts w:hint="eastAsia" w:ascii="仿宋" w:hAnsi="仿宋" w:eastAsia="仿宋" w:cs="仿宋"/>
          <w:b/>
          <w:color w:val="auto"/>
          <w:highlight w:val="none"/>
          <w:lang w:eastAsia="zh-CN"/>
        </w:rPr>
        <w:t>投标文件的澄清和补正</w:t>
      </w:r>
      <w:bookmarkEnd w:id="41"/>
      <w:bookmarkEnd w:id="42"/>
    </w:p>
    <w:p w14:paraId="3F4BC537">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8．澄清、说明或补正的形式</w:t>
      </w:r>
    </w:p>
    <w:p w14:paraId="2E372EE2">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5560C09">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主动对投标文件的澄清、说明或者补正。</w:t>
      </w:r>
    </w:p>
    <w:p w14:paraId="1722BD6B">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8.3上述询标、澄清、说明和补正工作如因客观原因无法通过“政府采购云平台”在线进行的，将采用电子邮件等形式进行，请</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保证办理投标事宜人员电话畅通、网络在线。如未及时进行澄清、说明或者补正的，视为放弃澄清、说明或者补正的权利。</w:t>
      </w:r>
    </w:p>
    <w:p w14:paraId="2AA686B1">
      <w:pPr>
        <w:keepNext w:val="0"/>
        <w:keepLines w:val="0"/>
        <w:pageBreakBefore w:val="0"/>
        <w:widowControl w:val="0"/>
        <w:kinsoku/>
        <w:wordWrap/>
        <w:overflowPunct/>
        <w:topLinePunct w:val="0"/>
        <w:bidi w:val="0"/>
        <w:snapToGrid/>
        <w:spacing w:line="50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9．错误修正的原则</w:t>
      </w:r>
    </w:p>
    <w:p w14:paraId="214DFEEB">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440F8F4E">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142DB7DF">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投标函中表述的内容与报价表中不一致的，以报价表为准；报价表中的内容与报价明细表不一致的，以报价表为准；</w:t>
      </w:r>
    </w:p>
    <w:p w14:paraId="0F3CFC52">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投标文件中的大写金额和小写金额不一致的，以大写金额为准；</w:t>
      </w:r>
    </w:p>
    <w:p w14:paraId="1E6C53C0">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单价金额小数点或者百分比有明显错位的，以开标一览表的总价为准，并修改单价；</w:t>
      </w:r>
    </w:p>
    <w:p w14:paraId="0FC35382">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总价金额与按单价汇总金额不一致的，以单价金额计算结果为准；</w:t>
      </w:r>
    </w:p>
    <w:p w14:paraId="03089234">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9.5 若用文字表示的数值与用数字表示的数值不一致，以文字表示的数值为准；</w:t>
      </w:r>
    </w:p>
    <w:p w14:paraId="0907F4C8">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9.6 如有多报（指数量超出采购文件需求）、重报（指同一货物重复报价），其投标总价在评标过程中不予调整，如其中标，其合同价按其投标单价予以调整；</w:t>
      </w:r>
    </w:p>
    <w:p w14:paraId="5D1FC716">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9.7 对不同文字文本投标文件的解释发生异议的，以中文文本为准；</w:t>
      </w:r>
    </w:p>
    <w:p w14:paraId="4F39D38B">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确认后，以调整或修正后的投标报价为准。如</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拒绝调整或修正的，其投标文件按无效标处理。修正应当采用电子询标的形式，并加盖公章（电子印章）。</w:t>
      </w:r>
    </w:p>
    <w:p w14:paraId="12D6144F">
      <w:pPr>
        <w:keepNext w:val="0"/>
        <w:keepLines w:val="0"/>
        <w:pageBreakBefore w:val="0"/>
        <w:widowControl w:val="0"/>
        <w:kinsoku/>
        <w:wordWrap/>
        <w:overflowPunct/>
        <w:topLinePunct w:val="0"/>
        <w:bidi w:val="0"/>
        <w:snapToGrid/>
        <w:spacing w:line="500" w:lineRule="exact"/>
        <w:jc w:val="center"/>
        <w:textAlignment w:val="auto"/>
        <w:outlineLvl w:val="1"/>
        <w:rPr>
          <w:rFonts w:ascii="仿宋" w:hAnsi="仿宋" w:eastAsia="仿宋" w:cs="仿宋"/>
          <w:b/>
          <w:color w:val="auto"/>
          <w:highlight w:val="none"/>
          <w:lang w:eastAsia="zh-CN"/>
        </w:rPr>
      </w:pPr>
      <w:bookmarkStart w:id="43" w:name="_Toc469495735"/>
      <w:r>
        <w:rPr>
          <w:rFonts w:hint="eastAsia" w:ascii="仿宋" w:hAnsi="仿宋" w:eastAsia="仿宋" w:cs="仿宋"/>
          <w:b/>
          <w:color w:val="auto"/>
          <w:highlight w:val="none"/>
          <w:lang w:eastAsia="zh-CN"/>
        </w:rPr>
        <w:t>四 比较与评价</w:t>
      </w:r>
      <w:bookmarkEnd w:id="43"/>
    </w:p>
    <w:p w14:paraId="18FFE889">
      <w:pPr>
        <w:keepNext w:val="0"/>
        <w:keepLines w:val="0"/>
        <w:pageBreakBefore w:val="0"/>
        <w:widowControl w:val="0"/>
        <w:tabs>
          <w:tab w:val="left" w:pos="720"/>
        </w:tabs>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bookmarkStart w:id="44" w:name="_Toc362983805"/>
      <w:bookmarkStart w:id="45" w:name="_Toc469495736"/>
      <w:r>
        <w:rPr>
          <w:rFonts w:hint="eastAsia" w:ascii="仿宋" w:hAnsi="仿宋" w:eastAsia="仿宋" w:cs="仿宋"/>
          <w:color w:val="auto"/>
          <w:szCs w:val="21"/>
          <w:highlight w:val="none"/>
          <w:lang w:eastAsia="zh-CN" w:bidi="ar-SA"/>
        </w:rPr>
        <w:t>10.1评标委员会按招标文件中规定的评标方法和标准，对资格性检查和符合性检查合格的投标文件进行商务和技术评估、综合比较与评价。</w:t>
      </w:r>
    </w:p>
    <w:p w14:paraId="7B05E9A8">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10.2评标委员会根据商务和技术评估的结果，采用综合评分法，分别对投标文件的商务、技术、价格等内容进行打分。其中，商务评估、技术评估、价格评估的评分权值（详见附件1）。</w:t>
      </w:r>
    </w:p>
    <w:p w14:paraId="5E9D785B">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bCs/>
          <w:color w:val="auto"/>
          <w:szCs w:val="21"/>
          <w:highlight w:val="none"/>
          <w:lang w:eastAsia="zh-CN" w:bidi="ar-SA"/>
        </w:rPr>
      </w:pPr>
      <w:r>
        <w:rPr>
          <w:rFonts w:hint="eastAsia" w:ascii="仿宋" w:hAnsi="仿宋" w:eastAsia="仿宋" w:cs="仿宋"/>
          <w:color w:val="auto"/>
          <w:szCs w:val="21"/>
          <w:highlight w:val="none"/>
          <w:lang w:eastAsia="zh-CN" w:bidi="ar-SA"/>
        </w:rPr>
        <w:t>10.</w:t>
      </w:r>
      <w:r>
        <w:rPr>
          <w:rFonts w:hint="eastAsia" w:ascii="仿宋" w:hAnsi="仿宋" w:eastAsia="仿宋" w:cs="仿宋"/>
          <w:bCs/>
          <w:color w:val="auto"/>
          <w:szCs w:val="21"/>
          <w:highlight w:val="none"/>
          <w:lang w:eastAsia="zh-CN" w:bidi="ar-SA"/>
        </w:rPr>
        <w:t>2.1评委打分办法</w:t>
      </w:r>
    </w:p>
    <w:p w14:paraId="4ED219FE">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bCs/>
          <w:color w:val="auto"/>
          <w:szCs w:val="21"/>
          <w:highlight w:val="none"/>
          <w:lang w:eastAsia="zh-CN" w:bidi="ar-SA"/>
        </w:rPr>
        <w:t>（1）</w:t>
      </w:r>
      <w:r>
        <w:rPr>
          <w:rFonts w:hint="eastAsia" w:ascii="仿宋" w:hAnsi="仿宋" w:eastAsia="仿宋" w:cs="仿宋"/>
          <w:color w:val="auto"/>
          <w:szCs w:val="21"/>
          <w:highlight w:val="none"/>
          <w:lang w:eastAsia="zh-CN" w:bidi="ar-SA"/>
        </w:rPr>
        <w:t>参加评分的评委应尽力体现客观、实事求是，避免学派偏见和个人偏好。</w:t>
      </w:r>
    </w:p>
    <w:p w14:paraId="5F2AA43B">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（2）衡量、对比的依据，应以招标文件、投标文件、提供的正式试验数据、质询澄清中的文字为准，口头回答和收集的资料只作为参考。</w:t>
      </w:r>
    </w:p>
    <w:p w14:paraId="462FBC44">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（3）评分主要是为比较各</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bidi="ar-SA"/>
        </w:rPr>
        <w:t>的价格、商务和技术综合排序。</w:t>
      </w:r>
    </w:p>
    <w:p w14:paraId="703D1F6A">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（4）评委打分采取记名形式。</w:t>
      </w:r>
    </w:p>
    <w:p w14:paraId="7871A6D4">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（5）各评委根据提供的技术打分表独立自主打分，任何人不得要求评委统一打分或统一确定等次顺序。</w:t>
      </w:r>
    </w:p>
    <w:p w14:paraId="15D0967A">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（6）对打分表中的每项条款，各评委应根据投标文件、澄清材料、招标文件要求，按满足的程度给</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bidi="ar-SA"/>
        </w:rPr>
        <w:t>打分。</w:t>
      </w:r>
    </w:p>
    <w:p w14:paraId="59CDB3FC">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（7）评分程序</w:t>
      </w:r>
    </w:p>
    <w:p w14:paraId="29563E49">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1)就</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bidi="ar-SA"/>
        </w:rPr>
        <w:t>的投标文件对照整理出商务、技术评标因素对比表、偏差表，并在经过校核的基础上逐项打分。</w:t>
      </w:r>
    </w:p>
    <w:p w14:paraId="0807669C">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2)各评委独立完成打分后，将评分表交给代理机构，由代理机构组织进行分数统计。</w:t>
      </w:r>
    </w:p>
    <w:p w14:paraId="65D4C513">
      <w:pPr>
        <w:keepNext w:val="0"/>
        <w:keepLines w:val="0"/>
        <w:pageBreakBefore w:val="0"/>
        <w:widowControl w:val="0"/>
        <w:kinsoku/>
        <w:wordWrap/>
        <w:overflowPunct/>
        <w:topLinePunct w:val="0"/>
        <w:bidi w:val="0"/>
        <w:snapToGrid/>
        <w:spacing w:line="5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3)最终汇总表中各</w:t>
      </w:r>
      <w:r>
        <w:rPr>
          <w:rFonts w:hint="eastAsia" w:ascii="仿宋" w:hAnsi="仿宋" w:eastAsia="仿宋" w:cs="仿宋"/>
          <w:color w:val="auto"/>
          <w:szCs w:val="21"/>
          <w:highlight w:val="none"/>
          <w:lang w:val="en-US" w:eastAsia="zh-CN" w:bidi="ar-SA"/>
        </w:rPr>
        <w:t>投标人</w:t>
      </w:r>
      <w:r>
        <w:rPr>
          <w:rFonts w:hint="eastAsia" w:ascii="仿宋" w:hAnsi="仿宋" w:eastAsia="仿宋" w:cs="仿宋"/>
          <w:color w:val="auto"/>
          <w:szCs w:val="21"/>
          <w:highlight w:val="none"/>
          <w:lang w:eastAsia="zh-CN" w:bidi="ar-SA"/>
        </w:rPr>
        <w:t>得分应为评委打分的算术平均值。</w:t>
      </w:r>
    </w:p>
    <w:p w14:paraId="195B9521">
      <w:pPr>
        <w:pStyle w:val="7"/>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（8）评分标准和细则（综合评分法评分标准）</w:t>
      </w:r>
    </w:p>
    <w:p w14:paraId="205BF300">
      <w:pPr>
        <w:pStyle w:val="7"/>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评分标准</w:t>
      </w:r>
    </w:p>
    <w:tbl>
      <w:tblPr>
        <w:tblStyle w:val="27"/>
        <w:tblW w:w="9533"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48"/>
        <w:gridCol w:w="6785"/>
      </w:tblGrid>
      <w:tr w14:paraId="7325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00" w:type="dxa"/>
            <w:vAlign w:val="center"/>
          </w:tcPr>
          <w:p w14:paraId="51A0D94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评分因素</w:t>
            </w:r>
          </w:p>
        </w:tc>
        <w:tc>
          <w:tcPr>
            <w:tcW w:w="1448" w:type="dxa"/>
            <w:vAlign w:val="center"/>
          </w:tcPr>
          <w:p w14:paraId="0926BF7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分值</w:t>
            </w:r>
          </w:p>
        </w:tc>
        <w:tc>
          <w:tcPr>
            <w:tcW w:w="6785" w:type="dxa"/>
            <w:vAlign w:val="center"/>
          </w:tcPr>
          <w:p w14:paraId="41C8F323">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评分准则</w:t>
            </w:r>
          </w:p>
        </w:tc>
      </w:tr>
      <w:tr w14:paraId="2CBB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00" w:type="dxa"/>
            <w:vAlign w:val="center"/>
          </w:tcPr>
          <w:p w14:paraId="0E27F51C">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价格部分</w:t>
            </w:r>
          </w:p>
          <w:p w14:paraId="58E62620">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(35分)</w:t>
            </w:r>
          </w:p>
        </w:tc>
        <w:tc>
          <w:tcPr>
            <w:tcW w:w="1448" w:type="dxa"/>
            <w:vAlign w:val="center"/>
          </w:tcPr>
          <w:p w14:paraId="60AE01B4">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投标价格(35分)</w:t>
            </w:r>
          </w:p>
        </w:tc>
        <w:tc>
          <w:tcPr>
            <w:tcW w:w="6785" w:type="dxa"/>
            <w:vAlign w:val="center"/>
          </w:tcPr>
          <w:p w14:paraId="742E8F73">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价格分应当采用低价优先法计算，满足招标文件要求且报价最低的为评审基准价，价格得分=（评审基准价/投标报价）×价格权值*100。</w:t>
            </w:r>
          </w:p>
          <w:p w14:paraId="02078CFE">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注：投标报价超过采购最高限价（单价）的按无效标处理</w:t>
            </w:r>
          </w:p>
        </w:tc>
      </w:tr>
      <w:tr w14:paraId="3C98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0" w:type="dxa"/>
            <w:vMerge w:val="restart"/>
            <w:vAlign w:val="center"/>
          </w:tcPr>
          <w:p w14:paraId="1CF76181">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技术及商务部分</w:t>
            </w:r>
          </w:p>
          <w:p w14:paraId="065273B6">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shd w:val="clear" w:color="auto" w:fill="auto"/>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（65分）</w:t>
            </w:r>
          </w:p>
        </w:tc>
        <w:tc>
          <w:tcPr>
            <w:tcW w:w="1448" w:type="dxa"/>
            <w:vAlign w:val="center"/>
          </w:tcPr>
          <w:p w14:paraId="097471D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技术指标、参数响应情况</w:t>
            </w:r>
          </w:p>
          <w:p w14:paraId="23DB94F7">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20分</w:t>
            </w:r>
            <w:r>
              <w:rPr>
                <w:rFonts w:hint="eastAsia" w:ascii="仿宋" w:hAnsi="仿宋" w:eastAsia="仿宋" w:cs="仿宋"/>
                <w:sz w:val="24"/>
                <w:szCs w:val="24"/>
                <w:lang w:val="zh-CN" w:eastAsia="zh-CN"/>
              </w:rPr>
              <w:t>）</w:t>
            </w:r>
          </w:p>
          <w:p w14:paraId="2632C5C3">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rPr>
            </w:pPr>
          </w:p>
        </w:tc>
        <w:tc>
          <w:tcPr>
            <w:tcW w:w="6785" w:type="dxa"/>
            <w:vAlign w:val="center"/>
          </w:tcPr>
          <w:p w14:paraId="2530C526">
            <w:pPr>
              <w:keepNext w:val="0"/>
              <w:keepLines w:val="0"/>
              <w:widowControl/>
              <w:suppressLineNumbers w:val="0"/>
              <w:shd w:val="clear" w:color="auto" w:fill="auto"/>
              <w:spacing w:line="360" w:lineRule="auto"/>
              <w:ind w:right="0" w:right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投标人须对本采购文件技术要求，结合所投产品的实际参数值，进行逐条逐项答复、说明和解释。</w:t>
            </w:r>
            <w:r>
              <w:rPr>
                <w:rFonts w:hint="eastAsia" w:ascii="仿宋" w:hAnsi="仿宋" w:eastAsia="仿宋" w:cs="仿宋"/>
                <w:b w:val="0"/>
                <w:bCs w:val="0"/>
                <w:color w:val="auto"/>
                <w:sz w:val="24"/>
                <w:szCs w:val="24"/>
                <w:highlight w:val="none"/>
                <w:lang w:eastAsia="zh-CN"/>
              </w:rPr>
              <w:t>（参数是基本参数，不允许出现负偏离，如</w:t>
            </w:r>
            <w:r>
              <w:rPr>
                <w:rFonts w:hint="eastAsia" w:ascii="仿宋" w:hAnsi="仿宋" w:eastAsia="仿宋" w:cs="仿宋"/>
                <w:b w:val="0"/>
                <w:bCs w:val="0"/>
                <w:color w:val="auto"/>
                <w:sz w:val="24"/>
                <w:szCs w:val="24"/>
                <w:highlight w:val="none"/>
                <w:lang w:val="en-US" w:eastAsia="zh-CN"/>
              </w:rPr>
              <w:t>出现负偏离</w:t>
            </w:r>
            <w:r>
              <w:rPr>
                <w:rFonts w:hint="eastAsia" w:ascii="仿宋" w:hAnsi="仿宋" w:eastAsia="仿宋" w:cs="仿宋"/>
                <w:b w:val="0"/>
                <w:bCs w:val="0"/>
                <w:color w:val="auto"/>
                <w:sz w:val="24"/>
                <w:szCs w:val="24"/>
                <w:highlight w:val="none"/>
                <w:lang w:eastAsia="zh-CN"/>
              </w:rPr>
              <w:t>，则按无效投标处理)所投产品技术参数全部满足的得</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lang w:eastAsia="zh-CN"/>
              </w:rPr>
              <w:t>分</w:t>
            </w:r>
            <w:r>
              <w:rPr>
                <w:rFonts w:hint="eastAsia" w:ascii="仿宋" w:hAnsi="仿宋" w:eastAsia="仿宋" w:cs="仿宋"/>
                <w:sz w:val="24"/>
                <w:szCs w:val="24"/>
                <w:lang w:val="en-US" w:eastAsia="zh-CN"/>
              </w:rPr>
              <w:t>。</w:t>
            </w:r>
          </w:p>
          <w:p w14:paraId="1FEBE024">
            <w:pPr>
              <w:keepNext w:val="0"/>
              <w:keepLines w:val="0"/>
              <w:widowControl/>
              <w:suppressLineNumbers w:val="0"/>
              <w:shd w:val="clear" w:color="auto" w:fill="auto"/>
              <w:spacing w:line="360" w:lineRule="auto"/>
              <w:ind w:right="0" w:right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注：投标人需如实填写所投产品参数；并提供能够证明其参数真实有效的证明文件，若证明文件无法证明参数真实有效，视为负偏离或以评审小组集体意见为准。</w:t>
            </w:r>
          </w:p>
        </w:tc>
      </w:tr>
      <w:tr w14:paraId="18D7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0" w:type="dxa"/>
            <w:vMerge w:val="continue"/>
            <w:vAlign w:val="center"/>
          </w:tcPr>
          <w:p w14:paraId="6CAAD995">
            <w:pPr>
              <w:spacing w:line="360" w:lineRule="auto"/>
              <w:jc w:val="center"/>
              <w:rPr>
                <w:rFonts w:hint="eastAsia" w:ascii="仿宋" w:hAnsi="仿宋" w:eastAsia="仿宋" w:cs="仿宋"/>
                <w:sz w:val="24"/>
                <w:szCs w:val="24"/>
                <w:shd w:val="clear" w:color="auto" w:fill="auto"/>
              </w:rPr>
            </w:pPr>
          </w:p>
        </w:tc>
        <w:tc>
          <w:tcPr>
            <w:tcW w:w="1448" w:type="dxa"/>
            <w:vAlign w:val="center"/>
          </w:tcPr>
          <w:p w14:paraId="002C108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实施方案</w:t>
            </w:r>
          </w:p>
          <w:p w14:paraId="417B8EFF">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6785" w:type="dxa"/>
            <w:vAlign w:val="center"/>
          </w:tcPr>
          <w:p w14:paraId="47330341">
            <w:pPr>
              <w:keepNext w:val="0"/>
              <w:keepLines w:val="0"/>
              <w:widowControl/>
              <w:suppressLineNumbers w:val="0"/>
              <w:shd w:val="clear" w:color="auto" w:fill="auto"/>
              <w:spacing w:line="360" w:lineRule="auto"/>
              <w:ind w:left="0" w:leftChars="0" w:right="0" w:rightChars="0" w:firstLine="0" w:firstLineChars="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根据投标人提供的项目实施方案进行综合评分，应包含 以下内容：（1）实施进度(包含①工作内容划分；②工作进度目标及安排)；（2）人员配置(包含①人员配备、职能、责任划分；② 人员管理制度)；（3）供货流程(包含①接到供货消息后的人员、车辆安排情况；②特殊产品的供货措施)；（4）登记制度(包含①产品出仓前的产品、数量登记； ②产品运输过程在普通车辆、冷链车（医用冷链转运箱）等车辆上的登记情况)。（5）配送方案（包含①配送人员安排；②配送方式③ 配送时试剂耗材的质量保证④配送时储存方式⑤保证试剂耗材安全、准确、及时送达的措施）</w:t>
            </w:r>
            <w:r>
              <w:rPr>
                <w:rFonts w:hint="eastAsia" w:ascii="仿宋" w:hAnsi="仿宋" w:eastAsia="仿宋" w:cs="仿宋"/>
                <w:sz w:val="24"/>
                <w:szCs w:val="24"/>
              </w:rPr>
              <w:t>投标人满足以上方案全部得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r>
              <w:rPr>
                <w:rFonts w:hint="eastAsia" w:ascii="仿宋" w:hAnsi="仿宋" w:eastAsia="仿宋" w:cs="仿宋"/>
                <w:color w:val="auto"/>
                <w:kern w:val="2"/>
                <w:sz w:val="24"/>
                <w:szCs w:val="24"/>
                <w:lang w:val="en-US" w:eastAsia="zh-CN" w:bidi="ar-SA"/>
              </w:rPr>
              <w:t>。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6251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0" w:type="dxa"/>
            <w:vMerge w:val="continue"/>
            <w:vAlign w:val="center"/>
          </w:tcPr>
          <w:p w14:paraId="4D0DF959">
            <w:pPr>
              <w:spacing w:line="360" w:lineRule="auto"/>
              <w:jc w:val="center"/>
              <w:rPr>
                <w:rFonts w:hint="eastAsia" w:ascii="仿宋" w:hAnsi="仿宋" w:eastAsia="仿宋" w:cs="仿宋"/>
                <w:sz w:val="24"/>
                <w:szCs w:val="24"/>
                <w:shd w:val="clear" w:color="auto" w:fill="auto"/>
              </w:rPr>
            </w:pPr>
          </w:p>
        </w:tc>
        <w:tc>
          <w:tcPr>
            <w:tcW w:w="1448" w:type="dxa"/>
            <w:vAlign w:val="center"/>
          </w:tcPr>
          <w:p w14:paraId="0CB5922F">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质量保障</w:t>
            </w:r>
          </w:p>
          <w:p w14:paraId="7EF3616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方案</w:t>
            </w:r>
          </w:p>
          <w:p w14:paraId="76222BE5">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(8分)</w:t>
            </w:r>
          </w:p>
        </w:tc>
        <w:tc>
          <w:tcPr>
            <w:tcW w:w="6785" w:type="dxa"/>
            <w:vAlign w:val="center"/>
          </w:tcPr>
          <w:p w14:paraId="0301C211">
            <w:pPr>
              <w:numPr>
                <w:ilvl w:val="0"/>
                <w:numId w:val="0"/>
              </w:numPr>
              <w:spacing w:line="360" w:lineRule="auto"/>
              <w:ind w:left="0" w:leftChars="0" w:firstLine="0" w:firstLineChars="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针对本项目内容提出适用于本项目的质量保障方案，方案包括：①质量保证计划；②供货质量保障措施，质量故障退（换）；③质量保障制度；④质量跟踪与评估等；</w:t>
            </w:r>
            <w:r>
              <w:rPr>
                <w:rFonts w:hint="eastAsia" w:ascii="仿宋" w:hAnsi="仿宋" w:eastAsia="仿宋" w:cs="仿宋"/>
                <w:sz w:val="24"/>
                <w:szCs w:val="24"/>
              </w:rPr>
              <w:t>投标人满足以上方案全部得</w:t>
            </w:r>
            <w:r>
              <w:rPr>
                <w:rFonts w:hint="eastAsia" w:ascii="仿宋" w:hAnsi="仿宋" w:eastAsia="仿宋" w:cs="仿宋"/>
                <w:sz w:val="24"/>
                <w:szCs w:val="24"/>
                <w:lang w:val="en-US" w:eastAsia="zh-CN"/>
              </w:rPr>
              <w:t>8</w:t>
            </w:r>
            <w:r>
              <w:rPr>
                <w:rFonts w:hint="eastAsia" w:ascii="仿宋" w:hAnsi="仿宋" w:eastAsia="仿宋" w:cs="仿宋"/>
                <w:sz w:val="24"/>
                <w:szCs w:val="24"/>
              </w:rPr>
              <w:t>分</w:t>
            </w:r>
            <w:r>
              <w:rPr>
                <w:rFonts w:hint="eastAsia" w:ascii="仿宋" w:hAnsi="仿宋" w:eastAsia="仿宋" w:cs="仿宋"/>
                <w:color w:val="auto"/>
                <w:kern w:val="2"/>
                <w:sz w:val="24"/>
                <w:szCs w:val="24"/>
                <w:lang w:val="en-US" w:eastAsia="zh-CN" w:bidi="ar-SA"/>
              </w:rPr>
              <w:t>。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1BE5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0" w:type="dxa"/>
            <w:vMerge w:val="continue"/>
            <w:vAlign w:val="center"/>
          </w:tcPr>
          <w:p w14:paraId="67D55D39">
            <w:pPr>
              <w:spacing w:line="360" w:lineRule="auto"/>
              <w:jc w:val="center"/>
              <w:rPr>
                <w:rFonts w:hint="eastAsia" w:ascii="仿宋" w:hAnsi="仿宋" w:eastAsia="仿宋" w:cs="仿宋"/>
                <w:sz w:val="24"/>
                <w:szCs w:val="24"/>
                <w:shd w:val="clear" w:color="auto" w:fill="auto"/>
              </w:rPr>
            </w:pPr>
          </w:p>
        </w:tc>
        <w:tc>
          <w:tcPr>
            <w:tcW w:w="1448" w:type="dxa"/>
            <w:vAlign w:val="center"/>
          </w:tcPr>
          <w:p w14:paraId="4489F9BA">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类似业绩</w:t>
            </w:r>
          </w:p>
          <w:p w14:paraId="06A57537">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（6分）</w:t>
            </w:r>
          </w:p>
        </w:tc>
        <w:tc>
          <w:tcPr>
            <w:tcW w:w="6785" w:type="dxa"/>
            <w:vAlign w:val="center"/>
          </w:tcPr>
          <w:p w14:paraId="204283DD">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投标人提供(2023年1月1日至今）类似业绩，每提供1项业绩得1分，最多得6分。</w:t>
            </w:r>
          </w:p>
          <w:p w14:paraId="74D8D653">
            <w:pPr>
              <w:keepNext w:val="0"/>
              <w:keepLines w:val="0"/>
              <w:widowControl/>
              <w:suppressLineNumbers w:val="0"/>
              <w:shd w:val="clear" w:color="auto" w:fill="auto"/>
              <w:spacing w:line="360" w:lineRule="auto"/>
              <w:ind w:left="0" w:leftChars="0" w:right="0" w:rightChars="0" w:firstLine="0" w:firstLineChars="0"/>
              <w:jc w:val="left"/>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注：提供合同关键页（包含项目名称、合同标的、双方签字盖章页及合同签订日期等内容）或中标（成交）通知书并加盖公章，业绩证明材料需清晰可辨认，否则视为无效业绩。未提供不得分。</w:t>
            </w:r>
          </w:p>
        </w:tc>
      </w:tr>
      <w:tr w14:paraId="48CA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0" w:type="dxa"/>
            <w:vMerge w:val="continue"/>
            <w:vAlign w:val="center"/>
          </w:tcPr>
          <w:p w14:paraId="22327F19">
            <w:pPr>
              <w:spacing w:line="360" w:lineRule="auto"/>
              <w:jc w:val="center"/>
              <w:rPr>
                <w:rFonts w:hint="eastAsia" w:ascii="仿宋" w:hAnsi="仿宋" w:eastAsia="仿宋" w:cs="仿宋"/>
                <w:sz w:val="24"/>
                <w:szCs w:val="24"/>
                <w:shd w:val="clear" w:color="auto" w:fill="auto"/>
              </w:rPr>
            </w:pPr>
          </w:p>
        </w:tc>
        <w:tc>
          <w:tcPr>
            <w:tcW w:w="1448" w:type="dxa"/>
            <w:vAlign w:val="center"/>
          </w:tcPr>
          <w:p w14:paraId="7156DD0F">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应急处理</w:t>
            </w:r>
          </w:p>
          <w:p w14:paraId="0F398156">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方案</w:t>
            </w:r>
          </w:p>
          <w:p w14:paraId="19C8BB8C">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（8分）</w:t>
            </w:r>
          </w:p>
        </w:tc>
        <w:tc>
          <w:tcPr>
            <w:tcW w:w="6785" w:type="dxa"/>
            <w:vAlign w:val="center"/>
          </w:tcPr>
          <w:p w14:paraId="134224A0">
            <w:pPr>
              <w:keepNext w:val="0"/>
              <w:keepLines w:val="0"/>
              <w:widowControl/>
              <w:suppressLineNumbers w:val="0"/>
              <w:spacing w:line="360" w:lineRule="auto"/>
              <w:ind w:left="0" w:leftChars="0" w:right="0" w:rightChars="0" w:firstLine="0" w:firstLineChars="0"/>
              <w:jc w:val="left"/>
              <w:textAlignment w:val="center"/>
              <w:rPr>
                <w:rFonts w:hint="eastAsia" w:ascii="仿宋" w:hAnsi="仿宋" w:eastAsia="仿宋" w:cs="仿宋"/>
                <w:sz w:val="24"/>
                <w:szCs w:val="24"/>
              </w:rPr>
            </w:pPr>
            <w:r>
              <w:rPr>
                <w:rFonts w:hint="eastAsia" w:ascii="仿宋" w:hAnsi="仿宋" w:eastAsia="仿宋" w:cs="仿宋"/>
                <w:sz w:val="24"/>
                <w:szCs w:val="24"/>
              </w:rPr>
              <w:t>针对本项目内容提出适用于本项目的应急处理方案，方案包括：</w:t>
            </w:r>
            <w:r>
              <w:rPr>
                <w:rFonts w:hint="eastAsia" w:ascii="仿宋" w:hAnsi="仿宋" w:eastAsia="仿宋" w:cs="仿宋"/>
                <w:sz w:val="24"/>
                <w:szCs w:val="24"/>
                <w:lang w:val="en-US" w:eastAsia="zh-CN"/>
              </w:rPr>
              <w:t>1.</w:t>
            </w:r>
            <w:r>
              <w:rPr>
                <w:rFonts w:hint="eastAsia" w:ascii="仿宋" w:hAnsi="仿宋" w:eastAsia="仿宋" w:cs="仿宋"/>
                <w:sz w:val="24"/>
                <w:szCs w:val="24"/>
              </w:rPr>
              <w:t>应急小组人员构成；</w:t>
            </w:r>
            <w:r>
              <w:rPr>
                <w:rFonts w:hint="eastAsia" w:ascii="仿宋" w:hAnsi="仿宋" w:eastAsia="仿宋" w:cs="仿宋"/>
                <w:sz w:val="24"/>
                <w:szCs w:val="24"/>
                <w:lang w:val="en-US" w:eastAsia="zh-CN"/>
              </w:rPr>
              <w:t>2.</w:t>
            </w:r>
            <w:r>
              <w:rPr>
                <w:rFonts w:hint="eastAsia" w:ascii="仿宋" w:hAnsi="仿宋" w:eastAsia="仿宋" w:cs="仿宋"/>
                <w:sz w:val="24"/>
                <w:szCs w:val="24"/>
              </w:rPr>
              <w:t>应急设备设施投入；</w:t>
            </w:r>
            <w:r>
              <w:rPr>
                <w:rFonts w:hint="eastAsia" w:ascii="仿宋" w:hAnsi="仿宋" w:eastAsia="仿宋" w:cs="仿宋"/>
                <w:sz w:val="24"/>
                <w:szCs w:val="24"/>
                <w:lang w:val="en-US" w:eastAsia="zh-CN"/>
              </w:rPr>
              <w:t>3.</w:t>
            </w:r>
            <w:r>
              <w:rPr>
                <w:rFonts w:hint="eastAsia" w:ascii="仿宋" w:hAnsi="仿宋" w:eastAsia="仿宋" w:cs="仿宋"/>
                <w:sz w:val="24"/>
                <w:szCs w:val="24"/>
              </w:rPr>
              <w:t>应急预案</w:t>
            </w:r>
            <w:r>
              <w:rPr>
                <w:rFonts w:hint="eastAsia" w:ascii="仿宋" w:hAnsi="仿宋" w:eastAsia="仿宋" w:cs="仿宋"/>
                <w:sz w:val="24"/>
                <w:szCs w:val="24"/>
                <w:lang w:eastAsia="zh-CN"/>
              </w:rPr>
              <w:t>(包含①应急处理措施；②恶劣天气应对产品存储办法；③遇突发公共卫生事件处理情况；④验收不合格的应对措施)；</w:t>
            </w:r>
            <w:r>
              <w:rPr>
                <w:rFonts w:hint="eastAsia" w:ascii="仿宋" w:hAnsi="仿宋" w:eastAsia="仿宋" w:cs="仿宋"/>
                <w:sz w:val="24"/>
                <w:szCs w:val="24"/>
                <w:lang w:val="en-US" w:eastAsia="zh-CN"/>
              </w:rPr>
              <w:t>4.</w:t>
            </w:r>
            <w:r>
              <w:rPr>
                <w:rFonts w:hint="eastAsia" w:ascii="仿宋" w:hAnsi="仿宋" w:eastAsia="仿宋" w:cs="仿宋"/>
                <w:sz w:val="24"/>
                <w:szCs w:val="24"/>
              </w:rPr>
              <w:t>应急保障体系。投标人满足以上方案全部得</w:t>
            </w:r>
            <w:r>
              <w:rPr>
                <w:rFonts w:hint="eastAsia" w:ascii="仿宋" w:hAnsi="仿宋" w:eastAsia="仿宋" w:cs="仿宋"/>
                <w:sz w:val="24"/>
                <w:szCs w:val="24"/>
                <w:lang w:val="en-US" w:eastAsia="zh-CN"/>
              </w:rPr>
              <w:t>8</w:t>
            </w:r>
            <w:r>
              <w:rPr>
                <w:rFonts w:hint="eastAsia" w:ascii="仿宋" w:hAnsi="仿宋" w:eastAsia="仿宋" w:cs="仿宋"/>
                <w:sz w:val="24"/>
                <w:szCs w:val="24"/>
              </w:rPr>
              <w:t>分</w:t>
            </w:r>
            <w:r>
              <w:rPr>
                <w:rFonts w:hint="eastAsia" w:ascii="仿宋" w:hAnsi="仿宋" w:eastAsia="仿宋" w:cs="仿宋"/>
                <w:color w:val="auto"/>
                <w:kern w:val="2"/>
                <w:sz w:val="24"/>
                <w:szCs w:val="24"/>
                <w:lang w:val="en-US" w:eastAsia="zh-CN" w:bidi="ar-SA"/>
              </w:rPr>
              <w:t>。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0559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0" w:type="dxa"/>
            <w:vMerge w:val="continue"/>
            <w:vAlign w:val="center"/>
          </w:tcPr>
          <w:p w14:paraId="0A22A61D">
            <w:pPr>
              <w:spacing w:line="360" w:lineRule="auto"/>
              <w:jc w:val="center"/>
              <w:rPr>
                <w:rFonts w:hint="eastAsia" w:ascii="仿宋" w:hAnsi="仿宋" w:eastAsia="仿宋" w:cs="仿宋"/>
                <w:sz w:val="24"/>
                <w:szCs w:val="24"/>
                <w:shd w:val="clear" w:color="auto" w:fill="auto"/>
              </w:rPr>
            </w:pPr>
          </w:p>
        </w:tc>
        <w:tc>
          <w:tcPr>
            <w:tcW w:w="1448" w:type="dxa"/>
            <w:vAlign w:val="center"/>
          </w:tcPr>
          <w:p w14:paraId="5199B36A">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售后服</w:t>
            </w:r>
          </w:p>
          <w:p w14:paraId="56616492">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务方案</w:t>
            </w:r>
          </w:p>
          <w:p w14:paraId="64774989">
            <w:pPr>
              <w:keepNext w:val="0"/>
              <w:keepLines w:val="0"/>
              <w:widowControl/>
              <w:suppressLineNumbers w:val="0"/>
              <w:spacing w:line="360" w:lineRule="auto"/>
              <w:ind w:left="0" w:leftChars="0" w:right="0" w:rightChars="0" w:firstLine="0" w:firstLineChars="0"/>
              <w:jc w:val="center"/>
              <w:textAlignment w:val="cente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（10分）</w:t>
            </w:r>
          </w:p>
        </w:tc>
        <w:tc>
          <w:tcPr>
            <w:tcW w:w="6785" w:type="dxa"/>
            <w:vAlign w:val="center"/>
          </w:tcPr>
          <w:p w14:paraId="1566F648">
            <w:pPr>
              <w:numPr>
                <w:ilvl w:val="0"/>
                <w:numId w:val="0"/>
              </w:numPr>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b w:val="0"/>
                <w:bCs w:val="0"/>
                <w:color w:val="auto"/>
                <w:sz w:val="24"/>
                <w:szCs w:val="24"/>
                <w:highlight w:val="none"/>
                <w:lang w:val="en-US" w:eastAsia="zh-CN"/>
              </w:rPr>
              <w:t>针对本项目内容提出适用于本项目的售后服务方案，方案包括：①免费质保范围及质保响应时间，售后响应及处理时间；②售后服务点安排、售后服务方式及售后服务体系；③售后服务人员结构；④质量巡检计划（巡检时间、巡检流程）（包括响应时间、对采购人造成损失的补偿措施等内容）；⑤对产品质量退（换）承诺；</w:t>
            </w:r>
            <w:r>
              <w:rPr>
                <w:rFonts w:hint="eastAsia" w:ascii="仿宋" w:hAnsi="仿宋" w:eastAsia="仿宋" w:cs="仿宋"/>
                <w:sz w:val="24"/>
                <w:szCs w:val="24"/>
              </w:rPr>
              <w:t>投标人满足以上方案全部得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r>
              <w:rPr>
                <w:rFonts w:hint="eastAsia" w:ascii="仿宋" w:hAnsi="仿宋" w:eastAsia="仿宋" w:cs="仿宋"/>
                <w:color w:val="auto"/>
                <w:kern w:val="2"/>
                <w:sz w:val="24"/>
                <w:szCs w:val="24"/>
                <w:lang w:val="en-US" w:eastAsia="zh-CN" w:bidi="ar-SA"/>
              </w:rPr>
              <w:t>。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2D48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00" w:type="dxa"/>
            <w:vMerge w:val="continue"/>
            <w:vAlign w:val="center"/>
          </w:tcPr>
          <w:p w14:paraId="1FF9C74B">
            <w:pPr>
              <w:spacing w:line="360" w:lineRule="auto"/>
              <w:jc w:val="center"/>
              <w:rPr>
                <w:rFonts w:hint="eastAsia" w:ascii="仿宋" w:hAnsi="仿宋" w:eastAsia="仿宋" w:cs="仿宋"/>
                <w:sz w:val="24"/>
                <w:szCs w:val="24"/>
                <w:shd w:val="clear" w:color="auto" w:fill="auto"/>
              </w:rPr>
            </w:pPr>
          </w:p>
        </w:tc>
        <w:tc>
          <w:tcPr>
            <w:tcW w:w="1448" w:type="dxa"/>
            <w:vAlign w:val="center"/>
          </w:tcPr>
          <w:p w14:paraId="40323268">
            <w:pPr>
              <w:keepNext w:val="0"/>
              <w:keepLines w:val="0"/>
              <w:widowControl/>
              <w:suppressLineNumbers w:val="0"/>
              <w:spacing w:line="360" w:lineRule="auto"/>
              <w:ind w:left="0" w:leftChars="0" w:right="0" w:rightChars="0" w:firstLine="0" w:firstLineChars="0"/>
              <w:jc w:val="center"/>
              <w:textAlignment w:val="center"/>
              <w:rPr>
                <w:rFonts w:hint="default" w:ascii="仿宋" w:hAnsi="仿宋" w:eastAsia="仿宋" w:cs="仿宋"/>
                <w:i w:val="0"/>
                <w:iCs w:val="0"/>
                <w:color w:val="000000"/>
                <w:spacing w:val="0"/>
                <w:w w:val="100"/>
                <w:kern w:val="0"/>
                <w:position w:val="0"/>
                <w:sz w:val="24"/>
                <w:szCs w:val="24"/>
                <w:u w:val="none"/>
                <w:shd w:val="clear" w:color="auto" w:fill="auto"/>
                <w:lang w:val="en-US" w:eastAsia="zh-CN" w:bidi="ar"/>
              </w:rPr>
            </w:pPr>
            <w:r>
              <w:rPr>
                <w:rFonts w:hint="default" w:ascii="仿宋" w:hAnsi="仿宋" w:eastAsia="仿宋" w:cs="仿宋"/>
                <w:i w:val="0"/>
                <w:iCs w:val="0"/>
                <w:color w:val="000000"/>
                <w:spacing w:val="0"/>
                <w:w w:val="100"/>
                <w:kern w:val="0"/>
                <w:position w:val="0"/>
                <w:sz w:val="24"/>
                <w:szCs w:val="24"/>
                <w:u w:val="none"/>
                <w:shd w:val="clear" w:color="auto" w:fill="auto"/>
                <w:lang w:val="en-US" w:eastAsia="zh-CN" w:bidi="ar"/>
              </w:rPr>
              <w:t>仓储设施设备及备品库存</w:t>
            </w: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（3</w:t>
            </w:r>
            <w:r>
              <w:rPr>
                <w:rFonts w:hint="default" w:ascii="仿宋" w:hAnsi="仿宋" w:eastAsia="仿宋" w:cs="仿宋"/>
                <w:i w:val="0"/>
                <w:iCs w:val="0"/>
                <w:color w:val="000000"/>
                <w:spacing w:val="0"/>
                <w:w w:val="100"/>
                <w:kern w:val="0"/>
                <w:position w:val="0"/>
                <w:sz w:val="24"/>
                <w:szCs w:val="24"/>
                <w:u w:val="none"/>
                <w:shd w:val="clear" w:color="auto" w:fill="auto"/>
                <w:lang w:val="en-US" w:eastAsia="zh-CN" w:bidi="ar"/>
              </w:rPr>
              <w:t>分</w:t>
            </w:r>
            <w:r>
              <w:rPr>
                <w:rFonts w:hint="eastAsia" w:ascii="仿宋" w:hAnsi="仿宋" w:eastAsia="仿宋" w:cs="仿宋"/>
                <w:i w:val="0"/>
                <w:iCs w:val="0"/>
                <w:color w:val="000000"/>
                <w:spacing w:val="0"/>
                <w:w w:val="100"/>
                <w:kern w:val="0"/>
                <w:position w:val="0"/>
                <w:sz w:val="24"/>
                <w:szCs w:val="24"/>
                <w:u w:val="none"/>
                <w:shd w:val="clear" w:color="auto" w:fill="auto"/>
                <w:lang w:val="en-US" w:eastAsia="zh-CN" w:bidi="ar"/>
              </w:rPr>
              <w:t>）</w:t>
            </w:r>
          </w:p>
        </w:tc>
        <w:tc>
          <w:tcPr>
            <w:tcW w:w="6785" w:type="dxa"/>
            <w:vAlign w:val="center"/>
          </w:tcPr>
          <w:p w14:paraId="3AE69D3F">
            <w:pPr>
              <w:keepNext w:val="0"/>
              <w:keepLines w:val="0"/>
              <w:widowControl/>
              <w:suppressLineNumbers w:val="0"/>
              <w:spacing w:line="360" w:lineRule="auto"/>
              <w:ind w:left="0" w:leftChars="0" w:right="0" w:rightChars="0" w:firstLine="0" w:firstLineChars="0"/>
              <w:jc w:val="left"/>
              <w:textAlignment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1、仓储库房面积；2、仓储设备、运输车辆、仓储具有冷冻冷藏功能（冷冻冷藏功能根据产品需要）</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3、备品库存</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以上内容每提供一项内容得</w:t>
            </w: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zh-CN"/>
              </w:rPr>
              <w:t>分，未提供不得分。</w:t>
            </w:r>
          </w:p>
          <w:p w14:paraId="482CD348">
            <w:pPr>
              <w:keepNext w:val="0"/>
              <w:keepLines w:val="0"/>
              <w:widowControl/>
              <w:suppressLineNumbers w:val="0"/>
              <w:spacing w:line="360" w:lineRule="auto"/>
              <w:ind w:left="0" w:leftChars="0" w:right="0" w:rightChars="0" w:firstLine="0" w:firstLineChars="0"/>
              <w:jc w:val="left"/>
              <w:textAlignment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需提供相关证明材料，如仓存租赁合同或房产证等证明材料、仓存设备购置发票及仓存具有冷冻冷藏功能证明、备品库存清单等，未提供相关证明材料相应内容不得分。</w:t>
            </w:r>
          </w:p>
        </w:tc>
      </w:tr>
    </w:tbl>
    <w:p w14:paraId="404C1E64">
      <w:pPr>
        <w:keepNext w:val="0"/>
        <w:keepLines w:val="0"/>
        <w:pageBreakBefore w:val="0"/>
        <w:widowControl w:val="0"/>
        <w:kinsoku/>
        <w:wordWrap/>
        <w:overflowPunct/>
        <w:topLinePunct w:val="0"/>
        <w:autoSpaceDE/>
        <w:autoSpaceDN/>
        <w:bidi w:val="0"/>
        <w:adjustRightInd/>
        <w:snapToGrid/>
        <w:spacing w:line="45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如评标专家在检验电子标书过程中，如果由于</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bidi="ar-SA"/>
        </w:rPr>
        <w:t>自身原因导致评标专家无法查看并检验电子标书中以上相关资料的，否决其投标。即使投标单位将原件携带至现场的，同样按无效投标处理。</w:t>
      </w:r>
    </w:p>
    <w:p w14:paraId="22D43AE8">
      <w:pPr>
        <w:pStyle w:val="49"/>
        <w:keepNext w:val="0"/>
        <w:keepLines w:val="0"/>
        <w:pageBreakBefore w:val="0"/>
        <w:widowControl w:val="0"/>
        <w:tabs>
          <w:tab w:val="left" w:pos="1701"/>
        </w:tabs>
        <w:kinsoku/>
        <w:wordWrap/>
        <w:overflowPunct/>
        <w:topLinePunct w:val="0"/>
        <w:autoSpaceDE/>
        <w:autoSpaceDN/>
        <w:bidi w:val="0"/>
        <w:adjustRightInd/>
        <w:snapToGrid/>
        <w:spacing w:line="450" w:lineRule="exact"/>
        <w:ind w:left="0"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10.2.2价格评分方法</w:t>
      </w:r>
    </w:p>
    <w:p w14:paraId="3254C64F">
      <w:pPr>
        <w:keepNext w:val="0"/>
        <w:keepLines w:val="0"/>
        <w:pageBreakBefore w:val="0"/>
        <w:widowControl w:val="0"/>
        <w:kinsoku/>
        <w:wordWrap/>
        <w:overflowPunct/>
        <w:topLinePunct w:val="0"/>
        <w:autoSpaceDE/>
        <w:autoSpaceDN/>
        <w:bidi w:val="0"/>
        <w:adjustRightInd/>
        <w:snapToGrid/>
        <w:spacing w:line="45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满足招标文件技术要求且投标价格最低的投标报价为评标基准价，其价格分为满分。其他</w:t>
      </w:r>
      <w:r>
        <w:rPr>
          <w:rFonts w:hint="eastAsia" w:ascii="仿宋" w:hAnsi="仿宋" w:eastAsia="仿宋" w:cs="仿宋"/>
          <w:color w:val="auto"/>
          <w:szCs w:val="21"/>
          <w:highlight w:val="none"/>
          <w:lang w:val="en-US" w:eastAsia="zh-CN" w:bidi="ar-SA"/>
        </w:rPr>
        <w:t>投标人</w:t>
      </w:r>
      <w:r>
        <w:rPr>
          <w:rFonts w:hint="eastAsia" w:ascii="仿宋" w:hAnsi="仿宋" w:eastAsia="仿宋" w:cs="仿宋"/>
          <w:color w:val="auto"/>
          <w:szCs w:val="21"/>
          <w:highlight w:val="none"/>
          <w:lang w:eastAsia="zh-CN" w:bidi="ar-SA"/>
        </w:rPr>
        <w:t>的价格分别按照下列公式计算： 投标报价得分=（评标基准价/投标报价）×价格权重。</w:t>
      </w:r>
    </w:p>
    <w:p w14:paraId="244606D1">
      <w:pPr>
        <w:keepNext w:val="0"/>
        <w:keepLines w:val="0"/>
        <w:pageBreakBefore w:val="0"/>
        <w:kinsoku/>
        <w:wordWrap/>
        <w:overflowPunct/>
        <w:topLinePunct w:val="0"/>
        <w:autoSpaceDE/>
        <w:autoSpaceDN/>
        <w:bidi w:val="0"/>
        <w:adjustRightInd/>
        <w:spacing w:beforeLines="50" w:line="450" w:lineRule="exact"/>
        <w:jc w:val="center"/>
        <w:textAlignment w:val="auto"/>
        <w:outlineLvl w:val="1"/>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五  推荐中标候选人</w:t>
      </w:r>
      <w:bookmarkEnd w:id="44"/>
      <w:bookmarkEnd w:id="45"/>
    </w:p>
    <w:p w14:paraId="5CBF097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11.1评标委员会推荐3名中标候选人，并标明排序。</w:t>
      </w:r>
    </w:p>
    <w:p w14:paraId="447B1651">
      <w:pPr>
        <w:keepNext w:val="0"/>
        <w:keepLines w:val="0"/>
        <w:pageBreakBefore w:val="0"/>
        <w:kinsoku/>
        <w:wordWrap/>
        <w:overflowPunct/>
        <w:topLinePunct w:val="0"/>
        <w:autoSpaceDE/>
        <w:autoSpaceDN/>
        <w:bidi w:val="0"/>
        <w:adjustRightInd/>
        <w:spacing w:line="440" w:lineRule="exact"/>
        <w:ind w:firstLine="475" w:firstLineChars="196"/>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11.2如出现报价相同情况，则由招标人现场抽签确定中标候选人排名顺序。</w:t>
      </w:r>
    </w:p>
    <w:bookmarkEnd w:id="39"/>
    <w:p w14:paraId="19AFF42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12.无效投标条款</w:t>
      </w:r>
    </w:p>
    <w:p w14:paraId="2312115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12.1投标文件有下列情形之一的,其投标文件拒收:</w:t>
      </w:r>
    </w:p>
    <w:p w14:paraId="0733FD89">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b/>
          <w:bCs/>
          <w:color w:val="auto"/>
          <w:szCs w:val="21"/>
          <w:highlight w:val="none"/>
          <w:lang w:eastAsia="zh-CN"/>
        </w:rPr>
        <w:t xml:space="preserve"> (1) 未在开标截止时间前通过网上招标投标系统递交有效电子投标文件的，开标系统不予接收。</w:t>
      </w:r>
    </w:p>
    <w:p w14:paraId="31274448">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w:t>
      </w:r>
      <w:r>
        <w:rPr>
          <w:rFonts w:hint="eastAsia" w:ascii="仿宋" w:hAnsi="仿宋" w:eastAsia="仿宋" w:cs="仿宋"/>
          <w:b/>
          <w:color w:val="auto"/>
          <w:szCs w:val="21"/>
          <w:highlight w:val="none"/>
          <w:lang w:eastAsia="zh-CN"/>
        </w:rPr>
        <w:t>所有投标人应在规定时间里完成投标文件的解密工作</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投标人</w:t>
      </w:r>
      <w:r>
        <w:rPr>
          <w:rFonts w:hint="eastAsia" w:ascii="仿宋" w:hAnsi="仿宋" w:eastAsia="仿宋" w:cs="仿宋"/>
          <w:b/>
          <w:bCs/>
          <w:color w:val="auto"/>
          <w:szCs w:val="21"/>
          <w:highlight w:val="none"/>
          <w:lang w:eastAsia="zh-CN"/>
        </w:rPr>
        <w:t>使用其有效加密锁（CA锁）进行解密（因</w:t>
      </w:r>
      <w:r>
        <w:rPr>
          <w:rFonts w:hint="eastAsia" w:ascii="仿宋" w:hAnsi="仿宋" w:eastAsia="仿宋" w:cs="仿宋"/>
          <w:b/>
          <w:bCs/>
          <w:color w:val="auto"/>
          <w:szCs w:val="21"/>
          <w:highlight w:val="none"/>
          <w:lang w:val="en-US" w:eastAsia="zh-CN"/>
        </w:rPr>
        <w:t>投标人</w:t>
      </w:r>
      <w:r>
        <w:rPr>
          <w:rFonts w:hint="eastAsia" w:ascii="仿宋" w:hAnsi="仿宋" w:eastAsia="仿宋" w:cs="仿宋"/>
          <w:b/>
          <w:bCs/>
          <w:color w:val="auto"/>
          <w:szCs w:val="21"/>
          <w:highlight w:val="none"/>
          <w:lang w:eastAsia="zh-CN"/>
        </w:rPr>
        <w:t>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lang w:eastAsia="zh-CN"/>
        </w:rPr>
        <w:t>，因系统原因未能成功解密的投标文件，可导入备份投标文件。备份投标文件也无法导入的，则投标文件被否决。</w:t>
      </w:r>
    </w:p>
    <w:p w14:paraId="4C238898">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12.2</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有下列情形之一的,资格审查后其投标作无效投标处理：</w:t>
      </w:r>
    </w:p>
    <w:p w14:paraId="21ACF617">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(1)法定代表人参加开标会议未携带有效的法定代表人身份证明原件和本人身份证的；委托代理人参加开标会议未携带有效的法定代表人授权书和本人身份证；</w:t>
      </w:r>
    </w:p>
    <w:p w14:paraId="43D23FE6">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为本项目提供招标代理服务的；</w:t>
      </w:r>
    </w:p>
    <w:p w14:paraId="09344C4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与在本项目代理机构存在相互任职或工作的；</w:t>
      </w:r>
    </w:p>
    <w:p w14:paraId="1E013F85">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(4)投标保证金未按规定要求缴纳的；</w:t>
      </w:r>
    </w:p>
    <w:p w14:paraId="26A3021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(5)评标专家无法查看并检验电子标书中相关资料的；</w:t>
      </w:r>
    </w:p>
    <w:p w14:paraId="2FF751E1">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超出营业范围投标的；</w:t>
      </w:r>
    </w:p>
    <w:p w14:paraId="56E85528">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(7)联合体投标未提交联合体协议的；</w:t>
      </w:r>
    </w:p>
    <w:p w14:paraId="6C6733D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(8)被暂停营业的；</w:t>
      </w:r>
    </w:p>
    <w:p w14:paraId="251D567B">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(9)被暂停或取消投标资格的；</w:t>
      </w:r>
    </w:p>
    <w:p w14:paraId="27BDF62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(10)财产被接管或冻结的；</w:t>
      </w:r>
    </w:p>
    <w:p w14:paraId="534DB982">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单位负责人为同一人或者存在控股、管理关系的不同单位的；</w:t>
      </w:r>
    </w:p>
    <w:p w14:paraId="35B153C1">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基本资格条件和特定资格条件中有一项及以上不符合要求的；</w:t>
      </w:r>
    </w:p>
    <w:p w14:paraId="33CAB5E7">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使用相同的MAC地址进行报名的；</w:t>
      </w:r>
    </w:p>
    <w:p w14:paraId="0CBE1048">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（14）其它情形，经评标委员会委提出按无效投标处理，并经公共资源交易监督部门核准的；</w:t>
      </w:r>
    </w:p>
    <w:p w14:paraId="0E6C9EBD">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使用相同IP地址报名的，一经发现，监管部门将进一步核实，查实后按串通投标处理；</w:t>
      </w:r>
    </w:p>
    <w:p w14:paraId="5DADA49F">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（16）采购文件规定的其它无效投标情形。</w:t>
      </w:r>
    </w:p>
    <w:p w14:paraId="73407C3B">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12.3 </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有下列情形之一的,符合性审查后其投标按无效投标处理：</w:t>
      </w:r>
    </w:p>
    <w:p w14:paraId="0FC8A50A">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 投标文件签章、盖章不全，经评标委员会一致认定对开评标内容有实质性影响并经监督部门核准的；</w:t>
      </w:r>
    </w:p>
    <w:p w14:paraId="0D57D14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(2)未按规定的格式填写，实质性内容不全或关键字迹模糊、无法辨认; 经监督部门核准的；</w:t>
      </w:r>
    </w:p>
    <w:p w14:paraId="3EA1623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(4)同一</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提交两个以上不同的投标文件或者投标报价，但采购文件规定提交备选方案的除外；</w:t>
      </w:r>
    </w:p>
    <w:p w14:paraId="505EBFEE">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(3)投标文件没有对采购文件的实质性要求和条件作出响应;</w:t>
      </w:r>
    </w:p>
    <w:p w14:paraId="5988BDFA">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(4)投标报价超出规定的投标限价或公布的采购预算的；</w:t>
      </w:r>
    </w:p>
    <w:p w14:paraId="5E009158">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(5)不按评标委员会要求澄清、说明或补正的，或者评标委员会根据采购文件的规定对采购文件的计算错误进行修正后，</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不接受修正的投标报价的。</w:t>
      </w:r>
    </w:p>
    <w:p w14:paraId="447862BB">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（6）其它情形，经评标委员会委提出按无效投标处理，并经公共资源交易监督部门核准的；</w:t>
      </w:r>
    </w:p>
    <w:p w14:paraId="4E564635">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shd w:val="clear" w:color="auto" w:fill="FFFFFF"/>
          <w:lang w:eastAsia="zh-CN"/>
        </w:rPr>
        <w:t>未按照招标文件的规定提交投标保证金的；</w:t>
      </w:r>
    </w:p>
    <w:p w14:paraId="5D2E07D8">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shd w:val="clear" w:color="auto" w:fill="FFFFFF"/>
          <w:lang w:eastAsia="zh-CN"/>
        </w:rPr>
        <w:t>投标文件含有采购人不能接受的附加条件的;</w:t>
      </w:r>
    </w:p>
    <w:p w14:paraId="62D9380C">
      <w:pPr>
        <w:keepNext w:val="0"/>
        <w:keepLines w:val="0"/>
        <w:pageBreakBefore w:val="0"/>
        <w:tabs>
          <w:tab w:val="left" w:pos="1123"/>
        </w:tabs>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（9）采购文件规定的其它无效投标情形。</w:t>
      </w:r>
    </w:p>
    <w:p w14:paraId="725DAA17">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12.4 </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有下列情形之一的, 详细评审后其投标按无效投标处理：</w:t>
      </w:r>
    </w:p>
    <w:p w14:paraId="66091686">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(1)投标产品不符合必须强制执行的国家标准的；</w:t>
      </w:r>
    </w:p>
    <w:p w14:paraId="19271B93">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w:t>
      </w:r>
      <w:r>
        <w:rPr>
          <w:rFonts w:hint="eastAsia" w:ascii="仿宋" w:hAnsi="仿宋" w:eastAsia="仿宋" w:cs="仿宋"/>
          <w:lang w:val="en-US" w:eastAsia="zh-CN"/>
        </w:rPr>
        <w:t>投标人</w:t>
      </w:r>
      <w:r>
        <w:rPr>
          <w:rFonts w:hint="eastAsia" w:ascii="仿宋" w:hAnsi="仿宋" w:eastAsia="仿宋" w:cs="仿宋"/>
          <w:color w:val="auto"/>
          <w:szCs w:val="21"/>
          <w:highlight w:val="none"/>
          <w:lang w:eastAsia="zh-CN"/>
        </w:rPr>
        <w:t>有串通投标、弄虚作假、行贿等违法行为；</w:t>
      </w:r>
    </w:p>
    <w:p w14:paraId="0E0AAFF5">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(3)投标文件含有违反国家法律、法规的内容，或附有招标人不能接受的条件的；</w:t>
      </w:r>
    </w:p>
    <w:p w14:paraId="53292062">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（4）在同一项目（或同一标段）中有多个供应商有效投标报价接近最高限价，且评标委员会认为报价出现异常的，可以宣布其投标无效；</w:t>
      </w:r>
    </w:p>
    <w:p w14:paraId="7692020E">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（5）报价明显低于其他</w:t>
      </w:r>
      <w:r>
        <w:rPr>
          <w:rFonts w:hint="eastAsia" w:ascii="仿宋" w:hAnsi="仿宋" w:eastAsia="仿宋" w:cs="仿宋"/>
          <w:color w:val="auto"/>
          <w:szCs w:val="21"/>
          <w:highlight w:val="none"/>
          <w:lang w:val="en-US" w:eastAsia="zh-CN"/>
        </w:rPr>
        <w:t>投标人</w:t>
      </w:r>
      <w:r>
        <w:rPr>
          <w:rFonts w:hint="eastAsia" w:ascii="仿宋" w:hAnsi="仿宋" w:eastAsia="仿宋" w:cs="仿宋"/>
          <w:color w:val="auto"/>
          <w:szCs w:val="21"/>
          <w:highlight w:val="none"/>
          <w:lang w:eastAsia="zh-CN"/>
        </w:rPr>
        <w:t>，且不能证明报价合理性的投标无效；</w:t>
      </w:r>
    </w:p>
    <w:p w14:paraId="16C9D881">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（6）拒不确认评标委员会评审修正的投标无效；</w:t>
      </w:r>
    </w:p>
    <w:p w14:paraId="4FD184EF">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（7）其它情形，经评标委员会委提出按无效投标处理，并经公共资源交易监督部门核准的；</w:t>
      </w:r>
    </w:p>
    <w:p w14:paraId="2F3A7566">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（8）采购文件规定的其它无效投标情形。</w:t>
      </w:r>
    </w:p>
    <w:bookmarkEnd w:id="40"/>
    <w:p w14:paraId="0D5091FB">
      <w:pPr>
        <w:numPr>
          <w:ilvl w:val="0"/>
          <w:numId w:val="0"/>
        </w:numPr>
        <w:jc w:val="center"/>
        <w:rPr>
          <w:rFonts w:hint="eastAsia" w:ascii="仿宋" w:hAnsi="仿宋" w:eastAsia="仿宋" w:cs="仿宋"/>
          <w:b/>
          <w:bCs w:val="0"/>
          <w:color w:val="auto"/>
          <w:sz w:val="36"/>
          <w:szCs w:val="36"/>
          <w:highlight w:val="none"/>
          <w:lang w:eastAsia="zh-CN"/>
        </w:rPr>
      </w:pPr>
      <w:bookmarkStart w:id="46" w:name="_Toc469495737"/>
      <w:bookmarkStart w:id="47" w:name="OLE_LINK4"/>
      <w:bookmarkStart w:id="48" w:name="_Toc267320052"/>
      <w:bookmarkStart w:id="49" w:name="_Toc340225294"/>
    </w:p>
    <w:p w14:paraId="4FC6D131">
      <w:pPr>
        <w:numPr>
          <w:ilvl w:val="0"/>
          <w:numId w:val="0"/>
        </w:numPr>
        <w:jc w:val="center"/>
        <w:rPr>
          <w:rFonts w:hint="eastAsia" w:ascii="仿宋" w:hAnsi="仿宋" w:eastAsia="仿宋" w:cs="仿宋"/>
          <w:b/>
          <w:bCs w:val="0"/>
          <w:color w:val="auto"/>
          <w:sz w:val="36"/>
          <w:szCs w:val="36"/>
          <w:highlight w:val="none"/>
          <w:lang w:eastAsia="zh-CN"/>
        </w:rPr>
      </w:pPr>
    </w:p>
    <w:p w14:paraId="6234BF71">
      <w:pPr>
        <w:numPr>
          <w:ilvl w:val="0"/>
          <w:numId w:val="0"/>
        </w:numPr>
        <w:jc w:val="center"/>
        <w:rPr>
          <w:rFonts w:hint="eastAsia" w:ascii="仿宋" w:hAnsi="仿宋" w:eastAsia="仿宋" w:cs="仿宋"/>
          <w:b/>
          <w:bCs w:val="0"/>
          <w:color w:val="auto"/>
          <w:sz w:val="36"/>
          <w:szCs w:val="36"/>
          <w:highlight w:val="none"/>
          <w:lang w:eastAsia="zh-CN"/>
        </w:rPr>
      </w:pPr>
    </w:p>
    <w:p w14:paraId="1315EC89">
      <w:pPr>
        <w:numPr>
          <w:ilvl w:val="0"/>
          <w:numId w:val="0"/>
        </w:numPr>
        <w:jc w:val="center"/>
        <w:rPr>
          <w:rFonts w:hint="eastAsia" w:ascii="仿宋" w:hAnsi="仿宋" w:eastAsia="仿宋" w:cs="仿宋"/>
          <w:b/>
          <w:bCs w:val="0"/>
          <w:color w:val="auto"/>
          <w:sz w:val="36"/>
          <w:szCs w:val="36"/>
          <w:highlight w:val="none"/>
          <w:lang w:eastAsia="zh-CN"/>
        </w:rPr>
      </w:pPr>
    </w:p>
    <w:p w14:paraId="37967F9B">
      <w:pPr>
        <w:numPr>
          <w:ilvl w:val="0"/>
          <w:numId w:val="0"/>
        </w:numPr>
        <w:jc w:val="center"/>
        <w:rPr>
          <w:rFonts w:hint="eastAsia" w:ascii="仿宋" w:hAnsi="仿宋" w:eastAsia="仿宋" w:cs="仿宋"/>
          <w:b/>
          <w:bCs w:val="0"/>
          <w:color w:val="auto"/>
          <w:sz w:val="36"/>
          <w:szCs w:val="36"/>
          <w:highlight w:val="none"/>
          <w:lang w:eastAsia="zh-CN"/>
        </w:rPr>
      </w:pPr>
    </w:p>
    <w:p w14:paraId="350C981F">
      <w:pPr>
        <w:numPr>
          <w:ilvl w:val="0"/>
          <w:numId w:val="0"/>
        </w:numPr>
        <w:jc w:val="center"/>
        <w:rPr>
          <w:rFonts w:hint="eastAsia" w:ascii="仿宋" w:hAnsi="仿宋" w:eastAsia="仿宋" w:cs="仿宋"/>
          <w:b/>
          <w:bCs w:val="0"/>
          <w:color w:val="auto"/>
          <w:sz w:val="36"/>
          <w:szCs w:val="36"/>
          <w:highlight w:val="none"/>
          <w:lang w:eastAsia="zh-CN"/>
        </w:rPr>
      </w:pPr>
    </w:p>
    <w:p w14:paraId="7D34A9BC">
      <w:pPr>
        <w:numPr>
          <w:ilvl w:val="0"/>
          <w:numId w:val="0"/>
        </w:numPr>
        <w:jc w:val="center"/>
        <w:rPr>
          <w:rFonts w:hint="eastAsia" w:ascii="仿宋" w:hAnsi="仿宋" w:eastAsia="仿宋" w:cs="仿宋"/>
          <w:b/>
          <w:bCs w:val="0"/>
          <w:color w:val="auto"/>
          <w:sz w:val="36"/>
          <w:szCs w:val="36"/>
          <w:highlight w:val="none"/>
          <w:lang w:eastAsia="zh-CN"/>
        </w:rPr>
      </w:pPr>
    </w:p>
    <w:p w14:paraId="4B868366">
      <w:pPr>
        <w:numPr>
          <w:ilvl w:val="0"/>
          <w:numId w:val="0"/>
        </w:numPr>
        <w:jc w:val="center"/>
        <w:rPr>
          <w:rFonts w:hint="eastAsia" w:ascii="仿宋" w:hAnsi="仿宋" w:eastAsia="仿宋" w:cs="仿宋"/>
          <w:b/>
          <w:bCs w:val="0"/>
          <w:color w:val="auto"/>
          <w:sz w:val="36"/>
          <w:szCs w:val="36"/>
          <w:highlight w:val="none"/>
          <w:lang w:eastAsia="zh-CN"/>
        </w:rPr>
      </w:pPr>
    </w:p>
    <w:p w14:paraId="3C55704E">
      <w:pPr>
        <w:numPr>
          <w:ilvl w:val="0"/>
          <w:numId w:val="0"/>
        </w:numPr>
        <w:jc w:val="center"/>
        <w:rPr>
          <w:rFonts w:hint="eastAsia" w:ascii="仿宋" w:hAnsi="仿宋" w:eastAsia="仿宋" w:cs="仿宋"/>
          <w:b/>
          <w:bCs w:val="0"/>
          <w:color w:val="auto"/>
          <w:sz w:val="36"/>
          <w:szCs w:val="36"/>
          <w:highlight w:val="none"/>
          <w:lang w:eastAsia="zh-CN"/>
        </w:rPr>
      </w:pPr>
    </w:p>
    <w:p w14:paraId="4172ABBB">
      <w:pPr>
        <w:numPr>
          <w:ilvl w:val="0"/>
          <w:numId w:val="0"/>
        </w:numPr>
        <w:jc w:val="cente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36"/>
          <w:szCs w:val="36"/>
          <w:highlight w:val="none"/>
          <w:lang w:eastAsia="zh-CN"/>
        </w:rPr>
        <w:t>第四章</w:t>
      </w:r>
      <w:r>
        <w:rPr>
          <w:rFonts w:hint="eastAsia" w:ascii="仿宋" w:hAnsi="仿宋" w:eastAsia="仿宋" w:cs="仿宋"/>
          <w:b/>
          <w:bCs w:val="0"/>
          <w:color w:val="auto"/>
          <w:sz w:val="36"/>
          <w:szCs w:val="36"/>
          <w:highlight w:val="none"/>
          <w:lang w:val="en-US" w:eastAsia="zh-CN"/>
        </w:rPr>
        <w:t xml:space="preserve"> </w:t>
      </w:r>
      <w:r>
        <w:rPr>
          <w:rFonts w:hint="eastAsia" w:ascii="仿宋" w:hAnsi="仿宋" w:eastAsia="仿宋" w:cs="仿宋"/>
          <w:b/>
          <w:bCs w:val="0"/>
          <w:color w:val="auto"/>
          <w:sz w:val="36"/>
          <w:szCs w:val="36"/>
          <w:highlight w:val="none"/>
          <w:lang w:eastAsia="zh-CN"/>
        </w:rPr>
        <w:t>技术规格、数量及质量要求</w:t>
      </w:r>
      <w:bookmarkEnd w:id="46"/>
      <w:bookmarkEnd w:id="47"/>
    </w:p>
    <w:bookmarkEnd w:id="48"/>
    <w:bookmarkEnd w:id="49"/>
    <w:p w14:paraId="3149C1A0">
      <w:pPr>
        <w:numPr>
          <w:ilvl w:val="0"/>
          <w:numId w:val="0"/>
        </w:numPr>
        <w:jc w:val="cente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lang w:eastAsia="zh-CN"/>
        </w:rPr>
        <w:t>2026年试剂耗材采购项目（</w:t>
      </w:r>
      <w:r>
        <w:rPr>
          <w:rFonts w:hint="eastAsia" w:ascii="仿宋" w:hAnsi="仿宋" w:eastAsia="仿宋" w:cs="仿宋"/>
          <w:b/>
          <w:bCs w:val="0"/>
          <w:color w:val="auto"/>
          <w:sz w:val="28"/>
          <w:szCs w:val="28"/>
          <w:highlight w:val="none"/>
          <w:lang w:val="en-US" w:eastAsia="zh-CN"/>
        </w:rPr>
        <w:t>二次</w:t>
      </w:r>
      <w:r>
        <w:rPr>
          <w:rFonts w:hint="eastAsia" w:ascii="仿宋" w:hAnsi="仿宋" w:eastAsia="仿宋" w:cs="仿宋"/>
          <w:b/>
          <w:bCs w:val="0"/>
          <w:color w:val="auto"/>
          <w:sz w:val="28"/>
          <w:szCs w:val="28"/>
          <w:highlight w:val="none"/>
          <w:lang w:eastAsia="zh-CN"/>
        </w:rPr>
        <w:t>）</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1"/>
        <w:gridCol w:w="1704"/>
        <w:gridCol w:w="1029"/>
        <w:gridCol w:w="1431"/>
        <w:gridCol w:w="1000"/>
        <w:gridCol w:w="2055"/>
        <w:gridCol w:w="1407"/>
      </w:tblGrid>
      <w:tr w14:paraId="3C5F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2D2C3">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F61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EB9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类别</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405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155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DCD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匹配的设备名称</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A07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招标单价控制价（元）</w:t>
            </w:r>
          </w:p>
        </w:tc>
      </w:tr>
      <w:tr w14:paraId="5D0B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CDC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24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压力传感器清洗液A</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6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3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5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2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0E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396</w:t>
            </w:r>
          </w:p>
        </w:tc>
      </w:tr>
      <w:tr w14:paraId="487F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AF7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11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压力传感器清洗液B</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1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AE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63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FF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06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396</w:t>
            </w:r>
          </w:p>
        </w:tc>
      </w:tr>
      <w:tr w14:paraId="478C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BA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3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HT系列血流变清洗液A</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C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E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4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E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7A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r>
      <w:tr w14:paraId="2858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BAE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0E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HT系列血流变清洗液B</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D0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86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7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FF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73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r>
      <w:tr w14:paraId="087C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337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9C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HT系列血流变清洗液C</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C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16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A1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0C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淄博嘉拓HT-100C/全自动血液粘度测定仪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25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496</w:t>
            </w:r>
          </w:p>
        </w:tc>
      </w:tr>
      <w:tr w14:paraId="59F4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37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77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M-53LEO II溶血剂</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5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2E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200ml*4瓶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8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11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E3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596.69</w:t>
            </w:r>
          </w:p>
        </w:tc>
      </w:tr>
      <w:tr w14:paraId="6960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4D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M-53LEO II溶血剂</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D6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3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400ml*4瓶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4A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87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8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1193.38</w:t>
            </w:r>
          </w:p>
        </w:tc>
      </w:tr>
      <w:tr w14:paraId="6996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837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34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M-53LEO I溶血剂</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9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F4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4L/箱</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1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21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E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2272.74</w:t>
            </w:r>
          </w:p>
        </w:tc>
      </w:tr>
      <w:tr w14:paraId="1E2F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E5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1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M-53LH溶血剂</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7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3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500ml*4瓶/箱</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7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30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6E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747.94</w:t>
            </w:r>
          </w:p>
        </w:tc>
      </w:tr>
      <w:tr w14:paraId="009A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B07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7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血细胞分析用稀释液M-5D稀释液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6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1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20L/箱</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2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B7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ED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373.34</w:t>
            </w:r>
          </w:p>
        </w:tc>
      </w:tr>
      <w:tr w14:paraId="3C57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12C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2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血细胞分析用溶血剂M-53LH</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D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95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1L*4瓶/箱</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FC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AD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3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1495.88</w:t>
            </w:r>
          </w:p>
        </w:tc>
      </w:tr>
      <w:tr w14:paraId="490A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316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F6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探头清洁液五分类</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2A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A0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50ml/瓶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C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18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B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93.64</w:t>
            </w:r>
          </w:p>
        </w:tc>
      </w:tr>
      <w:tr w14:paraId="3DA6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3A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5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血细胞分析仪用质控物（光学法）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C1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66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B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A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深圳迈瑞Bc-5180/全自动血细胞分析仪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10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245.65</w:t>
            </w:r>
          </w:p>
        </w:tc>
      </w:tr>
      <w:tr w14:paraId="5CD1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A4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D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脂类校准品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0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9D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 x1 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3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E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E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251.79</w:t>
            </w:r>
          </w:p>
        </w:tc>
      </w:tr>
      <w:tr w14:paraId="2B33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2A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E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抗链球菌溶血素O（ASO）测定试剂盒（乳胶免疫比浊法）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27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69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2*40+2*40+S:1*0.5ml；160.5ml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31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3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EE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3847.73</w:t>
            </w:r>
          </w:p>
        </w:tc>
      </w:tr>
      <w:tr w14:paraId="1347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ECC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1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类风湿因子（RFII）（含校准品）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F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D3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2*40+2*11+S：5*0.5ml；104.5ml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62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DC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ED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1632.13</w:t>
            </w:r>
          </w:p>
        </w:tc>
      </w:tr>
      <w:tr w14:paraId="7078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AC4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41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C-反应蛋白（CRP）测定试剂盒（免疫透射比浊法）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08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A3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35*2+10*2ml；90ml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8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2D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A5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696.91</w:t>
            </w:r>
          </w:p>
        </w:tc>
      </w:tr>
      <w:tr w14:paraId="388C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251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C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钙（Ca）测定试剂盒（偶氮胂III法）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B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7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4*45ml；180ml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A5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6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C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100.98</w:t>
            </w:r>
          </w:p>
        </w:tc>
      </w:tr>
      <w:tr w14:paraId="6022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A4E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8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无机磷P测定试剂盒</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B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C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A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A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8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108.31</w:t>
            </w:r>
          </w:p>
        </w:tc>
      </w:tr>
      <w:tr w14:paraId="6D8C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86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36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常规生化复合校准品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9F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C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 x3 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A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C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00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130.08</w:t>
            </w:r>
          </w:p>
        </w:tc>
      </w:tr>
      <w:tr w14:paraId="31A2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C5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7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糖化血红蛋白（HbA1c）测定试剂盒（酶法）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F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68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492ml：4*40＋2*15＋样本处理液:2*150＋S:2*1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2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2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B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8923.3</w:t>
            </w:r>
          </w:p>
        </w:tc>
      </w:tr>
      <w:tr w14:paraId="1434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16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94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生化分析仪电解质模块血清测试用定标液（离子选择电极法）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5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F1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1*100ml；1*100ml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40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1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3F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861.59</w:t>
            </w:r>
          </w:p>
        </w:tc>
      </w:tr>
      <w:tr w14:paraId="3208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D0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CB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生化分析仪电解质模块用清洗液（离子选择电极法）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A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C8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F2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48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B6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863.61</w:t>
            </w:r>
          </w:p>
        </w:tc>
      </w:tr>
      <w:tr w14:paraId="1A62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991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5B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生化分析仪用清洗液CD80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5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F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9C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9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39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616.94</w:t>
            </w:r>
          </w:p>
        </w:tc>
      </w:tr>
      <w:tr w14:paraId="5591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AD3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B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生化复合定值质控品（水平1）</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1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8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5ml*10支</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5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0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E0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556.41</w:t>
            </w:r>
          </w:p>
        </w:tc>
      </w:tr>
      <w:tr w14:paraId="6B64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BEA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C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生化免疫分析仪用清洗液A</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9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9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6*55ml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16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70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A4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210.61</w:t>
            </w:r>
          </w:p>
        </w:tc>
      </w:tr>
      <w:tr w14:paraId="3B11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09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A6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生化免疫分析仪用清洗液B</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E5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6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6*55ml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7F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87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41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w:t>
            </w:r>
          </w:p>
        </w:tc>
      </w:tr>
      <w:tr w14:paraId="11B9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E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6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样本稀释液（电解质稀释液间接法）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D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7E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5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17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AA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916.64</w:t>
            </w:r>
          </w:p>
        </w:tc>
      </w:tr>
      <w:tr w14:paraId="6392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D27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0A7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风湿三项（ASO/CRP/RF）复合质控品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2D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2A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低值：3*1ml高值：3*1ml不可穿刺塑料瓶</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83F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B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BC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2873.41</w:t>
            </w:r>
          </w:p>
        </w:tc>
      </w:tr>
      <w:tr w14:paraId="025D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EE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EB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特种蛋白校准品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93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995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 x 1 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561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3F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FDD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399.96</w:t>
            </w:r>
          </w:p>
        </w:tc>
      </w:tr>
      <w:tr w14:paraId="62A6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2E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72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脂蛋白a校准品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58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DC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5x 1mL 校准品包含a b c d e五个浓度水平</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26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B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4B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2250</w:t>
            </w:r>
          </w:p>
        </w:tc>
      </w:tr>
      <w:tr w14:paraId="44F3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D9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15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脂蛋白a质控品（两水平）</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8E7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900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4CD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AA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45A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1750</w:t>
            </w:r>
          </w:p>
        </w:tc>
      </w:tr>
      <w:tr w14:paraId="1868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DA2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FD2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α-淀粉酶测定试剂盒（连续监测法）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52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27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216ml:R1:4x42ml   R2:4x12ml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E30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2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E39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2144.88</w:t>
            </w:r>
          </w:p>
        </w:tc>
      </w:tr>
      <w:tr w14:paraId="1100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DA0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59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癌抗原15-3（CA15-3）测定试剂盒（化学发光免疫分析法）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2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4E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A7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6D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7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2758.55</w:t>
            </w:r>
          </w:p>
        </w:tc>
      </w:tr>
      <w:tr w14:paraId="29E3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63B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1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癌抗原15-3（CA15-3）校准品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7C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DF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D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84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7B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1597.9</w:t>
            </w:r>
          </w:p>
        </w:tc>
      </w:tr>
      <w:tr w14:paraId="1489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1CE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A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癌抗原CA72-4测定试剂盒</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40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7B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7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9A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7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3195.55</w:t>
            </w:r>
          </w:p>
        </w:tc>
      </w:tr>
      <w:tr w14:paraId="1B06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E5A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BC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癌抗原CA72-4校准品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24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C9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3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13C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9A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1599.35</w:t>
            </w:r>
          </w:p>
        </w:tc>
      </w:tr>
      <w:tr w14:paraId="59EF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26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64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癌胚抗原（CEA）测定试剂盒（化学发光免疫分析法）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17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A3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4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5A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38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1458.11</w:t>
            </w:r>
          </w:p>
        </w:tc>
      </w:tr>
      <w:tr w14:paraId="15B5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BC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08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癌胚抗原校准品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B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B6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B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8D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E6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1597.9</w:t>
            </w:r>
          </w:p>
        </w:tc>
      </w:tr>
      <w:tr w14:paraId="048E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EE0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0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甲胎蛋白（AFP）测定试剂盒（化学发光免疫分析法）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ED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02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44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ED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EC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1439.3</w:t>
            </w:r>
          </w:p>
        </w:tc>
      </w:tr>
      <w:tr w14:paraId="10DA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0C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BC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甲胎蛋白校准品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A5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3E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4E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9F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4B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1598.5</w:t>
            </w:r>
          </w:p>
        </w:tc>
      </w:tr>
      <w:tr w14:paraId="7FC7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519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07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肿瘤相关抗原125（CA125）测定试剂盒（化学发光免疫分析法）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A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D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2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8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8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2978.1</w:t>
            </w:r>
          </w:p>
        </w:tc>
      </w:tr>
      <w:tr w14:paraId="7295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CB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59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肿瘤相关抗原125校准品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14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75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75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E6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D4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1600.05</w:t>
            </w:r>
          </w:p>
        </w:tc>
      </w:tr>
      <w:tr w14:paraId="580D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36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E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糖类抗原242测定试剂盒</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AA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8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2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0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2E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4004.55</w:t>
            </w:r>
          </w:p>
        </w:tc>
      </w:tr>
      <w:tr w14:paraId="6125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DE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AD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糖类抗原242校准品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2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A6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28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6F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26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1600.05</w:t>
            </w:r>
          </w:p>
        </w:tc>
      </w:tr>
      <w:tr w14:paraId="66F1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84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9D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糖类抗原50测定试剂盒（化学发光免疫法）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8F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D3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4A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8E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0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4004.55</w:t>
            </w:r>
          </w:p>
        </w:tc>
      </w:tr>
      <w:tr w14:paraId="0ACC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38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B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糖类抗原50校准品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7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31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2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24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AA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1599.15</w:t>
            </w:r>
          </w:p>
        </w:tc>
      </w:tr>
      <w:tr w14:paraId="2558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53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E36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糖类抗原19-9测定试剂盒（化学发光免疫法）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76A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3A1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08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13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840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3030</w:t>
            </w:r>
          </w:p>
        </w:tc>
      </w:tr>
      <w:tr w14:paraId="2B6C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210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6F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糖类抗原19-9校准品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B3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BC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51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0E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12E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1599.15</w:t>
            </w:r>
          </w:p>
        </w:tc>
      </w:tr>
      <w:tr w14:paraId="075F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F7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4C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促甲状腺激素（TSH）测定试剂盒（化学发光免疫分析法）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D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F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4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F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C7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1315.05</w:t>
            </w:r>
          </w:p>
        </w:tc>
      </w:tr>
      <w:tr w14:paraId="5736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D3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5E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促甲状腺激素校准品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2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D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F5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6F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D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1149.27</w:t>
            </w:r>
          </w:p>
        </w:tc>
      </w:tr>
      <w:tr w14:paraId="18E5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85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1E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游离甲状腺素（FT4）测定试剂盒（化学发光免疫分析法）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C0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D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3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E7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D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1324.1</w:t>
            </w:r>
          </w:p>
        </w:tc>
      </w:tr>
      <w:tr w14:paraId="2436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F6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3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游离甲状腺素校准品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0F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7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88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AF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4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1148.9</w:t>
            </w:r>
          </w:p>
        </w:tc>
      </w:tr>
      <w:tr w14:paraId="3515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D1A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2E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游离三碘甲状腺原氨酸（FT3）测定试剂盒（化学发光免疫分析法）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B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72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F5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E9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1A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1325.25</w:t>
            </w:r>
          </w:p>
        </w:tc>
      </w:tr>
      <w:tr w14:paraId="0A28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08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4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游离三碘甲状腺原氨酸校准品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8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F6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2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9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07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1150.55</w:t>
            </w:r>
          </w:p>
        </w:tc>
      </w:tr>
      <w:tr w14:paraId="24CD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5C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F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总甲状腺素（T4）测定试剂盒（化学发光免疫分析法）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7F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E1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1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AB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3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1218.05</w:t>
            </w:r>
          </w:p>
        </w:tc>
      </w:tr>
      <w:tr w14:paraId="6E4E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A8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68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总甲状腺素校准品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0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8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A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BE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3C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1151.05</w:t>
            </w:r>
          </w:p>
        </w:tc>
      </w:tr>
      <w:tr w14:paraId="3F16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0F2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2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总三碘甲状腺原氨酸（T3）测定试剂盒（化学发光免疫分析法）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C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3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A2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9E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4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1218.45</w:t>
            </w:r>
          </w:p>
        </w:tc>
      </w:tr>
      <w:tr w14:paraId="6456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FF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D2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总三碘甲状腺原氨酸校准品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5E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D8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2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A7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34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1149.05</w:t>
            </w:r>
          </w:p>
        </w:tc>
      </w:tr>
      <w:tr w14:paraId="2EF0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DC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3D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抗甲状腺过氧化物酶抗体（Anit-TPO）测定试剂盒（化学发光免疫分析法）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52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A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FB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E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4E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1703.55</w:t>
            </w:r>
          </w:p>
        </w:tc>
      </w:tr>
      <w:tr w14:paraId="08D9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F0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16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抗甲状腺过氧化物酶抗体校准品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FD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0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58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3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E0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1151.05</w:t>
            </w:r>
          </w:p>
        </w:tc>
      </w:tr>
      <w:tr w14:paraId="1E7C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A5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9C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甲状腺球蛋白抗体（Anit-Tg）测定试剂盒（化学发光免疫分析法）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D6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43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B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3F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1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1704.05</w:t>
            </w:r>
          </w:p>
        </w:tc>
      </w:tr>
      <w:tr w14:paraId="31E5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CE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2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甲状腺球蛋白抗体校准品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0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2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C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E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D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1149.21</w:t>
            </w:r>
          </w:p>
        </w:tc>
      </w:tr>
      <w:tr w14:paraId="6494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00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BF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垂体泌乳素校准品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4B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CD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44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4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3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1366.05</w:t>
            </w:r>
          </w:p>
        </w:tc>
      </w:tr>
      <w:tr w14:paraId="44C8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A54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44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雌二醇校准品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06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2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5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39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0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1299.3</w:t>
            </w:r>
          </w:p>
        </w:tc>
      </w:tr>
      <w:tr w14:paraId="6C6F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C9B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A3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促黄体生成素校准品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88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B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9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89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77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1299.55</w:t>
            </w:r>
          </w:p>
        </w:tc>
      </w:tr>
      <w:tr w14:paraId="4AE0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61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D1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促卵泡生成素校准品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0C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2B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D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6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9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1300.55</w:t>
            </w:r>
          </w:p>
        </w:tc>
      </w:tr>
      <w:tr w14:paraId="4D92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C7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78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睾酮校准品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F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CD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A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E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3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1300.55</w:t>
            </w:r>
          </w:p>
        </w:tc>
      </w:tr>
      <w:tr w14:paraId="735F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C21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18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孕酮校准品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C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E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A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F6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5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1299.05</w:t>
            </w:r>
          </w:p>
        </w:tc>
      </w:tr>
      <w:tr w14:paraId="1A06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E6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BE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总β人绒毛膜促性腺激素校准品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1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A9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BB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D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7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1298.95</w:t>
            </w:r>
          </w:p>
        </w:tc>
      </w:tr>
      <w:tr w14:paraId="4314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F77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B5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清洗液Wash Buffer</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D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03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D3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29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14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453.55</w:t>
            </w:r>
          </w:p>
        </w:tc>
      </w:tr>
      <w:tr w14:paraId="7E3F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3A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4E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全自动化学发光免疫分析仪反应杯及废料箱</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9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4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CL-2000i/CL-2200i</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4F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1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6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2850.55</w:t>
            </w:r>
          </w:p>
        </w:tc>
      </w:tr>
      <w:tr w14:paraId="7CA2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8E6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4A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全自动免疫检验系统用底物液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3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E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4*115ml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E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9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5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3221.1</w:t>
            </w:r>
          </w:p>
        </w:tc>
      </w:tr>
      <w:tr w14:paraId="3355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B40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62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生殖激素类复合定值质控品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53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7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低值：1*5.0ml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4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2D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C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908.31</w:t>
            </w:r>
          </w:p>
        </w:tc>
      </w:tr>
      <w:tr w14:paraId="771C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765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6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生殖激素类复合定值质控品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51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8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高值：1*5.0ml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C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B7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D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911</w:t>
            </w:r>
          </w:p>
        </w:tc>
      </w:tr>
      <w:tr w14:paraId="6C5F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73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1E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总前列腺特异性抗原（TPSA）测定试剂盒</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6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E0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0D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0C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F9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3170.55</w:t>
            </w:r>
          </w:p>
        </w:tc>
      </w:tr>
      <w:tr w14:paraId="3289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7F7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A8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总前列腺特异性抗原校准品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DC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B5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40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A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DD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1600.05</w:t>
            </w:r>
          </w:p>
        </w:tc>
      </w:tr>
      <w:tr w14:paraId="0E41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610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BF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游离前列腺特异性抗原（FPSA）测定试剂盒</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37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EA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2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F3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6D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3075.55</w:t>
            </w:r>
          </w:p>
        </w:tc>
      </w:tr>
      <w:tr w14:paraId="090E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E51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F6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游离前列腺特异性抗原校准品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92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84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D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5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6C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1600.05</w:t>
            </w:r>
          </w:p>
        </w:tc>
      </w:tr>
      <w:tr w14:paraId="7023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63E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D7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丙型肝炎病毒抗体检测试剂盒(发光法)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885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6D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457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D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3B3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4625</w:t>
            </w:r>
          </w:p>
        </w:tc>
      </w:tr>
      <w:tr w14:paraId="1290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C24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AEE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丙型肝炎病毒抗体校准品(发光法)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EE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27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校准品0（C0）1*2.0ml  校准品1（C1）1*2.0ml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481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5A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98D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520.92</w:t>
            </w:r>
          </w:p>
        </w:tc>
      </w:tr>
      <w:tr w14:paraId="2847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B5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9B5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梅毒螺旋体抗体检测试剂盒(发光法)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33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E7D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2F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FA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8B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2650</w:t>
            </w:r>
          </w:p>
        </w:tc>
      </w:tr>
      <w:tr w14:paraId="6286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A0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D6A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梅毒螺旋体抗体校准品(发光法)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A00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F4F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校准品0（C0）1*2.0ml 校准品1（C1）1*2.0ml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8C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9D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0DD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481.92</w:t>
            </w:r>
          </w:p>
        </w:tc>
      </w:tr>
      <w:tr w14:paraId="77DB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C7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9BD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人类免疫缺陷病毒抗体检测试剂盒(发光法)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B7E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8D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2C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F1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873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3658</w:t>
            </w:r>
          </w:p>
        </w:tc>
      </w:tr>
      <w:tr w14:paraId="06F2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F5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B3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人类免疫缺陷病毒抗体校准品(发光法)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8F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E52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校准品0（C0）1*2.0ml  校准品1（C1）1*2.0ml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E16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0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E1D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400.72</w:t>
            </w:r>
          </w:p>
        </w:tc>
      </w:tr>
      <w:tr w14:paraId="0562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7E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9AF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乙型肝炎病毒表面抗原检测试剂盒(发光法)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4F0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48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51F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36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95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2E61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475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4D0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乙型肝炎病毒表面抗原校准品(发光法)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B07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B1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F83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5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5DC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5B84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3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30E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乙型肝炎病毒表面抗体检测试剂盒(发光法)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E0F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79F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A11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D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E03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696A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E1C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B53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乙型肝炎病毒表面抗体校准品(发光法)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788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3E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3F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3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57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1505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4B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E7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乙型肝炎病毒e抗原检测试剂盒(发光法)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A0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CD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4FA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2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4F3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4A64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92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6D2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乙型肝炎病毒e抗原校准品(发光法)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5C9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35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ED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92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40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4E74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851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60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乙型肝炎病毒e抗体检测试剂盒(发光法)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B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1E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A4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77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17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0227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0DA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DB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乙型肝炎病毒e抗体校准品(发光法)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77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08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1E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1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D3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64E9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5A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439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乙型肝炎病毒核心抗体检测试剂盒(发光法)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B3E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B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B8A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46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21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r>
      <w:tr w14:paraId="4550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0FB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CC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乙型肝炎病毒核心抗体校准品(发光法)</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53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571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3*2.0ml </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17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6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68F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404.7</w:t>
            </w:r>
          </w:p>
        </w:tc>
      </w:tr>
      <w:tr w14:paraId="39A2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A1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A4E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叶酸（含校准品）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C58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52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50人份／盒，C0：1*2.0ml C1:1*2.0ml C2:1*2.0ml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DC1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F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BFB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1528.4</w:t>
            </w:r>
          </w:p>
        </w:tc>
      </w:tr>
      <w:tr w14:paraId="20D8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10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18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维生素B12（含校准品）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E90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32C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2*50人份／盒，C0：1*2.0ml C1:1*2.0ml C2:1*2.0ml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88F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D2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1A7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2785.4</w:t>
            </w:r>
          </w:p>
        </w:tc>
      </w:tr>
      <w:tr w14:paraId="5691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123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1C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铁蛋白（含校准品）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93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8F2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A5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7C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80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1485.8</w:t>
            </w:r>
          </w:p>
        </w:tc>
      </w:tr>
      <w:tr w14:paraId="214E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45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ED4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甲状旁腺素（含校准品）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A0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801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2*50人份／盒，C01*2.0mlC11*2.0mlC21*2.0ml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3B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F1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55E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3032.9</w:t>
            </w:r>
          </w:p>
        </w:tc>
      </w:tr>
      <w:tr w14:paraId="425C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9F6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71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转铁蛋白饱和度（含校准品）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FE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F5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Rl 1 x 45 mL ＋ R2 1 x7 mL ＋ Cal: 5 x 1 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EB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F3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3F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975.21</w:t>
            </w:r>
          </w:p>
        </w:tc>
      </w:tr>
      <w:tr w14:paraId="2664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A9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A9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铁测定（含校准品）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72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37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R1 4 x 37 mL R2 2 x 16 mL 192 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78C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4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8EF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689.47</w:t>
            </w:r>
          </w:p>
        </w:tc>
      </w:tr>
      <w:tr w14:paraId="6D18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8BE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822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血清总铁结合力测定（含校准品）</w:t>
            </w:r>
          </w:p>
        </w:tc>
        <w:tc>
          <w:tcPr>
            <w:tcW w:w="5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E5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0A9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281 mL： Rl 4  x 54mL ＋ R2 4 x16mL ＋ Cal: 1 x 1 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C0D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2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深圳迈瑞Bs-800/CL-2000i/SPL2000/全自动生化发光分析仪（流水线）</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34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1871.46</w:t>
            </w:r>
          </w:p>
        </w:tc>
      </w:tr>
      <w:tr w14:paraId="2220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AF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C3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肠杆菌科细菌检测试剂盒（TDRONE-96）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3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5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10块/盒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6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B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深圳迈瑞TDR-300Bplus/全自动微生物分析系统</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2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644.5</w:t>
            </w:r>
          </w:p>
        </w:tc>
      </w:tr>
      <w:tr w14:paraId="152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DA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50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葡萄球菌检测试剂盒（TDR-STAPH-96）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BE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F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10块/盒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6B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D5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深圳迈瑞TDR-300Bplus/全自动微生物分析系统</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C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644.5</w:t>
            </w:r>
          </w:p>
        </w:tc>
      </w:tr>
      <w:tr w14:paraId="2A91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90E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C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人乳头状瘤病毒（HPV）核酸检测试剂盒（杂交捕获-化学发光法）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44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72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48测试／盒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E1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人份</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5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杭州德同TZD-CL-200S/全自动HPV检测仪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51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173.8</w:t>
            </w:r>
          </w:p>
        </w:tc>
      </w:tr>
      <w:tr w14:paraId="0BBA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ED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A9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血细胞分析用鞘液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C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C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5S 11;20L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45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96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3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6530</w:t>
            </w:r>
          </w:p>
        </w:tc>
      </w:tr>
      <w:tr w14:paraId="1052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BA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08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血细胞分析用溶血剂</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E2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8C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URIT5L11；1L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9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2F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D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1388</w:t>
            </w:r>
          </w:p>
        </w:tc>
      </w:tr>
      <w:tr w14:paraId="3C9F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3EC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1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FB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96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D46；20L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7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8A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C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910</w:t>
            </w:r>
          </w:p>
        </w:tc>
      </w:tr>
      <w:tr w14:paraId="2861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1AB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32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血细胞分析用稀释液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E7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06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5D 11；20L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2B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8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5B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460.8</w:t>
            </w:r>
          </w:p>
        </w:tc>
      </w:tr>
      <w:tr w14:paraId="5377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A72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55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血细胞分析仪用质控物</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50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6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E563">
            <w:pPr>
              <w:jc w:val="center"/>
              <w:rPr>
                <w:rFonts w:hint="eastAsia" w:ascii="仿宋" w:hAnsi="仿宋" w:eastAsia="仿宋" w:cs="仿宋"/>
                <w:i w:val="0"/>
                <w:iCs w:val="0"/>
                <w:color w:val="000000"/>
                <w:sz w:val="20"/>
                <w:szCs w:val="20"/>
                <w:u w:val="none"/>
              </w:rPr>
            </w:pP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1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桂林优利特URIT-5380/全自动血细胞分析仪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9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423</w:t>
            </w:r>
          </w:p>
        </w:tc>
      </w:tr>
      <w:tr w14:paraId="50C9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E6B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00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抗链球菌溶血素“O”测定试剂盒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（胶乳免疫比浊法）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8F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C2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试剂一 40mL×1 试剂二 10mL×1 校准品 0.5mL×5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70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73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桂林优利特URIT-8400/全自动生化分析仪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95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1249.5</w:t>
            </w:r>
          </w:p>
        </w:tc>
      </w:tr>
      <w:tr w14:paraId="6A7A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3B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02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类风湿因子测定试剂盒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（胶乳免疫比浊法）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1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4D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试剂一 40mL×1 试剂二 10mL×1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校准品 0.5mL×4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1E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15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桂林优利特URIT-8400/全自动生化分析仪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0D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806</w:t>
            </w:r>
          </w:p>
        </w:tc>
      </w:tr>
      <w:tr w14:paraId="0041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869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AF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C-反应蛋白测定试剂盒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（免疫比浊法）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E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3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试剂一 40mL×1 试剂二 10mL×1 校准品 0.5mL×4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8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E0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桂林优利特URIT-8400/全自动生化分析仪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E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390</w:t>
            </w:r>
          </w:p>
        </w:tc>
      </w:tr>
      <w:tr w14:paraId="38D5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E6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A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生化质控品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7F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9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5ml*1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9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9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桂林优利特URIT-8400/全自动生化分析仪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A6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190.9</w:t>
            </w:r>
          </w:p>
        </w:tc>
      </w:tr>
      <w:tr w14:paraId="652E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17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D4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69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A2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D21N；500ml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73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8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CD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792</w:t>
            </w:r>
          </w:p>
        </w:tc>
      </w:tr>
      <w:tr w14:paraId="313B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0C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E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尿液分析试纸条(干化学法)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79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1C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11F 100条/筒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6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4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AD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r>
      <w:tr w14:paraId="3D4D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FF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0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尿液分析试纸条(干化学法)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C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4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11G 100条/筒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C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6B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C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r>
      <w:tr w14:paraId="406F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393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F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聚焦液（全自动尿液分析仪）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47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69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FC23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EE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25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3A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r>
      <w:tr w14:paraId="438E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5E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0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UQ质控液（全自动尿液分析仪）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7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5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NO.I:8mL×1瓶、NO.II:8mL×1瓶、NO.III：8×1瓶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DC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BF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62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196.2</w:t>
            </w:r>
          </w:p>
        </w:tc>
      </w:tr>
      <w:tr w14:paraId="3D32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425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D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清洗液（全自动尿液分析仪）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07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B2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 D22；1L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80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84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E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720</w:t>
            </w:r>
          </w:p>
        </w:tc>
      </w:tr>
      <w:tr w14:paraId="548A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84A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B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清洗液（全自动尿液分析仪）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B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F8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URIT-DC1，500ml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17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4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桂林优利特URIT-1600/全自动尿液分析仪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0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280</w:t>
            </w:r>
          </w:p>
        </w:tc>
      </w:tr>
      <w:tr w14:paraId="758F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D9D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5655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心梗三项检测试剂盒（干式免疫荧光法）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7C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5D6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D8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6E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9D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4080</w:t>
            </w:r>
          </w:p>
        </w:tc>
      </w:tr>
      <w:tr w14:paraId="3130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0D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84C5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N-端-B型钠尿前体测定（NT-proBNP）</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44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15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2*24人份/盒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361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42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84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5600</w:t>
            </w:r>
          </w:p>
        </w:tc>
      </w:tr>
      <w:tr w14:paraId="4B51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E4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1D3B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降钙素原（PCT）</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F4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AFC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2*24人份/盒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31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6E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13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4000</w:t>
            </w:r>
          </w:p>
        </w:tc>
      </w:tr>
      <w:tr w14:paraId="130B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6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DC84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25-羟基维生素D测定</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D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1B6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2*24人份/盒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318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69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E6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r>
      <w:tr w14:paraId="32EF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6A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EFE5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白介素6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F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CD6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C5D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17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2C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2900</w:t>
            </w:r>
          </w:p>
        </w:tc>
      </w:tr>
      <w:tr w14:paraId="45C6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08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994D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铁蛋白</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0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D3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干式免疫荧光法</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CA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人份/盒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F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基蛋生物Getein1600/荧光免疫定量分析仪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61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r>
      <w:tr w14:paraId="6706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0225">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187</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4A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人绒毛膜促性腺激素(HCG)检测试纸(胶体金法)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3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68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条型:1人份/袋(100人份)</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3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11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0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2634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2E4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188</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2D2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丙型肝炎病毒抗体检测试剂盒(胶体金法)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08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8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条型:50人份/盒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AC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01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5B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1478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B8D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189</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67A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结核分枝杆菌抗体检测试剂盒(胶体金法)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87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5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卡型:20人份/盒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F43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人份</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DA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C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r>
      <w:tr w14:paraId="586A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1C1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190</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A30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梅毒螺旋体抗体检测试剂盒(胶体金法)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4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A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条型:50人份/盒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67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37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7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14:paraId="3FE6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F20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33D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人类免疫缺陷病毒抗体检测试剂盒(胶体金法)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3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69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卡型:50人份/盒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1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4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7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5C38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41B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192</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298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乙肝五项检测卡(胶体金法)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3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15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卡型:25人份/盒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52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07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0E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0AB8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6B2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193</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5135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乙型肝炎病毒表面抗体检测试剂盒(酶联免疫法)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14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EF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44C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4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46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5C1A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BDB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194</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6B67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乙型肝炎病毒e抗原检测试剂盒(酶联免疫法)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D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3F4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701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BE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9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758D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10B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195</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ADBE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乙型肝炎病毒e抗体检测试剂盒(酶联免疫法)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79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EB5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56A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2E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A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11BD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D93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196</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DD4A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乙型肝炎病毒核心抗体检测试剂盒(酶联免疫法)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CD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584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96人份/盒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29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D5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6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r>
      <w:tr w14:paraId="60AD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046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197</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EE3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血平板培养基</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BF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E7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90mm 10块/包</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B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68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B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6F87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3BA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198</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E3A2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中国蓝琼脂平板</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4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53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90mm</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39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E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AB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r>
      <w:tr w14:paraId="0678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7DEE">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199</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E797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一次性使用培养皿</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BD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F6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Ǿ</w:t>
            </w:r>
            <w:r>
              <w:rPr>
                <w:rFonts w:hint="eastAsia" w:ascii="仿宋" w:hAnsi="仿宋" w:eastAsia="仿宋" w:cs="仿宋"/>
                <w:i w:val="0"/>
                <w:iCs w:val="0"/>
                <w:color w:val="000000"/>
                <w:kern w:val="0"/>
                <w:sz w:val="22"/>
                <w:szCs w:val="22"/>
                <w:u w:val="none"/>
                <w:lang w:val="en-US" w:eastAsia="zh-CN" w:bidi="ar"/>
              </w:rPr>
              <w:t>90mm</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69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5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C1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14:paraId="6144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ACC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200</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9B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便隐血（FOB）检测试剂（胶体金法）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1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9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25人份/盒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7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57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1F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61CB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3439">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B3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营养琼脂</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A0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30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250g</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B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E6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0B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14:paraId="6A51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33F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202</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05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细菌干粉培养基</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9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11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中国蓝</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47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D6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DE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r>
      <w:tr w14:paraId="0EAD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2B8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203</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78E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热敏打印纸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12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93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57*30mm</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D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4F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A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5922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8DC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204</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6B0B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一次性尿杯</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F5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631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中号</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443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C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78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0.45</w:t>
            </w:r>
          </w:p>
        </w:tc>
      </w:tr>
      <w:tr w14:paraId="258E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686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205</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D1E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一次性尿沉渣管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9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6AB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A81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A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90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w:t>
            </w:r>
          </w:p>
        </w:tc>
      </w:tr>
      <w:tr w14:paraId="081F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CFA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206</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2D2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一次性大小便采集盒</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02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6A8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300只/包</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DE8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0E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B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40EC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984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207</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D93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一次性使用无菌痰杯</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BC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5F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25支/包</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9D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6F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51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w:t>
            </w:r>
          </w:p>
        </w:tc>
      </w:tr>
      <w:tr w14:paraId="481B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87D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208</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CC1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一次性样品杯（泰尔康）</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0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E7F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1000支/包</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28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C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01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0.89</w:t>
            </w:r>
          </w:p>
        </w:tc>
      </w:tr>
      <w:tr w14:paraId="4888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2B7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209</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F2CB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一次性样品杯（日立杯）</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A2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6AB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1000支/包</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05E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20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1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w:t>
            </w:r>
          </w:p>
        </w:tc>
      </w:tr>
      <w:tr w14:paraId="16D3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83B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210</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8C8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一次性塑料试管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8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E8C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12*75</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2F6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E1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34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w:t>
            </w:r>
          </w:p>
        </w:tc>
      </w:tr>
      <w:tr w14:paraId="7C51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F6A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29F6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吸头（白色大）</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DF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B1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1000ul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E6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4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24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w:t>
            </w:r>
          </w:p>
        </w:tc>
      </w:tr>
      <w:tr w14:paraId="4430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6E7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212</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805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2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AB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F0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6B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5F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0.9</w:t>
            </w:r>
          </w:p>
        </w:tc>
      </w:tr>
      <w:tr w14:paraId="2C46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747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213</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A4B8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吸头（紫色）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61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B63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200ul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7C1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8F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F7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0.25</w:t>
            </w:r>
          </w:p>
        </w:tc>
      </w:tr>
      <w:tr w14:paraId="017A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663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214</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BD7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阴道炎联合检测试剂盒(化学反应法)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20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1B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20人份/盒 五联试剂盒:白细胞酯酶(LE)、β-氨基半乳糖苷酶(NAG)、唾液酸苷酶(SNA)、过氧化氢(H202)、pH值</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AA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人份</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AB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32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653B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04D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215</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552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全自动凝血分析仪测试杯</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65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F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5盘/5张卡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EC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1B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4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1711</w:t>
            </w:r>
          </w:p>
        </w:tc>
      </w:tr>
      <w:tr w14:paraId="570F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24F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216</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782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正常值凝血质控品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EA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0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1.0ml×10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16BD">
            <w:pPr>
              <w:jc w:val="center"/>
              <w:rPr>
                <w:rFonts w:hint="eastAsia" w:ascii="仿宋" w:hAnsi="仿宋" w:eastAsia="仿宋" w:cs="仿宋"/>
                <w:i w:val="0"/>
                <w:iCs w:val="0"/>
                <w:color w:val="000000"/>
                <w:sz w:val="22"/>
                <w:szCs w:val="22"/>
                <w:u w:val="none"/>
              </w:rPr>
            </w:pP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6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69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995</w:t>
            </w:r>
          </w:p>
        </w:tc>
      </w:tr>
      <w:tr w14:paraId="2D52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132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217</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8C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RhD(IgM)血型定型试剂(单克隆抗体)</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A3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A9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10mL/支,1支/盒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E8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7E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80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r>
      <w:tr w14:paraId="2E08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C59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218</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AA8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聚凝胺介质试剂</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B3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E1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150测试/盒</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9DB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51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42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r>
      <w:tr w14:paraId="558E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D19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219</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0E7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纤维蛋白原含量测定试剂盒FIB（液体）（凝固法）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5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C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试剂5*4ml咪唑缓冲液100ml*1定值血浆1ml*1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5C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D6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7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849.46</w:t>
            </w:r>
          </w:p>
        </w:tc>
      </w:tr>
      <w:tr w14:paraId="3A2B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CE8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220</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210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凝血酶时间测定试剂盒TT（液体）（凝固法）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B5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72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试剂：4ml*10；CaCl：250ml*1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D8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9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0D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289.46</w:t>
            </w:r>
          </w:p>
        </w:tc>
      </w:tr>
      <w:tr w14:paraId="476E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1DF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940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凝血酶原时间测定试剂盒PT（液体）（凝固法）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D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82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5ml*10/盒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21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0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61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429.46</w:t>
            </w:r>
          </w:p>
        </w:tc>
      </w:tr>
      <w:tr w14:paraId="3C5B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BBA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222</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2E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活化部分凝血活酶时间测定试剂盒APTT（凝固法）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A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D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试剂：4ml*10；CaCl：250ml*1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09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48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3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369.56</w:t>
            </w:r>
          </w:p>
        </w:tc>
      </w:tr>
      <w:tr w14:paraId="1C3A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FE2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223</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CCF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D-二聚体（D-Dimer）测定试剂盒（乳胶增强免疫比浊法）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7F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3D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R1:3ml*6  R2:3ml*2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0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7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3B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3176.96</w:t>
            </w:r>
          </w:p>
        </w:tc>
      </w:tr>
      <w:tr w14:paraId="279D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BAA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224</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A56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D-二聚体校准（新配方）</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55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5E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72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88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C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381.81</w:t>
            </w:r>
          </w:p>
        </w:tc>
      </w:tr>
      <w:tr w14:paraId="1468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DCB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225</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E1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D-二聚体试剂低值质控品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25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F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03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44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A2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370.46</w:t>
            </w:r>
          </w:p>
        </w:tc>
      </w:tr>
      <w:tr w14:paraId="2ED1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58B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226</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EFA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D-二聚体试剂高值质控品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68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C0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5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0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F2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370.46</w:t>
            </w:r>
          </w:p>
        </w:tc>
      </w:tr>
      <w:tr w14:paraId="7B1E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4C7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227</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1B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全自动凝血分析仪用清洗液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9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33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10*30ml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B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D8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79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950.16</w:t>
            </w:r>
          </w:p>
        </w:tc>
      </w:tr>
      <w:tr w14:paraId="419E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C62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228</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C69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全自动血凝杯(封闭)</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5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97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2000个/盒</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2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C9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E2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1590.56</w:t>
            </w:r>
          </w:p>
        </w:tc>
      </w:tr>
      <w:tr w14:paraId="38C0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694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229</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1C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血凝质控品</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5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B8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D5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E2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深圳雷杜RHC-030/全自动血凝分析仪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1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w:t>
            </w:r>
          </w:p>
        </w:tc>
      </w:tr>
      <w:tr w14:paraId="5562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E95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230</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D99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吸入性及食物性过敏原特异性IgE抗体检测试剂盒（欧蒙印迹法）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6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46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16人份</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E63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9B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杭州欧蒙EUROLineMasterII/全自动免疫印迹仪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D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r>
      <w:tr w14:paraId="79BF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1D4C">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194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抗核抗体谱（IgG)检测试剂盒（欧蒙印迹法）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F1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B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16人份</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51A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FC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杭州欧蒙EUROLineMasterII/全自动免疫印迹仪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6A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r>
      <w:tr w14:paraId="2DF4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342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232</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61BE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粪便分析仪浓缩清洗液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22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4A4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26A6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7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珠海科域KU-F10/全自动粪便分析仪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E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w:t>
            </w:r>
          </w:p>
        </w:tc>
      </w:tr>
      <w:tr w14:paraId="36E6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332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233</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053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粪便分析仪清洗液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A8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B8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15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67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珠海科域KU-F10/全自动粪便分析仪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819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500</w:t>
            </w:r>
          </w:p>
        </w:tc>
      </w:tr>
      <w:tr w14:paraId="4E90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4A6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234</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3DF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样本稀释液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0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4F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10L</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355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90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珠海科域KU-F10/全自动粪便分析仪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68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r>
      <w:tr w14:paraId="4691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C64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235</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8EA9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标本收集杯</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35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9AE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50pcs/袋</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E5B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0D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珠海科域KU-F10/全自动粪便分析仪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F82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r>
      <w:tr w14:paraId="1BA3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DA3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236</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B40E27">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lang w:val="en-US" w:eastAsia="zh-CN"/>
              </w:rPr>
              <w:t>粪便隐血（FOB）检测试剂盒</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E284">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78848">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rPr>
              <w:t>20人份/袋</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D8F57">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lang w:val="en-US" w:eastAsia="zh-CN"/>
              </w:rPr>
              <w:t>袋</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DD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sz w:val="22"/>
                <w:szCs w:val="22"/>
                <w:u w:val="none"/>
              </w:rPr>
              <w:t>珠海科域KU-F10</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B5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r>
      <w:tr w14:paraId="65F5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8C3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237</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73CB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压力蒸汽灭菌化学指示卡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62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3A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121摄氏度20min</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04D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B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高压灭菌器</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89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r>
      <w:tr w14:paraId="7125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D77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238</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0C5C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压力蒸汽灭菌化学指示卡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2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E05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132摄氏度5min</w:t>
            </w: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E5E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C4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高压灭菌器</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F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r>
      <w:tr w14:paraId="7758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46C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239</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F113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压力蒸汽灭菌1小时极速生物指示剂</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92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B17B9">
            <w:pPr>
              <w:jc w:val="center"/>
              <w:rPr>
                <w:rFonts w:hint="eastAsia" w:ascii="仿宋" w:hAnsi="仿宋" w:eastAsia="仿宋" w:cs="仿宋"/>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9E8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11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高压灭菌器</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E9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35E5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CE9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240</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F0E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纤维蛋白原(FIB)测定试剂盒(液体)</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44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4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凝血酶试剂(液体):6×5mL;纤维蛋白原标准品(冻干粉):1×1mL;FIB缓冲液:2×75mL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C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21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B7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1463</w:t>
            </w:r>
          </w:p>
        </w:tc>
      </w:tr>
      <w:tr w14:paraId="2FA0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112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030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凝血酶原时间((PT)测定试剂盒(液体型)(凝固法)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0A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C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F0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5A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AB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933</w:t>
            </w:r>
          </w:p>
        </w:tc>
      </w:tr>
      <w:tr w14:paraId="5AFD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812B">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242</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1F4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D-二聚体测定试剂盒(胶乳增强免疫透射比浊法)</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17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11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规格3:DD 胶乳液:3×4mL,DD 缓冲液4×6mL DD 稀释液2×6mL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E7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2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18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2882</w:t>
            </w:r>
          </w:p>
        </w:tc>
      </w:tr>
      <w:tr w14:paraId="4497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3B6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243</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172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活化部分凝血活酶时间(APTT)测定试剂盒(鞣花酸)</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9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E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3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EE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A6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1095</w:t>
            </w:r>
          </w:p>
        </w:tc>
      </w:tr>
      <w:tr w14:paraId="4437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7B07">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244</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1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凝血酶时间（TT）测定试剂盒（液体）</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5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7A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10*8ml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72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3F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B6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1013</w:t>
            </w:r>
          </w:p>
        </w:tc>
      </w:tr>
      <w:tr w14:paraId="33F5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EC3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245</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51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全自动凝血分析仪洗针液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18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17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15mL×12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5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7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B3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w:t>
            </w:r>
          </w:p>
        </w:tc>
      </w:tr>
      <w:tr w14:paraId="2767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6A93">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246</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00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全自动凝血分析仪清洗液</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C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试剂</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61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5L</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6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9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上海长岛C2000-A/全自动凝血分析仪</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84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r>
      <w:tr w14:paraId="2095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5737">
            <w:pPr>
              <w:jc w:val="center"/>
              <w:rPr>
                <w:rFonts w:hint="eastAsia" w:ascii="仿宋" w:hAnsi="仿宋" w:eastAsia="仿宋" w:cs="仿宋"/>
                <w:i w:val="0"/>
                <w:iCs w:val="0"/>
                <w:color w:val="000000"/>
                <w:sz w:val="22"/>
                <w:szCs w:val="22"/>
                <w:u w:val="none"/>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1B734">
            <w:pPr>
              <w:jc w:val="center"/>
              <w:rPr>
                <w:rFonts w:hint="eastAsia" w:ascii="仿宋" w:hAnsi="仿宋" w:eastAsia="仿宋" w:cs="仿宋"/>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501F">
            <w:pPr>
              <w:jc w:val="center"/>
              <w:rPr>
                <w:rFonts w:hint="eastAsia" w:ascii="仿宋" w:hAnsi="仿宋" w:eastAsia="仿宋" w:cs="仿宋"/>
                <w:i w:val="0"/>
                <w:iCs w:val="0"/>
                <w:color w:val="000000"/>
                <w:sz w:val="22"/>
                <w:szCs w:val="22"/>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5B7B">
            <w:pPr>
              <w:jc w:val="center"/>
              <w:rPr>
                <w:rFonts w:hint="eastAsia" w:ascii="仿宋" w:hAnsi="仿宋" w:eastAsia="仿宋" w:cs="仿宋"/>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7B1C">
            <w:pPr>
              <w:jc w:val="center"/>
              <w:rPr>
                <w:rFonts w:hint="eastAsia" w:ascii="仿宋" w:hAnsi="仿宋" w:eastAsia="仿宋" w:cs="仿宋"/>
                <w:i w:val="0"/>
                <w:iCs w:val="0"/>
                <w:color w:val="000000"/>
                <w:sz w:val="22"/>
                <w:szCs w:val="22"/>
                <w:u w:val="none"/>
              </w:rPr>
            </w:pPr>
          </w:p>
        </w:tc>
        <w:tc>
          <w:tcPr>
            <w:tcW w:w="1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CCC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单价总金额（元）</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352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color w:val="auto"/>
                <w:highlight w:val="none"/>
                <w:lang w:val="en-US" w:eastAsia="zh-CN"/>
              </w:rPr>
              <w:t>219315.89</w:t>
            </w:r>
          </w:p>
        </w:tc>
      </w:tr>
    </w:tbl>
    <w:p w14:paraId="3152447B">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1、本项目单价招标，每项单价报价不得高于招标单价控制价，须精确到小数点后两位，且不得对单项报价恶意报价，若发现存在对单项报价进行恶意报价的情况，评标委员会将否决其投标文件。</w:t>
      </w:r>
    </w:p>
    <w:p w14:paraId="7B106992">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2、上述技术指标中凡有品牌描述或指向某品牌均为参考指标，但所投产品参数不得低于上述要求。</w:t>
      </w:r>
    </w:p>
    <w:p w14:paraId="6E4B0A70">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3、所投产品属于消毒产品的，须提供生产厂家消毒产品生产许可证、产品卫生安全评价报告或者新消毒产品卫生许可批件。</w:t>
      </w:r>
    </w:p>
    <w:p w14:paraId="77BC713A">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4、采购的试剂产品投标人须派专业人员进行试剂性能验证，并提供检验对比结果报告。</w:t>
      </w:r>
    </w:p>
    <w:p w14:paraId="371CE5E9">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5、清单未包含的耗材试剂或不明确的中标方本着最大限度兼顾采购方需求的前提下协商，以满足项目需求。</w:t>
      </w:r>
    </w:p>
    <w:p w14:paraId="0F1518E2">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6、本所采购的试剂必须与现有设备机型匹配使用，投标供应商所投产品若完全不能匹配现有设备机型使用，采购单位有权进行退货，所产生的一切后果有投标供应商自行承担。</w:t>
      </w:r>
    </w:p>
    <w:p w14:paraId="5C6C4655">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7、若投标供应商成交后因供应商所投产品不能完全匹配采购单位设备机型使用，导致采购单位设备无法正常运转，采购单位有权取消其中标资格。</w:t>
      </w:r>
    </w:p>
    <w:p w14:paraId="6A7CDBBE">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8、其他要求。</w:t>
      </w:r>
    </w:p>
    <w:p w14:paraId="08000642">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8.1.质量要求</w:t>
      </w:r>
    </w:p>
    <w:p w14:paraId="28A59BCF">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8.1.1 质量标准：投标人提供的货物必须为目前市场上技术较先进、成熟的原装、全新的，符合国家及行业现行相关标准以及该产品的出厂标准和满足招标文件有关技术参数及质量标准的货物；且定量包装规格符合国家及行业标准的公差标准及相关要求，外包装表面无划损，无碰撞，各项技术指标完全符合国家检测标准及产品出厂标准，凡列入《中华人民共和国实施强制性产品认证的产品目录》的货物需获得相关认证证书。</w:t>
      </w:r>
    </w:p>
    <w:p w14:paraId="19573E6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8.1.2 所投试剂及耗材均为正品，进货应做到来源渠道正规，货物优质、有效，有批准文号、生产日期。试剂、耗材应经过严格质量监控，保证试剂、耗材内外包装的生产批号完全一致。所投产品应保证所供产品是全新的、未使用过的，完全符合国家及行业现行相关标准规定的质量、规格、环保和性能等要求；投标货物与产品应满足国家规定的安全指标。</w:t>
      </w:r>
    </w:p>
    <w:p w14:paraId="2ACD9CE1">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8.2 售后服务</w:t>
      </w:r>
    </w:p>
    <w:p w14:paraId="3018551C">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9.2.1 质量保证期：提供的每批次日期自验收合格当天起算不小于产品有效期（质保期）的 85%。</w:t>
      </w:r>
      <w:r>
        <w:rPr>
          <w:rFonts w:hint="eastAsia" w:ascii="仿宋" w:hAnsi="仿宋" w:eastAsia="仿宋" w:cs="仿宋"/>
          <w:b w:val="0"/>
          <w:bCs w:val="0"/>
          <w:color w:val="auto"/>
          <w:sz w:val="24"/>
          <w:szCs w:val="24"/>
          <w:highlight w:val="none"/>
          <w:lang w:val="en-US" w:eastAsia="zh-CN"/>
        </w:rPr>
        <w:t>质保期内，免费进行疑难问题解答，对数据分析结果和相关产品进行使用指导，并通过技术人员上门，往来信函、电话、电子邮件，解答采购人在使用中碰到的各种技术问题。</w:t>
      </w:r>
      <w:r>
        <w:rPr>
          <w:rFonts w:hint="eastAsia" w:ascii="仿宋" w:hAnsi="仿宋" w:eastAsia="仿宋" w:cs="仿宋"/>
          <w:b/>
          <w:bCs/>
          <w:color w:val="auto"/>
          <w:sz w:val="24"/>
          <w:szCs w:val="24"/>
          <w:highlight w:val="none"/>
          <w:lang w:val="en-US" w:eastAsia="zh-CN"/>
        </w:rPr>
        <w:t>（投标人必须提供由法定代表人或法定代表人授权代表签字的承诺函，并加盖投标人公章。）</w:t>
      </w:r>
    </w:p>
    <w:p w14:paraId="0B7774BA">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8.2.2 在质量保证期内，投标人应对由于设计、工艺或者材料的缺陷而发生的任何不足或故障负责，并承担因此而发生的一切费用。连续出现 2 次质量问题，采购人有权中止投标人的供货。</w:t>
      </w:r>
    </w:p>
    <w:p w14:paraId="4014A3C2">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8.2.3 部分试剂或耗材需要配套设备才能使用的，不能完全配套采购人设备的，第一时间安排公司送货更换，4 小时之内发出更换产品，不得影响采购人的使用。提供的货物 2次未能达到招标文件的要求和投标文件中的有关承诺的，将按有关法规进行处罚，采购人将有权单方面终止合同的执行，并追究因中标人所提供的未达到所承诺准确率产品而产生的所有损失和责任。</w:t>
      </w:r>
    </w:p>
    <w:p w14:paraId="12E2A48D">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（投标人必须提供由法定代表人或法定代表人授权代表签字或盖章的承诺函，并加盖投标人公章）。</w:t>
      </w:r>
    </w:p>
    <w:p w14:paraId="3CB33FAF">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8.2.4 对于投标人所配送的产品在有效期内出现质量问题时，承担由此引发的医疗纠纷中产生的一切费用，并出具针对此问题原因的书面分析报告。连续出现 2 次质量问题，采购人有权中止该投标人的供货。</w:t>
      </w:r>
    </w:p>
    <w:p w14:paraId="7A847362">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8.2.5 供应人需有稳定、专业的服务团队，须指派 1 名项目负责人全程跟踪管理本项目，与采购人保持良好的沟通。项目负责人应有丰富的类似项目经验、有良好的服务态度及沟通能力。原则上项目负责人不得随意更换（除离职、生病等不可抗力外），如确需更换应提前 3 个工作日书面通知采购人，征得采购人书面同意后方可更换，而且更换后的人员业务水平不得低于原服务人员。</w:t>
      </w:r>
    </w:p>
    <w:p w14:paraId="0A66E6D9">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8.2.6 投标人应当具有完善的物流配送体系和售后服务队伍，且具有履行本项目货物的供应、安装、维修等专业技术和服务能力。</w:t>
      </w:r>
    </w:p>
    <w:p w14:paraId="3AA5DBB5">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8.2.7对于投标人所配送的产品由于非采购人原因的，如国家政策变化或产品本身质量原因或被国家禁用不允许使用的产品，投标人应给予无条件退货。</w:t>
      </w:r>
    </w:p>
    <w:p w14:paraId="5C4C2482">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8.2.8投标人应对所配送的产品在包装未拆封情况下提供无条件退货服务。</w:t>
      </w:r>
    </w:p>
    <w:p w14:paraId="7E8FE934">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二、商务要求：</w:t>
      </w:r>
    </w:p>
    <w:p w14:paraId="0E43482B">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lang w:val="en-US" w:eastAsia="zh-CN"/>
        </w:rPr>
        <w:t xml:space="preserve">（一）供货时间 </w:t>
      </w:r>
      <w:r>
        <w:rPr>
          <w:rFonts w:hint="eastAsia" w:ascii="仿宋" w:hAnsi="仿宋" w:eastAsia="仿宋" w:cs="仿宋"/>
          <w:color w:val="auto"/>
          <w:highlight w:val="none"/>
          <w:lang w:val="en-US" w:eastAsia="zh-CN"/>
        </w:rPr>
        <w:t>：</w:t>
      </w:r>
      <w:r>
        <w:rPr>
          <w:rFonts w:hint="eastAsia" w:ascii="仿宋" w:hAnsi="仿宋" w:eastAsia="仿宋" w:cs="仿宋"/>
          <w:b/>
          <w:bCs/>
          <w:color w:val="auto"/>
          <w:highlight w:val="none"/>
          <w:lang w:val="en-US" w:eastAsia="zh-CN"/>
        </w:rPr>
        <w:t>需按采购计划分批次供货，收到配送清单之日起3天内完成供货。（具体以甲乙双方签订合同为准）</w:t>
      </w:r>
    </w:p>
    <w:p w14:paraId="4D7F62EC">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（二）实施（交货）地点</w:t>
      </w:r>
      <w:r>
        <w:rPr>
          <w:rFonts w:hint="eastAsia" w:ascii="仿宋" w:hAnsi="仿宋" w:eastAsia="仿宋" w:cs="仿宋"/>
          <w:color w:val="FF0000"/>
          <w:lang w:val="en-US" w:eastAsia="zh-CN"/>
        </w:rPr>
        <w:t xml:space="preserve"> </w:t>
      </w:r>
      <w:r>
        <w:rPr>
          <w:rFonts w:hint="eastAsia" w:ascii="仿宋" w:hAnsi="仿宋" w:eastAsia="仿宋" w:cs="仿宋"/>
          <w:b/>
          <w:bCs/>
          <w:color w:val="auto"/>
          <w:lang w:val="en-US" w:eastAsia="zh-CN"/>
        </w:rPr>
        <w:t>：甲方指定地点。</w:t>
      </w:r>
    </w:p>
    <w:p w14:paraId="6CD4EA85">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（三）报价要求</w:t>
      </w:r>
    </w:p>
    <w:p w14:paraId="41693BE1">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次报价为人民币报价，投标报价应包括：货物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投标人自身原因造成漏报、少报皆由其自行承担责任，采购人不再补偿。</w:t>
      </w:r>
    </w:p>
    <w:p w14:paraId="35335A62">
      <w:pPr>
        <w:keepNext w:val="0"/>
        <w:keepLines w:val="0"/>
        <w:pageBreakBefore w:val="0"/>
        <w:kinsoku/>
        <w:wordWrap/>
        <w:overflowPunct/>
        <w:topLinePunct w:val="0"/>
        <w:autoSpaceDE/>
        <w:autoSpaceDN/>
        <w:bidi w:val="0"/>
        <w:adjustRightInd/>
        <w:snapToGrid/>
        <w:spacing w:line="380" w:lineRule="exact"/>
        <w:textAlignment w:val="auto"/>
        <w:rPr>
          <w:rFonts w:hint="default" w:ascii="仿宋" w:hAnsi="仿宋" w:eastAsia="仿宋" w:cs="仿宋"/>
          <w:lang w:val="en-US" w:eastAsia="zh-CN"/>
        </w:rPr>
      </w:pPr>
      <w:r>
        <w:rPr>
          <w:rFonts w:hint="eastAsia" w:ascii="仿宋" w:hAnsi="仿宋" w:eastAsia="仿宋" w:cs="仿宋"/>
          <w:lang w:val="en-US" w:eastAsia="zh-CN"/>
        </w:rPr>
        <w:t>（四）付款方式</w:t>
      </w:r>
    </w:p>
    <w:p w14:paraId="674D50D3">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具体以甲乙双方签订合同为准。</w:t>
      </w:r>
    </w:p>
    <w:p w14:paraId="69635283">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（五）服务要求</w:t>
      </w:r>
    </w:p>
    <w:p w14:paraId="2AD4914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5.1 供货期限为 1 年，供货期内按需求供货，采购周期内确保产品的供应和配送服务，不得以经销或代理授权变更的理由更换中标人。</w:t>
      </w:r>
    </w:p>
    <w:p w14:paraId="6A056F19">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 招标文件中的采购预算为采购人大概统计的预算金额，具体采购数量及金额以合同执行过程中的实际采购量及产生金额为准。采购人与中标人按照投标文件所报的单价签订采购合同；采购人不承诺最低采购数量和采购总金额。</w:t>
      </w:r>
    </w:p>
    <w:p w14:paraId="39EE226E">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5.3 在实际供货时，中标人所提供的货物若已经停产（不列入该厂家当时的产品系统），且未能按原价提供同等质量或更优质的货物，则按违约处理。</w:t>
      </w:r>
    </w:p>
    <w:p w14:paraId="345CD4B5">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bCs/>
          <w:color w:val="auto"/>
          <w:lang w:val="en-US" w:eastAsia="zh-CN"/>
        </w:rPr>
      </w:pPr>
      <w:r>
        <w:rPr>
          <w:rFonts w:hint="eastAsia" w:ascii="仿宋" w:hAnsi="仿宋" w:eastAsia="仿宋" w:cs="仿宋"/>
          <w:color w:val="auto"/>
          <w:lang w:val="en-US" w:eastAsia="zh-CN"/>
        </w:rPr>
        <w:t>5.4 送货时间：中标人接到我院供货通知时，必须第一时间安排送货，急救或者紧急情况下的使用的配送收到配送通知起 4 个小时之内立刻发出。一般品种配送收到配送通知起 8 个小时之内立刻发出，</w:t>
      </w:r>
      <w:r>
        <w:rPr>
          <w:rFonts w:hint="eastAsia" w:ascii="仿宋" w:hAnsi="仿宋" w:eastAsia="仿宋" w:cs="仿宋"/>
          <w:b/>
          <w:bCs/>
          <w:color w:val="auto"/>
          <w:lang w:val="en-US" w:eastAsia="zh-CN"/>
        </w:rPr>
        <w:t>因供货不及时造成工作影响，医院有权单方取消中标人供货资格及以后投标资格。（投标人必须提供由法定代表人或法定代表人授权代表签字或盖章的承诺函，并加盖供应商公章。）</w:t>
      </w:r>
    </w:p>
    <w:p w14:paraId="2A9E7A2D">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5.5 除客观不可抗力外，中标人不得更改送货内容。如确需变更供货内容的，中标人应在得知情况的同时告知采购人并征得采购人同意，经发现中标人有私自更改清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14:paraId="780E782F">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5.6 投标人必须对所投项目的所有清单内容完整投标，缺项漏项将导致投标无效。也不得修改清单中的任何内容，但可于投标前提出询问，否则投标无效。</w:t>
      </w:r>
    </w:p>
    <w:p w14:paraId="43034A5C">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5.7 若中标商品有断货或停货等特殊情况时，供货商必须提前 30 日通知采购方，并出示加盖公章的停货书面说明。断货期间，医院有权向其他供货商购买同类产品，直到原供货方能继续供货为止。</w:t>
      </w:r>
    </w:p>
    <w:p w14:paraId="686C3409">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5.8 本项目换货后的产品须满足采购文件要求及投标文件承诺，不得低于原货品的标准要求；中标人也可经采购人同意后，选择同档次或优于原货品的同类产品替换原货品。</w:t>
      </w:r>
    </w:p>
    <w:p w14:paraId="1A731E65">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（六）配送和运输</w:t>
      </w:r>
    </w:p>
    <w:p w14:paraId="4A59F3C3">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6.1 货物运输符合的相关国际惯例，试剂、耗材运达所产生的费用由中标人负责。运输途中的货物破损及损失风险由中标人承担，中标人承担运费。投标人应具有与本次招标的供货规模和范围相适应的场地、标的货物供应保障、专业运输仓储设施设备。</w:t>
      </w:r>
    </w:p>
    <w:p w14:paraId="766D46C6">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6.2 运送本项目试剂耗材的车辆应使用专用封闭厢式货车，并针对运输试剂耗材的包装条件及道路、天气状况采取相应措施，防止对试剂耗材质量造成影响。对有温度要求试剂耗材的运输，应有冷藏或保温的措施，并严格按照《医疗器械冷链（运输、贮存）管理指南》（国家食品药品监督管理局【2016】第 154 号）要求进行贮存与运输管理。</w:t>
      </w:r>
    </w:p>
    <w:p w14:paraId="4F25ABA6">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color w:val="0000FF"/>
          <w:lang w:val="en-US" w:eastAsia="zh-CN"/>
        </w:rPr>
      </w:pPr>
      <w:r>
        <w:rPr>
          <w:rFonts w:hint="eastAsia" w:ascii="仿宋" w:hAnsi="仿宋" w:eastAsia="仿宋" w:cs="仿宋"/>
          <w:lang w:val="en-US" w:eastAsia="zh-CN"/>
        </w:rPr>
        <w:t>6.3 日常供货时间为接到通知后 7天内送至采购人指定地点，服务期内不限供货次数，应根据采购人实际需要提供 7×24 小时响应。投标人提供送货明细，并标明生产日期、产品有效期等。</w:t>
      </w:r>
      <w:r>
        <w:rPr>
          <w:rFonts w:hint="eastAsia" w:ascii="仿宋" w:hAnsi="仿宋" w:eastAsia="仿宋" w:cs="仿宋"/>
          <w:b/>
          <w:bCs/>
          <w:color w:val="auto"/>
          <w:lang w:val="en-US" w:eastAsia="zh-CN"/>
        </w:rPr>
        <w:t>（投标人必须提供由法定代表人或法定代表人授权代表签字或盖章的承诺函，并加盖供应商公章。）</w:t>
      </w:r>
    </w:p>
    <w:p w14:paraId="50F5445D">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（七）验收</w:t>
      </w:r>
    </w:p>
    <w:p w14:paraId="0D08F5FF">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7.1 验收标准：货物若有国家标准按照国家标准验收，若无国家标准按行业标准验收，货物无侵权行为、外包装表面无划损、无任何缺陷隐患，在中国境内可依常规安全合法使用。</w:t>
      </w:r>
    </w:p>
    <w:p w14:paraId="1A94C0A6">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7.2.验收规范：按照国家相关法律法规的规定，及采购人的相关要求执行。</w:t>
      </w:r>
    </w:p>
    <w:p w14:paraId="55BC632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lang w:val="en-US" w:eastAsia="zh-CN"/>
        </w:rPr>
      </w:pPr>
      <w:r>
        <w:rPr>
          <w:rFonts w:hint="eastAsia" w:ascii="仿宋" w:hAnsi="仿宋" w:eastAsia="仿宋" w:cs="仿宋"/>
          <w:lang w:val="en-US" w:eastAsia="zh-CN"/>
        </w:rPr>
        <w:t>7.3.验收方式：采购人自行验收或委托有资质的相关专家进行验收。</w:t>
      </w:r>
    </w:p>
    <w:p w14:paraId="5EC7B551">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一次：货物到达采购人指定地点后，双方对货物的外包装、数量、有效期及裸露便于核对的相关信息予以现场验收。单证齐全：应有产品合格证（或质量证明）、使用说明、质保卡、发票和其他应具有的单证。中标人的送货单必须详细注明商品的品牌、型号、单价、数量、送货单不得涂改，标记不清的，采购人将拒绝签收。结算期末中标人还应提供送货清单供采购人核对结算。 </w:t>
      </w:r>
    </w:p>
    <w:p w14:paraId="76F02FA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二次验收：货物到达指定地点验收合格后，采购人及中标供应商双方进行最终验收（试剂还须提供试剂性能验证及验证结果检测报告），最终验收合格的，采购人及供应商双方应签署最终验收报告。采购人有权对中标人交付的产品进行抽样检验，检验应当由具备检 验资质的机构实施，中标人认可检测结果并承担检测费用。且采购人及中标人双方对该验收结果予以认可。因货物质量问题发生争议时，由本地质量技术监督部门鉴定，鉴定费由中标人承担。 </w:t>
      </w:r>
    </w:p>
    <w:p w14:paraId="4F1AEEB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7.4 验收不合格处理办法 </w:t>
      </w:r>
    </w:p>
    <w:p w14:paraId="544ED68C">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color w:val="auto"/>
          <w:lang w:val="en-US" w:eastAsia="zh-CN"/>
        </w:rPr>
      </w:pPr>
      <w:r>
        <w:rPr>
          <w:rFonts w:hint="eastAsia" w:ascii="仿宋" w:hAnsi="仿宋" w:eastAsia="仿宋" w:cs="仿宋"/>
          <w:b w:val="0"/>
          <w:bCs w:val="0"/>
          <w:color w:val="auto"/>
          <w:lang w:val="en-US" w:eastAsia="zh-CN"/>
        </w:rPr>
        <w:t>7.4.1 验收不合格当日，供应商须立即装车将不符合要求的产品运输返回，第一时间安排公司送货更换，验收不合格起 4 小时之内发出更换产品，不得影响采购人的使用。</w:t>
      </w:r>
      <w:r>
        <w:rPr>
          <w:rFonts w:hint="eastAsia" w:ascii="仿宋" w:hAnsi="仿宋" w:eastAsia="仿宋" w:cs="仿宋"/>
          <w:b/>
          <w:bCs/>
          <w:color w:val="auto"/>
          <w:lang w:val="en-US" w:eastAsia="zh-CN"/>
        </w:rPr>
        <w:t xml:space="preserve"> </w:t>
      </w:r>
    </w:p>
    <w:p w14:paraId="55991C7D">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7.4.2 若供应商提供的货物 2 次未能达到招标文件的要求和投标文件中的有关承诺的， 将按有关法规进行处罚，采购人将有权单方面终止合同的执行，并追究因中标人所提供的未达到所承诺准确率产品而产生的所有损失和责任。</w:t>
      </w:r>
    </w:p>
    <w:p w14:paraId="0312F344">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（八）知识产权</w:t>
      </w:r>
    </w:p>
    <w:p w14:paraId="4B4E9EA9">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14:paraId="6C612E86">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lang w:val="en-US" w:eastAsia="zh-CN"/>
        </w:rPr>
      </w:pPr>
      <w:r>
        <w:rPr>
          <w:rFonts w:hint="eastAsia" w:ascii="仿宋" w:hAnsi="仿宋" w:eastAsia="仿宋" w:cs="仿宋"/>
          <w:lang w:val="en-US" w:eastAsia="zh-CN"/>
        </w:rPr>
        <w:t>（九）其他</w:t>
      </w:r>
    </w:p>
    <w:p w14:paraId="360C5F60">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9.1、其他未尽事宜由供需双方在采购合同中详细约定。</w:t>
      </w:r>
    </w:p>
    <w:p w14:paraId="3579086D">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9.2、投标人在服务期必须遵守安全生产事项、如：发生安全事故由投标人承担一切责任。</w:t>
      </w:r>
    </w:p>
    <w:p w14:paraId="3777EE4C">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9.3、</w:t>
      </w:r>
      <w:r>
        <w:rPr>
          <w:rFonts w:hint="eastAsia" w:ascii="仿宋" w:hAnsi="仿宋" w:eastAsia="仿宋" w:cs="仿宋"/>
          <w:b/>
          <w:bCs/>
          <w:lang w:val="en-US" w:eastAsia="zh-CN"/>
        </w:rPr>
        <w:t>投标人必须在投标文件中对以上条款和服务承诺明确列出，承诺内容必须达到本篇及招标文件其他条款的要求。</w:t>
      </w:r>
    </w:p>
    <w:p w14:paraId="62C85303">
      <w:pPr>
        <w:keepNext w:val="0"/>
        <w:keepLines w:val="0"/>
        <w:pageBreakBefore w:val="0"/>
        <w:kinsoku/>
        <w:wordWrap/>
        <w:overflowPunct/>
        <w:topLinePunct w:val="0"/>
        <w:autoSpaceDE/>
        <w:autoSpaceDN/>
        <w:bidi w:val="0"/>
        <w:adjustRightInd/>
        <w:snapToGrid/>
        <w:spacing w:line="380" w:lineRule="exact"/>
        <w:ind w:firstLine="486" w:firstLineChars="200"/>
        <w:textAlignment w:val="auto"/>
        <w:rPr>
          <w:rFonts w:hint="eastAsia" w:ascii="宋体" w:hAnsi="Times New Roman" w:eastAsia="Times New Roman" w:cs="Times New Roman"/>
          <w:b/>
          <w:color w:val="000000" w:themeColor="text1"/>
          <w:sz w:val="30"/>
          <w:szCs w:val="30"/>
          <w:highlight w:val="none"/>
          <w:lang w:val="en-US" w:eastAsia="zh-CN"/>
          <w14:textFill>
            <w14:solidFill>
              <w14:schemeClr w14:val="tx1"/>
            </w14:solidFill>
          </w14:textFill>
        </w:rPr>
      </w:pPr>
      <w:r>
        <w:rPr>
          <w:rFonts w:hint="eastAsia" w:ascii="仿宋" w:hAnsi="仿宋" w:eastAsia="仿宋" w:cs="仿宋"/>
          <w:lang w:val="en-US" w:eastAsia="zh-CN"/>
        </w:rPr>
        <w:t>9.4 如果中标人不能按照招标文件要求及投标文件的承诺签订中标合同，或经核定中标人的投标文件与事实不符，从而影响公平、公正及影响中标合同执行时，采购人有权取消该其中标人的中标资格，确定排名在中标人之后第一顺位的投标人为中标人或依法重新招标。</w:t>
      </w:r>
    </w:p>
    <w:p w14:paraId="36466694">
      <w:pPr>
        <w:keepNext w:val="0"/>
        <w:keepLines w:val="0"/>
        <w:pageBreakBefore w:val="0"/>
        <w:widowControl w:val="0"/>
        <w:kinsoku/>
        <w:wordWrap/>
        <w:overflowPunct/>
        <w:topLinePunct w:val="0"/>
        <w:autoSpaceDE/>
        <w:autoSpaceDN/>
        <w:bidi w:val="0"/>
        <w:adjustRightInd/>
        <w:snapToGrid/>
        <w:spacing w:line="360" w:lineRule="exact"/>
        <w:ind w:firstLine="606" w:firstLineChars="200"/>
        <w:textAlignment w:val="auto"/>
        <w:rPr>
          <w:rFonts w:ascii="仿宋" w:hAnsi="仿宋" w:eastAsia="仿宋" w:cs="仿宋"/>
          <w:b/>
          <w:color w:val="auto"/>
          <w:sz w:val="30"/>
          <w:szCs w:val="30"/>
          <w:highlight w:val="none"/>
          <w:lang w:eastAsia="zh-CN"/>
        </w:rPr>
      </w:pPr>
    </w:p>
    <w:p w14:paraId="2B7C10CA">
      <w:pPr>
        <w:spacing w:line="480" w:lineRule="exact"/>
        <w:jc w:val="center"/>
        <w:outlineLvl w:val="1"/>
        <w:rPr>
          <w:rFonts w:hint="eastAsia" w:ascii="仿宋" w:hAnsi="仿宋" w:eastAsia="仿宋" w:cs="仿宋"/>
          <w:b/>
          <w:color w:val="auto"/>
          <w:sz w:val="30"/>
          <w:szCs w:val="30"/>
          <w:highlight w:val="none"/>
          <w:lang w:eastAsia="zh-CN"/>
        </w:rPr>
      </w:pPr>
    </w:p>
    <w:p w14:paraId="439C39E6">
      <w:pPr>
        <w:spacing w:line="480" w:lineRule="exact"/>
        <w:jc w:val="center"/>
        <w:outlineLvl w:val="1"/>
        <w:rPr>
          <w:rFonts w:hint="eastAsia" w:ascii="仿宋" w:hAnsi="仿宋" w:eastAsia="仿宋" w:cs="仿宋"/>
          <w:b/>
          <w:color w:val="auto"/>
          <w:sz w:val="30"/>
          <w:szCs w:val="30"/>
          <w:highlight w:val="none"/>
          <w:lang w:eastAsia="zh-CN"/>
        </w:rPr>
      </w:pPr>
    </w:p>
    <w:p w14:paraId="029C7810">
      <w:pPr>
        <w:spacing w:line="480" w:lineRule="exact"/>
        <w:jc w:val="center"/>
        <w:outlineLvl w:val="1"/>
        <w:rPr>
          <w:rFonts w:hint="eastAsia" w:ascii="仿宋" w:hAnsi="仿宋" w:eastAsia="仿宋" w:cs="仿宋"/>
          <w:b/>
          <w:color w:val="auto"/>
          <w:sz w:val="30"/>
          <w:szCs w:val="30"/>
          <w:highlight w:val="none"/>
          <w:lang w:eastAsia="zh-CN"/>
        </w:rPr>
      </w:pPr>
    </w:p>
    <w:p w14:paraId="668D9A80">
      <w:pPr>
        <w:spacing w:line="480" w:lineRule="exact"/>
        <w:jc w:val="center"/>
        <w:outlineLvl w:val="1"/>
        <w:rPr>
          <w:rFonts w:hint="eastAsia" w:ascii="仿宋" w:hAnsi="仿宋" w:eastAsia="仿宋" w:cs="仿宋"/>
          <w:b/>
          <w:color w:val="auto"/>
          <w:sz w:val="30"/>
          <w:szCs w:val="30"/>
          <w:highlight w:val="none"/>
          <w:lang w:eastAsia="zh-CN"/>
        </w:rPr>
      </w:pPr>
    </w:p>
    <w:p w14:paraId="10CB2190">
      <w:pPr>
        <w:spacing w:line="480" w:lineRule="exact"/>
        <w:jc w:val="center"/>
        <w:outlineLvl w:val="1"/>
        <w:rPr>
          <w:rFonts w:hint="eastAsia" w:ascii="仿宋" w:hAnsi="仿宋" w:eastAsia="仿宋" w:cs="仿宋"/>
          <w:b/>
          <w:color w:val="auto"/>
          <w:sz w:val="30"/>
          <w:szCs w:val="30"/>
          <w:highlight w:val="none"/>
          <w:lang w:eastAsia="zh-CN"/>
        </w:rPr>
      </w:pPr>
    </w:p>
    <w:p w14:paraId="5366CA0C">
      <w:pPr>
        <w:spacing w:line="480" w:lineRule="exact"/>
        <w:jc w:val="center"/>
        <w:outlineLvl w:val="1"/>
        <w:rPr>
          <w:rFonts w:hint="eastAsia" w:ascii="仿宋" w:hAnsi="仿宋" w:eastAsia="仿宋" w:cs="仿宋"/>
          <w:b/>
          <w:color w:val="auto"/>
          <w:sz w:val="30"/>
          <w:szCs w:val="30"/>
          <w:highlight w:val="none"/>
          <w:lang w:eastAsia="zh-CN"/>
        </w:rPr>
      </w:pPr>
    </w:p>
    <w:p w14:paraId="24E8ED2E">
      <w:pPr>
        <w:spacing w:line="480" w:lineRule="exact"/>
        <w:jc w:val="center"/>
        <w:outlineLvl w:val="1"/>
        <w:rPr>
          <w:rFonts w:hint="eastAsia" w:ascii="仿宋" w:hAnsi="仿宋" w:eastAsia="仿宋" w:cs="仿宋"/>
          <w:b/>
          <w:color w:val="auto"/>
          <w:sz w:val="30"/>
          <w:szCs w:val="30"/>
          <w:highlight w:val="none"/>
          <w:lang w:eastAsia="zh-CN"/>
        </w:rPr>
      </w:pPr>
    </w:p>
    <w:p w14:paraId="494FD0F0">
      <w:pPr>
        <w:spacing w:line="480" w:lineRule="exact"/>
        <w:jc w:val="center"/>
        <w:outlineLvl w:val="1"/>
        <w:rPr>
          <w:rFonts w:hint="eastAsia" w:ascii="仿宋" w:hAnsi="仿宋" w:eastAsia="仿宋" w:cs="仿宋"/>
          <w:b/>
          <w:color w:val="auto"/>
          <w:sz w:val="30"/>
          <w:szCs w:val="30"/>
          <w:highlight w:val="none"/>
          <w:lang w:eastAsia="zh-CN"/>
        </w:rPr>
      </w:pPr>
    </w:p>
    <w:p w14:paraId="7529B53A">
      <w:pPr>
        <w:spacing w:line="480" w:lineRule="exact"/>
        <w:jc w:val="center"/>
        <w:outlineLvl w:val="1"/>
        <w:rPr>
          <w:rFonts w:hint="eastAsia" w:ascii="仿宋" w:hAnsi="仿宋" w:eastAsia="仿宋" w:cs="仿宋"/>
          <w:b/>
          <w:color w:val="auto"/>
          <w:sz w:val="30"/>
          <w:szCs w:val="30"/>
          <w:highlight w:val="none"/>
          <w:lang w:eastAsia="zh-CN"/>
        </w:rPr>
      </w:pPr>
    </w:p>
    <w:p w14:paraId="6A582BD8">
      <w:pPr>
        <w:spacing w:line="480" w:lineRule="exact"/>
        <w:jc w:val="center"/>
        <w:outlineLvl w:val="1"/>
        <w:rPr>
          <w:rFonts w:hint="eastAsia" w:ascii="仿宋" w:hAnsi="仿宋" w:eastAsia="仿宋" w:cs="仿宋"/>
          <w:b/>
          <w:color w:val="auto"/>
          <w:sz w:val="30"/>
          <w:szCs w:val="30"/>
          <w:highlight w:val="none"/>
          <w:lang w:eastAsia="zh-CN"/>
        </w:rPr>
      </w:pPr>
    </w:p>
    <w:p w14:paraId="1FF9E8F6">
      <w:pPr>
        <w:spacing w:line="480" w:lineRule="exact"/>
        <w:jc w:val="center"/>
        <w:outlineLvl w:val="1"/>
        <w:rPr>
          <w:rFonts w:hint="eastAsia" w:ascii="仿宋" w:hAnsi="仿宋" w:eastAsia="仿宋" w:cs="仿宋"/>
          <w:b/>
          <w:color w:val="auto"/>
          <w:sz w:val="30"/>
          <w:szCs w:val="30"/>
          <w:highlight w:val="none"/>
          <w:lang w:eastAsia="zh-CN"/>
        </w:rPr>
      </w:pPr>
    </w:p>
    <w:p w14:paraId="6B0A6CDA">
      <w:pPr>
        <w:spacing w:line="480" w:lineRule="exact"/>
        <w:jc w:val="center"/>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第五章</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lang w:eastAsia="zh-CN"/>
        </w:rPr>
        <w:t>合同条款及格式</w:t>
      </w:r>
      <w:bookmarkStart w:id="50" w:name="_Toc20669"/>
    </w:p>
    <w:p w14:paraId="26284766">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50"/>
    </w:p>
    <w:p w14:paraId="77055C13">
      <w:pPr>
        <w:widowControl/>
        <w:numPr>
          <w:ilvl w:val="0"/>
          <w:numId w:val="8"/>
        </w:numPr>
        <w:shd w:val="clear" w:color="auto" w:fill="auto"/>
        <w:spacing w:line="600" w:lineRule="exact"/>
        <w:jc w:val="center"/>
        <w:textAlignment w:val="baseline"/>
        <w:outlineLvl w:val="1"/>
        <w:rPr>
          <w:rFonts w:hint="eastAsia" w:ascii="仿宋" w:hAnsi="仿宋" w:eastAsia="仿宋" w:cs="仿宋"/>
          <w:color w:val="000000" w:themeColor="text1"/>
          <w:sz w:val="24"/>
          <w:highlight w:val="none"/>
          <w14:textFill>
            <w14:solidFill>
              <w14:schemeClr w14:val="tx1"/>
            </w14:solidFill>
          </w14:textFill>
        </w:rPr>
      </w:pPr>
      <w:bookmarkStart w:id="51" w:name="_Toc247085768"/>
      <w:bookmarkStart w:id="52" w:name="_Toc296602498"/>
      <w:bookmarkStart w:id="53" w:name="_Toc152045610"/>
      <w:bookmarkStart w:id="54" w:name="_Toc179632628"/>
      <w:bookmarkStart w:id="55" w:name="_Toc152042388"/>
      <w:bookmarkStart w:id="56" w:name="_Toc144974578"/>
      <w:bookmarkStart w:id="57" w:name="_Toc469495742"/>
      <w:bookmarkStart w:id="58" w:name="_Toc246996253"/>
      <w:bookmarkStart w:id="59" w:name="_Toc246996996"/>
      <w:r>
        <w:rPr>
          <w:rFonts w:hint="eastAsia" w:ascii="仿宋" w:hAnsi="仿宋" w:eastAsia="仿宋" w:cs="仿宋"/>
          <w:b/>
          <w:color w:val="000000" w:themeColor="text1"/>
          <w:sz w:val="30"/>
          <w:szCs w:val="30"/>
          <w:highlight w:val="none"/>
          <w14:textFill>
            <w14:solidFill>
              <w14:schemeClr w14:val="tx1"/>
            </w14:solidFill>
          </w14:textFill>
        </w:rPr>
        <w:t xml:space="preserve"> </w:t>
      </w:r>
      <w:bookmarkStart w:id="60" w:name="_Toc469495741"/>
      <w:r>
        <w:rPr>
          <w:rFonts w:hint="eastAsia" w:ascii="仿宋" w:hAnsi="仿宋" w:eastAsia="仿宋" w:cs="仿宋"/>
          <w:b/>
          <w:color w:val="000000" w:themeColor="text1"/>
          <w:sz w:val="30"/>
          <w:szCs w:val="30"/>
          <w:highlight w:val="none"/>
          <w14:textFill>
            <w14:solidFill>
              <w14:schemeClr w14:val="tx1"/>
            </w14:solidFill>
          </w14:textFill>
        </w:rPr>
        <w:t>合同协议书</w:t>
      </w:r>
      <w:bookmarkEnd w:id="60"/>
      <w:r>
        <w:rPr>
          <w:rFonts w:hint="eastAsia" w:ascii="仿宋" w:hAnsi="仿宋" w:eastAsia="仿宋" w:cs="仿宋"/>
          <w:b/>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合同名称</w:t>
      </w:r>
      <w:r>
        <w:rPr>
          <w:rFonts w:hint="eastAsia" w:ascii="仿宋" w:hAnsi="仿宋" w:eastAsia="仿宋" w:cs="仿宋"/>
          <w:b/>
          <w:color w:val="000000" w:themeColor="text1"/>
          <w:sz w:val="24"/>
          <w:highlight w:val="none"/>
          <w14:textFill>
            <w14:solidFill>
              <w14:schemeClr w14:val="tx1"/>
            </w14:solidFill>
          </w14:textFill>
        </w:rPr>
        <w:t xml:space="preserve">  </w:t>
      </w:r>
    </w:p>
    <w:p w14:paraId="707F16F6">
      <w:pPr>
        <w:widowControl/>
        <w:numPr>
          <w:ilvl w:val="0"/>
          <w:numId w:val="0"/>
        </w:numPr>
        <w:shd w:val="clear" w:color="auto" w:fill="auto"/>
        <w:spacing w:line="600" w:lineRule="exact"/>
        <w:ind w:leftChars="0" w:right="0" w:rightChars="0"/>
        <w:jc w:val="both"/>
        <w:textAlignment w:val="baseline"/>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p w14:paraId="7E98EAD8">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买    方：                                   卖    方：</w:t>
      </w:r>
    </w:p>
    <w:p w14:paraId="0F3FC546">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                                   电    话：</w:t>
      </w:r>
    </w:p>
    <w:p w14:paraId="2A394C5D">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住    所：                                   住    所：                       </w:t>
      </w:r>
    </w:p>
    <w:p w14:paraId="620F3D31">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（买方）</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14:textFill>
            <w14:solidFill>
              <w14:schemeClr w14:val="tx1"/>
            </w14:solidFill>
          </w14:textFill>
        </w:rPr>
        <w:t>（项目名称）</w:t>
      </w:r>
      <w:r>
        <w:rPr>
          <w:rFonts w:hint="eastAsia" w:ascii="仿宋" w:hAnsi="仿宋" w:eastAsia="仿宋" w:cs="仿宋"/>
          <w:color w:val="000000" w:themeColor="text1"/>
          <w:sz w:val="24"/>
          <w:szCs w:val="24"/>
          <w:highlight w:val="none"/>
          <w14:textFill>
            <w14:solidFill>
              <w14:schemeClr w14:val="tx1"/>
            </w14:solidFill>
          </w14:textFill>
        </w:rPr>
        <w:t>中所需</w:t>
      </w:r>
      <w:r>
        <w:rPr>
          <w:rFonts w:hint="eastAsia" w:ascii="仿宋" w:hAnsi="仿宋" w:eastAsia="仿宋" w:cs="仿宋"/>
          <w:color w:val="000000" w:themeColor="text1"/>
          <w:sz w:val="24"/>
          <w:szCs w:val="24"/>
          <w:highlight w:val="none"/>
          <w:u w:val="single"/>
          <w14:textFill>
            <w14:solidFill>
              <w14:schemeClr w14:val="tx1"/>
            </w14:solidFill>
          </w14:textFill>
        </w:rPr>
        <w:t>（产品名称）</w:t>
      </w:r>
      <w:r>
        <w:rPr>
          <w:rFonts w:hint="eastAsia" w:ascii="仿宋" w:hAnsi="仿宋" w:eastAsia="仿宋" w:cs="仿宋"/>
          <w:color w:val="000000" w:themeColor="text1"/>
          <w:sz w:val="24"/>
          <w:szCs w:val="24"/>
          <w:highlight w:val="none"/>
          <w14:textFill>
            <w14:solidFill>
              <w14:schemeClr w14:val="tx1"/>
            </w14:solidFill>
          </w14:textFill>
        </w:rPr>
        <w:t xml:space="preserve"> 经公开招标，确定</w:t>
      </w:r>
      <w:r>
        <w:rPr>
          <w:rFonts w:hint="eastAsia" w:ascii="仿宋" w:hAnsi="仿宋" w:eastAsia="仿宋" w:cs="仿宋"/>
          <w:color w:val="000000" w:themeColor="text1"/>
          <w:sz w:val="24"/>
          <w:szCs w:val="24"/>
          <w:highlight w:val="none"/>
          <w:u w:val="single"/>
          <w14:textFill>
            <w14:solidFill>
              <w14:schemeClr w14:val="tx1"/>
            </w14:solidFill>
          </w14:textFill>
        </w:rPr>
        <w:t>（卖方）</w:t>
      </w:r>
      <w:r>
        <w:rPr>
          <w:rFonts w:hint="eastAsia" w:ascii="仿宋" w:hAnsi="仿宋" w:eastAsia="仿宋" w:cs="仿宋"/>
          <w:color w:val="000000" w:themeColor="text1"/>
          <w:sz w:val="24"/>
          <w:szCs w:val="24"/>
          <w:highlight w:val="none"/>
          <w14:textFill>
            <w14:solidFill>
              <w14:schemeClr w14:val="tx1"/>
            </w14:solidFill>
          </w14:textFill>
        </w:rPr>
        <w:t>为中标人。按照中华人民共和国合同法的规定，买卖双方同意按照下述的条款和条件，签署本合同。</w:t>
      </w:r>
    </w:p>
    <w:p w14:paraId="3C6CE970">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1、本合同文件</w:t>
      </w:r>
    </w:p>
    <w:p w14:paraId="6642182F">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下列每一文件均应作为合同的组成部分进行阅读和解释：</w:t>
      </w:r>
    </w:p>
    <w:p w14:paraId="522DA9B8">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采购文件</w:t>
      </w:r>
      <w:r>
        <w:rPr>
          <w:rFonts w:hint="eastAsia" w:ascii="仿宋" w:hAnsi="仿宋" w:eastAsia="仿宋" w:cs="仿宋"/>
          <w:color w:val="000000" w:themeColor="text1"/>
          <w:sz w:val="24"/>
          <w:szCs w:val="24"/>
          <w:highlight w:val="none"/>
          <w14:textFill>
            <w14:solidFill>
              <w14:schemeClr w14:val="tx1"/>
            </w14:solidFill>
          </w14:textFill>
        </w:rPr>
        <w:t>（2）投标文件（3）中标通知书</w:t>
      </w:r>
    </w:p>
    <w:p w14:paraId="4A3458FD">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（4）经双方确认进入合同的其它文件、补充条款或说明</w:t>
      </w:r>
    </w:p>
    <w:p w14:paraId="4A41DE1B">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2、采购标的、数量、质量要求</w:t>
      </w:r>
    </w:p>
    <w:p w14:paraId="39D4ED81">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3、合同总价</w:t>
      </w:r>
    </w:p>
    <w:p w14:paraId="35B6538C">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合同总价为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元人民币。</w:t>
      </w:r>
    </w:p>
    <w:p w14:paraId="2EEF8AA3">
      <w:pPr>
        <w:numPr>
          <w:ilvl w:val="0"/>
          <w:numId w:val="9"/>
        </w:numPr>
        <w:shd w:val="clear" w:color="auto" w:fill="auto"/>
        <w:spacing w:line="360" w:lineRule="auto"/>
        <w:ind w:firstLine="486" w:firstLineChars="20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付款方式：具体以甲乙双方签订的合同为准</w:t>
      </w:r>
    </w:p>
    <w:p w14:paraId="1C6F5B9E">
      <w:pPr>
        <w:numPr>
          <w:ilvl w:val="0"/>
          <w:numId w:val="0"/>
        </w:numPr>
        <w:shd w:val="clear" w:color="auto" w:fill="auto"/>
        <w:spacing w:line="360" w:lineRule="auto"/>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5、合同供货（服务）期限及地点和方式</w:t>
      </w:r>
    </w:p>
    <w:p w14:paraId="5F726850">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6、验收要求及违约责任</w:t>
      </w:r>
    </w:p>
    <w:p w14:paraId="373C5C75">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7、违约责任及解决争议方法</w:t>
      </w:r>
    </w:p>
    <w:p w14:paraId="11D8DFCF">
      <w:pPr>
        <w:shd w:val="clear" w:color="auto" w:fill="auto"/>
        <w:spacing w:line="420" w:lineRule="exact"/>
        <w:ind w:firstLine="486"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8、合同的生效</w:t>
      </w:r>
    </w:p>
    <w:p w14:paraId="606CB1A7">
      <w:pPr>
        <w:pStyle w:val="11"/>
        <w:shd w:val="clear" w:color="auto" w:fill="auto"/>
        <w:spacing w:after="0" w:line="420" w:lineRule="exact"/>
        <w:ind w:left="0" w:leftChars="0" w:firstLine="486" w:firstLineChars="200"/>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合同经双方授权代表签署，买卖双方加盖印章之后生效。</w:t>
      </w:r>
    </w:p>
    <w:p w14:paraId="607888B2">
      <w:pPr>
        <w:pStyle w:val="11"/>
        <w:shd w:val="clear" w:color="auto" w:fill="auto"/>
        <w:spacing w:after="0" w:line="420" w:lineRule="exact"/>
        <w:ind w:left="0" w:leftChars="0" w:firstLine="486" w:firstLineChars="200"/>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本合同一式     份，双方各执     份。</w:t>
      </w:r>
    </w:p>
    <w:p w14:paraId="432E4BFA">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买  方：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卖  方：</w:t>
      </w:r>
    </w:p>
    <w:p w14:paraId="543D332C">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名  称：（盖章）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名  称：（盖章）</w:t>
      </w:r>
    </w:p>
    <w:p w14:paraId="24B53BF6">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法定代表人（或委托代理人签</w:t>
      </w:r>
      <w:r>
        <w:rPr>
          <w:rFonts w:hint="eastAsia" w:ascii="仿宋" w:hAnsi="仿宋" w:eastAsia="仿宋" w:cs="仿宋"/>
          <w:color w:val="000000" w:themeColor="text1"/>
          <w:kern w:val="0"/>
          <w:sz w:val="24"/>
          <w:szCs w:val="24"/>
          <w:highlight w:val="none"/>
          <w:u w:val="none" w:color="000000"/>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法定代表人（或委托代理人签</w:t>
      </w:r>
      <w:r>
        <w:rPr>
          <w:rFonts w:hint="eastAsia" w:ascii="仿宋" w:hAnsi="仿宋" w:eastAsia="仿宋" w:cs="仿宋"/>
          <w:color w:val="000000" w:themeColor="text1"/>
          <w:kern w:val="0"/>
          <w:sz w:val="24"/>
          <w:szCs w:val="24"/>
          <w:highlight w:val="none"/>
          <w:u w:val="none" w:color="000000"/>
          <w:lang w:eastAsia="zh-CN"/>
          <w14:textFill>
            <w14:solidFill>
              <w14:schemeClr w14:val="tx1"/>
            </w14:solidFill>
          </w14:textFill>
        </w:rPr>
        <w:t>章</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w:t>
      </w:r>
    </w:p>
    <w:p w14:paraId="5D63E4E4">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地    址：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地    址：</w:t>
      </w:r>
    </w:p>
    <w:p w14:paraId="4C73B3C7">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邮政编码：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邮政编码：</w:t>
      </w:r>
    </w:p>
    <w:p w14:paraId="08100ED5">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电    话：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电    话：</w:t>
      </w:r>
    </w:p>
    <w:p w14:paraId="2628D51D">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开户银行：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开户银行：</w:t>
      </w:r>
    </w:p>
    <w:p w14:paraId="01BDFB06">
      <w:pPr>
        <w:pStyle w:val="11"/>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帐    号：                       </w:t>
      </w:r>
      <w:r>
        <w:rPr>
          <w:rFonts w:hint="eastAsia" w:ascii="仿宋" w:hAnsi="仿宋" w:eastAsia="仿宋" w:cs="仿宋"/>
          <w:color w:val="000000" w:themeColor="text1"/>
          <w:kern w:val="0"/>
          <w:sz w:val="24"/>
          <w:szCs w:val="24"/>
          <w:highlight w:val="none"/>
          <w:u w:val="none" w:color="00000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none" w:color="000000"/>
          <w14:textFill>
            <w14:solidFill>
              <w14:schemeClr w14:val="tx1"/>
            </w14:solidFill>
          </w14:textFill>
        </w:rPr>
        <w:t xml:space="preserve"> 帐    号：</w:t>
      </w:r>
    </w:p>
    <w:p w14:paraId="26B1C985">
      <w:pPr>
        <w:pStyle w:val="11"/>
        <w:spacing w:after="0" w:line="420" w:lineRule="exact"/>
        <w:ind w:left="0" w:leftChars="0" w:firstLine="606" w:firstLineChars="200"/>
        <w:jc w:val="center"/>
        <w:rPr>
          <w:rFonts w:hint="eastAsia" w:ascii="仿宋" w:hAnsi="仿宋" w:eastAsia="仿宋" w:cs="仿宋"/>
          <w:b/>
          <w:color w:val="auto"/>
          <w:sz w:val="30"/>
          <w:szCs w:val="30"/>
          <w:highlight w:val="none"/>
          <w:lang w:eastAsia="zh-CN"/>
        </w:rPr>
      </w:pPr>
    </w:p>
    <w:p w14:paraId="594AA9E7">
      <w:pPr>
        <w:pStyle w:val="11"/>
        <w:spacing w:after="0" w:line="420" w:lineRule="exact"/>
        <w:ind w:left="0" w:leftChars="0" w:firstLine="726" w:firstLineChars="200"/>
        <w:jc w:val="center"/>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二</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lang w:eastAsia="zh-CN"/>
        </w:rPr>
        <w:t>合同条款</w:t>
      </w:r>
      <w:bookmarkEnd w:id="51"/>
      <w:bookmarkEnd w:id="52"/>
      <w:bookmarkEnd w:id="53"/>
      <w:bookmarkEnd w:id="54"/>
      <w:bookmarkEnd w:id="55"/>
      <w:bookmarkEnd w:id="56"/>
      <w:bookmarkEnd w:id="57"/>
      <w:bookmarkEnd w:id="58"/>
      <w:bookmarkEnd w:id="59"/>
    </w:p>
    <w:p w14:paraId="0B298F05">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3C261CB2">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2B68A074">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6AD1FC0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6294C6BE">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51BB05CC">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5299D756">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3A79CB65">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31968224">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&lt;4&gt;中标通知书、投标文件和采购文件；</w:t>
      </w:r>
    </w:p>
    <w:p w14:paraId="7D9EB2CF">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6B27D5CB">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04D7747B">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28E12EAA">
      <w:pPr>
        <w:pStyle w:val="7"/>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0FFB88A1">
      <w:pPr>
        <w:pStyle w:val="7"/>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386CB65B">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08E8F9EC">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39477DC7">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对于出卖的标的物，卖方应当拥有完整物权，并且卖方负有保证第三人不得向买方主张任何权利（包括知识产权）的义务。</w:t>
      </w:r>
    </w:p>
    <w:p w14:paraId="09B4D390">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34A18865">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7A0D44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6C3C1B0E">
      <w:pPr>
        <w:pStyle w:val="7"/>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1E3BCCB7">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4B3AC331">
      <w:pPr>
        <w:pStyle w:val="7"/>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2E8F0D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7E08A76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727C8611">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54AE17C6">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3F8FC24C">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55DB420C">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66F6AF7C">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06F6570A">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49FDF08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40B53E15">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3F80D579">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55196000">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29069D5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414F6748">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47AA2A3">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01D4552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4A11B24F">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22E98403">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75858DB3">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5FE25DE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6C2CC809">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3B7B9499">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25A24A0F">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7D016606">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2DABD5E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4322696E">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0EF00D9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7166ECF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0E331D9B">
      <w:pPr>
        <w:pStyle w:val="7"/>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735ACE0C">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56891FA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64DC17D3">
      <w:pPr>
        <w:pStyle w:val="7"/>
        <w:spacing w:line="440" w:lineRule="exact"/>
        <w:ind w:firstLine="486"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2636CCE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7452373A">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47646EE2">
      <w:pPr>
        <w:pStyle w:val="7"/>
        <w:overflowPunct w:val="0"/>
        <w:spacing w:line="440" w:lineRule="exact"/>
        <w:ind w:right="-386"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0ED3E5AB">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6DABF77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52EF08ED">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590C047C">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610BF99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6C81743E">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225D40CE">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2AB8FE49">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35596FB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54DAC3EB">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43505BF0">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28639F09">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7138571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2BF46271">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CA92EE">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341FB467">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7F21E6DF">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60E6555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3219B1C9">
      <w:pPr>
        <w:pStyle w:val="7"/>
        <w:overflowPunct w:val="0"/>
        <w:spacing w:line="440" w:lineRule="exact"/>
        <w:ind w:firstLine="607"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3132885F">
      <w:pPr>
        <w:pStyle w:val="7"/>
        <w:overflowPunct w:val="0"/>
        <w:spacing w:line="440" w:lineRule="exact"/>
        <w:ind w:right="-386"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566FC14E">
      <w:pPr>
        <w:pStyle w:val="7"/>
        <w:overflowPunct w:val="0"/>
        <w:spacing w:line="440" w:lineRule="exact"/>
        <w:ind w:right="-1010"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108692B9">
      <w:pPr>
        <w:pStyle w:val="7"/>
        <w:overflowPunct w:val="0"/>
        <w:spacing w:line="440" w:lineRule="exact"/>
        <w:ind w:right="-1010"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6369611C">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4EB17F1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7D3F3B9A">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68449F88">
      <w:pPr>
        <w:pStyle w:val="7"/>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08ABFB1D">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60041EEB">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75F4250D">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1C294D3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183A87E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1DE2FD5F">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7DB55808">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1BFCC7A2">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本合同在双方签字盖章并在招标人收到中标人提交的履约保证金后，经招标采购管理部门备案后生效。</w:t>
      </w:r>
    </w:p>
    <w:p w14:paraId="630A5BD7">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5BF6A657">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587C83A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65009ECF">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(1)双方同时申请仲裁；</w:t>
      </w:r>
    </w:p>
    <w:p w14:paraId="31EE16D2">
      <w:pPr>
        <w:pStyle w:val="7"/>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71E581DC">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5D478670">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440C14C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本合同一式陆份，买卖双方各执二份，招标代理机构一份，招标采购管理部门一份。</w:t>
      </w:r>
    </w:p>
    <w:p w14:paraId="5D4D18F7">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18B3FC13">
      <w:pPr>
        <w:spacing w:line="440" w:lineRule="exact"/>
        <w:ind w:firstLine="607" w:firstLineChars="2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本合同未尽事宜应按《中华人民共和国政府采购法》、《中华人民共和国民法典》、《中华人民共和国产品质量法》之规定解释。</w:t>
      </w:r>
    </w:p>
    <w:p w14:paraId="611A0CC1">
      <w:pPr>
        <w:pStyle w:val="6"/>
        <w:rPr>
          <w:rFonts w:hint="eastAsia" w:ascii="仿宋" w:hAnsi="仿宋" w:eastAsia="仿宋" w:cs="仿宋"/>
          <w:color w:val="auto"/>
          <w:highlight w:val="none"/>
          <w:lang w:eastAsia="zh-CN"/>
        </w:rPr>
      </w:pPr>
    </w:p>
    <w:p w14:paraId="2F52A0D6">
      <w:pPr>
        <w:rPr>
          <w:rFonts w:hint="eastAsia" w:ascii="仿宋" w:hAnsi="仿宋" w:eastAsia="仿宋" w:cs="仿宋"/>
          <w:color w:val="auto"/>
          <w:highlight w:val="none"/>
          <w:lang w:eastAsia="zh-CN"/>
        </w:rPr>
      </w:pPr>
    </w:p>
    <w:p w14:paraId="2DAA81FC">
      <w:pPr>
        <w:pStyle w:val="6"/>
        <w:rPr>
          <w:rFonts w:hint="eastAsia" w:ascii="仿宋" w:hAnsi="仿宋" w:eastAsia="仿宋" w:cs="仿宋"/>
          <w:color w:val="auto"/>
          <w:highlight w:val="none"/>
          <w:lang w:eastAsia="zh-CN"/>
        </w:rPr>
      </w:pPr>
    </w:p>
    <w:p w14:paraId="7A46AC0A">
      <w:pPr>
        <w:pStyle w:val="3"/>
        <w:spacing w:line="240" w:lineRule="atLeast"/>
        <w:rPr>
          <w:rFonts w:ascii="仿宋" w:hAnsi="仿宋" w:eastAsia="仿宋" w:cs="仿宋"/>
          <w:bCs/>
          <w:color w:val="auto"/>
          <w:sz w:val="24"/>
          <w:highlight w:val="none"/>
          <w:lang w:eastAsia="zh-CN"/>
        </w:rPr>
      </w:pPr>
      <w:bookmarkStart w:id="61" w:name="_Toc18974"/>
      <w:bookmarkStart w:id="62" w:name="_Toc18694"/>
      <w:bookmarkStart w:id="63" w:name="_Toc515647803"/>
      <w:bookmarkStart w:id="64" w:name="_Toc8919"/>
    </w:p>
    <w:p w14:paraId="6016E4A3">
      <w:pPr>
        <w:pStyle w:val="3"/>
        <w:spacing w:line="240" w:lineRule="atLeast"/>
        <w:rPr>
          <w:rFonts w:hint="eastAsia" w:ascii="仿宋" w:hAnsi="仿宋" w:eastAsia="仿宋" w:cs="仿宋"/>
          <w:bCs/>
          <w:color w:val="auto"/>
          <w:szCs w:val="21"/>
          <w:highlight w:val="none"/>
          <w:lang w:eastAsia="zh-CN"/>
        </w:rPr>
      </w:pPr>
    </w:p>
    <w:p w14:paraId="6953E3E5">
      <w:pPr>
        <w:pStyle w:val="40"/>
        <w:keepNext/>
        <w:keepLines/>
        <w:spacing w:before="0" w:after="1160"/>
        <w:rPr>
          <w:rFonts w:ascii="仿宋" w:hAnsi="仿宋" w:eastAsia="仿宋" w:cs="仿宋"/>
          <w:b/>
          <w:bCs/>
          <w:color w:val="auto"/>
          <w:highlight w:val="none"/>
        </w:rPr>
      </w:pPr>
      <w:r>
        <w:rPr>
          <w:rFonts w:hint="eastAsia" w:ascii="仿宋" w:hAnsi="仿宋" w:eastAsia="仿宋" w:cs="仿宋"/>
          <w:b/>
          <w:bCs/>
          <w:color w:val="auto"/>
          <w:highlight w:val="none"/>
        </w:rPr>
        <w:t>第</w:t>
      </w:r>
      <w:r>
        <w:rPr>
          <w:rFonts w:hint="eastAsia" w:ascii="仿宋" w:hAnsi="仿宋" w:eastAsia="仿宋" w:cs="仿宋"/>
          <w:b/>
          <w:bCs/>
          <w:color w:val="auto"/>
          <w:highlight w:val="none"/>
          <w:lang w:eastAsia="zh-CN"/>
        </w:rPr>
        <w:t>六章</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投标文件格式</w:t>
      </w:r>
    </w:p>
    <w:p w14:paraId="7CCF2400">
      <w:pPr>
        <w:adjustRightInd w:val="0"/>
        <w:snapToGrid w:val="0"/>
        <w:spacing w:line="360" w:lineRule="auto"/>
        <w:jc w:val="center"/>
        <w:rPr>
          <w:rFonts w:ascii="仿宋" w:hAnsi="仿宋" w:eastAsia="仿宋" w:cs="仿宋"/>
          <w:b/>
          <w:caps/>
          <w:color w:val="auto"/>
          <w:highlight w:val="none"/>
          <w:lang w:eastAsia="zh-CN"/>
        </w:rPr>
      </w:pPr>
    </w:p>
    <w:p w14:paraId="5F056DE8">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caps/>
          <w:color w:val="auto"/>
          <w:sz w:val="32"/>
          <w:szCs w:val="32"/>
          <w:highlight w:val="none"/>
          <w:lang w:eastAsia="zh-CN"/>
        </w:rPr>
        <w:t>（项目名称）</w:t>
      </w:r>
    </w:p>
    <w:p w14:paraId="5FADE8BE">
      <w:pPr>
        <w:adjustRightInd w:val="0"/>
        <w:snapToGrid w:val="0"/>
        <w:spacing w:line="360" w:lineRule="auto"/>
        <w:jc w:val="both"/>
        <w:rPr>
          <w:rFonts w:ascii="仿宋" w:hAnsi="仿宋" w:eastAsia="仿宋" w:cs="仿宋"/>
          <w:bCs/>
          <w:color w:val="auto"/>
          <w:sz w:val="32"/>
          <w:szCs w:val="32"/>
          <w:highlight w:val="none"/>
          <w:lang w:eastAsia="zh-CN"/>
        </w:rPr>
      </w:pPr>
    </w:p>
    <w:p w14:paraId="78F91376">
      <w:pPr>
        <w:adjustRightInd w:val="0"/>
        <w:snapToGrid w:val="0"/>
        <w:spacing w:line="360" w:lineRule="auto"/>
        <w:jc w:val="center"/>
        <w:rPr>
          <w:rFonts w:ascii="仿宋" w:hAnsi="仿宋" w:eastAsia="仿宋" w:cs="仿宋"/>
          <w:bCs/>
          <w:color w:val="auto"/>
          <w:sz w:val="32"/>
          <w:szCs w:val="32"/>
          <w:highlight w:val="none"/>
          <w:lang w:eastAsia="zh-CN"/>
        </w:rPr>
      </w:pPr>
    </w:p>
    <w:p w14:paraId="1A3B202D">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14:paraId="7A845C6C">
      <w:pPr>
        <w:adjustRightInd w:val="0"/>
        <w:snapToGrid w:val="0"/>
        <w:spacing w:line="360" w:lineRule="auto"/>
        <w:jc w:val="center"/>
        <w:rPr>
          <w:rFonts w:ascii="仿宋" w:hAnsi="仿宋" w:eastAsia="仿宋" w:cs="仿宋"/>
          <w:bCs/>
          <w:color w:val="auto"/>
          <w:sz w:val="32"/>
          <w:szCs w:val="32"/>
          <w:highlight w:val="none"/>
          <w:lang w:eastAsia="zh-CN"/>
        </w:rPr>
      </w:pPr>
    </w:p>
    <w:p w14:paraId="33E23C42">
      <w:pPr>
        <w:adjustRightInd w:val="0"/>
        <w:snapToGrid w:val="0"/>
        <w:spacing w:line="360" w:lineRule="auto"/>
        <w:jc w:val="both"/>
        <w:rPr>
          <w:rFonts w:ascii="仿宋" w:hAnsi="仿宋" w:eastAsia="仿宋" w:cs="仿宋"/>
          <w:bCs/>
          <w:color w:val="auto"/>
          <w:sz w:val="32"/>
          <w:szCs w:val="32"/>
          <w:highlight w:val="none"/>
          <w:lang w:eastAsia="zh-CN"/>
        </w:rPr>
      </w:pPr>
    </w:p>
    <w:p w14:paraId="61FB5384">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91"/>
          <w:kern w:val="0"/>
          <w:sz w:val="28"/>
          <w:szCs w:val="28"/>
          <w:highlight w:val="none"/>
          <w:fitText w:val="2810" w:id="351148767"/>
          <w:lang w:eastAsia="zh-CN"/>
        </w:rPr>
        <w:t>投标单位名称（公章）</w:t>
      </w:r>
      <w:r>
        <w:rPr>
          <w:rFonts w:hint="eastAsia" w:ascii="仿宋" w:hAnsi="仿宋" w:eastAsia="仿宋" w:cs="仿宋"/>
          <w:b/>
          <w:caps/>
          <w:color w:val="auto"/>
          <w:spacing w:val="-4"/>
          <w:w w:val="91"/>
          <w:kern w:val="0"/>
          <w:sz w:val="28"/>
          <w:szCs w:val="28"/>
          <w:highlight w:val="none"/>
          <w:fitText w:val="2810" w:id="351148767"/>
          <w:lang w:eastAsia="zh-CN"/>
        </w:rPr>
        <w:t>：</w:t>
      </w:r>
    </w:p>
    <w:p w14:paraId="2F611B64">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69706590">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77"/>
          <w:kern w:val="0"/>
          <w:sz w:val="28"/>
          <w:szCs w:val="28"/>
          <w:highlight w:val="none"/>
          <w:fitText w:val="2810" w:id="15170526"/>
          <w:lang w:eastAsia="zh-CN"/>
        </w:rPr>
        <w:t>法定代表人（签章或盖章）</w:t>
      </w:r>
      <w:r>
        <w:rPr>
          <w:rFonts w:hint="eastAsia" w:ascii="仿宋" w:hAnsi="仿宋" w:eastAsia="仿宋" w:cs="仿宋"/>
          <w:b/>
          <w:caps/>
          <w:color w:val="auto"/>
          <w:spacing w:val="-1"/>
          <w:w w:val="77"/>
          <w:kern w:val="0"/>
          <w:sz w:val="28"/>
          <w:szCs w:val="28"/>
          <w:highlight w:val="none"/>
          <w:fitText w:val="2810" w:id="15170526"/>
          <w:lang w:eastAsia="zh-CN"/>
        </w:rPr>
        <w:t>：</w:t>
      </w:r>
    </w:p>
    <w:p w14:paraId="171F91D7">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052F3B3F">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13"/>
          <w:kern w:val="0"/>
          <w:sz w:val="28"/>
          <w:szCs w:val="28"/>
          <w:highlight w:val="none"/>
          <w:fitText w:val="2810" w:id="526735534"/>
          <w:lang w:eastAsia="zh-CN"/>
        </w:rPr>
        <w:t>投标人地址</w:t>
      </w:r>
      <w:r>
        <w:rPr>
          <w:rFonts w:hint="eastAsia" w:ascii="仿宋" w:hAnsi="仿宋" w:eastAsia="仿宋" w:cs="仿宋"/>
          <w:b/>
          <w:caps/>
          <w:color w:val="auto"/>
          <w:spacing w:val="0"/>
          <w:kern w:val="0"/>
          <w:sz w:val="28"/>
          <w:szCs w:val="28"/>
          <w:highlight w:val="none"/>
          <w:fitText w:val="2810" w:id="526735534"/>
          <w:lang w:eastAsia="zh-CN"/>
        </w:rPr>
        <w:t>：</w:t>
      </w:r>
    </w:p>
    <w:p w14:paraId="2B55E8B5">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2316F216">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281"/>
          <w:kern w:val="0"/>
          <w:sz w:val="28"/>
          <w:szCs w:val="28"/>
          <w:highlight w:val="none"/>
          <w:fitText w:val="2810" w:id="1526208776"/>
          <w:lang w:eastAsia="zh-CN"/>
        </w:rPr>
        <w:t>联系人</w:t>
      </w:r>
      <w:r>
        <w:rPr>
          <w:rFonts w:hint="eastAsia" w:ascii="仿宋" w:hAnsi="仿宋" w:eastAsia="仿宋" w:cs="仿宋"/>
          <w:b/>
          <w:caps/>
          <w:color w:val="auto"/>
          <w:spacing w:val="2"/>
          <w:kern w:val="0"/>
          <w:sz w:val="28"/>
          <w:szCs w:val="28"/>
          <w:highlight w:val="none"/>
          <w:fitText w:val="2810" w:id="1526208776"/>
          <w:lang w:eastAsia="zh-CN"/>
        </w:rPr>
        <w:t>：</w:t>
      </w:r>
    </w:p>
    <w:p w14:paraId="3B1FE6EF">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631E9062">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76"/>
          <w:kern w:val="0"/>
          <w:sz w:val="28"/>
          <w:szCs w:val="28"/>
          <w:highlight w:val="none"/>
          <w:fitText w:val="2810" w:id="699793425"/>
          <w:lang w:eastAsia="zh-CN"/>
        </w:rPr>
        <w:t>联系电话</w:t>
      </w:r>
      <w:r>
        <w:rPr>
          <w:rFonts w:hint="eastAsia" w:ascii="仿宋" w:hAnsi="仿宋" w:eastAsia="仿宋" w:cs="仿宋"/>
          <w:b/>
          <w:caps/>
          <w:color w:val="auto"/>
          <w:spacing w:val="1"/>
          <w:kern w:val="0"/>
          <w:sz w:val="28"/>
          <w:szCs w:val="28"/>
          <w:highlight w:val="none"/>
          <w:fitText w:val="2810" w:id="699793425"/>
          <w:lang w:eastAsia="zh-CN"/>
        </w:rPr>
        <w:t>：</w:t>
      </w:r>
    </w:p>
    <w:p w14:paraId="0B4D53FC">
      <w:pPr>
        <w:adjustRightInd w:val="0"/>
        <w:snapToGrid w:val="0"/>
        <w:spacing w:line="360" w:lineRule="auto"/>
        <w:jc w:val="center"/>
        <w:rPr>
          <w:rFonts w:ascii="仿宋" w:hAnsi="仿宋" w:eastAsia="仿宋" w:cs="仿宋"/>
          <w:b/>
          <w:caps/>
          <w:color w:val="auto"/>
          <w:sz w:val="28"/>
          <w:szCs w:val="28"/>
          <w:highlight w:val="none"/>
          <w:lang w:eastAsia="zh-CN"/>
        </w:rPr>
      </w:pPr>
    </w:p>
    <w:p w14:paraId="08A6A934">
      <w:pPr>
        <w:adjustRightInd w:val="0"/>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_年__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_月__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_日</w:t>
      </w:r>
    </w:p>
    <w:p w14:paraId="7F3CCF52">
      <w:pPr>
        <w:pStyle w:val="3"/>
        <w:spacing w:line="240" w:lineRule="atLeast"/>
        <w:rPr>
          <w:rFonts w:hint="eastAsia" w:ascii="仿宋" w:hAnsi="仿宋" w:eastAsia="仿宋" w:cs="仿宋"/>
          <w:bCs/>
          <w:color w:val="auto"/>
          <w:szCs w:val="21"/>
          <w:highlight w:val="none"/>
          <w:lang w:eastAsia="zh-CN"/>
        </w:rPr>
      </w:pPr>
    </w:p>
    <w:p w14:paraId="6A84FE1D">
      <w:pPr>
        <w:pStyle w:val="3"/>
        <w:spacing w:line="240" w:lineRule="atLeast"/>
        <w:rPr>
          <w:rFonts w:hint="eastAsia" w:ascii="仿宋" w:hAnsi="仿宋" w:eastAsia="仿宋" w:cs="仿宋"/>
          <w:bCs/>
          <w:color w:val="auto"/>
          <w:szCs w:val="21"/>
          <w:highlight w:val="none"/>
          <w:lang w:eastAsia="zh-CN"/>
        </w:rPr>
      </w:pPr>
    </w:p>
    <w:p w14:paraId="78C01E4F">
      <w:pPr>
        <w:pStyle w:val="3"/>
        <w:spacing w:line="240" w:lineRule="atLeast"/>
        <w:rPr>
          <w:rFonts w:hint="eastAsia" w:ascii="仿宋" w:hAnsi="仿宋" w:eastAsia="仿宋" w:cs="仿宋"/>
          <w:bCs/>
          <w:color w:val="auto"/>
          <w:szCs w:val="21"/>
          <w:highlight w:val="none"/>
          <w:lang w:eastAsia="zh-CN"/>
        </w:rPr>
      </w:pPr>
    </w:p>
    <w:p w14:paraId="24640572">
      <w:pPr>
        <w:pStyle w:val="3"/>
        <w:spacing w:line="240" w:lineRule="atLeast"/>
        <w:rPr>
          <w:rFonts w:hint="eastAsia" w:ascii="仿宋" w:hAnsi="仿宋" w:eastAsia="仿宋" w:cs="仿宋"/>
          <w:bCs/>
          <w:color w:val="auto"/>
          <w:szCs w:val="21"/>
          <w:highlight w:val="none"/>
          <w:lang w:eastAsia="zh-CN"/>
        </w:rPr>
      </w:pPr>
    </w:p>
    <w:p w14:paraId="34F0C5E7">
      <w:pPr>
        <w:pStyle w:val="3"/>
        <w:spacing w:line="240" w:lineRule="atLeast"/>
        <w:rPr>
          <w:rFonts w:hint="eastAsia" w:ascii="仿宋" w:hAnsi="仿宋" w:eastAsia="仿宋" w:cs="仿宋"/>
          <w:bCs/>
          <w:color w:val="auto"/>
          <w:szCs w:val="21"/>
          <w:highlight w:val="none"/>
          <w:lang w:eastAsia="zh-CN"/>
        </w:rPr>
      </w:pPr>
    </w:p>
    <w:p w14:paraId="75E568D5">
      <w:pPr>
        <w:pStyle w:val="3"/>
        <w:spacing w:line="240" w:lineRule="atLeast"/>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第一部分 资格证明文件</w:t>
      </w:r>
      <w:bookmarkEnd w:id="61"/>
      <w:bookmarkEnd w:id="62"/>
      <w:bookmarkEnd w:id="63"/>
      <w:bookmarkEnd w:id="64"/>
    </w:p>
    <w:p w14:paraId="6F019E24">
      <w:pPr>
        <w:spacing w:line="240" w:lineRule="atLeast"/>
        <w:ind w:left="717" w:hanging="716" w:hangingChars="295"/>
        <w:jc w:val="center"/>
        <w:rPr>
          <w:rFonts w:ascii="仿宋" w:hAnsi="仿宋" w:eastAsia="仿宋" w:cs="仿宋"/>
          <w:color w:val="auto"/>
          <w:highlight w:val="none"/>
          <w:lang w:eastAsia="zh-CN"/>
        </w:rPr>
      </w:pPr>
    </w:p>
    <w:p w14:paraId="6D1C1663">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1、法人或者非法人组织的营业执照等证明文件复印件（须加盖本单位章）或自然人的身份证明复印件;</w:t>
      </w:r>
    </w:p>
    <w:p w14:paraId="4215ECE0">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2、法定代表人资格证明书；</w:t>
      </w:r>
    </w:p>
    <w:p w14:paraId="03198A5A">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3、法定代表人授权委托书；</w:t>
      </w:r>
    </w:p>
    <w:p w14:paraId="198C179F">
      <w:pPr>
        <w:tabs>
          <w:tab w:val="left" w:pos="5580"/>
        </w:tabs>
        <w:spacing w:line="500" w:lineRule="atLeast"/>
        <w:ind w:left="1" w:firstLine="571" w:firstLineChars="235"/>
        <w:rPr>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60104248">
      <w:pPr>
        <w:tabs>
          <w:tab w:val="left" w:pos="5580"/>
        </w:tabs>
        <w:spacing w:line="500" w:lineRule="atLeast"/>
        <w:ind w:left="1" w:firstLine="571" w:firstLineChars="235"/>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、投标保证金缴纳凭证或投标担保函；</w:t>
      </w:r>
    </w:p>
    <w:p w14:paraId="73638F65">
      <w:pPr>
        <w:tabs>
          <w:tab w:val="left" w:pos="5580"/>
        </w:tabs>
        <w:spacing w:line="500" w:lineRule="atLeast"/>
        <w:ind w:left="1" w:firstLine="571" w:firstLineChars="235"/>
        <w:rPr>
          <w:color w:val="auto"/>
          <w:highlight w:val="none"/>
          <w:lang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、投标企业须提供投标人（被授权在职人员）近6个月内任意一个月有效的社保证明；</w:t>
      </w:r>
    </w:p>
    <w:p w14:paraId="4FC4DD3D">
      <w:pPr>
        <w:tabs>
          <w:tab w:val="left" w:pos="5580"/>
        </w:tabs>
        <w:spacing w:line="500" w:lineRule="atLeast"/>
        <w:ind w:left="1" w:firstLine="571"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color w:val="auto"/>
          <w:highlight w:val="none"/>
          <w:lang w:eastAsia="zh-CN"/>
        </w:rPr>
        <w:t>；</w:t>
      </w:r>
    </w:p>
    <w:p w14:paraId="7186F08B">
      <w:pPr>
        <w:tabs>
          <w:tab w:val="left" w:pos="5580"/>
        </w:tabs>
        <w:spacing w:line="5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8、投标企业须提供有效的《医疗器械生产许可证》或《医疗器械经营许可证》（二类医疗器械需提供医疗器械备案凭证）；</w:t>
      </w:r>
    </w:p>
    <w:p w14:paraId="0E9BDE8C">
      <w:pPr>
        <w:tabs>
          <w:tab w:val="left" w:pos="5580"/>
        </w:tabs>
        <w:spacing w:line="500" w:lineRule="atLeast"/>
        <w:ind w:firstLine="486" w:firstLineChars="200"/>
        <w:rPr>
          <w:rFonts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highlight w:val="none"/>
          <w:lang w:eastAsia="zh-CN"/>
        </w:rPr>
        <w:t>投标人须知资料表要求的其他资格证明文件;</w:t>
      </w:r>
    </w:p>
    <w:p w14:paraId="54701E83">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p>
    <w:p w14:paraId="3CB89B75">
      <w:pPr>
        <w:pStyle w:val="38"/>
        <w:rPr>
          <w:rFonts w:ascii="仿宋" w:hAnsi="仿宋" w:eastAsia="仿宋" w:cs="仿宋"/>
          <w:b/>
          <w:bCs/>
          <w:color w:val="auto"/>
          <w:sz w:val="36"/>
          <w:szCs w:val="36"/>
          <w:highlight w:val="none"/>
          <w:lang w:eastAsia="zh-CN"/>
        </w:rPr>
      </w:pPr>
    </w:p>
    <w:p w14:paraId="5B681D2A">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bookmarkStart w:id="65" w:name="_Toc515647805"/>
      <w:bookmarkStart w:id="66" w:name="_Toc4844"/>
      <w:bookmarkStart w:id="67" w:name="_Toc29899"/>
      <w:bookmarkStart w:id="68" w:name="_Toc17577"/>
    </w:p>
    <w:p w14:paraId="152CDB60">
      <w:pPr>
        <w:rPr>
          <w:rFonts w:hint="eastAsia" w:ascii="仿宋" w:hAnsi="仿宋" w:eastAsia="仿宋" w:cs="仿宋"/>
          <w:b/>
          <w:bCs/>
          <w:color w:val="auto"/>
          <w:sz w:val="36"/>
          <w:szCs w:val="36"/>
          <w:highlight w:val="none"/>
          <w:lang w:eastAsia="zh-CN"/>
        </w:rPr>
      </w:pPr>
    </w:p>
    <w:p w14:paraId="5FAB7399">
      <w:pPr>
        <w:pStyle w:val="7"/>
        <w:rPr>
          <w:rFonts w:hint="eastAsia" w:ascii="仿宋" w:hAnsi="仿宋" w:eastAsia="仿宋" w:cs="仿宋"/>
          <w:b/>
          <w:bCs/>
          <w:color w:val="auto"/>
          <w:sz w:val="36"/>
          <w:szCs w:val="36"/>
          <w:highlight w:val="none"/>
          <w:lang w:eastAsia="zh-CN"/>
        </w:rPr>
      </w:pPr>
    </w:p>
    <w:p w14:paraId="5FE86A82">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79F87179">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7D885D81">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7A15EA1A">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4D0004AB">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00A2B518">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2C2FC599">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1EEBCAFD">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 法人或者非法人组织的营业执照等证明文件</w:t>
      </w:r>
      <w:bookmarkEnd w:id="65"/>
      <w:bookmarkStart w:id="69" w:name="_Toc515647806"/>
      <w:r>
        <w:rPr>
          <w:rFonts w:hint="eastAsia" w:ascii="仿宋" w:hAnsi="仿宋" w:eastAsia="仿宋" w:cs="仿宋"/>
          <w:b/>
          <w:bCs/>
          <w:color w:val="auto"/>
          <w:sz w:val="36"/>
          <w:szCs w:val="36"/>
          <w:highlight w:val="none"/>
          <w:lang w:eastAsia="zh-CN"/>
        </w:rPr>
        <w:t>或自然人的身份证明</w:t>
      </w:r>
      <w:bookmarkEnd w:id="66"/>
      <w:bookmarkEnd w:id="67"/>
      <w:bookmarkEnd w:id="68"/>
      <w:bookmarkEnd w:id="69"/>
    </w:p>
    <w:p w14:paraId="0D3763E8">
      <w:pPr>
        <w:pStyle w:val="13"/>
        <w:tabs>
          <w:tab w:val="left" w:pos="5580"/>
        </w:tabs>
        <w:spacing w:line="400" w:lineRule="exact"/>
        <w:ind w:left="1164" w:leftChars="257" w:hanging="540"/>
        <w:jc w:val="center"/>
        <w:rPr>
          <w:rFonts w:ascii="仿宋" w:hAnsi="仿宋" w:eastAsia="仿宋" w:cs="仿宋"/>
          <w:b/>
          <w:color w:val="auto"/>
          <w:highlight w:val="none"/>
          <w:lang w:eastAsia="zh-CN"/>
        </w:rPr>
      </w:pPr>
    </w:p>
    <w:p w14:paraId="415ACD44">
      <w:pPr>
        <w:pStyle w:val="13"/>
        <w:tabs>
          <w:tab w:val="left" w:pos="5580"/>
        </w:tabs>
        <w:spacing w:line="400" w:lineRule="exact"/>
        <w:ind w:left="1164" w:leftChars="257" w:hanging="540"/>
        <w:rPr>
          <w:rFonts w:ascii="仿宋" w:hAnsi="仿宋" w:eastAsia="仿宋" w:cs="仿宋"/>
          <w:b/>
          <w:color w:val="auto"/>
          <w:highlight w:val="none"/>
          <w:lang w:eastAsia="zh-CN"/>
        </w:rPr>
      </w:pPr>
    </w:p>
    <w:p w14:paraId="70A327F1">
      <w:pPr>
        <w:pStyle w:val="13"/>
        <w:tabs>
          <w:tab w:val="left" w:pos="5580"/>
        </w:tabs>
        <w:spacing w:line="400" w:lineRule="exact"/>
        <w:ind w:left="1164" w:leftChars="257" w:hanging="540"/>
        <w:rPr>
          <w:rFonts w:ascii="仿宋" w:hAnsi="仿宋" w:eastAsia="仿宋" w:cs="仿宋"/>
          <w:b/>
          <w:color w:val="auto"/>
          <w:highlight w:val="none"/>
          <w:lang w:eastAsia="zh-CN"/>
        </w:rPr>
      </w:pPr>
    </w:p>
    <w:p w14:paraId="0C9CFD9C">
      <w:pPr>
        <w:pStyle w:val="13"/>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说明：1.提供有效的营业执照等证明文件复印件，复印件上应加盖本单位章。</w:t>
      </w:r>
    </w:p>
    <w:p w14:paraId="1A45A539">
      <w:pPr>
        <w:pStyle w:val="13"/>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2.投标人为自然人的，应提供身份证明的复印件。</w:t>
      </w:r>
    </w:p>
    <w:p w14:paraId="709897E8">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59F2872C">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13D8161C">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5BA440E7">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4B420C42">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1E62D8B1">
      <w:pPr>
        <w:pStyle w:val="10"/>
        <w:numPr>
          <w:ilvl w:val="0"/>
          <w:numId w:val="0"/>
        </w:numPr>
        <w:kinsoku w:val="0"/>
        <w:overflowPunct w:val="0"/>
        <w:spacing w:before="34" w:line="440" w:lineRule="exact"/>
        <w:ind w:right="126"/>
        <w:jc w:val="both"/>
        <w:rPr>
          <w:rFonts w:ascii="仿宋" w:hAnsi="仿宋" w:eastAsia="仿宋" w:cs="仿宋"/>
          <w:b/>
          <w:bCs/>
          <w:color w:val="auto"/>
          <w:sz w:val="36"/>
          <w:szCs w:val="36"/>
          <w:highlight w:val="none"/>
          <w:lang w:eastAsia="zh-CN"/>
        </w:rPr>
      </w:pPr>
    </w:p>
    <w:p w14:paraId="200B8479">
      <w:pPr>
        <w:rPr>
          <w:rFonts w:ascii="仿宋" w:hAnsi="仿宋" w:eastAsia="仿宋" w:cs="仿宋"/>
          <w:b/>
          <w:bCs/>
          <w:color w:val="auto"/>
          <w:sz w:val="36"/>
          <w:szCs w:val="36"/>
          <w:highlight w:val="none"/>
          <w:lang w:eastAsia="zh-CN"/>
        </w:rPr>
      </w:pPr>
    </w:p>
    <w:p w14:paraId="1E101CDC">
      <w:pPr>
        <w:pStyle w:val="38"/>
        <w:rPr>
          <w:rFonts w:ascii="仿宋" w:hAnsi="仿宋" w:eastAsia="仿宋" w:cs="仿宋"/>
          <w:b/>
          <w:bCs/>
          <w:color w:val="auto"/>
          <w:sz w:val="36"/>
          <w:szCs w:val="36"/>
          <w:highlight w:val="none"/>
          <w:lang w:eastAsia="zh-CN"/>
        </w:rPr>
      </w:pPr>
    </w:p>
    <w:p w14:paraId="0F1FD131">
      <w:pPr>
        <w:pStyle w:val="38"/>
        <w:rPr>
          <w:rFonts w:ascii="仿宋" w:hAnsi="仿宋" w:eastAsia="仿宋" w:cs="仿宋"/>
          <w:b/>
          <w:bCs/>
          <w:color w:val="auto"/>
          <w:sz w:val="36"/>
          <w:szCs w:val="36"/>
          <w:highlight w:val="none"/>
          <w:lang w:eastAsia="zh-CN"/>
        </w:rPr>
      </w:pPr>
    </w:p>
    <w:p w14:paraId="5D53AE0E">
      <w:pPr>
        <w:pStyle w:val="38"/>
        <w:rPr>
          <w:rFonts w:ascii="仿宋" w:hAnsi="仿宋" w:eastAsia="仿宋" w:cs="仿宋"/>
          <w:b/>
          <w:bCs/>
          <w:color w:val="auto"/>
          <w:sz w:val="36"/>
          <w:szCs w:val="36"/>
          <w:highlight w:val="none"/>
          <w:lang w:eastAsia="zh-CN"/>
        </w:rPr>
      </w:pPr>
    </w:p>
    <w:p w14:paraId="741B7B37">
      <w:pPr>
        <w:pStyle w:val="38"/>
        <w:rPr>
          <w:rFonts w:ascii="仿宋" w:hAnsi="仿宋" w:eastAsia="仿宋" w:cs="仿宋"/>
          <w:b/>
          <w:bCs/>
          <w:color w:val="auto"/>
          <w:sz w:val="36"/>
          <w:szCs w:val="36"/>
          <w:highlight w:val="none"/>
          <w:lang w:eastAsia="zh-CN"/>
        </w:rPr>
      </w:pPr>
    </w:p>
    <w:p w14:paraId="2653750F">
      <w:pPr>
        <w:pStyle w:val="38"/>
        <w:rPr>
          <w:rFonts w:ascii="仿宋" w:hAnsi="仿宋" w:eastAsia="仿宋" w:cs="仿宋"/>
          <w:b/>
          <w:bCs/>
          <w:color w:val="auto"/>
          <w:sz w:val="36"/>
          <w:szCs w:val="36"/>
          <w:highlight w:val="none"/>
          <w:lang w:eastAsia="zh-CN"/>
        </w:rPr>
      </w:pPr>
    </w:p>
    <w:p w14:paraId="4F177220">
      <w:pPr>
        <w:pStyle w:val="38"/>
        <w:rPr>
          <w:rFonts w:ascii="仿宋" w:hAnsi="仿宋" w:eastAsia="仿宋" w:cs="仿宋"/>
          <w:b/>
          <w:bCs/>
          <w:color w:val="auto"/>
          <w:sz w:val="36"/>
          <w:szCs w:val="36"/>
          <w:highlight w:val="none"/>
          <w:lang w:eastAsia="zh-CN"/>
        </w:rPr>
      </w:pPr>
    </w:p>
    <w:p w14:paraId="3D546BD7">
      <w:pPr>
        <w:pStyle w:val="38"/>
        <w:rPr>
          <w:rFonts w:ascii="仿宋" w:hAnsi="仿宋" w:eastAsia="仿宋" w:cs="仿宋"/>
          <w:b/>
          <w:bCs/>
          <w:color w:val="auto"/>
          <w:sz w:val="36"/>
          <w:szCs w:val="36"/>
          <w:highlight w:val="none"/>
          <w:lang w:eastAsia="zh-CN"/>
        </w:rPr>
      </w:pPr>
    </w:p>
    <w:p w14:paraId="4BD349D8">
      <w:pPr>
        <w:pStyle w:val="38"/>
        <w:rPr>
          <w:rFonts w:ascii="仿宋" w:hAnsi="仿宋" w:eastAsia="仿宋" w:cs="仿宋"/>
          <w:b/>
          <w:bCs/>
          <w:color w:val="auto"/>
          <w:sz w:val="36"/>
          <w:szCs w:val="36"/>
          <w:highlight w:val="none"/>
          <w:lang w:eastAsia="zh-CN"/>
        </w:rPr>
      </w:pPr>
    </w:p>
    <w:p w14:paraId="1F084852">
      <w:pPr>
        <w:pStyle w:val="38"/>
        <w:rPr>
          <w:rFonts w:ascii="仿宋" w:hAnsi="仿宋" w:eastAsia="仿宋" w:cs="仿宋"/>
          <w:b/>
          <w:bCs/>
          <w:color w:val="auto"/>
          <w:sz w:val="36"/>
          <w:szCs w:val="36"/>
          <w:highlight w:val="none"/>
          <w:lang w:eastAsia="zh-CN"/>
        </w:rPr>
      </w:pPr>
    </w:p>
    <w:p w14:paraId="4047F846">
      <w:pPr>
        <w:pStyle w:val="38"/>
        <w:rPr>
          <w:rFonts w:ascii="仿宋" w:hAnsi="仿宋" w:eastAsia="仿宋" w:cs="仿宋"/>
          <w:b/>
          <w:bCs/>
          <w:color w:val="auto"/>
          <w:sz w:val="36"/>
          <w:szCs w:val="36"/>
          <w:highlight w:val="none"/>
          <w:lang w:eastAsia="zh-CN"/>
        </w:rPr>
      </w:pPr>
    </w:p>
    <w:p w14:paraId="5DB28B79">
      <w:pPr>
        <w:pStyle w:val="38"/>
        <w:rPr>
          <w:rFonts w:ascii="仿宋" w:hAnsi="仿宋" w:eastAsia="仿宋" w:cs="仿宋"/>
          <w:b/>
          <w:bCs/>
          <w:color w:val="auto"/>
          <w:sz w:val="36"/>
          <w:szCs w:val="36"/>
          <w:highlight w:val="none"/>
          <w:lang w:eastAsia="zh-CN"/>
        </w:rPr>
      </w:pPr>
    </w:p>
    <w:p w14:paraId="5E78A968">
      <w:pPr>
        <w:pStyle w:val="38"/>
        <w:rPr>
          <w:rFonts w:ascii="仿宋" w:hAnsi="仿宋" w:eastAsia="仿宋" w:cs="仿宋"/>
          <w:b/>
          <w:bCs/>
          <w:color w:val="auto"/>
          <w:sz w:val="36"/>
          <w:szCs w:val="36"/>
          <w:highlight w:val="none"/>
          <w:lang w:eastAsia="zh-CN"/>
        </w:rPr>
      </w:pPr>
    </w:p>
    <w:p w14:paraId="773B3906">
      <w:pPr>
        <w:pStyle w:val="38"/>
        <w:rPr>
          <w:rFonts w:ascii="仿宋" w:hAnsi="仿宋" w:eastAsia="仿宋" w:cs="仿宋"/>
          <w:b/>
          <w:bCs/>
          <w:color w:val="auto"/>
          <w:sz w:val="36"/>
          <w:szCs w:val="36"/>
          <w:highlight w:val="none"/>
          <w:lang w:eastAsia="zh-CN"/>
        </w:rPr>
      </w:pPr>
    </w:p>
    <w:p w14:paraId="29ADFA94">
      <w:pPr>
        <w:pStyle w:val="38"/>
        <w:rPr>
          <w:rFonts w:ascii="仿宋" w:hAnsi="仿宋" w:eastAsia="仿宋" w:cs="仿宋"/>
          <w:b/>
          <w:bCs/>
          <w:color w:val="auto"/>
          <w:sz w:val="36"/>
          <w:szCs w:val="36"/>
          <w:highlight w:val="none"/>
          <w:lang w:eastAsia="zh-CN"/>
        </w:rPr>
      </w:pPr>
    </w:p>
    <w:p w14:paraId="0AEFDE7B">
      <w:pPr>
        <w:pStyle w:val="38"/>
        <w:rPr>
          <w:rFonts w:ascii="仿宋" w:hAnsi="仿宋" w:eastAsia="仿宋" w:cs="仿宋"/>
          <w:b/>
          <w:bCs/>
          <w:color w:val="auto"/>
          <w:sz w:val="36"/>
          <w:szCs w:val="36"/>
          <w:highlight w:val="none"/>
          <w:lang w:eastAsia="zh-CN"/>
        </w:rPr>
      </w:pPr>
    </w:p>
    <w:p w14:paraId="7E4234BF">
      <w:pPr>
        <w:pStyle w:val="38"/>
        <w:ind w:firstLine="0"/>
        <w:rPr>
          <w:rFonts w:ascii="仿宋" w:hAnsi="仿宋" w:eastAsia="仿宋" w:cs="仿宋"/>
          <w:b/>
          <w:bCs/>
          <w:color w:val="auto"/>
          <w:sz w:val="36"/>
          <w:szCs w:val="36"/>
          <w:highlight w:val="none"/>
          <w:lang w:eastAsia="zh-CN"/>
        </w:rPr>
      </w:pPr>
    </w:p>
    <w:p w14:paraId="53AECDEB">
      <w:pPr>
        <w:pStyle w:val="10"/>
        <w:numPr>
          <w:ilvl w:val="0"/>
          <w:numId w:val="0"/>
        </w:numPr>
        <w:kinsoku w:val="0"/>
        <w:overflowPunct w:val="0"/>
        <w:spacing w:before="34" w:line="440" w:lineRule="exact"/>
        <w:ind w:left="480" w:right="126"/>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2、法定代表人资格证明书</w:t>
      </w:r>
    </w:p>
    <w:p w14:paraId="6CF53DFB">
      <w:pPr>
        <w:spacing w:line="420" w:lineRule="exact"/>
        <w:ind w:firstLine="486" w:firstLineChars="200"/>
        <w:rPr>
          <w:rFonts w:hint="eastAsia" w:ascii="仿宋" w:hAnsi="仿宋" w:eastAsia="仿宋" w:cs="仿宋"/>
          <w:color w:val="auto"/>
          <w:highlight w:val="none"/>
          <w:lang w:eastAsia="zh-CN"/>
        </w:rPr>
      </w:pPr>
    </w:p>
    <w:p w14:paraId="69DCC223">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投标单位名称：</w:t>
      </w:r>
      <w:r>
        <w:rPr>
          <w:rFonts w:hint="eastAsia" w:ascii="仿宋" w:hAnsi="仿宋" w:eastAsia="仿宋" w:cs="仿宋"/>
          <w:color w:val="auto"/>
          <w:highlight w:val="none"/>
          <w:u w:val="single"/>
          <w:lang w:eastAsia="zh-CN"/>
        </w:rPr>
        <w:t xml:space="preserve">                       </w:t>
      </w:r>
    </w:p>
    <w:p w14:paraId="2D5CAA42">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单位性质：</w:t>
      </w:r>
      <w:r>
        <w:rPr>
          <w:rFonts w:hint="eastAsia" w:ascii="仿宋" w:hAnsi="仿宋" w:eastAsia="仿宋" w:cs="仿宋"/>
          <w:color w:val="auto"/>
          <w:highlight w:val="none"/>
          <w:u w:val="single"/>
          <w:lang w:eastAsia="zh-CN"/>
        </w:rPr>
        <w:t xml:space="preserve">                           </w:t>
      </w:r>
    </w:p>
    <w:p w14:paraId="791C897B">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p>
    <w:p w14:paraId="4ED75CB7">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成立时间：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5BF9F932">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经营期限：</w:t>
      </w:r>
      <w:r>
        <w:rPr>
          <w:rFonts w:hint="eastAsia" w:ascii="仿宋" w:hAnsi="仿宋" w:eastAsia="仿宋" w:cs="仿宋"/>
          <w:color w:val="auto"/>
          <w:highlight w:val="none"/>
          <w:u w:val="single"/>
          <w:lang w:eastAsia="zh-CN"/>
        </w:rPr>
        <w:t xml:space="preserve">             </w:t>
      </w:r>
    </w:p>
    <w:p w14:paraId="01F0904C">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性别：</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年龄：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1491D05">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身份证号码：</w:t>
      </w:r>
      <w:r>
        <w:rPr>
          <w:rFonts w:hint="eastAsia" w:ascii="仿宋" w:hAnsi="仿宋" w:eastAsia="仿宋" w:cs="仿宋"/>
          <w:color w:val="auto"/>
          <w:highlight w:val="none"/>
          <w:u w:val="single"/>
          <w:lang w:eastAsia="zh-CN"/>
        </w:rPr>
        <w:t xml:space="preserve">                                                     </w:t>
      </w:r>
    </w:p>
    <w:p w14:paraId="799A0817">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系</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（投标单位名称）的法定代表人。</w:t>
      </w:r>
    </w:p>
    <w:p w14:paraId="0B48FA96">
      <w:pPr>
        <w:spacing w:line="420" w:lineRule="exact"/>
        <w:ind w:firstLine="972" w:firstLineChars="400"/>
        <w:rPr>
          <w:rFonts w:ascii="仿宋" w:hAnsi="仿宋" w:eastAsia="仿宋" w:cs="仿宋"/>
          <w:color w:val="auto"/>
          <w:highlight w:val="none"/>
        </w:rPr>
      </w:pPr>
      <w:r>
        <w:rPr>
          <w:rFonts w:hint="eastAsia" w:ascii="仿宋" w:hAnsi="仿宋" w:eastAsia="仿宋" w:cs="仿宋"/>
          <w:color w:val="auto"/>
          <w:highlight w:val="none"/>
        </w:rPr>
        <w:t>特此证明。</w:t>
      </w:r>
    </w:p>
    <w:p w14:paraId="25DDF678">
      <w:pPr>
        <w:pStyle w:val="10"/>
        <w:numPr>
          <w:ilvl w:val="0"/>
          <w:numId w:val="0"/>
        </w:numPr>
        <w:kinsoku w:val="0"/>
        <w:overflowPunct w:val="0"/>
        <w:rPr>
          <w:rFonts w:ascii="仿宋" w:hAnsi="仿宋" w:eastAsia="仿宋" w:cs="仿宋"/>
          <w:color w:val="auto"/>
          <w:sz w:val="20"/>
          <w:szCs w:val="20"/>
          <w:highlight w:val="none"/>
        </w:rPr>
      </w:pPr>
    </w:p>
    <w:p w14:paraId="311F19C6">
      <w:pPr>
        <w:pStyle w:val="10"/>
        <w:numPr>
          <w:ilvl w:val="0"/>
          <w:numId w:val="0"/>
        </w:numPr>
        <w:kinsoku w:val="0"/>
        <w:overflowPunct w:val="0"/>
        <w:spacing w:before="7"/>
        <w:rPr>
          <w:rFonts w:ascii="仿宋" w:hAnsi="仿宋" w:eastAsia="仿宋" w:cs="仿宋"/>
          <w:color w:val="auto"/>
          <w:sz w:val="25"/>
          <w:szCs w:val="25"/>
          <w:highlight w:val="none"/>
        </w:rPr>
      </w:pPr>
      <w:r>
        <w:rPr>
          <w:color w:val="auto"/>
          <w:sz w:val="25"/>
          <w:highlight w:val="none"/>
        </w:rPr>
        <mc:AlternateContent>
          <mc:Choice Requires="wps">
            <w:drawing>
              <wp:anchor distT="0" distB="0" distL="114300" distR="114300" simplePos="0" relativeHeight="251666432" behindDoc="1" locked="0" layoutInCell="1" allowOverlap="1">
                <wp:simplePos x="0" y="0"/>
                <wp:positionH relativeFrom="column">
                  <wp:posOffset>582295</wp:posOffset>
                </wp:positionH>
                <wp:positionV relativeFrom="paragraph">
                  <wp:posOffset>635</wp:posOffset>
                </wp:positionV>
                <wp:extent cx="4110355" cy="1721485"/>
                <wp:effectExtent l="4445" t="4445" r="19050" b="0"/>
                <wp:wrapTight wrapText="bothSides">
                  <wp:wrapPolygon>
                    <wp:start x="674" y="-64"/>
                    <wp:lineTo x="-27" y="1131"/>
                    <wp:lineTo x="-27" y="20253"/>
                    <wp:lineTo x="674" y="21449"/>
                    <wp:lineTo x="20796" y="21449"/>
                    <wp:lineTo x="21497" y="20253"/>
                    <wp:lineTo x="21497" y="1131"/>
                    <wp:lineTo x="20796" y="-64"/>
                    <wp:lineTo x="674" y="-64"/>
                  </wp:wrapPolygon>
                </wp:wrapTight>
                <wp:docPr id="5" name="自选图形 91"/>
                <wp:cNvGraphicFramePr/>
                <a:graphic xmlns:a="http://schemas.openxmlformats.org/drawingml/2006/main">
                  <a:graphicData uri="http://schemas.microsoft.com/office/word/2010/wordprocessingShape">
                    <wps:wsp>
                      <wps:cNvSpPr/>
                      <wps:spPr>
                        <a:xfrm>
                          <a:off x="0" y="0"/>
                          <a:ext cx="4110355" cy="17214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208FB4">
                            <w:pPr>
                              <w:jc w:val="center"/>
                              <w:rPr>
                                <w:rFonts w:hint="eastAsia" w:ascii="仿宋" w:hAnsi="仿宋" w:eastAsia="仿宋" w:cs="仿宋"/>
                                <w:sz w:val="24"/>
                                <w:szCs w:val="24"/>
                              </w:rPr>
                            </w:pPr>
                          </w:p>
                          <w:p w14:paraId="372EDD08">
                            <w:pPr>
                              <w:jc w:val="center"/>
                              <w:rPr>
                                <w:rFonts w:hint="eastAsia" w:ascii="仿宋" w:hAnsi="仿宋" w:eastAsia="仿宋" w:cs="仿宋"/>
                                <w:sz w:val="24"/>
                                <w:szCs w:val="24"/>
                              </w:rPr>
                            </w:pPr>
                          </w:p>
                          <w:p w14:paraId="185DCDBA">
                            <w:pPr>
                              <w:jc w:val="center"/>
                              <w:rPr>
                                <w:rFonts w:hint="eastAsia" w:ascii="仿宋" w:hAnsi="仿宋" w:eastAsia="仿宋" w:cs="仿宋"/>
                                <w:sz w:val="24"/>
                                <w:szCs w:val="24"/>
                              </w:rPr>
                            </w:pPr>
                          </w:p>
                          <w:p w14:paraId="62EA092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29C37FD"/>
                        </w:txbxContent>
                      </wps:txbx>
                      <wps:bodyPr upright="1"/>
                    </wps:wsp>
                  </a:graphicData>
                </a:graphic>
              </wp:anchor>
            </w:drawing>
          </mc:Choice>
          <mc:Fallback>
            <w:pict>
              <v:roundrect id="自选图形 91" o:spid="_x0000_s1026" o:spt="2" style="position:absolute;left:0pt;margin-left:45.85pt;margin-top:0.05pt;height:135.55pt;width:323.65pt;mso-wrap-distance-left:9pt;mso-wrap-distance-right:9pt;z-index:-251650048;mso-width-relative:page;mso-height-relative:page;" fillcolor="#FFFFFF" filled="t" stroked="t" coordsize="21600,21600" wrapcoords="674 -64 -27 1131 -27 20253 674 21449 20796 21449 21497 20253 21497 1131 20796 -64 674 -64" arcsize="0.166666666666667" o:gfxdata="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cZTi1AAA&#10;AAcBAAAPAAAAAAAAAAEAIAAAACIAAABkcnMvZG93bnJldi54bWxQSwECFAAUAAAACACHTuJA/K6j&#10;QiICAABYBAAADgAAAAAAAAABACAAAAAjAQAAZHJzL2Uyb0RvYy54bWxQSwUGAAAAAAYABgBZAQAA&#10;twUAAAAA&#10;">
                <v:fill on="t" focussize="0,0"/>
                <v:stroke color="#000000" joinstyle="round"/>
                <v:imagedata o:title=""/>
                <o:lock v:ext="edit" aspectratio="f"/>
                <v:textbox>
                  <w:txbxContent>
                    <w:p w14:paraId="19208FB4">
                      <w:pPr>
                        <w:jc w:val="center"/>
                        <w:rPr>
                          <w:rFonts w:hint="eastAsia" w:ascii="仿宋" w:hAnsi="仿宋" w:eastAsia="仿宋" w:cs="仿宋"/>
                          <w:sz w:val="24"/>
                          <w:szCs w:val="24"/>
                        </w:rPr>
                      </w:pPr>
                    </w:p>
                    <w:p w14:paraId="372EDD08">
                      <w:pPr>
                        <w:jc w:val="center"/>
                        <w:rPr>
                          <w:rFonts w:hint="eastAsia" w:ascii="仿宋" w:hAnsi="仿宋" w:eastAsia="仿宋" w:cs="仿宋"/>
                          <w:sz w:val="24"/>
                          <w:szCs w:val="24"/>
                        </w:rPr>
                      </w:pPr>
                    </w:p>
                    <w:p w14:paraId="185DCDBA">
                      <w:pPr>
                        <w:jc w:val="center"/>
                        <w:rPr>
                          <w:rFonts w:hint="eastAsia" w:ascii="仿宋" w:hAnsi="仿宋" w:eastAsia="仿宋" w:cs="仿宋"/>
                          <w:sz w:val="24"/>
                          <w:szCs w:val="24"/>
                        </w:rPr>
                      </w:pPr>
                    </w:p>
                    <w:p w14:paraId="62EA092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29C37FD"/>
                  </w:txbxContent>
                </v:textbox>
                <w10:wrap type="tight"/>
              </v:roundrect>
            </w:pict>
          </mc:Fallback>
        </mc:AlternateContent>
      </w:r>
    </w:p>
    <w:p w14:paraId="7EEC94B3">
      <w:pPr>
        <w:pStyle w:val="10"/>
        <w:numPr>
          <w:ilvl w:val="0"/>
          <w:numId w:val="0"/>
        </w:numPr>
        <w:kinsoku w:val="0"/>
        <w:overflowPunct w:val="0"/>
        <w:spacing w:line="200" w:lineRule="atLeast"/>
        <w:rPr>
          <w:rFonts w:ascii="仿宋" w:hAnsi="仿宋" w:eastAsia="仿宋" w:cs="仿宋"/>
          <w:color w:val="auto"/>
          <w:sz w:val="20"/>
          <w:szCs w:val="20"/>
          <w:highlight w:val="none"/>
        </w:rPr>
      </w:pPr>
    </w:p>
    <w:p w14:paraId="49FFE7ED">
      <w:pPr>
        <w:wordWrap w:val="0"/>
        <w:spacing w:line="420" w:lineRule="exact"/>
        <w:ind w:firstLine="486" w:firstLineChars="200"/>
        <w:jc w:val="right"/>
        <w:rPr>
          <w:rFonts w:ascii="仿宋" w:hAnsi="仿宋" w:eastAsia="仿宋" w:cs="仿宋"/>
          <w:color w:val="auto"/>
          <w:highlight w:val="none"/>
        </w:rPr>
      </w:pPr>
    </w:p>
    <w:p w14:paraId="7C6EFEFB">
      <w:pPr>
        <w:pStyle w:val="10"/>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7F9E3402">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3F6EE8DC">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5927C62A">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7E88BC1D">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0A975AD3">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6BC618FF">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1BAC9758">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2309FCCA">
      <w:pPr>
        <w:pStyle w:val="10"/>
        <w:numPr>
          <w:ilvl w:val="0"/>
          <w:numId w:val="0"/>
        </w:numPr>
        <w:kinsoku w:val="0"/>
        <w:overflowPunct w:val="0"/>
        <w:spacing w:before="34" w:line="357" w:lineRule="auto"/>
        <w:ind w:left="480" w:right="126"/>
        <w:jc w:val="center"/>
        <w:rPr>
          <w:rFonts w:ascii="仿宋" w:hAnsi="仿宋" w:eastAsia="仿宋" w:cs="仿宋"/>
          <w:b/>
          <w:bCs/>
          <w:color w:val="auto"/>
          <w:szCs w:val="21"/>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b/>
          <w:bCs/>
          <w:color w:val="auto"/>
          <w:sz w:val="36"/>
          <w:szCs w:val="36"/>
          <w:highlight w:val="none"/>
          <w:lang w:eastAsia="zh-CN"/>
        </w:rPr>
        <w:t>3、法定代表人授权委托书</w:t>
      </w:r>
    </w:p>
    <w:p w14:paraId="79413EF3">
      <w:pPr>
        <w:spacing w:line="42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致：采购人名称 </w:t>
      </w:r>
    </w:p>
    <w:p w14:paraId="74C6ACCE">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本授权书声明：注册于</w:t>
      </w:r>
      <w:r>
        <w:rPr>
          <w:rFonts w:hint="eastAsia" w:ascii="仿宋" w:hAnsi="仿宋" w:eastAsia="仿宋" w:cs="仿宋"/>
          <w:color w:val="auto"/>
          <w:highlight w:val="none"/>
          <w:u w:val="single"/>
          <w:lang w:eastAsia="zh-CN"/>
        </w:rPr>
        <w:t>（</w:t>
      </w:r>
      <w:r>
        <w:rPr>
          <w:rFonts w:hint="eastAsia" w:ascii="仿宋" w:hAnsi="仿宋" w:eastAsia="仿宋" w:cs="仿宋"/>
          <w:color w:val="auto"/>
          <w:sz w:val="24"/>
          <w:highlight w:val="none"/>
          <w:u w:val="single"/>
          <w:lang w:eastAsia="zh-CN"/>
        </w:rPr>
        <w:t>投标单位</w:t>
      </w:r>
      <w:r>
        <w:rPr>
          <w:rFonts w:hint="eastAsia" w:ascii="仿宋" w:hAnsi="仿宋" w:eastAsia="仿宋" w:cs="仿宋"/>
          <w:color w:val="auto"/>
          <w:highlight w:val="none"/>
          <w:u w:val="single"/>
          <w:lang w:eastAsia="zh-CN"/>
        </w:rPr>
        <w:t>地址）</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w:t>
      </w:r>
      <w:r>
        <w:rPr>
          <w:rFonts w:hint="eastAsia" w:ascii="仿宋" w:hAnsi="仿宋" w:eastAsia="仿宋" w:cs="仿宋"/>
          <w:color w:val="auto"/>
          <w:sz w:val="24"/>
          <w:highlight w:val="none"/>
          <w:u w:val="single"/>
          <w:lang w:eastAsia="zh-CN"/>
        </w:rPr>
        <w:t>投标单位</w:t>
      </w:r>
      <w:r>
        <w:rPr>
          <w:rFonts w:hint="eastAsia" w:ascii="仿宋" w:hAnsi="仿宋" w:eastAsia="仿宋" w:cs="仿宋"/>
          <w:color w:val="auto"/>
          <w:highlight w:val="none"/>
          <w:u w:val="single"/>
          <w:lang w:eastAsia="zh-CN"/>
        </w:rPr>
        <w:t>名称）</w:t>
      </w:r>
      <w:r>
        <w:rPr>
          <w:rFonts w:hint="eastAsia" w:ascii="仿宋" w:hAnsi="仿宋" w:eastAsia="仿宋" w:cs="仿宋"/>
          <w:color w:val="auto"/>
          <w:highlight w:val="none"/>
          <w:lang w:eastAsia="zh-CN"/>
        </w:rPr>
        <w:t>法定代表人（负责人）</w:t>
      </w:r>
      <w:r>
        <w:rPr>
          <w:rFonts w:hint="eastAsia" w:ascii="仿宋" w:hAnsi="仿宋" w:eastAsia="仿宋" w:cs="仿宋"/>
          <w:color w:val="auto"/>
          <w:highlight w:val="none"/>
          <w:u w:val="single"/>
          <w:lang w:eastAsia="zh-CN"/>
        </w:rPr>
        <w:t>姓名、职务或职称）</w:t>
      </w:r>
      <w:r>
        <w:rPr>
          <w:rFonts w:hint="eastAsia" w:ascii="仿宋" w:hAnsi="仿宋" w:eastAsia="仿宋" w:cs="仿宋"/>
          <w:color w:val="auto"/>
          <w:highlight w:val="none"/>
          <w:lang w:eastAsia="zh-CN"/>
        </w:rPr>
        <w:t>代表本公司授权</w:t>
      </w:r>
      <w:r>
        <w:rPr>
          <w:rFonts w:hint="eastAsia" w:ascii="仿宋" w:hAnsi="仿宋" w:eastAsia="仿宋" w:cs="仿宋"/>
          <w:color w:val="auto"/>
          <w:highlight w:val="none"/>
          <w:u w:val="single"/>
          <w:lang w:eastAsia="zh-CN"/>
        </w:rPr>
        <w:t>（姓名）</w:t>
      </w:r>
      <w:r>
        <w:rPr>
          <w:rFonts w:hint="eastAsia" w:ascii="仿宋" w:hAnsi="仿宋" w:eastAsia="仿宋" w:cs="仿宋"/>
          <w:color w:val="auto"/>
          <w:highlight w:val="none"/>
          <w:lang w:eastAsia="zh-CN"/>
        </w:rPr>
        <w:t>为本单位的合法代理人，参与贵方组织的</w:t>
      </w:r>
      <w:r>
        <w:rPr>
          <w:rFonts w:hint="eastAsia" w:ascii="仿宋" w:hAnsi="仿宋" w:eastAsia="仿宋" w:cs="仿宋"/>
          <w:color w:val="auto"/>
          <w:highlight w:val="none"/>
          <w:u w:val="single"/>
          <w:lang w:eastAsia="zh-CN"/>
        </w:rPr>
        <w:t>（项目名称及项目编号）</w:t>
      </w:r>
      <w:r>
        <w:rPr>
          <w:rFonts w:hint="eastAsia" w:ascii="仿宋" w:hAnsi="仿宋" w:eastAsia="仿宋" w:cs="仿宋"/>
          <w:color w:val="auto"/>
          <w:highlight w:val="none"/>
          <w:lang w:eastAsia="zh-CN"/>
        </w:rPr>
        <w:t xml:space="preserve"> 的投标、谈判、签约等具体工作，并签署全部有关文件、协议及合同。</w:t>
      </w:r>
    </w:p>
    <w:p w14:paraId="11F4611A">
      <w:pPr>
        <w:adjustRightInd w:val="0"/>
        <w:snapToGrid w:val="0"/>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我单位对被授权人的上述经济活动负全部责任。在撤销授权的书面通知前，本授权书一直有效。被授权人在授权书有效期内签署的所有文件不因授权的撤消而失效。</w:t>
      </w:r>
    </w:p>
    <w:p w14:paraId="533BC368">
      <w:pPr>
        <w:pStyle w:val="10"/>
        <w:tabs>
          <w:tab w:val="left" w:pos="780"/>
        </w:tabs>
        <w:kinsoku w:val="0"/>
        <w:overflowPunct w:val="0"/>
        <w:adjustRightInd w:val="0"/>
        <w:snapToGrid w:val="0"/>
        <w:spacing w:before="12"/>
        <w:rPr>
          <w:rFonts w:ascii="仿宋" w:hAnsi="仿宋" w:eastAsia="仿宋" w:cs="仿宋"/>
          <w:color w:val="auto"/>
          <w:sz w:val="4"/>
          <w:szCs w:val="4"/>
          <w:highlight w:val="none"/>
          <w:lang w:eastAsia="zh-CN"/>
        </w:rPr>
      </w:pPr>
    </w:p>
    <w:p w14:paraId="00AE4533">
      <w:pPr>
        <w:pStyle w:val="10"/>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highlight w:val="none"/>
        </w:rPr>
      </w:pPr>
      <w:r>
        <w:rPr>
          <w:rFonts w:hint="default"/>
          <w:color w:val="auto"/>
          <w:sz w:val="18"/>
          <w:highlight w:val="none"/>
          <w:lang w:val="en-US"/>
        </w:rPr>
        <mc:AlternateContent>
          <mc:Choice Requires="wps">
            <w:drawing>
              <wp:anchor distT="0" distB="0" distL="114300" distR="114300" simplePos="0" relativeHeight="251662336" behindDoc="1" locked="0" layoutInCell="1" allowOverlap="1">
                <wp:simplePos x="0" y="0"/>
                <wp:positionH relativeFrom="column">
                  <wp:posOffset>801370</wp:posOffset>
                </wp:positionH>
                <wp:positionV relativeFrom="paragraph">
                  <wp:posOffset>62865</wp:posOffset>
                </wp:positionV>
                <wp:extent cx="3489960" cy="1367155"/>
                <wp:effectExtent l="4445" t="4445" r="10795" b="19050"/>
                <wp:wrapTight wrapText="bothSides">
                  <wp:wrapPolygon>
                    <wp:start x="444" y="-70"/>
                    <wp:lineTo x="-28" y="1134"/>
                    <wp:lineTo x="-28" y="20095"/>
                    <wp:lineTo x="444" y="21299"/>
                    <wp:lineTo x="21077" y="21299"/>
                    <wp:lineTo x="21549" y="19794"/>
                    <wp:lineTo x="21549" y="1435"/>
                    <wp:lineTo x="20959" y="-70"/>
                    <wp:lineTo x="444" y="-70"/>
                  </wp:wrapPolygon>
                </wp:wrapTight>
                <wp:docPr id="2" name="自选图形 60"/>
                <wp:cNvGraphicFramePr/>
                <a:graphic xmlns:a="http://schemas.openxmlformats.org/drawingml/2006/main">
                  <a:graphicData uri="http://schemas.microsoft.com/office/word/2010/wordprocessingShape">
                    <wps:wsp>
                      <wps:cNvSpPr/>
                      <wps:spPr>
                        <a:xfrm>
                          <a:off x="0" y="0"/>
                          <a:ext cx="348996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50E490">
                            <w:pPr>
                              <w:jc w:val="center"/>
                              <w:rPr>
                                <w:rFonts w:hint="eastAsia" w:ascii="仿宋" w:hAnsi="仿宋" w:eastAsia="仿宋" w:cs="仿宋"/>
                                <w:sz w:val="24"/>
                                <w:szCs w:val="24"/>
                              </w:rPr>
                            </w:pPr>
                          </w:p>
                          <w:p w14:paraId="3E1F1BE5">
                            <w:pPr>
                              <w:jc w:val="center"/>
                              <w:rPr>
                                <w:rFonts w:hint="eastAsia" w:ascii="仿宋" w:hAnsi="仿宋" w:eastAsia="仿宋" w:cs="仿宋"/>
                                <w:sz w:val="24"/>
                                <w:szCs w:val="24"/>
                              </w:rPr>
                            </w:pPr>
                          </w:p>
                          <w:p w14:paraId="72941D88">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正反面</w:t>
                            </w:r>
                          </w:p>
                          <w:p w14:paraId="51C2C7D2">
                            <w:pPr>
                              <w:rPr>
                                <w:rFonts w:hint="eastAsia"/>
                                <w:lang w:val="en-US" w:eastAsia="zh-CN"/>
                              </w:rPr>
                            </w:pPr>
                          </w:p>
                        </w:txbxContent>
                      </wps:txbx>
                      <wps:bodyPr upright="1"/>
                    </wps:wsp>
                  </a:graphicData>
                </a:graphic>
              </wp:anchor>
            </w:drawing>
          </mc:Choice>
          <mc:Fallback>
            <w:pict>
              <v:roundrect id="自选图形 60" o:spid="_x0000_s1026" o:spt="2" style="position:absolute;left:0pt;margin-left:63.1pt;margin-top:4.95pt;height:107.65pt;width:274.8pt;mso-wrap-distance-left:9pt;mso-wrap-distance-right:9pt;z-index:-251654144;mso-width-relative:page;mso-height-relative:page;" fillcolor="#FFFFFF" filled="t" stroked="t" coordsize="21600,21600" wrapcoords="444 -70 -28 1134 -28 20095 444 21299 21077 21299 21549 19794 21549 1435 20959 -70 444 -70" arcsize="0.166666666666667" o:gfxdata="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zKaMnU&#10;AAAACQEAAA8AAAAAAAAAAQAgAAAAIgAAAGRycy9kb3ducmV2LnhtbFBLAQIUABQAAAAIAIdO4kAb&#10;n8zCJAIAAFgEAAAOAAAAAAAAAAEAIAAAACMBAABkcnMvZTJvRG9jLnhtbFBLBQYAAAAABgAGAFkB&#10;AAC5BQAAAAA=&#10;">
                <v:fill on="t" focussize="0,0"/>
                <v:stroke color="#000000" joinstyle="round"/>
                <v:imagedata o:title=""/>
                <o:lock v:ext="edit" aspectratio="f"/>
                <v:textbox>
                  <w:txbxContent>
                    <w:p w14:paraId="7F50E490">
                      <w:pPr>
                        <w:jc w:val="center"/>
                        <w:rPr>
                          <w:rFonts w:hint="eastAsia" w:ascii="仿宋" w:hAnsi="仿宋" w:eastAsia="仿宋" w:cs="仿宋"/>
                          <w:sz w:val="24"/>
                          <w:szCs w:val="24"/>
                        </w:rPr>
                      </w:pPr>
                    </w:p>
                    <w:p w14:paraId="3E1F1BE5">
                      <w:pPr>
                        <w:jc w:val="center"/>
                        <w:rPr>
                          <w:rFonts w:hint="eastAsia" w:ascii="仿宋" w:hAnsi="仿宋" w:eastAsia="仿宋" w:cs="仿宋"/>
                          <w:sz w:val="24"/>
                          <w:szCs w:val="24"/>
                        </w:rPr>
                      </w:pPr>
                    </w:p>
                    <w:p w14:paraId="72941D88">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正反面</w:t>
                      </w:r>
                    </w:p>
                    <w:p w14:paraId="51C2C7D2">
                      <w:pPr>
                        <w:rPr>
                          <w:rFonts w:hint="eastAsia"/>
                          <w:lang w:val="en-US" w:eastAsia="zh-CN"/>
                        </w:rPr>
                      </w:pPr>
                    </w:p>
                  </w:txbxContent>
                </v:textbox>
                <w10:wrap type="tight"/>
              </v:roundrect>
            </w:pict>
          </mc:Fallback>
        </mc:AlternateContent>
      </w:r>
    </w:p>
    <w:p w14:paraId="05776F77">
      <w:pPr>
        <w:pStyle w:val="10"/>
        <w:numPr>
          <w:ilvl w:val="0"/>
          <w:numId w:val="0"/>
        </w:numPr>
        <w:kinsoku w:val="0"/>
        <w:overflowPunct w:val="0"/>
        <w:adjustRightInd w:val="0"/>
        <w:snapToGrid w:val="0"/>
        <w:spacing w:line="200" w:lineRule="atLeast"/>
        <w:rPr>
          <w:rFonts w:ascii="仿宋" w:hAnsi="仿宋" w:eastAsia="仿宋" w:cs="仿宋"/>
          <w:color w:val="auto"/>
          <w:sz w:val="18"/>
          <w:szCs w:val="20"/>
          <w:highlight w:val="none"/>
        </w:rPr>
      </w:pPr>
    </w:p>
    <w:p w14:paraId="0697AB37">
      <w:pPr>
        <w:rPr>
          <w:rFonts w:ascii="仿宋" w:hAnsi="仿宋" w:eastAsia="仿宋" w:cs="仿宋"/>
          <w:color w:val="auto"/>
          <w:sz w:val="18"/>
          <w:szCs w:val="20"/>
          <w:highlight w:val="none"/>
        </w:rPr>
      </w:pPr>
    </w:p>
    <w:p w14:paraId="5FFBBF75">
      <w:pPr>
        <w:pStyle w:val="38"/>
        <w:rPr>
          <w:rFonts w:ascii="仿宋" w:hAnsi="仿宋" w:eastAsia="仿宋" w:cs="仿宋"/>
          <w:color w:val="auto"/>
          <w:sz w:val="18"/>
          <w:szCs w:val="20"/>
          <w:highlight w:val="none"/>
        </w:rPr>
      </w:pPr>
    </w:p>
    <w:p w14:paraId="3CED405B">
      <w:pPr>
        <w:pStyle w:val="38"/>
        <w:rPr>
          <w:rFonts w:ascii="仿宋" w:hAnsi="仿宋" w:eastAsia="仿宋" w:cs="仿宋"/>
          <w:color w:val="auto"/>
          <w:sz w:val="18"/>
          <w:szCs w:val="20"/>
          <w:highlight w:val="none"/>
        </w:rPr>
      </w:pPr>
    </w:p>
    <w:p w14:paraId="3DBB9145">
      <w:pPr>
        <w:pStyle w:val="38"/>
        <w:rPr>
          <w:rFonts w:ascii="仿宋" w:hAnsi="仿宋" w:eastAsia="仿宋" w:cs="仿宋"/>
          <w:color w:val="auto"/>
          <w:sz w:val="18"/>
          <w:szCs w:val="20"/>
          <w:highlight w:val="none"/>
        </w:rPr>
      </w:pPr>
    </w:p>
    <w:p w14:paraId="651715C6">
      <w:pPr>
        <w:pStyle w:val="38"/>
        <w:rPr>
          <w:rFonts w:ascii="仿宋" w:hAnsi="仿宋" w:eastAsia="仿宋" w:cs="仿宋"/>
          <w:color w:val="auto"/>
          <w:sz w:val="18"/>
          <w:szCs w:val="20"/>
          <w:highlight w:val="none"/>
        </w:rPr>
      </w:pPr>
    </w:p>
    <w:p w14:paraId="5A855EEC">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r>
        <w:rPr>
          <w:color w:val="auto"/>
          <w:sz w:val="18"/>
          <w:highlight w:val="none"/>
        </w:rPr>
        <mc:AlternateContent>
          <mc:Choice Requires="wps">
            <w:drawing>
              <wp:anchor distT="0" distB="0" distL="114300" distR="114300" simplePos="0" relativeHeight="251665408" behindDoc="0" locked="0" layoutInCell="1" allowOverlap="1">
                <wp:simplePos x="0" y="0"/>
                <wp:positionH relativeFrom="column">
                  <wp:posOffset>775970</wp:posOffset>
                </wp:positionH>
                <wp:positionV relativeFrom="paragraph">
                  <wp:posOffset>5715</wp:posOffset>
                </wp:positionV>
                <wp:extent cx="3539490" cy="1367155"/>
                <wp:effectExtent l="4445" t="4445" r="18415" b="19050"/>
                <wp:wrapSquare wrapText="bothSides"/>
                <wp:docPr id="4" name="自选图形 62"/>
                <wp:cNvGraphicFramePr/>
                <a:graphic xmlns:a="http://schemas.openxmlformats.org/drawingml/2006/main">
                  <a:graphicData uri="http://schemas.microsoft.com/office/word/2010/wordprocessingShape">
                    <wps:wsp>
                      <wps:cNvSpPr/>
                      <wps:spPr>
                        <a:xfrm>
                          <a:off x="0" y="0"/>
                          <a:ext cx="353949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0DA0264">
                            <w:pPr>
                              <w:jc w:val="center"/>
                              <w:rPr>
                                <w:rFonts w:hint="eastAsia" w:ascii="仿宋" w:hAnsi="仿宋" w:eastAsia="仿宋" w:cs="仿宋"/>
                                <w:sz w:val="24"/>
                                <w:szCs w:val="24"/>
                              </w:rPr>
                            </w:pPr>
                          </w:p>
                          <w:p w14:paraId="54E24B9D">
                            <w:pPr>
                              <w:jc w:val="center"/>
                              <w:rPr>
                                <w:rFonts w:hint="eastAsia" w:ascii="仿宋" w:hAnsi="仿宋" w:eastAsia="仿宋" w:cs="仿宋"/>
                                <w:sz w:val="24"/>
                                <w:szCs w:val="24"/>
                              </w:rPr>
                            </w:pPr>
                          </w:p>
                          <w:p w14:paraId="2A72D6A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B941AA7"/>
                        </w:txbxContent>
                      </wps:txbx>
                      <wps:bodyPr upright="1"/>
                    </wps:wsp>
                  </a:graphicData>
                </a:graphic>
              </wp:anchor>
            </w:drawing>
          </mc:Choice>
          <mc:Fallback>
            <w:pict>
              <v:roundrect id="自选图形 62" o:spid="_x0000_s1026" o:spt="2" style="position:absolute;left:0pt;margin-left:61.1pt;margin-top:0.45pt;height:107.65pt;width:278.7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DpxKHT&#10;AAAACAEAAA8AAAAAAAAAAQAgAAAAIgAAAGRycy9kb3ducmV2LnhtbFBLAQIUABQAAAAIAIdO4kCI&#10;nsIqJQIAAFgEAAAOAAAAAAAAAAEAIAAAACIBAABkcnMvZTJvRG9jLnhtbFBLBQYAAAAABgAGAFkB&#10;AAC5BQAAAAA=&#10;">
                <v:fill on="t" focussize="0,0"/>
                <v:stroke color="#000000" joinstyle="round"/>
                <v:imagedata o:title=""/>
                <o:lock v:ext="edit" aspectratio="f"/>
                <v:textbox>
                  <w:txbxContent>
                    <w:p w14:paraId="10DA0264">
                      <w:pPr>
                        <w:jc w:val="center"/>
                        <w:rPr>
                          <w:rFonts w:hint="eastAsia" w:ascii="仿宋" w:hAnsi="仿宋" w:eastAsia="仿宋" w:cs="仿宋"/>
                          <w:sz w:val="24"/>
                          <w:szCs w:val="24"/>
                        </w:rPr>
                      </w:pPr>
                    </w:p>
                    <w:p w14:paraId="54E24B9D">
                      <w:pPr>
                        <w:jc w:val="center"/>
                        <w:rPr>
                          <w:rFonts w:hint="eastAsia" w:ascii="仿宋" w:hAnsi="仿宋" w:eastAsia="仿宋" w:cs="仿宋"/>
                          <w:sz w:val="24"/>
                          <w:szCs w:val="24"/>
                        </w:rPr>
                      </w:pPr>
                    </w:p>
                    <w:p w14:paraId="2A72D6AE">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6B941AA7"/>
                  </w:txbxContent>
                </v:textbox>
                <w10:wrap type="square"/>
              </v:roundrect>
            </w:pict>
          </mc:Fallback>
        </mc:AlternateContent>
      </w:r>
    </w:p>
    <w:p w14:paraId="24BB1069">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1D61A30D">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1494F1C8">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5673DED7">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5C03BF82">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51A6B3B3">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088ADD4D">
      <w:pPr>
        <w:pStyle w:val="10"/>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法定代表人（签字或盖章）：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被授权代表（签字或盖章）：</w:t>
      </w:r>
    </w:p>
    <w:p w14:paraId="70976BB9">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p>
    <w:p w14:paraId="6B62C577">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p>
    <w:p w14:paraId="4473BC0E">
      <w:pPr>
        <w:pStyle w:val="10"/>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投标单位名称：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Cs w:val="21"/>
          <w:highlight w:val="none"/>
          <w:u w:val="single"/>
          <w:lang w:eastAsia="zh-CN"/>
        </w:rPr>
        <w:t>（加盖公章）</w:t>
      </w:r>
      <w:r>
        <w:rPr>
          <w:rFonts w:hint="eastAsia" w:ascii="仿宋" w:hAnsi="仿宋" w:eastAsia="仿宋" w:cs="仿宋"/>
          <w:color w:val="auto"/>
          <w:szCs w:val="21"/>
          <w:highlight w:val="none"/>
          <w:u w:val="single"/>
          <w:lang w:val="en-US" w:eastAsia="zh-CN"/>
        </w:rPr>
        <w:t xml:space="preserve">         </w:t>
      </w:r>
    </w:p>
    <w:p w14:paraId="326CE1AB">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highlight w:val="none"/>
          <w:lang w:eastAsia="zh-CN"/>
        </w:rPr>
      </w:pPr>
      <w:r>
        <w:rPr>
          <w:rFonts w:hint="eastAsia" w:ascii="仿宋" w:hAnsi="仿宋" w:eastAsia="仿宋" w:cs="仿宋"/>
          <w:color w:val="auto"/>
          <w:sz w:val="24"/>
          <w:highlight w:val="none"/>
          <w:lang w:eastAsia="zh-CN"/>
        </w:rPr>
        <w:t xml:space="preserve"> 日期：</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 xml:space="preserve">日 </w:t>
      </w:r>
      <w:r>
        <w:rPr>
          <w:rFonts w:hint="eastAsia" w:ascii="仿宋" w:hAnsi="仿宋" w:eastAsia="仿宋" w:cs="仿宋"/>
          <w:color w:val="auto"/>
          <w:sz w:val="20"/>
          <w:highlight w:val="none"/>
          <w:lang w:eastAsia="zh-CN"/>
        </w:rPr>
        <w:t xml:space="preserve">               </w:t>
      </w:r>
    </w:p>
    <w:p w14:paraId="6EFE5AC2">
      <w:pPr>
        <w:pStyle w:val="38"/>
        <w:rPr>
          <w:rFonts w:ascii="仿宋" w:hAnsi="仿宋" w:eastAsia="仿宋" w:cs="仿宋"/>
          <w:b/>
          <w:bCs/>
          <w:color w:val="auto"/>
          <w:sz w:val="36"/>
          <w:szCs w:val="36"/>
          <w:highlight w:val="none"/>
          <w:lang w:eastAsia="zh-CN"/>
        </w:rPr>
      </w:pPr>
      <w:r>
        <w:rPr>
          <w:rFonts w:hint="eastAsia" w:ascii="仿宋" w:hAnsi="仿宋" w:eastAsia="仿宋" w:cs="仿宋"/>
          <w:color w:val="auto"/>
          <w:highlight w:val="none"/>
          <w:lang w:eastAsia="zh-CN"/>
        </w:rPr>
        <w:br w:type="page"/>
      </w:r>
    </w:p>
    <w:p w14:paraId="4717556C">
      <w:pPr>
        <w:pStyle w:val="3"/>
        <w:spacing w:line="240" w:lineRule="atLeast"/>
        <w:rPr>
          <w:rFonts w:hint="eastAsia" w:ascii="仿宋" w:hAnsi="仿宋" w:eastAsia="仿宋" w:cs="仿宋"/>
          <w:color w:val="auto"/>
          <w:sz w:val="24"/>
          <w:highlight w:val="none"/>
          <w:lang w:eastAsia="zh-CN"/>
        </w:rPr>
      </w:pPr>
    </w:p>
    <w:p w14:paraId="7A08488C">
      <w:pPr>
        <w:pStyle w:val="3"/>
        <w:spacing w:line="240" w:lineRule="atLeas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4、参加政府采购活动前3年内</w:t>
      </w:r>
      <w:bookmarkStart w:id="70" w:name="_Toc1137"/>
      <w:bookmarkStart w:id="71" w:name="_Toc6008"/>
      <w:bookmarkStart w:id="72" w:name="_Toc515647812"/>
      <w:r>
        <w:rPr>
          <w:rFonts w:hint="eastAsia" w:ascii="仿宋" w:hAnsi="仿宋" w:eastAsia="仿宋" w:cs="仿宋"/>
          <w:color w:val="auto"/>
          <w:sz w:val="24"/>
          <w:highlight w:val="none"/>
          <w:lang w:eastAsia="zh-CN"/>
        </w:rPr>
        <w:t>在经营活动中没有重大违法记录的书面声明</w:t>
      </w:r>
      <w:bookmarkEnd w:id="70"/>
      <w:bookmarkEnd w:id="71"/>
      <w:bookmarkEnd w:id="72"/>
    </w:p>
    <w:p w14:paraId="097C2532">
      <w:pPr>
        <w:pStyle w:val="13"/>
        <w:tabs>
          <w:tab w:val="left" w:pos="5580"/>
        </w:tabs>
        <w:spacing w:line="240" w:lineRule="atLeast"/>
        <w:ind w:left="1164" w:leftChars="257" w:hanging="540"/>
        <w:jc w:val="center"/>
        <w:rPr>
          <w:rFonts w:ascii="仿宋" w:hAnsi="仿宋" w:eastAsia="仿宋" w:cs="仿宋"/>
          <w:b/>
          <w:color w:val="auto"/>
          <w:highlight w:val="none"/>
          <w:lang w:eastAsia="zh-CN"/>
        </w:rPr>
      </w:pPr>
    </w:p>
    <w:p w14:paraId="76C3E0E1">
      <w:pPr>
        <w:pStyle w:val="13"/>
        <w:tabs>
          <w:tab w:val="left" w:pos="5580"/>
        </w:tabs>
        <w:spacing w:line="240" w:lineRule="atLeast"/>
        <w:ind w:left="1164" w:leftChars="257" w:hanging="540"/>
        <w:rPr>
          <w:rFonts w:ascii="仿宋" w:hAnsi="仿宋" w:eastAsia="仿宋" w:cs="仿宋"/>
          <w:color w:val="auto"/>
          <w:highlight w:val="none"/>
          <w:lang w:eastAsia="zh-CN"/>
        </w:rPr>
      </w:pPr>
    </w:p>
    <w:p w14:paraId="2E50CCE1">
      <w:pPr>
        <w:pStyle w:val="13"/>
        <w:tabs>
          <w:tab w:val="left" w:pos="5580"/>
        </w:tabs>
        <w:spacing w:line="240" w:lineRule="atLeast"/>
        <w:ind w:left="1164" w:leftChars="257" w:hanging="540"/>
        <w:rPr>
          <w:rFonts w:ascii="仿宋" w:hAnsi="仿宋" w:eastAsia="仿宋" w:cs="仿宋"/>
          <w:color w:val="auto"/>
          <w:highlight w:val="none"/>
          <w:lang w:eastAsia="zh-CN"/>
        </w:rPr>
      </w:pPr>
    </w:p>
    <w:p w14:paraId="59058A0B">
      <w:pPr>
        <w:pStyle w:val="13"/>
        <w:tabs>
          <w:tab w:val="left" w:pos="5580"/>
        </w:tabs>
        <w:spacing w:line="360" w:lineRule="auto"/>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说明：1.投标单位应按照相关法规规定如实作出说明。</w:t>
      </w:r>
    </w:p>
    <w:p w14:paraId="08A7C329">
      <w:pPr>
        <w:pStyle w:val="13"/>
        <w:tabs>
          <w:tab w:val="left" w:pos="5580"/>
        </w:tabs>
        <w:spacing w:line="360" w:lineRule="auto"/>
        <w:ind w:left="746" w:leftChars="307" w:firstLine="607" w:firstLineChars="25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2．按照招标文件的规定加盖单位章（自然人投标的无需盖章，需要签字）。</w:t>
      </w:r>
    </w:p>
    <w:p w14:paraId="2314E650">
      <w:pPr>
        <w:pStyle w:val="13"/>
        <w:tabs>
          <w:tab w:val="left" w:pos="5580"/>
        </w:tabs>
        <w:spacing w:line="360" w:lineRule="auto"/>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3125C523">
      <w:pPr>
        <w:pStyle w:val="4"/>
        <w:rPr>
          <w:rFonts w:ascii="仿宋" w:hAnsi="仿宋" w:eastAsia="仿宋" w:cs="仿宋"/>
          <w:color w:val="auto"/>
          <w:sz w:val="36"/>
          <w:szCs w:val="36"/>
          <w:highlight w:val="none"/>
          <w:lang w:eastAsia="zh-CN"/>
        </w:rPr>
      </w:pPr>
    </w:p>
    <w:p w14:paraId="2FD0F8DC">
      <w:pPr>
        <w:rPr>
          <w:rFonts w:ascii="仿宋" w:hAnsi="仿宋" w:eastAsia="仿宋" w:cs="仿宋"/>
          <w:b/>
          <w:bCs/>
          <w:color w:val="auto"/>
          <w:sz w:val="36"/>
          <w:szCs w:val="36"/>
          <w:highlight w:val="none"/>
          <w:lang w:eastAsia="zh-CN"/>
        </w:rPr>
      </w:pPr>
    </w:p>
    <w:p w14:paraId="61BBA94B">
      <w:pPr>
        <w:pStyle w:val="4"/>
        <w:rPr>
          <w:rFonts w:ascii="仿宋" w:hAnsi="仿宋" w:eastAsia="仿宋" w:cs="仿宋"/>
          <w:color w:val="auto"/>
          <w:sz w:val="36"/>
          <w:szCs w:val="36"/>
          <w:highlight w:val="none"/>
          <w:lang w:eastAsia="zh-CN"/>
        </w:rPr>
      </w:pPr>
    </w:p>
    <w:p w14:paraId="197CC8FD">
      <w:pPr>
        <w:rPr>
          <w:rFonts w:ascii="仿宋" w:hAnsi="仿宋" w:eastAsia="仿宋" w:cs="仿宋"/>
          <w:b/>
          <w:bCs/>
          <w:color w:val="auto"/>
          <w:sz w:val="36"/>
          <w:szCs w:val="36"/>
          <w:highlight w:val="none"/>
          <w:lang w:eastAsia="zh-CN"/>
        </w:rPr>
      </w:pPr>
    </w:p>
    <w:p w14:paraId="3BE58557">
      <w:pPr>
        <w:pStyle w:val="4"/>
        <w:rPr>
          <w:rFonts w:ascii="仿宋" w:hAnsi="仿宋" w:eastAsia="仿宋" w:cs="仿宋"/>
          <w:color w:val="auto"/>
          <w:sz w:val="36"/>
          <w:szCs w:val="36"/>
          <w:highlight w:val="none"/>
          <w:lang w:eastAsia="zh-CN"/>
        </w:rPr>
      </w:pPr>
    </w:p>
    <w:p w14:paraId="4E260135">
      <w:pPr>
        <w:rPr>
          <w:rFonts w:ascii="仿宋" w:hAnsi="仿宋" w:eastAsia="仿宋" w:cs="仿宋"/>
          <w:b/>
          <w:bCs/>
          <w:color w:val="auto"/>
          <w:sz w:val="36"/>
          <w:szCs w:val="36"/>
          <w:highlight w:val="none"/>
          <w:lang w:eastAsia="zh-CN"/>
        </w:rPr>
      </w:pPr>
    </w:p>
    <w:p w14:paraId="6DA22275">
      <w:pPr>
        <w:pStyle w:val="4"/>
        <w:rPr>
          <w:rFonts w:ascii="仿宋" w:hAnsi="仿宋" w:eastAsia="仿宋" w:cs="仿宋"/>
          <w:color w:val="auto"/>
          <w:sz w:val="36"/>
          <w:szCs w:val="36"/>
          <w:highlight w:val="none"/>
          <w:lang w:eastAsia="zh-CN"/>
        </w:rPr>
      </w:pPr>
    </w:p>
    <w:p w14:paraId="070850BE">
      <w:pPr>
        <w:rPr>
          <w:rFonts w:ascii="仿宋" w:hAnsi="仿宋" w:eastAsia="仿宋" w:cs="仿宋"/>
          <w:b/>
          <w:bCs/>
          <w:color w:val="auto"/>
          <w:sz w:val="36"/>
          <w:szCs w:val="36"/>
          <w:highlight w:val="none"/>
          <w:lang w:eastAsia="zh-CN"/>
        </w:rPr>
      </w:pPr>
    </w:p>
    <w:p w14:paraId="7F8F011D">
      <w:pPr>
        <w:pStyle w:val="4"/>
        <w:rPr>
          <w:rFonts w:ascii="仿宋" w:hAnsi="仿宋" w:eastAsia="仿宋" w:cs="仿宋"/>
          <w:color w:val="auto"/>
          <w:sz w:val="36"/>
          <w:szCs w:val="36"/>
          <w:highlight w:val="none"/>
          <w:lang w:eastAsia="zh-CN"/>
        </w:rPr>
      </w:pPr>
    </w:p>
    <w:p w14:paraId="4A2AC0D4">
      <w:pPr>
        <w:rPr>
          <w:rFonts w:ascii="仿宋" w:hAnsi="仿宋" w:eastAsia="仿宋" w:cs="仿宋"/>
          <w:b/>
          <w:bCs/>
          <w:color w:val="auto"/>
          <w:sz w:val="36"/>
          <w:szCs w:val="36"/>
          <w:highlight w:val="none"/>
          <w:lang w:eastAsia="zh-CN"/>
        </w:rPr>
      </w:pPr>
    </w:p>
    <w:p w14:paraId="5143B49D">
      <w:pPr>
        <w:pStyle w:val="4"/>
        <w:rPr>
          <w:rFonts w:ascii="仿宋" w:hAnsi="仿宋" w:eastAsia="仿宋" w:cs="仿宋"/>
          <w:color w:val="auto"/>
          <w:sz w:val="36"/>
          <w:szCs w:val="36"/>
          <w:highlight w:val="none"/>
          <w:lang w:eastAsia="zh-CN"/>
        </w:rPr>
      </w:pPr>
    </w:p>
    <w:p w14:paraId="72890F08">
      <w:pPr>
        <w:rPr>
          <w:rFonts w:ascii="仿宋" w:hAnsi="仿宋" w:eastAsia="仿宋" w:cs="仿宋"/>
          <w:b/>
          <w:bCs/>
          <w:color w:val="auto"/>
          <w:sz w:val="36"/>
          <w:szCs w:val="36"/>
          <w:highlight w:val="none"/>
          <w:lang w:eastAsia="zh-CN"/>
        </w:rPr>
      </w:pPr>
    </w:p>
    <w:p w14:paraId="19985C0D">
      <w:pPr>
        <w:pStyle w:val="3"/>
        <w:spacing w:line="240" w:lineRule="atLeast"/>
        <w:rPr>
          <w:rFonts w:ascii="仿宋" w:hAnsi="仿宋" w:eastAsia="仿宋" w:cs="仿宋"/>
          <w:bCs/>
          <w:color w:val="auto"/>
          <w:sz w:val="36"/>
          <w:szCs w:val="36"/>
          <w:highlight w:val="none"/>
          <w:lang w:eastAsia="zh-CN"/>
        </w:rPr>
      </w:pPr>
    </w:p>
    <w:p w14:paraId="21B04D2C">
      <w:pPr>
        <w:pStyle w:val="3"/>
        <w:spacing w:line="240" w:lineRule="atLeast"/>
        <w:rPr>
          <w:rFonts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lang w:eastAsia="zh-CN"/>
        </w:rPr>
        <w:t>5、投标保证金缴纳凭证或投标担保函</w:t>
      </w:r>
    </w:p>
    <w:p w14:paraId="3AAF5CDC">
      <w:pPr>
        <w:ind w:firstLine="486" w:firstLineChars="200"/>
        <w:rPr>
          <w:rFonts w:ascii="仿宋" w:hAnsi="仿宋" w:eastAsia="仿宋" w:cs="仿宋"/>
          <w:color w:val="auto"/>
          <w:highlight w:val="none"/>
          <w:lang w:eastAsia="zh-CN"/>
        </w:rPr>
      </w:pPr>
      <w:bookmarkStart w:id="73" w:name="_Toc494296991"/>
      <w:bookmarkStart w:id="74" w:name="_Toc494296665"/>
    </w:p>
    <w:bookmarkEnd w:id="73"/>
    <w:bookmarkEnd w:id="74"/>
    <w:p w14:paraId="6721554F">
      <w:pPr>
        <w:pStyle w:val="7"/>
        <w:rPr>
          <w:rFonts w:ascii="仿宋" w:hAnsi="仿宋" w:eastAsia="仿宋" w:cs="仿宋"/>
          <w:color w:val="auto"/>
          <w:highlight w:val="none"/>
          <w:lang w:eastAsia="zh-CN"/>
        </w:rPr>
      </w:pPr>
    </w:p>
    <w:p w14:paraId="76E41337">
      <w:pPr>
        <w:pStyle w:val="7"/>
        <w:rPr>
          <w:rFonts w:ascii="仿宋" w:hAnsi="仿宋" w:eastAsia="仿宋" w:cs="仿宋"/>
          <w:color w:val="auto"/>
          <w:highlight w:val="none"/>
        </w:rPr>
      </w:pPr>
    </w:p>
    <w:p w14:paraId="1EFC25C5">
      <w:pPr>
        <w:spacing w:line="240" w:lineRule="atLeast"/>
        <w:ind w:left="1164" w:leftChars="257" w:hanging="540"/>
        <w:jc w:val="center"/>
        <w:rPr>
          <w:rFonts w:ascii="仿宋" w:hAnsi="仿宋" w:eastAsia="仿宋" w:cs="仿宋"/>
          <w:color w:val="auto"/>
          <w:highlight w:val="none"/>
        </w:rPr>
      </w:pPr>
    </w:p>
    <w:p w14:paraId="072EB626">
      <w:pPr>
        <w:rPr>
          <w:rFonts w:ascii="仿宋" w:hAnsi="仿宋" w:eastAsia="仿宋" w:cs="仿宋"/>
          <w:color w:val="auto"/>
          <w:sz w:val="28"/>
          <w:szCs w:val="28"/>
          <w:highlight w:val="none"/>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4B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3087AEC8">
            <w:pPr>
              <w:rPr>
                <w:rFonts w:ascii="仿宋" w:hAnsi="仿宋" w:eastAsia="仿宋" w:cs="仿宋"/>
                <w:b/>
                <w:bCs/>
                <w:color w:val="auto"/>
                <w:sz w:val="30"/>
                <w:szCs w:val="30"/>
                <w:highlight w:val="none"/>
              </w:rPr>
            </w:pPr>
          </w:p>
          <w:p w14:paraId="2FFE529B">
            <w:pPr>
              <w:jc w:val="center"/>
              <w:rPr>
                <w:rFonts w:ascii="仿宋" w:hAnsi="仿宋" w:eastAsia="仿宋" w:cs="仿宋"/>
                <w:b/>
                <w:bCs/>
                <w:color w:val="auto"/>
                <w:sz w:val="30"/>
                <w:szCs w:val="30"/>
                <w:highlight w:val="none"/>
              </w:rPr>
            </w:pPr>
          </w:p>
          <w:p w14:paraId="2DDBFC07">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2C5236C6">
      <w:pPr>
        <w:pStyle w:val="7"/>
        <w:rPr>
          <w:rFonts w:ascii="仿宋" w:hAnsi="仿宋" w:eastAsia="仿宋" w:cs="仿宋"/>
          <w:color w:val="auto"/>
          <w:highlight w:val="none"/>
        </w:rPr>
      </w:pPr>
    </w:p>
    <w:p w14:paraId="6A7A0252">
      <w:pPr>
        <w:pStyle w:val="7"/>
        <w:rPr>
          <w:rFonts w:ascii="仿宋" w:hAnsi="仿宋" w:eastAsia="仿宋" w:cs="仿宋"/>
          <w:color w:val="auto"/>
          <w:highlight w:val="none"/>
        </w:rPr>
      </w:pPr>
    </w:p>
    <w:p w14:paraId="29ACA63C">
      <w:pPr>
        <w:pStyle w:val="7"/>
        <w:rPr>
          <w:rFonts w:ascii="仿宋" w:hAnsi="仿宋" w:eastAsia="仿宋" w:cs="仿宋"/>
          <w:color w:val="auto"/>
          <w:highlight w:val="none"/>
        </w:rPr>
      </w:pPr>
    </w:p>
    <w:p w14:paraId="2C6E1F8E">
      <w:pPr>
        <w:pStyle w:val="7"/>
        <w:rPr>
          <w:rFonts w:ascii="仿宋" w:hAnsi="仿宋" w:eastAsia="仿宋" w:cs="仿宋"/>
          <w:color w:val="auto"/>
          <w:highlight w:val="none"/>
        </w:rPr>
      </w:pPr>
    </w:p>
    <w:p w14:paraId="655EF17C">
      <w:pPr>
        <w:pStyle w:val="7"/>
        <w:rPr>
          <w:rFonts w:ascii="仿宋" w:hAnsi="仿宋" w:eastAsia="仿宋" w:cs="仿宋"/>
          <w:color w:val="auto"/>
          <w:highlight w:val="none"/>
        </w:rPr>
      </w:pPr>
    </w:p>
    <w:p w14:paraId="1E6586CD">
      <w:pPr>
        <w:pStyle w:val="7"/>
        <w:rPr>
          <w:rFonts w:ascii="仿宋" w:hAnsi="仿宋" w:eastAsia="仿宋" w:cs="仿宋"/>
          <w:color w:val="auto"/>
          <w:highlight w:val="none"/>
        </w:rPr>
      </w:pPr>
    </w:p>
    <w:p w14:paraId="49D039D0">
      <w:pPr>
        <w:rPr>
          <w:rFonts w:ascii="仿宋" w:hAnsi="仿宋" w:eastAsia="仿宋" w:cs="仿宋"/>
          <w:color w:val="auto"/>
          <w:highlight w:val="none"/>
        </w:rPr>
      </w:pPr>
    </w:p>
    <w:p w14:paraId="29B1AD09">
      <w:pPr>
        <w:pStyle w:val="4"/>
        <w:rPr>
          <w:rFonts w:ascii="仿宋" w:hAnsi="仿宋" w:eastAsia="仿宋" w:cs="仿宋"/>
          <w:color w:val="auto"/>
          <w:highlight w:val="none"/>
        </w:rPr>
      </w:pPr>
    </w:p>
    <w:p w14:paraId="194C8A4B">
      <w:pPr>
        <w:rPr>
          <w:rFonts w:ascii="仿宋" w:hAnsi="仿宋" w:eastAsia="仿宋" w:cs="仿宋"/>
          <w:color w:val="auto"/>
          <w:highlight w:val="none"/>
        </w:rPr>
      </w:pPr>
    </w:p>
    <w:p w14:paraId="00EA080D">
      <w:pPr>
        <w:rPr>
          <w:rFonts w:ascii="仿宋" w:hAnsi="仿宋" w:eastAsia="仿宋" w:cs="仿宋"/>
          <w:color w:val="auto"/>
          <w:highlight w:val="none"/>
        </w:rPr>
      </w:pPr>
    </w:p>
    <w:p w14:paraId="494C61CE">
      <w:pPr>
        <w:rPr>
          <w:rFonts w:ascii="仿宋" w:hAnsi="仿宋" w:eastAsia="仿宋" w:cs="仿宋"/>
          <w:color w:val="auto"/>
          <w:highlight w:val="none"/>
        </w:rPr>
      </w:pPr>
    </w:p>
    <w:p w14:paraId="3FEDBDA6">
      <w:pPr>
        <w:jc w:val="center"/>
        <w:rPr>
          <w:rFonts w:ascii="仿宋" w:hAnsi="仿宋" w:eastAsia="仿宋" w:cs="仿宋"/>
          <w:color w:val="auto"/>
          <w:sz w:val="28"/>
          <w:szCs w:val="28"/>
          <w:highlight w:val="none"/>
        </w:rPr>
      </w:pPr>
    </w:p>
    <w:p w14:paraId="6EA57D96">
      <w:pPr>
        <w:jc w:val="center"/>
        <w:rPr>
          <w:rFonts w:ascii="仿宋" w:hAnsi="仿宋" w:eastAsia="仿宋" w:cs="仿宋"/>
          <w:color w:val="auto"/>
          <w:sz w:val="28"/>
          <w:szCs w:val="28"/>
          <w:highlight w:val="none"/>
        </w:rPr>
      </w:pPr>
    </w:p>
    <w:p w14:paraId="11C16F3C">
      <w:pPr>
        <w:jc w:val="center"/>
        <w:rPr>
          <w:rFonts w:ascii="仿宋" w:hAnsi="仿宋" w:eastAsia="仿宋" w:cs="仿宋"/>
          <w:color w:val="auto"/>
          <w:sz w:val="28"/>
          <w:szCs w:val="28"/>
          <w:highlight w:val="none"/>
        </w:rPr>
      </w:pPr>
    </w:p>
    <w:p w14:paraId="1B0293F0">
      <w:pPr>
        <w:jc w:val="center"/>
        <w:rPr>
          <w:rFonts w:ascii="仿宋" w:hAnsi="仿宋" w:eastAsia="仿宋" w:cs="仿宋"/>
          <w:color w:val="auto"/>
          <w:sz w:val="28"/>
          <w:szCs w:val="28"/>
          <w:highlight w:val="none"/>
        </w:rPr>
      </w:pPr>
    </w:p>
    <w:p w14:paraId="62960618">
      <w:pPr>
        <w:jc w:val="center"/>
        <w:rPr>
          <w:rFonts w:ascii="仿宋" w:hAnsi="仿宋" w:eastAsia="仿宋" w:cs="仿宋"/>
          <w:color w:val="auto"/>
          <w:sz w:val="28"/>
          <w:szCs w:val="28"/>
          <w:highlight w:val="none"/>
        </w:rPr>
      </w:pPr>
    </w:p>
    <w:p w14:paraId="775A05A6">
      <w:pPr>
        <w:jc w:val="center"/>
        <w:rPr>
          <w:rFonts w:ascii="仿宋" w:hAnsi="仿宋" w:eastAsia="仿宋" w:cs="仿宋"/>
          <w:color w:val="auto"/>
          <w:sz w:val="28"/>
          <w:szCs w:val="28"/>
          <w:highlight w:val="none"/>
        </w:rPr>
      </w:pPr>
    </w:p>
    <w:p w14:paraId="55E8E337">
      <w:pPr>
        <w:jc w:val="center"/>
        <w:rPr>
          <w:rFonts w:ascii="仿宋" w:hAnsi="仿宋" w:eastAsia="仿宋" w:cs="仿宋"/>
          <w:color w:val="auto"/>
          <w:sz w:val="28"/>
          <w:szCs w:val="28"/>
          <w:highlight w:val="none"/>
        </w:rPr>
      </w:pPr>
    </w:p>
    <w:p w14:paraId="70BB8758">
      <w:pPr>
        <w:jc w:val="center"/>
        <w:rPr>
          <w:rFonts w:ascii="仿宋" w:hAnsi="仿宋" w:eastAsia="仿宋" w:cs="仿宋"/>
          <w:color w:val="auto"/>
          <w:sz w:val="28"/>
          <w:szCs w:val="28"/>
          <w:highlight w:val="none"/>
        </w:rPr>
      </w:pPr>
    </w:p>
    <w:p w14:paraId="5149A105">
      <w:pPr>
        <w:spacing w:line="360" w:lineRule="auto"/>
        <w:jc w:val="both"/>
        <w:rPr>
          <w:rFonts w:ascii="仿宋" w:hAnsi="仿宋" w:eastAsia="仿宋" w:cs="仿宋"/>
          <w:b/>
          <w:bCs/>
          <w:color w:val="auto"/>
          <w:sz w:val="28"/>
          <w:szCs w:val="28"/>
          <w:highlight w:val="none"/>
          <w:lang w:eastAsia="zh-CN"/>
        </w:rPr>
      </w:pPr>
    </w:p>
    <w:p w14:paraId="1F9C44D7">
      <w:pPr>
        <w:spacing w:line="360" w:lineRule="auto"/>
        <w:jc w:val="center"/>
        <w:rPr>
          <w:rFonts w:hint="eastAsia" w:ascii="仿宋" w:hAnsi="仿宋" w:eastAsia="仿宋" w:cs="仿宋"/>
          <w:b/>
          <w:bCs/>
          <w:color w:val="auto"/>
          <w:sz w:val="28"/>
          <w:szCs w:val="28"/>
          <w:highlight w:val="none"/>
          <w:lang w:eastAsia="zh-CN"/>
        </w:rPr>
      </w:pPr>
    </w:p>
    <w:p w14:paraId="0EC1860B">
      <w:pPr>
        <w:spacing w:line="360" w:lineRule="auto"/>
        <w:jc w:val="center"/>
        <w:rPr>
          <w:rFonts w:hint="eastAsia" w:ascii="仿宋" w:hAnsi="仿宋" w:eastAsia="仿宋" w:cs="仿宋"/>
          <w:b/>
          <w:bCs/>
          <w:color w:val="auto"/>
          <w:sz w:val="28"/>
          <w:szCs w:val="28"/>
          <w:highlight w:val="none"/>
          <w:lang w:eastAsia="zh-CN"/>
        </w:rPr>
      </w:pPr>
    </w:p>
    <w:p w14:paraId="1524C9A9">
      <w:pPr>
        <w:spacing w:line="360" w:lineRule="auto"/>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政府采购投标担保函 （项目用）</w:t>
      </w:r>
    </w:p>
    <w:p w14:paraId="33860CE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编号：</w:t>
      </w:r>
    </w:p>
    <w:p w14:paraId="131A48D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（采购人或采购代理机构）：</w:t>
      </w:r>
    </w:p>
    <w:p w14:paraId="78A36C7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鉴于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（以下简称“投标人”）拟参加编号为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292E68E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以下简称“本项目”）投标，根据本项目招标文件，投标人参加投标时应向你方缴纳投标保证金，且可以投标担保函的形式缴纳投标保证金。应投标人的申请，我方以保证的方式向你方提供如下投标保证金担保：</w:t>
      </w:r>
    </w:p>
    <w:p w14:paraId="14111692">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一、保证责任的情形及保证金额</w:t>
      </w:r>
    </w:p>
    <w:p w14:paraId="7FACF7C9">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（一）在投标人出现下列情形之一时，我方承担保证责任：</w:t>
      </w:r>
    </w:p>
    <w:p w14:paraId="45C1B69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1．中标后投标人无正当理由不与采购人或者采购代理机构签订《政府采购合同》；</w:t>
      </w:r>
    </w:p>
    <w:p w14:paraId="6531E8C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2．招标文件规定的投标人应当缴纳保证金的其他情形。</w:t>
      </w:r>
    </w:p>
    <w:p w14:paraId="2E9D2AA0">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（二）我方承担保证责任的最高金额为人民币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元（大写</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），即本项目的投标保证金金额。</w:t>
      </w:r>
    </w:p>
    <w:p w14:paraId="23C53D6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二、保证的方式及保证期间</w:t>
      </w:r>
    </w:p>
    <w:p w14:paraId="61AAEF3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我方保证的方式为：连带责任保证。</w:t>
      </w:r>
    </w:p>
    <w:p w14:paraId="67CC6543">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我方的保证期间为：自本保函生效之日起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个月止。</w:t>
      </w:r>
    </w:p>
    <w:p w14:paraId="6FAFA64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三、承担保证责任的程序</w:t>
      </w:r>
    </w:p>
    <w:p w14:paraId="13C291B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2EBBA0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2．我方在收到索赔通知及相关证明材料后，在</w:t>
      </w:r>
      <w:r>
        <w:rPr>
          <w:rFonts w:hint="eastAsia" w:ascii="仿宋" w:hAnsi="仿宋" w:eastAsia="仿宋" w:cs="仿宋"/>
          <w:color w:val="auto"/>
          <w:highlight w:val="none"/>
          <w:u w:val="single"/>
          <w:lang w:eastAsia="zh-CN"/>
        </w:rPr>
        <w:t>　　　</w:t>
      </w:r>
      <w:r>
        <w:rPr>
          <w:rFonts w:hint="eastAsia" w:ascii="仿宋" w:hAnsi="仿宋" w:eastAsia="仿宋" w:cs="仿宋"/>
          <w:color w:val="auto"/>
          <w:highlight w:val="none"/>
          <w:lang w:eastAsia="zh-CN"/>
        </w:rPr>
        <w:t>个工作日内进行审查，符合应承担保证责任情形的，我方应按照你方的要求代供应商向你方支付投标保证金。</w:t>
      </w:r>
    </w:p>
    <w:p w14:paraId="252980D6">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四、保证责任的终止</w:t>
      </w:r>
    </w:p>
    <w:p w14:paraId="2A44999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1．保证期间届满你方未向我方书面主张保证责任的，自保证期间届满次日起，我方保证责任自动终止。</w:t>
      </w:r>
    </w:p>
    <w:p w14:paraId="4BE8461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2．我方按照本保函向你贵方履行了保证责任后，自我方向你贵方支付款项（支付款项从我方账户划出）之日起，保证责任终止。</w:t>
      </w:r>
    </w:p>
    <w:p w14:paraId="395B2AA4">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3．按照法律法规的规定或出现我方保证责任终止的其它情形的，我方在本保函项下的保证责任亦终止。</w:t>
      </w:r>
    </w:p>
    <w:p w14:paraId="6BE3990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五、免责条款</w:t>
      </w:r>
    </w:p>
    <w:p w14:paraId="5AD1FF3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1．依照法律规定或你方与供应商的另行约定，全部或者部分免除供应商投标保证金义务时，我方亦免除相应的保证责任。</w:t>
      </w:r>
    </w:p>
    <w:p w14:paraId="3C72B54E">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2．因你方原因致使供应商发生本保函第一条第（一）款约定情形的，我方不承担保证责任。</w:t>
      </w:r>
    </w:p>
    <w:p w14:paraId="5057386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3．因不可抗力造成供应商发生本保函第一条约定情形的，我方不承担保证责任。</w:t>
      </w:r>
    </w:p>
    <w:p w14:paraId="2E3BE53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4．你方或其他有权机关对询价通知书进行任何澄清或修改，加重我方保证责任的，我方对加重部分不承担保证责任，但该澄清或修改经我方事先书面同意的除外。</w:t>
      </w:r>
    </w:p>
    <w:p w14:paraId="6FBB891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六、争议的解决</w:t>
      </w:r>
    </w:p>
    <w:p w14:paraId="44F3564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因本保函发生的纠纷，由你我双方协商解决，协商不成的，通过诉讼程序解决，诉讼管辖地法院为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法院。</w:t>
      </w:r>
    </w:p>
    <w:p w14:paraId="638E9E8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七、保函的生效</w:t>
      </w:r>
    </w:p>
    <w:p w14:paraId="659FDDF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本保函自我方加盖公章之日起生效。</w:t>
      </w:r>
    </w:p>
    <w:p w14:paraId="42F40C9F">
      <w:pPr>
        <w:spacing w:line="360" w:lineRule="auto"/>
        <w:ind w:firstLine="6439" w:firstLineChars="2650"/>
        <w:rPr>
          <w:rFonts w:ascii="仿宋" w:hAnsi="仿宋" w:eastAsia="仿宋" w:cs="仿宋"/>
          <w:color w:val="auto"/>
          <w:highlight w:val="none"/>
          <w:lang w:eastAsia="zh-CN"/>
        </w:rPr>
      </w:pPr>
    </w:p>
    <w:p w14:paraId="26333AB0">
      <w:pPr>
        <w:spacing w:line="360" w:lineRule="auto"/>
        <w:ind w:firstLine="6439" w:firstLineChars="2650"/>
        <w:rPr>
          <w:rFonts w:ascii="仿宋" w:hAnsi="仿宋" w:eastAsia="仿宋" w:cs="仿宋"/>
          <w:color w:val="auto"/>
          <w:highlight w:val="none"/>
          <w:lang w:eastAsia="zh-CN"/>
        </w:rPr>
      </w:pPr>
    </w:p>
    <w:p w14:paraId="376582C0">
      <w:pPr>
        <w:spacing w:line="360" w:lineRule="auto"/>
        <w:ind w:firstLine="6439" w:firstLineChars="2650"/>
        <w:rPr>
          <w:rFonts w:ascii="仿宋" w:hAnsi="仿宋" w:eastAsia="仿宋" w:cs="仿宋"/>
          <w:color w:val="auto"/>
          <w:highlight w:val="none"/>
          <w:lang w:eastAsia="zh-CN"/>
        </w:rPr>
      </w:pPr>
      <w:r>
        <w:rPr>
          <w:rFonts w:hint="eastAsia" w:ascii="仿宋" w:hAnsi="仿宋" w:eastAsia="仿宋" w:cs="仿宋"/>
          <w:color w:val="auto"/>
          <w:highlight w:val="none"/>
          <w:lang w:eastAsia="zh-CN"/>
        </w:rPr>
        <w:t>保证人：（公章）</w:t>
      </w:r>
    </w:p>
    <w:p w14:paraId="4868BB2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6A572DA2">
      <w:pPr>
        <w:spacing w:line="360" w:lineRule="auto"/>
        <w:ind w:firstLine="6318" w:firstLineChars="2600"/>
        <w:rPr>
          <w:rFonts w:ascii="仿宋" w:hAnsi="仿宋" w:eastAsia="仿宋" w:cs="仿宋"/>
          <w:color w:val="auto"/>
          <w:highlight w:val="none"/>
          <w:lang w:eastAsia="zh-CN"/>
        </w:rPr>
        <w:sectPr>
          <w:headerReference r:id="rId6" w:type="default"/>
          <w:footerReference r:id="rId7" w:type="default"/>
          <w:pgSz w:w="11905" w:h="16838"/>
          <w:pgMar w:top="1157" w:right="1417" w:bottom="1157" w:left="1417" w:header="850" w:footer="992" w:gutter="0"/>
          <w:pgNumType w:fmt="decimal"/>
          <w:cols w:space="0" w:num="1"/>
          <w:docGrid w:type="linesAndChars" w:linePitch="325" w:charSpace="635"/>
        </w:sectPr>
      </w:pPr>
      <w:r>
        <w:rPr>
          <w:rFonts w:hint="eastAsia" w:ascii="仿宋" w:hAnsi="仿宋" w:eastAsia="仿宋" w:cs="仿宋"/>
          <w:color w:val="auto"/>
          <w:highlight w:val="none"/>
          <w:lang w:eastAsia="zh-CN"/>
        </w:rPr>
        <w:t>年     月      日</w:t>
      </w:r>
    </w:p>
    <w:p w14:paraId="0D048B70">
      <w:pPr>
        <w:spacing w:line="400" w:lineRule="exact"/>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、投标企业须提供投标人（被授权在职人员）近6个月内任意一个月有效的社保证明</w:t>
      </w:r>
    </w:p>
    <w:p w14:paraId="549985C9">
      <w:pPr>
        <w:pStyle w:val="38"/>
        <w:ind w:firstLine="0"/>
        <w:rPr>
          <w:rFonts w:ascii="仿宋" w:hAnsi="仿宋" w:eastAsia="仿宋" w:cs="仿宋"/>
          <w:color w:val="auto"/>
          <w:highlight w:val="none"/>
          <w:lang w:eastAsia="zh-CN"/>
        </w:rPr>
      </w:pPr>
    </w:p>
    <w:p w14:paraId="72A54409">
      <w:pPr>
        <w:pStyle w:val="38"/>
        <w:rPr>
          <w:rFonts w:ascii="仿宋" w:hAnsi="仿宋" w:eastAsia="仿宋" w:cs="仿宋"/>
          <w:color w:val="auto"/>
          <w:highlight w:val="none"/>
          <w:lang w:eastAsia="zh-CN"/>
        </w:rPr>
      </w:pPr>
    </w:p>
    <w:p w14:paraId="2CB5B5F1">
      <w:pPr>
        <w:pStyle w:val="38"/>
        <w:rPr>
          <w:rFonts w:ascii="仿宋" w:hAnsi="仿宋" w:eastAsia="仿宋" w:cs="仿宋"/>
          <w:color w:val="auto"/>
          <w:highlight w:val="none"/>
          <w:lang w:eastAsia="zh-CN"/>
        </w:rPr>
      </w:pPr>
    </w:p>
    <w:p w14:paraId="590CF22E">
      <w:pPr>
        <w:pStyle w:val="38"/>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7</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bCs/>
          <w:color w:val="auto"/>
          <w:highlight w:val="none"/>
          <w:lang w:eastAsia="zh-CN"/>
        </w:rPr>
        <w:t>。</w:t>
      </w:r>
    </w:p>
    <w:p w14:paraId="2C08A956">
      <w:pPr>
        <w:pStyle w:val="38"/>
        <w:rPr>
          <w:rFonts w:ascii="仿宋" w:hAnsi="仿宋" w:eastAsia="仿宋" w:cs="仿宋"/>
          <w:b/>
          <w:bCs/>
          <w:color w:val="auto"/>
          <w:highlight w:val="none"/>
          <w:lang w:eastAsia="zh-CN"/>
        </w:rPr>
      </w:pPr>
    </w:p>
    <w:p w14:paraId="0E137A0F">
      <w:pPr>
        <w:rPr>
          <w:rFonts w:ascii="仿宋" w:hAnsi="仿宋" w:eastAsia="仿宋" w:cs="仿宋"/>
          <w:color w:val="auto"/>
          <w:highlight w:val="none"/>
          <w:lang w:eastAsia="zh-CN"/>
        </w:rPr>
      </w:pPr>
    </w:p>
    <w:p w14:paraId="0FAA2913">
      <w:pPr>
        <w:spacing w:line="400" w:lineRule="exact"/>
        <w:ind w:firstLine="4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8、投标企业须提供有效的《医疗器械生产许可证》或《医疗器械经营许可证》（二类医疗器械需提供医疗器械备案凭证）。</w:t>
      </w:r>
    </w:p>
    <w:p w14:paraId="66969BF4">
      <w:pPr>
        <w:spacing w:line="400" w:lineRule="exact"/>
        <w:ind w:firstLine="486" w:firstLineChars="200"/>
        <w:rPr>
          <w:rFonts w:hint="eastAsia" w:ascii="仿宋" w:hAnsi="仿宋" w:eastAsia="仿宋" w:cs="仿宋"/>
          <w:b/>
          <w:bCs/>
          <w:color w:val="auto"/>
          <w:highlight w:val="none"/>
          <w:lang w:val="en-US" w:eastAsia="zh-CN"/>
        </w:rPr>
      </w:pPr>
    </w:p>
    <w:p w14:paraId="27978F29">
      <w:pPr>
        <w:spacing w:line="400" w:lineRule="exact"/>
        <w:ind w:firstLine="486" w:firstLineChars="200"/>
        <w:rPr>
          <w:rFonts w:hint="eastAsia" w:ascii="仿宋" w:hAnsi="仿宋" w:eastAsia="仿宋" w:cs="仿宋"/>
          <w:b/>
          <w:bCs/>
          <w:color w:val="auto"/>
          <w:highlight w:val="none"/>
          <w:lang w:val="en-US" w:eastAsia="zh-CN"/>
        </w:rPr>
      </w:pPr>
    </w:p>
    <w:p w14:paraId="63A61BA4">
      <w:pPr>
        <w:spacing w:line="400" w:lineRule="exact"/>
        <w:ind w:firstLine="486" w:firstLineChars="20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9</w:t>
      </w:r>
      <w:r>
        <w:rPr>
          <w:rFonts w:hint="eastAsia" w:ascii="仿宋" w:hAnsi="仿宋" w:eastAsia="仿宋" w:cs="仿宋"/>
          <w:b/>
          <w:bCs/>
          <w:color w:val="auto"/>
          <w:highlight w:val="none"/>
          <w:lang w:eastAsia="zh-CN"/>
        </w:rPr>
        <w:t>、投标人须知资料表要求的其他资格证明文件</w:t>
      </w:r>
    </w:p>
    <w:p w14:paraId="225C9077">
      <w:pPr>
        <w:pStyle w:val="2"/>
        <w:spacing w:before="40" w:after="40" w:line="579" w:lineRule="auto"/>
        <w:jc w:val="both"/>
        <w:rPr>
          <w:rFonts w:hint="eastAsia" w:ascii="仿宋" w:hAnsi="仿宋" w:eastAsia="仿宋" w:cs="仿宋"/>
          <w:color w:val="auto"/>
          <w:sz w:val="32"/>
          <w:szCs w:val="32"/>
          <w:highlight w:val="none"/>
          <w:lang w:eastAsia="zh-CN"/>
        </w:rPr>
      </w:pPr>
      <w:bookmarkStart w:id="75" w:name="_Toc11180"/>
      <w:bookmarkStart w:id="76" w:name="_Toc515647816"/>
      <w:bookmarkStart w:id="77" w:name="_Toc5695"/>
      <w:bookmarkStart w:id="78" w:name="_Toc22967"/>
    </w:p>
    <w:p w14:paraId="62CF5469">
      <w:pPr>
        <w:rPr>
          <w:rFonts w:hint="eastAsia" w:ascii="仿宋" w:hAnsi="仿宋" w:eastAsia="仿宋" w:cs="仿宋"/>
          <w:color w:val="auto"/>
          <w:sz w:val="32"/>
          <w:szCs w:val="32"/>
          <w:highlight w:val="none"/>
          <w:lang w:eastAsia="zh-CN"/>
        </w:rPr>
      </w:pPr>
    </w:p>
    <w:p w14:paraId="4336A993">
      <w:pPr>
        <w:pStyle w:val="2"/>
        <w:spacing w:before="40" w:after="40" w:line="579" w:lineRule="auto"/>
        <w:jc w:val="center"/>
        <w:rPr>
          <w:rFonts w:hint="eastAsia" w:ascii="仿宋" w:hAnsi="仿宋" w:eastAsia="仿宋" w:cs="仿宋"/>
          <w:color w:val="auto"/>
          <w:sz w:val="32"/>
          <w:szCs w:val="32"/>
          <w:highlight w:val="none"/>
          <w:lang w:eastAsia="zh-CN"/>
        </w:rPr>
      </w:pPr>
    </w:p>
    <w:p w14:paraId="547AD71D">
      <w:pPr>
        <w:pStyle w:val="2"/>
        <w:spacing w:before="40" w:after="40" w:line="579" w:lineRule="auto"/>
        <w:jc w:val="center"/>
        <w:rPr>
          <w:rFonts w:hint="eastAsia" w:ascii="仿宋" w:hAnsi="仿宋" w:eastAsia="仿宋" w:cs="仿宋"/>
          <w:color w:val="auto"/>
          <w:sz w:val="32"/>
          <w:szCs w:val="32"/>
          <w:highlight w:val="none"/>
          <w:lang w:eastAsia="zh-CN"/>
        </w:rPr>
      </w:pPr>
    </w:p>
    <w:p w14:paraId="20B6B9EB">
      <w:pPr>
        <w:rPr>
          <w:rFonts w:hint="eastAsia" w:ascii="仿宋" w:hAnsi="仿宋" w:eastAsia="仿宋" w:cs="仿宋"/>
          <w:color w:val="auto"/>
          <w:sz w:val="32"/>
          <w:szCs w:val="32"/>
          <w:highlight w:val="none"/>
          <w:lang w:eastAsia="zh-CN"/>
        </w:rPr>
      </w:pPr>
    </w:p>
    <w:p w14:paraId="28020B6B">
      <w:pPr>
        <w:rPr>
          <w:rFonts w:hint="eastAsia" w:ascii="仿宋" w:hAnsi="仿宋" w:eastAsia="仿宋" w:cs="仿宋"/>
          <w:color w:val="auto"/>
          <w:sz w:val="32"/>
          <w:szCs w:val="32"/>
          <w:highlight w:val="none"/>
          <w:lang w:eastAsia="zh-CN"/>
        </w:rPr>
      </w:pPr>
    </w:p>
    <w:p w14:paraId="7D270A45">
      <w:pPr>
        <w:rPr>
          <w:rFonts w:hint="eastAsia" w:ascii="仿宋" w:hAnsi="仿宋" w:eastAsia="仿宋" w:cs="仿宋"/>
          <w:color w:val="auto"/>
          <w:sz w:val="32"/>
          <w:szCs w:val="32"/>
          <w:highlight w:val="none"/>
          <w:lang w:eastAsia="zh-CN"/>
        </w:rPr>
      </w:pPr>
    </w:p>
    <w:p w14:paraId="7DEDC97E">
      <w:pPr>
        <w:pStyle w:val="2"/>
        <w:spacing w:before="40" w:after="40" w:line="579" w:lineRule="auto"/>
        <w:jc w:val="center"/>
        <w:rPr>
          <w:rFonts w:hint="eastAsia" w:ascii="仿宋" w:hAnsi="仿宋" w:eastAsia="仿宋" w:cs="仿宋"/>
          <w:color w:val="auto"/>
          <w:sz w:val="32"/>
          <w:szCs w:val="32"/>
          <w:highlight w:val="none"/>
          <w:lang w:eastAsia="zh-CN"/>
        </w:rPr>
      </w:pPr>
    </w:p>
    <w:p w14:paraId="6BB4831A">
      <w:pPr>
        <w:pStyle w:val="2"/>
        <w:spacing w:before="40" w:after="40" w:line="579" w:lineRule="auto"/>
        <w:jc w:val="center"/>
        <w:rPr>
          <w:rFonts w:hint="eastAsia" w:ascii="仿宋" w:hAnsi="仿宋" w:eastAsia="仿宋" w:cs="仿宋"/>
          <w:color w:val="auto"/>
          <w:sz w:val="32"/>
          <w:szCs w:val="32"/>
          <w:highlight w:val="none"/>
          <w:lang w:eastAsia="zh-CN"/>
        </w:rPr>
      </w:pPr>
    </w:p>
    <w:p w14:paraId="6AAE05DC">
      <w:pPr>
        <w:pStyle w:val="2"/>
        <w:spacing w:before="40" w:after="40" w:line="579" w:lineRule="auto"/>
        <w:jc w:val="center"/>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第二部分  商务及技术文件</w:t>
      </w:r>
      <w:bookmarkEnd w:id="75"/>
      <w:bookmarkEnd w:id="76"/>
      <w:bookmarkEnd w:id="77"/>
      <w:bookmarkEnd w:id="78"/>
    </w:p>
    <w:p w14:paraId="4916EF92">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1、投标函</w:t>
      </w:r>
    </w:p>
    <w:p w14:paraId="54AFFE01">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2、开标一览表</w:t>
      </w:r>
    </w:p>
    <w:p w14:paraId="087D17C6">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3、货物说明一览表</w:t>
      </w:r>
    </w:p>
    <w:p w14:paraId="218CBCB9">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r>
        <w:rPr>
          <w:rFonts w:hint="eastAsia" w:ascii="仿宋" w:hAnsi="仿宋" w:eastAsia="仿宋" w:cs="仿宋"/>
          <w:bCs/>
          <w:color w:val="auto"/>
          <w:szCs w:val="21"/>
          <w:highlight w:val="none"/>
          <w:lang w:eastAsia="zh-CN"/>
        </w:rPr>
        <w:t>投标分项报价明细表</w:t>
      </w:r>
    </w:p>
    <w:p w14:paraId="0A438462">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5、技术规格偏离表</w:t>
      </w:r>
    </w:p>
    <w:p w14:paraId="37296528">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6、商务条款偏离表</w:t>
      </w:r>
    </w:p>
    <w:p w14:paraId="187AABA2">
      <w:pPr>
        <w:pStyle w:val="13"/>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7、投标人基本情况表</w:t>
      </w:r>
    </w:p>
    <w:p w14:paraId="1B55DA4B">
      <w:pPr>
        <w:pStyle w:val="13"/>
        <w:spacing w:line="400" w:lineRule="exact"/>
        <w:ind w:left="359" w:leftChars="148" w:firstLine="228"/>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8、中标服务费支付承诺书</w:t>
      </w:r>
    </w:p>
    <w:p w14:paraId="218E6A01">
      <w:pPr>
        <w:pStyle w:val="13"/>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w:t>
      </w:r>
      <w:r>
        <w:rPr>
          <w:rFonts w:hint="eastAsia" w:ascii="仿宋" w:hAnsi="仿宋" w:eastAsia="仿宋" w:cs="仿宋"/>
          <w:color w:val="auto"/>
          <w:highlight w:val="none"/>
          <w:lang w:eastAsia="zh-CN"/>
        </w:rPr>
        <w:t>中小企业声明函(货物)</w:t>
      </w:r>
    </w:p>
    <w:p w14:paraId="4975D1A6">
      <w:pPr>
        <w:pStyle w:val="13"/>
        <w:spacing w:line="400" w:lineRule="exact"/>
        <w:ind w:left="359" w:leftChars="148" w:firstLine="228"/>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残疾人福利性单位声明函</w:t>
      </w:r>
    </w:p>
    <w:p w14:paraId="172839E1">
      <w:pPr>
        <w:pStyle w:val="13"/>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、评分标准和细则中技术部分、商务部分证明材料（格式自拟）</w:t>
      </w:r>
    </w:p>
    <w:p w14:paraId="67EE10DF">
      <w:pPr>
        <w:pStyle w:val="13"/>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、供应商认为有必要提供的其他证明材料（格式自拟）</w:t>
      </w:r>
    </w:p>
    <w:p w14:paraId="5A2FCA5C">
      <w:pPr>
        <w:pStyle w:val="13"/>
        <w:tabs>
          <w:tab w:val="left" w:pos="5580"/>
        </w:tabs>
        <w:spacing w:line="400" w:lineRule="exact"/>
        <w:ind w:left="648" w:leftChars="267"/>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br w:type="page"/>
      </w:r>
    </w:p>
    <w:p w14:paraId="7126A5CF">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1、投标函</w:t>
      </w:r>
    </w:p>
    <w:p w14:paraId="574DE493">
      <w:pPr>
        <w:spacing w:line="440" w:lineRule="exact"/>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lang w:eastAsia="zh-CN"/>
        </w:rPr>
        <w:t xml:space="preserve">                     </w:t>
      </w:r>
    </w:p>
    <w:p w14:paraId="14D04EB6">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为响应你方组织的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项目的招标[项目编号为：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]，我方愿参与投标。</w:t>
      </w:r>
    </w:p>
    <w:p w14:paraId="622D16AB">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我方确认收到贵方提供的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CN"/>
        </w:rPr>
        <w:t>招标文件的全部内容。</w:t>
      </w:r>
    </w:p>
    <w:p w14:paraId="05B94179">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149B2864">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(投标人名称)      </w:t>
      </w:r>
      <w:r>
        <w:rPr>
          <w:rFonts w:hint="eastAsia" w:ascii="仿宋" w:hAnsi="仿宋" w:eastAsia="仿宋" w:cs="仿宋"/>
          <w:color w:val="auto"/>
          <w:highlight w:val="none"/>
          <w:lang w:eastAsia="zh-CN"/>
        </w:rPr>
        <w:t>作为供应商正式授权</w:t>
      </w:r>
      <w:r>
        <w:rPr>
          <w:rFonts w:hint="eastAsia" w:ascii="仿宋" w:hAnsi="仿宋" w:eastAsia="仿宋" w:cs="仿宋"/>
          <w:color w:val="auto"/>
          <w:highlight w:val="none"/>
          <w:u w:val="single"/>
          <w:lang w:eastAsia="zh-CN"/>
        </w:rPr>
        <w:t xml:space="preserve">  (授权代表全名, 职务)  </w:t>
      </w:r>
      <w:r>
        <w:rPr>
          <w:rFonts w:hint="eastAsia" w:ascii="仿宋" w:hAnsi="仿宋" w:eastAsia="仿宋" w:cs="仿宋"/>
          <w:color w:val="auto"/>
          <w:highlight w:val="none"/>
          <w:lang w:eastAsia="zh-CN"/>
        </w:rPr>
        <w:t>代表我方全权处理有关本报价的一切事宜。</w:t>
      </w:r>
    </w:p>
    <w:p w14:paraId="1F63C1D8">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我方已完全明白招标文件的所有条款要求，并申明如下：</w:t>
      </w:r>
    </w:p>
    <w:p w14:paraId="283F3095">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（一）按招标文件提供的全部货物与相关服务的投标总价详见《报价一览表》。</w:t>
      </w:r>
    </w:p>
    <w:p w14:paraId="0AB4E665">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（二）本投标文件的有效期为投标截止时间起</w:t>
      </w:r>
      <w:r>
        <w:rPr>
          <w:rFonts w:hint="eastAsia" w:ascii="仿宋" w:hAnsi="仿宋" w:eastAsia="仿宋" w:cs="仿宋"/>
          <w:color w:val="auto"/>
          <w:highlight w:val="none"/>
          <w:u w:val="single"/>
          <w:lang w:eastAsia="zh-CN"/>
        </w:rPr>
        <w:t>60</w:t>
      </w:r>
      <w:r>
        <w:rPr>
          <w:rFonts w:hint="eastAsia" w:ascii="仿宋" w:hAnsi="仿宋" w:eastAsia="仿宋" w:cs="仿宋"/>
          <w:color w:val="auto"/>
          <w:highlight w:val="none"/>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A49B291">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（三）我方同意按照贵方可能提出的要求而提供与投标有关的任何其它数据、信息或资料。</w:t>
      </w:r>
    </w:p>
    <w:p w14:paraId="4F3010B2">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（四）我方理解贵方不一定接受最低投标价或任何贵方可能收到的投标。</w:t>
      </w:r>
    </w:p>
    <w:p w14:paraId="5CF1657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（五）我方如果中标，将保证履行招标文件及其澄清、修改文件（如果有）中的全部责任和义务，按质、按量、按期完成《招标内容》及《合同书》中的全部任务。</w:t>
      </w:r>
    </w:p>
    <w:p w14:paraId="6D97D6DC">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（六）如我方被授予合同，我方承诺支付就本次招标应支付或将支付的中标服务费（详见按招标文件要求格式填写的《中标服务费支付承诺书》）。</w:t>
      </w:r>
    </w:p>
    <w:p w14:paraId="7F07B54A">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（七）我方作为在法律、财务和运作上独立于采购人、招标代理机构的供应商，在此保证所提交的所有文件和全部说明是真实的和正确的。</w:t>
      </w:r>
    </w:p>
    <w:p w14:paraId="68719C0F">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（八）我方投标报价已包含应向知识产权所有权人支付的所有相关税费，并保证采购人在中国使用我方提供的货物时，如有第三方提出侵犯其知识产权主张的，责任由我方承担。</w:t>
      </w:r>
    </w:p>
    <w:p w14:paraId="45C9577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（九）我方与其他供应商不存在单位负责人为同一人或者存在直接控股、管理关系。</w:t>
      </w:r>
    </w:p>
    <w:p w14:paraId="3AE167A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（十）我方承诺未为本项目提供整体设计、规范编制或者项目管理、监理、检测等服务。</w:t>
      </w:r>
    </w:p>
    <w:p w14:paraId="79666AFE">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（十一）我方具备《政府采购法》第二十二条规定的条件，承诺如下：</w:t>
      </w:r>
    </w:p>
    <w:p w14:paraId="71EDE25D">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（1）我方已依法缴纳了各项税费及社会保险费用，如有需要，可随时向采购人提供近三个月内的相关缴费证明，以便核查。</w:t>
      </w:r>
    </w:p>
    <w:p w14:paraId="77572E66">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（2）我方已依法建立健全的财务会计制度，如有需要，可随时向采购人提供相关的证明材料，以便核查。</w:t>
      </w:r>
    </w:p>
    <w:p w14:paraId="13D8A9A7">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（3）我方参加本项目政府采购活动前3年内在经营活动中没有重大违法记录。</w:t>
      </w:r>
    </w:p>
    <w:p w14:paraId="064A4F06">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（4）我方具备履行合同所必需的设备和专业技术能力。</w:t>
      </w:r>
    </w:p>
    <w:p w14:paraId="4510F0D1">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（5）我方符合法律、行政法规规定的其他条件。</w:t>
      </w:r>
    </w:p>
    <w:p w14:paraId="1BF9F0C4">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以上内容如有虚假或与事实不符的，评审委员会可将我方做无效投标处理，我方愿意承担相应的法律责任。</w:t>
      </w:r>
    </w:p>
    <w:p w14:paraId="56A9159C">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（十三）我方对在本函及投标文件中所作的所有承诺承担法律责任。</w:t>
      </w:r>
    </w:p>
    <w:p w14:paraId="2B8BDF1B">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（十四）所有与本招标有关的函件请发往下列地址：</w:t>
      </w:r>
    </w:p>
    <w:p w14:paraId="751CD5B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    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.邮政编码：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0992E40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    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581AA2C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传    真：</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6B868F90">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代表姓名：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.职    务：</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668B10C8">
      <w:pPr>
        <w:spacing w:line="440" w:lineRule="exact"/>
        <w:ind w:right="48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投标单位：</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（公章） </w:t>
      </w:r>
    </w:p>
    <w:p w14:paraId="4B71C1CA">
      <w:pPr>
        <w:wordWrap w:val="0"/>
        <w:spacing w:line="440" w:lineRule="exact"/>
        <w:ind w:firstLine="486"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法定代表人或委托人：</w:t>
      </w:r>
      <w:r>
        <w:rPr>
          <w:rFonts w:hint="eastAsia" w:ascii="仿宋" w:hAnsi="仿宋" w:eastAsia="仿宋" w:cs="仿宋"/>
          <w:color w:val="auto"/>
          <w:highlight w:val="non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（签章）  </w:t>
      </w:r>
    </w:p>
    <w:p w14:paraId="55C0BBE3">
      <w:pPr>
        <w:wordWrap w:val="0"/>
        <w:spacing w:line="440" w:lineRule="exact"/>
        <w:ind w:firstLine="486"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3AB9AEF9">
      <w:pPr>
        <w:pStyle w:val="38"/>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42CE8842">
      <w:pPr>
        <w:pStyle w:val="7"/>
        <w:tabs>
          <w:tab w:val="left" w:pos="5580"/>
        </w:tabs>
        <w:spacing w:line="240" w:lineRule="atLeast"/>
        <w:ind w:firstLine="3364" w:firstLineChars="927"/>
        <w:jc w:val="both"/>
        <w:rPr>
          <w:rFonts w:ascii="仿宋" w:hAnsi="仿宋" w:eastAsia="仿宋" w:cs="仿宋"/>
          <w:color w:val="auto"/>
          <w:highlight w:val="none"/>
          <w:lang w:eastAsia="zh-CN"/>
        </w:rPr>
      </w:pPr>
      <w:r>
        <w:rPr>
          <w:rFonts w:hint="eastAsia" w:ascii="仿宋" w:hAnsi="仿宋" w:eastAsia="仿宋" w:cs="仿宋"/>
          <w:b/>
          <w:color w:val="auto"/>
          <w:sz w:val="36"/>
          <w:szCs w:val="24"/>
          <w:highlight w:val="none"/>
          <w:lang w:eastAsia="zh-CN"/>
        </w:rPr>
        <w:t>2、开标一览表</w:t>
      </w:r>
      <w:r>
        <w:rPr>
          <w:rFonts w:hint="eastAsia" w:ascii="仿宋" w:hAnsi="仿宋" w:eastAsia="仿宋" w:cs="仿宋"/>
          <w:b/>
          <w:color w:val="auto"/>
          <w:sz w:val="36"/>
          <w:szCs w:val="24"/>
          <w:highlight w:val="none"/>
          <w:lang w:eastAsia="zh-CN"/>
        </w:rPr>
        <w:cr/>
      </w:r>
    </w:p>
    <w:p w14:paraId="40345D69">
      <w:pPr>
        <w:adjustRightInd w:val="0"/>
        <w:snapToGrid w:val="0"/>
        <w:spacing w:line="500" w:lineRule="exact"/>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招标项目名称： </w:t>
      </w:r>
      <w:r>
        <w:rPr>
          <w:rFonts w:hint="eastAsia" w:ascii="仿宋" w:hAnsi="仿宋" w:eastAsia="仿宋" w:cs="仿宋"/>
          <w:color w:val="auto"/>
          <w:szCs w:val="21"/>
          <w:highlight w:val="none"/>
          <w:u w:val="single"/>
          <w:lang w:eastAsia="zh-CN"/>
        </w:rPr>
        <w:t xml:space="preserve">                         </w:t>
      </w:r>
    </w:p>
    <w:p w14:paraId="2784CFB0">
      <w:pPr>
        <w:adjustRightInd w:val="0"/>
        <w:snapToGrid w:val="0"/>
        <w:spacing w:line="500" w:lineRule="exact"/>
        <w:rPr>
          <w:rFonts w:ascii="仿宋" w:hAnsi="仿宋" w:eastAsia="仿宋" w:cs="仿宋"/>
          <w:i/>
          <w:iCs/>
          <w:color w:val="auto"/>
          <w:szCs w:val="21"/>
          <w:highlight w:val="none"/>
          <w:lang w:eastAsia="zh-CN"/>
        </w:rPr>
      </w:pPr>
      <w:r>
        <w:rPr>
          <w:rFonts w:hint="eastAsia" w:ascii="仿宋" w:hAnsi="仿宋" w:eastAsia="仿宋" w:cs="仿宋"/>
          <w:color w:val="auto"/>
          <w:szCs w:val="21"/>
          <w:highlight w:val="none"/>
          <w:lang w:eastAsia="zh-CN"/>
        </w:rPr>
        <w:t>招标项目编号：</w:t>
      </w:r>
      <w:r>
        <w:rPr>
          <w:rFonts w:hint="eastAsia" w:ascii="仿宋" w:hAnsi="仿宋" w:eastAsia="仿宋" w:cs="仿宋"/>
          <w:i/>
          <w:iCs/>
          <w:color w:val="auto"/>
          <w:szCs w:val="21"/>
          <w:highlight w:val="none"/>
          <w:lang w:eastAsia="zh-CN"/>
        </w:rPr>
        <w:t xml:space="preserve"> </w:t>
      </w:r>
      <w:r>
        <w:rPr>
          <w:rFonts w:hint="eastAsia" w:ascii="仿宋" w:hAnsi="仿宋" w:eastAsia="仿宋" w:cs="仿宋"/>
          <w:color w:val="auto"/>
          <w:szCs w:val="21"/>
          <w:highlight w:val="none"/>
          <w:u w:val="single"/>
          <w:lang w:eastAsia="zh-CN"/>
        </w:rPr>
        <w:t xml:space="preserve">                         </w:t>
      </w:r>
    </w:p>
    <w:p w14:paraId="436FE180">
      <w:pPr>
        <w:spacing w:line="50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highlight w:val="none"/>
          <w:lang w:eastAsia="zh-CN"/>
        </w:rPr>
        <w:t xml:space="preserve">      </w:t>
      </w:r>
      <w:r>
        <w:rPr>
          <w:rFonts w:hint="eastAsia" w:ascii="仿宋" w:hAnsi="仿宋" w:eastAsia="仿宋" w:cs="仿宋"/>
          <w:color w:val="auto"/>
          <w:szCs w:val="21"/>
          <w:highlight w:val="none"/>
          <w:lang w:eastAsia="zh-CN"/>
        </w:rPr>
        <w:t xml:space="preserve">                                            </w:t>
      </w:r>
    </w:p>
    <w:p w14:paraId="4159D73B">
      <w:pPr>
        <w:spacing w:line="500" w:lineRule="exact"/>
        <w:ind w:firstLine="6075" w:firstLineChars="25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单位：元（人民币）</w:t>
      </w:r>
    </w:p>
    <w:tbl>
      <w:tblPr>
        <w:tblStyle w:val="2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039"/>
        <w:gridCol w:w="5933"/>
      </w:tblGrid>
      <w:tr w14:paraId="1E46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847" w:type="dxa"/>
            <w:gridSpan w:val="2"/>
            <w:vAlign w:val="center"/>
          </w:tcPr>
          <w:p w14:paraId="702A88B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5933" w:type="dxa"/>
            <w:vAlign w:val="center"/>
          </w:tcPr>
          <w:p w14:paraId="0A4BA040">
            <w:pPr>
              <w:rPr>
                <w:rFonts w:ascii="仿宋" w:hAnsi="仿宋" w:eastAsia="仿宋" w:cs="仿宋"/>
                <w:color w:val="auto"/>
                <w:szCs w:val="21"/>
                <w:highlight w:val="none"/>
              </w:rPr>
            </w:pPr>
          </w:p>
        </w:tc>
      </w:tr>
      <w:tr w14:paraId="00EA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847" w:type="dxa"/>
            <w:gridSpan w:val="2"/>
            <w:vAlign w:val="center"/>
          </w:tcPr>
          <w:p w14:paraId="60C5A4E5">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交货期</w:t>
            </w:r>
          </w:p>
        </w:tc>
        <w:tc>
          <w:tcPr>
            <w:tcW w:w="5933" w:type="dxa"/>
            <w:vAlign w:val="center"/>
          </w:tcPr>
          <w:p w14:paraId="71ED29B0">
            <w:pPr>
              <w:jc w:val="center"/>
              <w:rPr>
                <w:rFonts w:ascii="仿宋" w:hAnsi="仿宋" w:eastAsia="仿宋" w:cs="仿宋"/>
                <w:color w:val="auto"/>
                <w:szCs w:val="21"/>
                <w:highlight w:val="none"/>
                <w:lang w:eastAsia="zh-CN"/>
              </w:rPr>
            </w:pPr>
          </w:p>
        </w:tc>
      </w:tr>
      <w:tr w14:paraId="0361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847" w:type="dxa"/>
            <w:gridSpan w:val="2"/>
            <w:tcBorders>
              <w:top w:val="single" w:color="auto" w:sz="4" w:space="0"/>
            </w:tcBorders>
            <w:vAlign w:val="center"/>
          </w:tcPr>
          <w:p w14:paraId="338A8E3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5933" w:type="dxa"/>
            <w:vAlign w:val="center"/>
          </w:tcPr>
          <w:p w14:paraId="457DCDE8">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60天</w:t>
            </w:r>
          </w:p>
        </w:tc>
      </w:tr>
      <w:tr w14:paraId="467D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08" w:type="dxa"/>
            <w:vMerge w:val="restart"/>
            <w:vAlign w:val="center"/>
          </w:tcPr>
          <w:p w14:paraId="10BA0D1C">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单价合计</w:t>
            </w:r>
          </w:p>
          <w:p w14:paraId="5AB2708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1039" w:type="dxa"/>
            <w:tcBorders>
              <w:top w:val="single" w:color="auto" w:sz="4" w:space="0"/>
              <w:bottom w:val="single" w:color="auto" w:sz="4" w:space="0"/>
            </w:tcBorders>
            <w:vAlign w:val="center"/>
          </w:tcPr>
          <w:p w14:paraId="4214AA09">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5933" w:type="dxa"/>
            <w:vAlign w:val="center"/>
          </w:tcPr>
          <w:p w14:paraId="45EF47DE">
            <w:pPr>
              <w:jc w:val="center"/>
              <w:rPr>
                <w:rFonts w:ascii="仿宋" w:hAnsi="仿宋" w:eastAsia="仿宋" w:cs="仿宋"/>
                <w:color w:val="auto"/>
                <w:szCs w:val="21"/>
                <w:highlight w:val="none"/>
              </w:rPr>
            </w:pPr>
          </w:p>
        </w:tc>
      </w:tr>
      <w:tr w14:paraId="101F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808" w:type="dxa"/>
            <w:vMerge w:val="continue"/>
            <w:vAlign w:val="center"/>
          </w:tcPr>
          <w:p w14:paraId="1DE612A2">
            <w:pPr>
              <w:jc w:val="center"/>
              <w:rPr>
                <w:rFonts w:ascii="仿宋" w:hAnsi="仿宋" w:eastAsia="仿宋" w:cs="仿宋"/>
                <w:color w:val="auto"/>
                <w:szCs w:val="21"/>
                <w:highlight w:val="none"/>
              </w:rPr>
            </w:pPr>
          </w:p>
        </w:tc>
        <w:tc>
          <w:tcPr>
            <w:tcW w:w="1039" w:type="dxa"/>
            <w:tcBorders>
              <w:top w:val="single" w:color="auto" w:sz="4" w:space="0"/>
              <w:bottom w:val="single" w:color="auto" w:sz="4" w:space="0"/>
            </w:tcBorders>
            <w:vAlign w:val="center"/>
          </w:tcPr>
          <w:p w14:paraId="69994F3B">
            <w:pPr>
              <w:widowControl/>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5933" w:type="dxa"/>
            <w:vAlign w:val="center"/>
          </w:tcPr>
          <w:p w14:paraId="0F1FCDDE">
            <w:pPr>
              <w:jc w:val="center"/>
              <w:rPr>
                <w:rFonts w:ascii="仿宋" w:hAnsi="仿宋" w:eastAsia="仿宋" w:cs="仿宋"/>
                <w:color w:val="auto"/>
                <w:szCs w:val="21"/>
                <w:highlight w:val="none"/>
              </w:rPr>
            </w:pPr>
          </w:p>
        </w:tc>
      </w:tr>
    </w:tbl>
    <w:p w14:paraId="618AF80F">
      <w:pPr>
        <w:spacing w:line="500" w:lineRule="exact"/>
        <w:ind w:firstLine="475"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71F4F02E">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68F197B3">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.投标总价为招标范围所列全部招标项目的报价总和，并应与投标报价明细表及分项价格表保持一致。</w:t>
      </w:r>
    </w:p>
    <w:p w14:paraId="45518015">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.投标报价不得填报选择性报价。</w:t>
      </w:r>
    </w:p>
    <w:p w14:paraId="6D2B8A62">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1A0749A8">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71B9E1C1">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7EDC3CE7">
      <w:pPr>
        <w:pStyle w:val="3"/>
        <w:spacing w:line="240" w:lineRule="atLeast"/>
        <w:rPr>
          <w:rFonts w:ascii="宋体" w:hAnsi="宋体" w:eastAsia="宋体" w:cs="宋体"/>
          <w:bCs/>
          <w:color w:val="auto"/>
          <w:sz w:val="24"/>
          <w:highlight w:val="none"/>
          <w:lang w:eastAsia="zh-CN"/>
        </w:rPr>
      </w:pPr>
    </w:p>
    <w:p w14:paraId="3A040304">
      <w:pPr>
        <w:pStyle w:val="3"/>
        <w:spacing w:line="240" w:lineRule="atLeast"/>
        <w:rPr>
          <w:rFonts w:ascii="宋体" w:hAnsi="宋体" w:eastAsia="宋体" w:cs="宋体"/>
          <w:bCs/>
          <w:color w:val="auto"/>
          <w:sz w:val="24"/>
          <w:highlight w:val="none"/>
          <w:lang w:eastAsia="zh-CN"/>
        </w:rPr>
      </w:pPr>
    </w:p>
    <w:p w14:paraId="3AE06458">
      <w:pPr>
        <w:pStyle w:val="40"/>
        <w:keepNext/>
        <w:keepLines/>
        <w:spacing w:before="0" w:after="220"/>
        <w:rPr>
          <w:rFonts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3、货物说明一览表</w:t>
      </w:r>
    </w:p>
    <w:p w14:paraId="16432648">
      <w:pPr>
        <w:pStyle w:val="13"/>
        <w:spacing w:line="240" w:lineRule="atLeast"/>
        <w:ind w:left="1164" w:leftChars="257" w:hanging="540"/>
        <w:rPr>
          <w:rFonts w:ascii="仿宋" w:hAnsi="仿宋" w:eastAsia="仿宋" w:cs="仿宋"/>
          <w:color w:val="auto"/>
          <w:highlight w:val="none"/>
          <w:lang w:eastAsia="zh-CN"/>
        </w:rPr>
      </w:pPr>
    </w:p>
    <w:p w14:paraId="4D3B95DC">
      <w:pPr>
        <w:pStyle w:val="13"/>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2055248E">
      <w:pPr>
        <w:pStyle w:val="13"/>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w:t>
      </w:r>
    </w:p>
    <w:p w14:paraId="0F794451">
      <w:pPr>
        <w:pStyle w:val="13"/>
        <w:spacing w:line="240" w:lineRule="atLeast"/>
        <w:ind w:left="1164" w:leftChars="257" w:hanging="540"/>
        <w:rPr>
          <w:rFonts w:ascii="仿宋" w:hAnsi="仿宋" w:eastAsia="仿宋" w:cs="仿宋"/>
          <w:color w:val="auto"/>
          <w:highlight w:val="none"/>
          <w:lang w:eastAsia="zh-CN"/>
        </w:rPr>
      </w:pPr>
    </w:p>
    <w:tbl>
      <w:tblPr>
        <w:tblStyle w:val="27"/>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14:paraId="19F3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177BD180">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558BC4C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货物名称</w:t>
            </w:r>
          </w:p>
        </w:tc>
        <w:tc>
          <w:tcPr>
            <w:tcW w:w="1410" w:type="dxa"/>
            <w:vAlign w:val="center"/>
          </w:tcPr>
          <w:p w14:paraId="2D4299EB">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77F3414C">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370" w:type="dxa"/>
            <w:vAlign w:val="center"/>
          </w:tcPr>
          <w:p w14:paraId="38E571D9">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供货期</w:t>
            </w:r>
          </w:p>
        </w:tc>
        <w:tc>
          <w:tcPr>
            <w:tcW w:w="1420" w:type="dxa"/>
            <w:vAlign w:val="center"/>
          </w:tcPr>
          <w:p w14:paraId="382D142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101" w:type="dxa"/>
            <w:vAlign w:val="center"/>
          </w:tcPr>
          <w:p w14:paraId="1CBB234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3B66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29871641">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687E2CA4">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5FE5B2FA">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61B8E548">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5B86A14D">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798644E3">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45E53FE4">
            <w:pPr>
              <w:pStyle w:val="13"/>
              <w:spacing w:line="240" w:lineRule="atLeast"/>
              <w:ind w:left="1164" w:leftChars="257" w:hanging="540"/>
              <w:rPr>
                <w:rFonts w:ascii="仿宋" w:hAnsi="仿宋" w:eastAsia="仿宋" w:cs="仿宋"/>
                <w:color w:val="auto"/>
                <w:highlight w:val="none"/>
                <w:lang w:eastAsia="zh-CN"/>
              </w:rPr>
            </w:pPr>
          </w:p>
        </w:tc>
      </w:tr>
      <w:tr w14:paraId="030B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422E768E">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05A8EDC0">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2A9F5750">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35EDC1D7">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14DD208">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1EE2B514">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72B2A388">
            <w:pPr>
              <w:pStyle w:val="13"/>
              <w:spacing w:line="240" w:lineRule="atLeast"/>
              <w:ind w:left="1164" w:leftChars="257" w:hanging="540"/>
              <w:rPr>
                <w:rFonts w:ascii="仿宋" w:hAnsi="仿宋" w:eastAsia="仿宋" w:cs="仿宋"/>
                <w:color w:val="auto"/>
                <w:highlight w:val="none"/>
                <w:lang w:eastAsia="zh-CN"/>
              </w:rPr>
            </w:pPr>
          </w:p>
        </w:tc>
      </w:tr>
      <w:tr w14:paraId="2738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402311DC">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751F73E3">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36796F7C">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34E733D2">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62F46980">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33BB032F">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4F69B03A">
            <w:pPr>
              <w:pStyle w:val="13"/>
              <w:spacing w:line="240" w:lineRule="atLeast"/>
              <w:ind w:left="1164" w:leftChars="257" w:hanging="540"/>
              <w:rPr>
                <w:rFonts w:ascii="仿宋" w:hAnsi="仿宋" w:eastAsia="仿宋" w:cs="仿宋"/>
                <w:color w:val="auto"/>
                <w:highlight w:val="none"/>
                <w:lang w:eastAsia="zh-CN"/>
              </w:rPr>
            </w:pPr>
          </w:p>
        </w:tc>
      </w:tr>
      <w:tr w14:paraId="000B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16BD9AB3">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693AA4D3">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6BB3A63F">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75A59111">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38B58BA0">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512EED46">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1BF8A505">
            <w:pPr>
              <w:pStyle w:val="13"/>
              <w:spacing w:line="240" w:lineRule="atLeast"/>
              <w:ind w:left="1164" w:leftChars="257" w:hanging="540"/>
              <w:rPr>
                <w:rFonts w:ascii="仿宋" w:hAnsi="仿宋" w:eastAsia="仿宋" w:cs="仿宋"/>
                <w:color w:val="auto"/>
                <w:highlight w:val="none"/>
                <w:lang w:eastAsia="zh-CN"/>
              </w:rPr>
            </w:pPr>
          </w:p>
        </w:tc>
      </w:tr>
      <w:tr w14:paraId="61BF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22F32B16">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2475A9B4">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28DD67B5">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67909425">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ABEFBB4">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3374623C">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204998A4">
            <w:pPr>
              <w:pStyle w:val="13"/>
              <w:spacing w:line="240" w:lineRule="atLeast"/>
              <w:ind w:left="1164" w:leftChars="257" w:hanging="540"/>
              <w:rPr>
                <w:rFonts w:ascii="仿宋" w:hAnsi="仿宋" w:eastAsia="仿宋" w:cs="仿宋"/>
                <w:color w:val="auto"/>
                <w:highlight w:val="none"/>
                <w:lang w:eastAsia="zh-CN"/>
              </w:rPr>
            </w:pPr>
          </w:p>
        </w:tc>
      </w:tr>
      <w:tr w14:paraId="185B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22C97A4C">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60248A6E">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3F3D38B1">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5EFFDE72">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B2EB5FF">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227027C6">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16706ADC">
            <w:pPr>
              <w:pStyle w:val="13"/>
              <w:spacing w:line="240" w:lineRule="atLeast"/>
              <w:ind w:left="1164" w:leftChars="257" w:hanging="540"/>
              <w:rPr>
                <w:rFonts w:ascii="仿宋" w:hAnsi="仿宋" w:eastAsia="仿宋" w:cs="仿宋"/>
                <w:color w:val="auto"/>
                <w:highlight w:val="none"/>
                <w:lang w:eastAsia="zh-CN"/>
              </w:rPr>
            </w:pPr>
          </w:p>
        </w:tc>
      </w:tr>
      <w:tr w14:paraId="2F75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01984223">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371FDF02">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0F544962">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58754938">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29ED0F79">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1584AA2E">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39FE170B">
            <w:pPr>
              <w:pStyle w:val="13"/>
              <w:spacing w:line="240" w:lineRule="atLeast"/>
              <w:ind w:left="1164" w:leftChars="257" w:hanging="540"/>
              <w:rPr>
                <w:rFonts w:ascii="仿宋" w:hAnsi="仿宋" w:eastAsia="仿宋" w:cs="仿宋"/>
                <w:color w:val="auto"/>
                <w:highlight w:val="none"/>
                <w:lang w:eastAsia="zh-CN"/>
              </w:rPr>
            </w:pPr>
          </w:p>
        </w:tc>
      </w:tr>
      <w:tr w14:paraId="0ADA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61173A97">
            <w:pPr>
              <w:pStyle w:val="13"/>
              <w:spacing w:line="240" w:lineRule="atLeast"/>
              <w:ind w:left="1164" w:leftChars="257" w:hanging="540"/>
              <w:rPr>
                <w:rFonts w:ascii="仿宋" w:hAnsi="仿宋" w:eastAsia="仿宋" w:cs="仿宋"/>
                <w:color w:val="auto"/>
                <w:highlight w:val="none"/>
                <w:lang w:eastAsia="zh-CN"/>
              </w:rPr>
            </w:pPr>
          </w:p>
        </w:tc>
        <w:tc>
          <w:tcPr>
            <w:tcW w:w="1400" w:type="dxa"/>
          </w:tcPr>
          <w:p w14:paraId="0D10FFD9">
            <w:pPr>
              <w:pStyle w:val="13"/>
              <w:spacing w:line="240" w:lineRule="atLeast"/>
              <w:ind w:left="1164" w:leftChars="257" w:hanging="540"/>
              <w:rPr>
                <w:rFonts w:ascii="仿宋" w:hAnsi="仿宋" w:eastAsia="仿宋" w:cs="仿宋"/>
                <w:color w:val="auto"/>
                <w:highlight w:val="none"/>
                <w:lang w:eastAsia="zh-CN"/>
              </w:rPr>
            </w:pPr>
          </w:p>
        </w:tc>
        <w:tc>
          <w:tcPr>
            <w:tcW w:w="1410" w:type="dxa"/>
          </w:tcPr>
          <w:p w14:paraId="4A4EC894">
            <w:pPr>
              <w:pStyle w:val="13"/>
              <w:spacing w:line="240" w:lineRule="atLeast"/>
              <w:ind w:left="1164" w:leftChars="257" w:hanging="540"/>
              <w:rPr>
                <w:rFonts w:ascii="仿宋" w:hAnsi="仿宋" w:eastAsia="仿宋" w:cs="仿宋"/>
                <w:color w:val="auto"/>
                <w:highlight w:val="none"/>
                <w:lang w:eastAsia="zh-CN"/>
              </w:rPr>
            </w:pPr>
          </w:p>
        </w:tc>
        <w:tc>
          <w:tcPr>
            <w:tcW w:w="1040" w:type="dxa"/>
          </w:tcPr>
          <w:p w14:paraId="477F37AD">
            <w:pPr>
              <w:pStyle w:val="13"/>
              <w:spacing w:line="240" w:lineRule="atLeast"/>
              <w:ind w:left="1164" w:leftChars="257" w:hanging="540"/>
              <w:rPr>
                <w:rFonts w:ascii="仿宋" w:hAnsi="仿宋" w:eastAsia="仿宋" w:cs="仿宋"/>
                <w:color w:val="auto"/>
                <w:highlight w:val="none"/>
                <w:lang w:eastAsia="zh-CN"/>
              </w:rPr>
            </w:pPr>
          </w:p>
        </w:tc>
        <w:tc>
          <w:tcPr>
            <w:tcW w:w="1370" w:type="dxa"/>
          </w:tcPr>
          <w:p w14:paraId="017D56D5">
            <w:pPr>
              <w:pStyle w:val="13"/>
              <w:spacing w:line="240" w:lineRule="atLeast"/>
              <w:ind w:left="1164" w:leftChars="257" w:hanging="540"/>
              <w:rPr>
                <w:rFonts w:ascii="仿宋" w:hAnsi="仿宋" w:eastAsia="仿宋" w:cs="仿宋"/>
                <w:color w:val="auto"/>
                <w:highlight w:val="none"/>
                <w:lang w:eastAsia="zh-CN"/>
              </w:rPr>
            </w:pPr>
          </w:p>
        </w:tc>
        <w:tc>
          <w:tcPr>
            <w:tcW w:w="1420" w:type="dxa"/>
          </w:tcPr>
          <w:p w14:paraId="09389036">
            <w:pPr>
              <w:pStyle w:val="13"/>
              <w:spacing w:line="240" w:lineRule="atLeast"/>
              <w:ind w:left="1164" w:leftChars="257" w:hanging="540"/>
              <w:rPr>
                <w:rFonts w:ascii="仿宋" w:hAnsi="仿宋" w:eastAsia="仿宋" w:cs="仿宋"/>
                <w:color w:val="auto"/>
                <w:highlight w:val="none"/>
                <w:lang w:eastAsia="zh-CN"/>
              </w:rPr>
            </w:pPr>
          </w:p>
        </w:tc>
        <w:tc>
          <w:tcPr>
            <w:tcW w:w="1101" w:type="dxa"/>
          </w:tcPr>
          <w:p w14:paraId="22907BAD">
            <w:pPr>
              <w:pStyle w:val="13"/>
              <w:spacing w:line="240" w:lineRule="atLeast"/>
              <w:ind w:left="1164" w:leftChars="257" w:hanging="540"/>
              <w:rPr>
                <w:rFonts w:ascii="仿宋" w:hAnsi="仿宋" w:eastAsia="仿宋" w:cs="仿宋"/>
                <w:color w:val="auto"/>
                <w:highlight w:val="none"/>
                <w:lang w:eastAsia="zh-CN"/>
              </w:rPr>
            </w:pPr>
          </w:p>
        </w:tc>
      </w:tr>
    </w:tbl>
    <w:p w14:paraId="38C85D63">
      <w:pPr>
        <w:pStyle w:val="13"/>
        <w:spacing w:line="240" w:lineRule="atLeast"/>
        <w:ind w:left="1164" w:leftChars="257" w:hanging="540"/>
        <w:rPr>
          <w:rFonts w:ascii="仿宋" w:hAnsi="仿宋" w:eastAsia="仿宋" w:cs="仿宋"/>
          <w:color w:val="auto"/>
          <w:highlight w:val="none"/>
        </w:rPr>
      </w:pPr>
    </w:p>
    <w:p w14:paraId="28E1C882">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4A8FEB29">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74569E82">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0864EB8D">
      <w:pPr>
        <w:pStyle w:val="13"/>
        <w:spacing w:line="240" w:lineRule="atLeast"/>
        <w:ind w:left="1164" w:leftChars="257" w:hanging="540"/>
        <w:jc w:val="center"/>
        <w:rPr>
          <w:rFonts w:hAnsi="宋体" w:eastAsia="宋体" w:cs="宋体"/>
          <w:color w:val="auto"/>
          <w:highlight w:val="none"/>
          <w:lang w:eastAsia="zh-CN"/>
        </w:rPr>
      </w:pPr>
    </w:p>
    <w:p w14:paraId="2F4A1188">
      <w:pPr>
        <w:pStyle w:val="13"/>
        <w:spacing w:line="240" w:lineRule="atLeast"/>
        <w:ind w:left="1164" w:leftChars="257" w:hanging="540"/>
        <w:jc w:val="center"/>
        <w:rPr>
          <w:rFonts w:hAnsi="宋体" w:eastAsia="宋体" w:cs="宋体"/>
          <w:color w:val="auto"/>
          <w:highlight w:val="none"/>
          <w:lang w:eastAsia="zh-CN"/>
        </w:rPr>
        <w:sectPr>
          <w:footerReference r:id="rId8" w:type="default"/>
          <w:pgSz w:w="11905" w:h="16838"/>
          <w:pgMar w:top="1440" w:right="1797" w:bottom="1440" w:left="1797" w:header="850" w:footer="992" w:gutter="0"/>
          <w:pgNumType w:fmt="decimal"/>
          <w:cols w:space="720" w:num="1"/>
          <w:docGrid w:type="linesAndChars" w:linePitch="325" w:charSpace="635"/>
        </w:sectPr>
      </w:pPr>
    </w:p>
    <w:p w14:paraId="727E0A9A">
      <w:pPr>
        <w:pStyle w:val="40"/>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、投标分项报价明细表</w:t>
      </w:r>
    </w:p>
    <w:p w14:paraId="27E2CB74">
      <w:pPr>
        <w:pStyle w:val="40"/>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6828EDA1">
      <w:pPr>
        <w:pStyle w:val="40"/>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14:paraId="786A3F3B">
      <w:pPr>
        <w:pStyle w:val="13"/>
        <w:spacing w:line="240" w:lineRule="atLeast"/>
        <w:ind w:left="1157" w:leftChars="257" w:hanging="54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szCs w:val="21"/>
          <w:highlight w:val="none"/>
          <w:lang w:eastAsia="zh-CN"/>
        </w:rPr>
        <w:t>元（人民币）</w:t>
      </w:r>
    </w:p>
    <w:tbl>
      <w:tblPr>
        <w:tblStyle w:val="27"/>
        <w:tblW w:w="99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407"/>
        <w:gridCol w:w="1296"/>
        <w:gridCol w:w="1089"/>
        <w:gridCol w:w="1304"/>
        <w:gridCol w:w="1070"/>
        <w:gridCol w:w="709"/>
        <w:gridCol w:w="708"/>
        <w:gridCol w:w="709"/>
        <w:gridCol w:w="816"/>
      </w:tblGrid>
      <w:tr w14:paraId="7B319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576F181C">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07" w:type="dxa"/>
            <w:tcBorders>
              <w:top w:val="single" w:color="auto" w:sz="4" w:space="0"/>
              <w:left w:val="single" w:color="auto" w:sz="4" w:space="0"/>
              <w:bottom w:val="single" w:color="auto" w:sz="4" w:space="0"/>
              <w:right w:val="single" w:color="auto" w:sz="4" w:space="0"/>
            </w:tcBorders>
            <w:vAlign w:val="center"/>
          </w:tcPr>
          <w:p w14:paraId="6238F49A">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货物</w:t>
            </w:r>
            <w:r>
              <w:rPr>
                <w:rFonts w:ascii="仿宋" w:hAnsi="仿宋" w:eastAsia="仿宋" w:cs="仿宋"/>
                <w:color w:val="auto"/>
                <w:szCs w:val="21"/>
                <w:highlight w:val="none"/>
              </w:rPr>
              <w:t>名称</w:t>
            </w:r>
          </w:p>
        </w:tc>
        <w:tc>
          <w:tcPr>
            <w:tcW w:w="1296" w:type="dxa"/>
            <w:tcBorders>
              <w:top w:val="single" w:color="auto" w:sz="4" w:space="0"/>
              <w:left w:val="single" w:color="auto" w:sz="4" w:space="0"/>
              <w:bottom w:val="single" w:color="auto" w:sz="4" w:space="0"/>
              <w:right w:val="single" w:color="auto" w:sz="4" w:space="0"/>
            </w:tcBorders>
            <w:vAlign w:val="center"/>
          </w:tcPr>
          <w:p w14:paraId="2DE93076">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技术参数</w:t>
            </w:r>
          </w:p>
        </w:tc>
        <w:tc>
          <w:tcPr>
            <w:tcW w:w="1089" w:type="dxa"/>
            <w:tcBorders>
              <w:top w:val="single" w:color="auto" w:sz="4" w:space="0"/>
              <w:left w:val="single" w:color="auto" w:sz="4" w:space="0"/>
              <w:bottom w:val="single" w:color="auto" w:sz="4" w:space="0"/>
              <w:right w:val="single" w:color="auto" w:sz="4" w:space="0"/>
            </w:tcBorders>
            <w:vAlign w:val="center"/>
          </w:tcPr>
          <w:p w14:paraId="12B14599">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品牌</w:t>
            </w:r>
          </w:p>
        </w:tc>
        <w:tc>
          <w:tcPr>
            <w:tcW w:w="1304" w:type="dxa"/>
            <w:tcBorders>
              <w:top w:val="single" w:color="auto" w:sz="4" w:space="0"/>
              <w:left w:val="single" w:color="auto" w:sz="4" w:space="0"/>
              <w:bottom w:val="single" w:color="auto" w:sz="4" w:space="0"/>
              <w:right w:val="single" w:color="auto" w:sz="4" w:space="0"/>
            </w:tcBorders>
            <w:vAlign w:val="center"/>
          </w:tcPr>
          <w:p w14:paraId="2C952451">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规格型号</w:t>
            </w:r>
          </w:p>
        </w:tc>
        <w:tc>
          <w:tcPr>
            <w:tcW w:w="1070" w:type="dxa"/>
            <w:tcBorders>
              <w:top w:val="single" w:color="auto" w:sz="4" w:space="0"/>
              <w:left w:val="single" w:color="auto" w:sz="4" w:space="0"/>
              <w:bottom w:val="single" w:color="auto" w:sz="4" w:space="0"/>
              <w:right w:val="single" w:color="auto" w:sz="4" w:space="0"/>
            </w:tcBorders>
            <w:vAlign w:val="center"/>
          </w:tcPr>
          <w:p w14:paraId="2F5DB27A">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23819FCE">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64C99B77">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5BBA81C1">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总价</w:t>
            </w:r>
          </w:p>
        </w:tc>
        <w:tc>
          <w:tcPr>
            <w:tcW w:w="816" w:type="dxa"/>
            <w:tcBorders>
              <w:top w:val="single" w:color="auto" w:sz="4" w:space="0"/>
              <w:left w:val="single" w:color="auto" w:sz="4" w:space="0"/>
              <w:bottom w:val="single" w:color="auto" w:sz="4" w:space="0"/>
              <w:right w:val="single" w:color="auto" w:sz="4" w:space="0"/>
            </w:tcBorders>
            <w:vAlign w:val="center"/>
          </w:tcPr>
          <w:p w14:paraId="7017FBC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1E60A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3B168A5D">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63A52BC1">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1206EB90">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5FA4C5D">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2F7505E8">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A4C19BD">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3EC5250">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DEEF7F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9335848">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50EA377">
            <w:pPr>
              <w:spacing w:line="500" w:lineRule="exact"/>
              <w:jc w:val="center"/>
              <w:rPr>
                <w:rFonts w:ascii="仿宋" w:hAnsi="仿宋" w:eastAsia="仿宋" w:cs="仿宋"/>
                <w:color w:val="auto"/>
                <w:szCs w:val="21"/>
                <w:highlight w:val="none"/>
              </w:rPr>
            </w:pPr>
          </w:p>
        </w:tc>
      </w:tr>
      <w:tr w14:paraId="672E9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4B0E39FD">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4BED8809">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48C8D588">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6B9BBE15">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77C14BDF">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FA81B4C">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A7454CC">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E77006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FDC950">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7185372">
            <w:pPr>
              <w:spacing w:line="500" w:lineRule="exact"/>
              <w:jc w:val="center"/>
              <w:rPr>
                <w:rFonts w:ascii="仿宋" w:hAnsi="仿宋" w:eastAsia="仿宋" w:cs="仿宋"/>
                <w:color w:val="auto"/>
                <w:szCs w:val="21"/>
                <w:highlight w:val="none"/>
              </w:rPr>
            </w:pPr>
          </w:p>
        </w:tc>
      </w:tr>
      <w:tr w14:paraId="5707D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4CC641FD">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2B82CD98">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1AAE4842">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163845D">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6CE910D7">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61BBECB">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884C8E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B035209">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64B8B8A">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99B05AD">
            <w:pPr>
              <w:spacing w:line="500" w:lineRule="exact"/>
              <w:jc w:val="center"/>
              <w:rPr>
                <w:rFonts w:ascii="仿宋" w:hAnsi="仿宋" w:eastAsia="仿宋" w:cs="仿宋"/>
                <w:color w:val="auto"/>
                <w:szCs w:val="21"/>
                <w:highlight w:val="none"/>
              </w:rPr>
            </w:pPr>
          </w:p>
        </w:tc>
      </w:tr>
      <w:tr w14:paraId="4119D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24797F59">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35FC2C96">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33667A36">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640636A3">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63524F56">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55D6FDFB">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E68DB3A">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CDEEBD2">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A3AEBEA">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60328C4">
            <w:pPr>
              <w:spacing w:line="500" w:lineRule="exact"/>
              <w:jc w:val="center"/>
              <w:rPr>
                <w:rFonts w:ascii="仿宋" w:hAnsi="仿宋" w:eastAsia="仿宋" w:cs="仿宋"/>
                <w:color w:val="auto"/>
                <w:szCs w:val="21"/>
                <w:highlight w:val="none"/>
              </w:rPr>
            </w:pPr>
          </w:p>
        </w:tc>
      </w:tr>
      <w:tr w14:paraId="6DADF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30DBEFE2">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419E6385">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5B98BA01">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5D9F4A5E">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1F7866D1">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1BCFFFF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CA115FD">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C075A0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52AE574">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D3E82E2">
            <w:pPr>
              <w:spacing w:line="500" w:lineRule="exact"/>
              <w:jc w:val="center"/>
              <w:rPr>
                <w:rFonts w:ascii="仿宋" w:hAnsi="仿宋" w:eastAsia="仿宋" w:cs="仿宋"/>
                <w:color w:val="auto"/>
                <w:szCs w:val="21"/>
                <w:highlight w:val="none"/>
              </w:rPr>
            </w:pPr>
          </w:p>
        </w:tc>
      </w:tr>
      <w:tr w14:paraId="3404B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0AC153F7">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6E290FBF">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5336B97F">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7EA625B">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7B84F476">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EA08225">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A410029">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4ADFE19">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D7126B">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776E270">
            <w:pPr>
              <w:spacing w:line="500" w:lineRule="exact"/>
              <w:jc w:val="center"/>
              <w:rPr>
                <w:rFonts w:ascii="仿宋" w:hAnsi="仿宋" w:eastAsia="仿宋" w:cs="仿宋"/>
                <w:color w:val="auto"/>
                <w:szCs w:val="21"/>
                <w:highlight w:val="none"/>
              </w:rPr>
            </w:pPr>
          </w:p>
        </w:tc>
      </w:tr>
      <w:tr w14:paraId="50771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28598CE0">
            <w:pPr>
              <w:spacing w:line="500" w:lineRule="exact"/>
              <w:jc w:val="center"/>
              <w:rPr>
                <w:rFonts w:ascii="仿宋" w:hAnsi="仿宋" w:eastAsia="仿宋" w:cs="仿宋"/>
                <w:color w:val="auto"/>
                <w:szCs w:val="21"/>
                <w:highlight w:val="none"/>
              </w:rPr>
            </w:pPr>
          </w:p>
        </w:tc>
        <w:tc>
          <w:tcPr>
            <w:tcW w:w="1407" w:type="dxa"/>
            <w:tcBorders>
              <w:top w:val="single" w:color="auto" w:sz="4" w:space="0"/>
              <w:left w:val="single" w:color="auto" w:sz="4" w:space="0"/>
              <w:bottom w:val="single" w:color="auto" w:sz="4" w:space="0"/>
              <w:right w:val="single" w:color="auto" w:sz="4" w:space="0"/>
            </w:tcBorders>
            <w:vAlign w:val="center"/>
          </w:tcPr>
          <w:p w14:paraId="0C4F31FD">
            <w:pPr>
              <w:spacing w:line="500" w:lineRule="exact"/>
              <w:jc w:val="center"/>
              <w:rPr>
                <w:rFonts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21365ED6">
            <w:pPr>
              <w:spacing w:line="500" w:lineRule="exact"/>
              <w:jc w:val="center"/>
              <w:rPr>
                <w:rFonts w:ascii="仿宋" w:hAnsi="仿宋" w:eastAsia="仿宋" w:cs="仿宋"/>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9D2019C">
            <w:pPr>
              <w:spacing w:line="500" w:lineRule="exact"/>
              <w:jc w:val="center"/>
              <w:rPr>
                <w:rFonts w:ascii="仿宋" w:hAnsi="仿宋" w:eastAsia="仿宋" w:cs="仿宋"/>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14:paraId="6A5E698C">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0A6ED635">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05FD589">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D6AAFE6">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B4F1AD4">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18A5E2">
            <w:pPr>
              <w:spacing w:line="500" w:lineRule="exact"/>
              <w:jc w:val="center"/>
              <w:rPr>
                <w:rFonts w:ascii="仿宋" w:hAnsi="仿宋" w:eastAsia="仿宋" w:cs="仿宋"/>
                <w:color w:val="auto"/>
                <w:szCs w:val="21"/>
                <w:highlight w:val="none"/>
              </w:rPr>
            </w:pPr>
          </w:p>
        </w:tc>
      </w:tr>
    </w:tbl>
    <w:p w14:paraId="4681B423">
      <w:pPr>
        <w:pStyle w:val="44"/>
        <w:spacing w:line="317"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所有价格均用人民币表示，单位为元。</w:t>
      </w:r>
    </w:p>
    <w:p w14:paraId="71CCF262">
      <w:pPr>
        <w:pStyle w:val="44"/>
        <w:tabs>
          <w:tab w:val="left" w:pos="378"/>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报价总计价格必须与《</w:t>
      </w:r>
      <w:r>
        <w:rPr>
          <w:rFonts w:hint="eastAsia" w:ascii="仿宋" w:hAnsi="仿宋" w:eastAsia="仿宋" w:cs="仿宋"/>
          <w:color w:val="auto"/>
          <w:sz w:val="24"/>
          <w:szCs w:val="24"/>
          <w:highlight w:val="none"/>
          <w:lang w:eastAsia="zh-CN"/>
        </w:rPr>
        <w:t>投标报价单</w:t>
      </w:r>
      <w:r>
        <w:rPr>
          <w:rFonts w:hint="eastAsia" w:ascii="仿宋" w:hAnsi="仿宋" w:eastAsia="仿宋" w:cs="仿宋"/>
          <w:color w:val="auto"/>
          <w:sz w:val="24"/>
          <w:szCs w:val="24"/>
          <w:highlight w:val="none"/>
        </w:rPr>
        <w:t>》报价一致。</w:t>
      </w:r>
    </w:p>
    <w:p w14:paraId="669E63CB">
      <w:pPr>
        <w:pStyle w:val="44"/>
        <w:tabs>
          <w:tab w:val="left" w:pos="490"/>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如果不提供详细的分项报价表将被视为没有实质性</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1C3CB47B">
      <w:pPr>
        <w:pStyle w:val="44"/>
        <w:tabs>
          <w:tab w:val="left" w:pos="493"/>
        </w:tabs>
        <w:spacing w:line="317" w:lineRule="exact"/>
        <w:ind w:left="240" w:leftChars="1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“其</w:t>
      </w:r>
      <w:r>
        <w:rPr>
          <w:rFonts w:hint="eastAsia" w:ascii="仿宋" w:hAnsi="仿宋" w:eastAsia="仿宋" w:cs="仿宋"/>
          <w:color w:val="auto"/>
          <w:sz w:val="24"/>
          <w:szCs w:val="24"/>
          <w:highlight w:val="none"/>
        </w:rPr>
        <w:t>它”中填写，并作详细说明。</w:t>
      </w:r>
    </w:p>
    <w:p w14:paraId="3BD59DF0">
      <w:pPr>
        <w:pStyle w:val="44"/>
        <w:tabs>
          <w:tab w:val="left" w:pos="493"/>
        </w:tabs>
        <w:spacing w:line="317" w:lineRule="exact"/>
        <w:ind w:left="176"/>
        <w:rPr>
          <w:rFonts w:ascii="仿宋" w:hAnsi="仿宋" w:eastAsia="仿宋" w:cs="仿宋"/>
          <w:color w:val="auto"/>
          <w:sz w:val="20"/>
          <w:szCs w:val="20"/>
          <w:highlight w:val="none"/>
        </w:rPr>
      </w:pPr>
    </w:p>
    <w:p w14:paraId="45238256">
      <w:pPr>
        <w:pStyle w:val="44"/>
        <w:tabs>
          <w:tab w:val="left" w:pos="493"/>
        </w:tabs>
        <w:spacing w:line="317" w:lineRule="exact"/>
        <w:ind w:left="176"/>
        <w:rPr>
          <w:rFonts w:ascii="仿宋" w:hAnsi="仿宋" w:eastAsia="仿宋" w:cs="仿宋"/>
          <w:color w:val="auto"/>
          <w:sz w:val="20"/>
          <w:szCs w:val="20"/>
          <w:highlight w:val="none"/>
        </w:rPr>
      </w:pPr>
    </w:p>
    <w:p w14:paraId="25534283">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0A14C30D">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0701F1AF">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1207BBF1">
      <w:pPr>
        <w:pStyle w:val="10"/>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lang w:eastAsia="zh-CN"/>
        </w:rPr>
      </w:pPr>
    </w:p>
    <w:p w14:paraId="7D157337">
      <w:pPr>
        <w:spacing w:line="360" w:lineRule="auto"/>
        <w:jc w:val="center"/>
        <w:rPr>
          <w:rFonts w:ascii="仿宋" w:hAnsi="仿宋" w:eastAsia="仿宋" w:cs="仿宋"/>
          <w:b/>
          <w:color w:val="auto"/>
          <w:sz w:val="36"/>
          <w:szCs w:val="36"/>
          <w:highlight w:val="none"/>
          <w:lang w:eastAsia="zh-CN"/>
        </w:rPr>
      </w:pPr>
    </w:p>
    <w:p w14:paraId="155ABA0D">
      <w:pPr>
        <w:spacing w:line="360" w:lineRule="auto"/>
        <w:jc w:val="center"/>
        <w:rPr>
          <w:rFonts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lang w:eastAsia="zh-CN"/>
        </w:rPr>
        <w:t>5、技术规格偏离表</w:t>
      </w:r>
    </w:p>
    <w:tbl>
      <w:tblPr>
        <w:tblStyle w:val="27"/>
        <w:tblW w:w="88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
        <w:gridCol w:w="1327"/>
        <w:gridCol w:w="1768"/>
        <w:gridCol w:w="1326"/>
        <w:gridCol w:w="2062"/>
        <w:gridCol w:w="1467"/>
      </w:tblGrid>
      <w:tr w14:paraId="7FA5E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926" w:type="dxa"/>
            <w:vAlign w:val="center"/>
          </w:tcPr>
          <w:p w14:paraId="67533835">
            <w:pPr>
              <w:jc w:val="center"/>
              <w:rPr>
                <w:rFonts w:ascii="仿宋" w:hAnsi="仿宋" w:eastAsia="仿宋" w:cs="仿宋"/>
                <w:bCs/>
                <w:color w:val="auto"/>
                <w:highlight w:val="none"/>
              </w:rPr>
            </w:pPr>
            <w:r>
              <w:rPr>
                <w:rFonts w:hint="eastAsia" w:ascii="仿宋" w:hAnsi="仿宋" w:eastAsia="仿宋" w:cs="仿宋"/>
                <w:bCs/>
                <w:color w:val="auto"/>
                <w:highlight w:val="none"/>
              </w:rPr>
              <w:t>序号</w:t>
            </w:r>
          </w:p>
        </w:tc>
        <w:tc>
          <w:tcPr>
            <w:tcW w:w="1327" w:type="dxa"/>
            <w:vAlign w:val="center"/>
          </w:tcPr>
          <w:p w14:paraId="73E94A48">
            <w:pPr>
              <w:jc w:val="center"/>
              <w:rPr>
                <w:rFonts w:ascii="仿宋" w:hAnsi="仿宋" w:eastAsia="仿宋" w:cs="仿宋"/>
                <w:bCs/>
                <w:color w:val="auto"/>
                <w:highlight w:val="none"/>
              </w:rPr>
            </w:pPr>
            <w:r>
              <w:rPr>
                <w:rFonts w:ascii="仿宋" w:hAnsi="仿宋" w:eastAsia="仿宋" w:cs="仿宋"/>
                <w:bCs/>
                <w:color w:val="auto"/>
                <w:highlight w:val="none"/>
              </w:rPr>
              <w:t>标的名称</w:t>
            </w:r>
          </w:p>
        </w:tc>
        <w:tc>
          <w:tcPr>
            <w:tcW w:w="1768" w:type="dxa"/>
            <w:vAlign w:val="center"/>
          </w:tcPr>
          <w:p w14:paraId="2219FC6B">
            <w:pPr>
              <w:jc w:val="center"/>
              <w:rPr>
                <w:rFonts w:ascii="仿宋" w:hAnsi="仿宋" w:eastAsia="仿宋" w:cs="仿宋"/>
                <w:bCs/>
                <w:color w:val="auto"/>
                <w:highlight w:val="none"/>
              </w:rPr>
            </w:pPr>
            <w:r>
              <w:rPr>
                <w:rFonts w:ascii="仿宋" w:hAnsi="仿宋" w:eastAsia="仿宋" w:cs="仿宋"/>
                <w:bCs/>
                <w:color w:val="auto"/>
                <w:highlight w:val="none"/>
              </w:rPr>
              <w:t>招标规格</w:t>
            </w:r>
          </w:p>
        </w:tc>
        <w:tc>
          <w:tcPr>
            <w:tcW w:w="1326" w:type="dxa"/>
            <w:vAlign w:val="center"/>
          </w:tcPr>
          <w:p w14:paraId="20D18D28">
            <w:pPr>
              <w:jc w:val="center"/>
              <w:rPr>
                <w:rFonts w:ascii="仿宋" w:hAnsi="仿宋" w:eastAsia="仿宋" w:cs="仿宋"/>
                <w:bCs/>
                <w:color w:val="auto"/>
                <w:highlight w:val="none"/>
              </w:rPr>
            </w:pPr>
            <w:r>
              <w:rPr>
                <w:rFonts w:hint="eastAsia" w:ascii="仿宋" w:hAnsi="仿宋" w:eastAsia="仿宋" w:cs="仿宋"/>
                <w:bCs/>
                <w:color w:val="auto"/>
                <w:highlight w:val="none"/>
              </w:rPr>
              <w:t>投标规格</w:t>
            </w:r>
          </w:p>
        </w:tc>
        <w:tc>
          <w:tcPr>
            <w:tcW w:w="2062" w:type="dxa"/>
            <w:vAlign w:val="center"/>
          </w:tcPr>
          <w:p w14:paraId="1CE77638">
            <w:pPr>
              <w:jc w:val="center"/>
              <w:rPr>
                <w:rFonts w:ascii="仿宋" w:hAnsi="仿宋" w:eastAsia="仿宋" w:cs="仿宋"/>
                <w:bCs/>
                <w:color w:val="auto"/>
                <w:highlight w:val="none"/>
              </w:rPr>
            </w:pPr>
            <w:r>
              <w:rPr>
                <w:rFonts w:hint="eastAsia" w:ascii="仿宋" w:hAnsi="仿宋" w:eastAsia="仿宋" w:cs="仿宋"/>
                <w:bCs/>
                <w:color w:val="auto"/>
                <w:highlight w:val="none"/>
              </w:rPr>
              <w:t>偏离</w:t>
            </w:r>
          </w:p>
        </w:tc>
        <w:tc>
          <w:tcPr>
            <w:tcW w:w="1467" w:type="dxa"/>
            <w:vAlign w:val="center"/>
          </w:tcPr>
          <w:p w14:paraId="7898EBB1">
            <w:pPr>
              <w:jc w:val="center"/>
              <w:rPr>
                <w:rFonts w:ascii="仿宋" w:hAnsi="仿宋" w:eastAsia="仿宋" w:cs="仿宋"/>
                <w:bCs/>
                <w:color w:val="auto"/>
                <w:highlight w:val="none"/>
              </w:rPr>
            </w:pPr>
            <w:r>
              <w:rPr>
                <w:rFonts w:hint="eastAsia" w:ascii="仿宋" w:hAnsi="仿宋" w:eastAsia="仿宋" w:cs="仿宋"/>
                <w:bCs/>
                <w:color w:val="auto"/>
                <w:highlight w:val="none"/>
              </w:rPr>
              <w:t>说明</w:t>
            </w:r>
          </w:p>
        </w:tc>
      </w:tr>
      <w:tr w14:paraId="7A62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79095D81">
            <w:pPr>
              <w:jc w:val="center"/>
              <w:rPr>
                <w:rFonts w:ascii="仿宋" w:hAnsi="仿宋" w:eastAsia="仿宋" w:cs="仿宋"/>
                <w:b/>
                <w:bCs/>
                <w:color w:val="auto"/>
                <w:highlight w:val="none"/>
              </w:rPr>
            </w:pPr>
          </w:p>
        </w:tc>
        <w:tc>
          <w:tcPr>
            <w:tcW w:w="1327" w:type="dxa"/>
          </w:tcPr>
          <w:p w14:paraId="652336EB">
            <w:pPr>
              <w:jc w:val="center"/>
              <w:rPr>
                <w:rFonts w:ascii="仿宋" w:hAnsi="仿宋" w:eastAsia="仿宋" w:cs="仿宋"/>
                <w:b/>
                <w:bCs/>
                <w:color w:val="auto"/>
                <w:highlight w:val="none"/>
              </w:rPr>
            </w:pPr>
          </w:p>
        </w:tc>
        <w:tc>
          <w:tcPr>
            <w:tcW w:w="1768" w:type="dxa"/>
          </w:tcPr>
          <w:p w14:paraId="38B8EADA">
            <w:pPr>
              <w:jc w:val="center"/>
              <w:rPr>
                <w:rFonts w:ascii="仿宋" w:hAnsi="仿宋" w:eastAsia="仿宋" w:cs="仿宋"/>
                <w:b/>
                <w:bCs/>
                <w:color w:val="auto"/>
                <w:highlight w:val="none"/>
              </w:rPr>
            </w:pPr>
          </w:p>
        </w:tc>
        <w:tc>
          <w:tcPr>
            <w:tcW w:w="1326" w:type="dxa"/>
          </w:tcPr>
          <w:p w14:paraId="6DB3E48A">
            <w:pPr>
              <w:jc w:val="center"/>
              <w:rPr>
                <w:rFonts w:ascii="仿宋" w:hAnsi="仿宋" w:eastAsia="仿宋" w:cs="仿宋"/>
                <w:b/>
                <w:bCs/>
                <w:color w:val="auto"/>
                <w:highlight w:val="none"/>
              </w:rPr>
            </w:pPr>
          </w:p>
        </w:tc>
        <w:tc>
          <w:tcPr>
            <w:tcW w:w="2062" w:type="dxa"/>
          </w:tcPr>
          <w:p w14:paraId="618DE153">
            <w:pPr>
              <w:jc w:val="center"/>
              <w:rPr>
                <w:rFonts w:ascii="仿宋" w:hAnsi="仿宋" w:eastAsia="仿宋" w:cs="仿宋"/>
                <w:b/>
                <w:bCs/>
                <w:color w:val="auto"/>
                <w:highlight w:val="none"/>
                <w:lang w:eastAsia="zh-CN"/>
              </w:rPr>
            </w:pPr>
            <w:r>
              <w:rPr>
                <w:rFonts w:hint="eastAsia" w:ascii="仿宋" w:hAnsi="仿宋" w:eastAsia="仿宋" w:cs="仿宋"/>
                <w:bCs/>
                <w:color w:val="auto"/>
                <w:highlight w:val="none"/>
                <w:lang w:eastAsia="zh-CN"/>
              </w:rPr>
              <w:t>如有正偏离需提供证明材料，证明材料附后(并注明页码)</w:t>
            </w:r>
          </w:p>
        </w:tc>
        <w:tc>
          <w:tcPr>
            <w:tcW w:w="1467" w:type="dxa"/>
          </w:tcPr>
          <w:p w14:paraId="599326C0">
            <w:pPr>
              <w:jc w:val="center"/>
              <w:rPr>
                <w:rFonts w:ascii="仿宋" w:hAnsi="仿宋" w:eastAsia="仿宋" w:cs="仿宋"/>
                <w:b/>
                <w:bCs/>
                <w:color w:val="auto"/>
                <w:highlight w:val="none"/>
                <w:lang w:eastAsia="zh-CN"/>
              </w:rPr>
            </w:pPr>
          </w:p>
        </w:tc>
      </w:tr>
      <w:tr w14:paraId="6AE0C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15F0B6B2">
            <w:pPr>
              <w:jc w:val="center"/>
              <w:rPr>
                <w:rFonts w:ascii="仿宋" w:hAnsi="仿宋" w:eastAsia="仿宋" w:cs="仿宋"/>
                <w:b/>
                <w:bCs/>
                <w:color w:val="auto"/>
                <w:highlight w:val="none"/>
                <w:lang w:eastAsia="zh-CN"/>
              </w:rPr>
            </w:pPr>
          </w:p>
        </w:tc>
        <w:tc>
          <w:tcPr>
            <w:tcW w:w="1327" w:type="dxa"/>
          </w:tcPr>
          <w:p w14:paraId="39692E08">
            <w:pPr>
              <w:jc w:val="center"/>
              <w:rPr>
                <w:rFonts w:ascii="仿宋" w:hAnsi="仿宋" w:eastAsia="仿宋" w:cs="仿宋"/>
                <w:b/>
                <w:bCs/>
                <w:color w:val="auto"/>
                <w:highlight w:val="none"/>
                <w:lang w:eastAsia="zh-CN"/>
              </w:rPr>
            </w:pPr>
          </w:p>
        </w:tc>
        <w:tc>
          <w:tcPr>
            <w:tcW w:w="1768" w:type="dxa"/>
          </w:tcPr>
          <w:p w14:paraId="76C2D952">
            <w:pPr>
              <w:jc w:val="center"/>
              <w:rPr>
                <w:rFonts w:ascii="仿宋" w:hAnsi="仿宋" w:eastAsia="仿宋" w:cs="仿宋"/>
                <w:b/>
                <w:bCs/>
                <w:color w:val="auto"/>
                <w:highlight w:val="none"/>
                <w:lang w:eastAsia="zh-CN"/>
              </w:rPr>
            </w:pPr>
          </w:p>
        </w:tc>
        <w:tc>
          <w:tcPr>
            <w:tcW w:w="1326" w:type="dxa"/>
          </w:tcPr>
          <w:p w14:paraId="76C8FAE7">
            <w:pPr>
              <w:jc w:val="center"/>
              <w:rPr>
                <w:rFonts w:ascii="仿宋" w:hAnsi="仿宋" w:eastAsia="仿宋" w:cs="仿宋"/>
                <w:b/>
                <w:bCs/>
                <w:color w:val="auto"/>
                <w:highlight w:val="none"/>
                <w:lang w:eastAsia="zh-CN"/>
              </w:rPr>
            </w:pPr>
          </w:p>
        </w:tc>
        <w:tc>
          <w:tcPr>
            <w:tcW w:w="2062" w:type="dxa"/>
          </w:tcPr>
          <w:p w14:paraId="4953B070">
            <w:pPr>
              <w:jc w:val="center"/>
              <w:rPr>
                <w:rFonts w:ascii="仿宋" w:hAnsi="仿宋" w:eastAsia="仿宋" w:cs="仿宋"/>
                <w:b/>
                <w:bCs/>
                <w:color w:val="auto"/>
                <w:highlight w:val="none"/>
                <w:lang w:eastAsia="zh-CN"/>
              </w:rPr>
            </w:pPr>
          </w:p>
        </w:tc>
        <w:tc>
          <w:tcPr>
            <w:tcW w:w="1467" w:type="dxa"/>
          </w:tcPr>
          <w:p w14:paraId="30A7A8F1">
            <w:pPr>
              <w:jc w:val="center"/>
              <w:rPr>
                <w:rFonts w:ascii="仿宋" w:hAnsi="仿宋" w:eastAsia="仿宋" w:cs="仿宋"/>
                <w:b/>
                <w:bCs/>
                <w:color w:val="auto"/>
                <w:highlight w:val="none"/>
                <w:lang w:eastAsia="zh-CN"/>
              </w:rPr>
            </w:pPr>
          </w:p>
        </w:tc>
      </w:tr>
      <w:tr w14:paraId="35F9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49FC5158">
            <w:pPr>
              <w:jc w:val="center"/>
              <w:rPr>
                <w:rFonts w:ascii="仿宋" w:hAnsi="仿宋" w:eastAsia="仿宋" w:cs="仿宋"/>
                <w:b/>
                <w:bCs/>
                <w:color w:val="auto"/>
                <w:highlight w:val="none"/>
                <w:lang w:eastAsia="zh-CN"/>
              </w:rPr>
            </w:pPr>
          </w:p>
        </w:tc>
        <w:tc>
          <w:tcPr>
            <w:tcW w:w="1327" w:type="dxa"/>
          </w:tcPr>
          <w:p w14:paraId="13903253">
            <w:pPr>
              <w:jc w:val="center"/>
              <w:rPr>
                <w:rFonts w:ascii="仿宋" w:hAnsi="仿宋" w:eastAsia="仿宋" w:cs="仿宋"/>
                <w:b/>
                <w:bCs/>
                <w:color w:val="auto"/>
                <w:highlight w:val="none"/>
                <w:lang w:eastAsia="zh-CN"/>
              </w:rPr>
            </w:pPr>
          </w:p>
        </w:tc>
        <w:tc>
          <w:tcPr>
            <w:tcW w:w="1768" w:type="dxa"/>
          </w:tcPr>
          <w:p w14:paraId="534470A6">
            <w:pPr>
              <w:jc w:val="center"/>
              <w:rPr>
                <w:rFonts w:ascii="仿宋" w:hAnsi="仿宋" w:eastAsia="仿宋" w:cs="仿宋"/>
                <w:b/>
                <w:bCs/>
                <w:color w:val="auto"/>
                <w:highlight w:val="none"/>
                <w:lang w:eastAsia="zh-CN"/>
              </w:rPr>
            </w:pPr>
          </w:p>
        </w:tc>
        <w:tc>
          <w:tcPr>
            <w:tcW w:w="1326" w:type="dxa"/>
          </w:tcPr>
          <w:p w14:paraId="49B33E70">
            <w:pPr>
              <w:jc w:val="center"/>
              <w:rPr>
                <w:rFonts w:ascii="仿宋" w:hAnsi="仿宋" w:eastAsia="仿宋" w:cs="仿宋"/>
                <w:b/>
                <w:bCs/>
                <w:color w:val="auto"/>
                <w:highlight w:val="none"/>
                <w:lang w:eastAsia="zh-CN"/>
              </w:rPr>
            </w:pPr>
          </w:p>
        </w:tc>
        <w:tc>
          <w:tcPr>
            <w:tcW w:w="2062" w:type="dxa"/>
          </w:tcPr>
          <w:p w14:paraId="5BCCAC30">
            <w:pPr>
              <w:jc w:val="center"/>
              <w:rPr>
                <w:rFonts w:ascii="仿宋" w:hAnsi="仿宋" w:eastAsia="仿宋" w:cs="仿宋"/>
                <w:b/>
                <w:bCs/>
                <w:color w:val="auto"/>
                <w:highlight w:val="none"/>
                <w:lang w:eastAsia="zh-CN"/>
              </w:rPr>
            </w:pPr>
          </w:p>
        </w:tc>
        <w:tc>
          <w:tcPr>
            <w:tcW w:w="1467" w:type="dxa"/>
          </w:tcPr>
          <w:p w14:paraId="4FD55B82">
            <w:pPr>
              <w:jc w:val="center"/>
              <w:rPr>
                <w:rFonts w:ascii="仿宋" w:hAnsi="仿宋" w:eastAsia="仿宋" w:cs="仿宋"/>
                <w:b/>
                <w:bCs/>
                <w:color w:val="auto"/>
                <w:highlight w:val="none"/>
                <w:lang w:eastAsia="zh-CN"/>
              </w:rPr>
            </w:pPr>
          </w:p>
        </w:tc>
      </w:tr>
      <w:tr w14:paraId="167EA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6403D1EB">
            <w:pPr>
              <w:jc w:val="center"/>
              <w:rPr>
                <w:rFonts w:ascii="仿宋" w:hAnsi="仿宋" w:eastAsia="仿宋" w:cs="仿宋"/>
                <w:b/>
                <w:bCs/>
                <w:color w:val="auto"/>
                <w:highlight w:val="none"/>
                <w:lang w:eastAsia="zh-CN"/>
              </w:rPr>
            </w:pPr>
          </w:p>
        </w:tc>
        <w:tc>
          <w:tcPr>
            <w:tcW w:w="1327" w:type="dxa"/>
          </w:tcPr>
          <w:p w14:paraId="45107EA2">
            <w:pPr>
              <w:jc w:val="center"/>
              <w:rPr>
                <w:rFonts w:ascii="仿宋" w:hAnsi="仿宋" w:eastAsia="仿宋" w:cs="仿宋"/>
                <w:b/>
                <w:bCs/>
                <w:color w:val="auto"/>
                <w:highlight w:val="none"/>
                <w:lang w:eastAsia="zh-CN"/>
              </w:rPr>
            </w:pPr>
          </w:p>
        </w:tc>
        <w:tc>
          <w:tcPr>
            <w:tcW w:w="1768" w:type="dxa"/>
          </w:tcPr>
          <w:p w14:paraId="38FCAA6E">
            <w:pPr>
              <w:jc w:val="center"/>
              <w:rPr>
                <w:rFonts w:ascii="仿宋" w:hAnsi="仿宋" w:eastAsia="仿宋" w:cs="仿宋"/>
                <w:b/>
                <w:bCs/>
                <w:color w:val="auto"/>
                <w:highlight w:val="none"/>
                <w:lang w:eastAsia="zh-CN"/>
              </w:rPr>
            </w:pPr>
          </w:p>
        </w:tc>
        <w:tc>
          <w:tcPr>
            <w:tcW w:w="1326" w:type="dxa"/>
          </w:tcPr>
          <w:p w14:paraId="40C2F35C">
            <w:pPr>
              <w:jc w:val="center"/>
              <w:rPr>
                <w:rFonts w:ascii="仿宋" w:hAnsi="仿宋" w:eastAsia="仿宋" w:cs="仿宋"/>
                <w:b/>
                <w:bCs/>
                <w:color w:val="auto"/>
                <w:highlight w:val="none"/>
                <w:lang w:eastAsia="zh-CN"/>
              </w:rPr>
            </w:pPr>
          </w:p>
        </w:tc>
        <w:tc>
          <w:tcPr>
            <w:tcW w:w="2062" w:type="dxa"/>
          </w:tcPr>
          <w:p w14:paraId="1A80DB5B">
            <w:pPr>
              <w:jc w:val="center"/>
              <w:rPr>
                <w:rFonts w:ascii="仿宋" w:hAnsi="仿宋" w:eastAsia="仿宋" w:cs="仿宋"/>
                <w:b/>
                <w:bCs/>
                <w:color w:val="auto"/>
                <w:highlight w:val="none"/>
                <w:lang w:eastAsia="zh-CN"/>
              </w:rPr>
            </w:pPr>
          </w:p>
        </w:tc>
        <w:tc>
          <w:tcPr>
            <w:tcW w:w="1467" w:type="dxa"/>
          </w:tcPr>
          <w:p w14:paraId="71BE204A">
            <w:pPr>
              <w:jc w:val="center"/>
              <w:rPr>
                <w:rFonts w:ascii="仿宋" w:hAnsi="仿宋" w:eastAsia="仿宋" w:cs="仿宋"/>
                <w:b/>
                <w:bCs/>
                <w:color w:val="auto"/>
                <w:highlight w:val="none"/>
                <w:lang w:eastAsia="zh-CN"/>
              </w:rPr>
            </w:pPr>
          </w:p>
        </w:tc>
      </w:tr>
      <w:tr w14:paraId="77C9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6" w:type="dxa"/>
          </w:tcPr>
          <w:p w14:paraId="252BFEAA">
            <w:pPr>
              <w:jc w:val="center"/>
              <w:rPr>
                <w:rFonts w:ascii="仿宋" w:hAnsi="仿宋" w:eastAsia="仿宋" w:cs="仿宋"/>
                <w:b/>
                <w:bCs/>
                <w:color w:val="auto"/>
                <w:highlight w:val="none"/>
                <w:lang w:eastAsia="zh-CN"/>
              </w:rPr>
            </w:pPr>
          </w:p>
        </w:tc>
        <w:tc>
          <w:tcPr>
            <w:tcW w:w="1327" w:type="dxa"/>
          </w:tcPr>
          <w:p w14:paraId="3C73B47C">
            <w:pPr>
              <w:jc w:val="center"/>
              <w:rPr>
                <w:rFonts w:ascii="仿宋" w:hAnsi="仿宋" w:eastAsia="仿宋" w:cs="仿宋"/>
                <w:b/>
                <w:bCs/>
                <w:color w:val="auto"/>
                <w:highlight w:val="none"/>
                <w:lang w:eastAsia="zh-CN"/>
              </w:rPr>
            </w:pPr>
          </w:p>
        </w:tc>
        <w:tc>
          <w:tcPr>
            <w:tcW w:w="1768" w:type="dxa"/>
          </w:tcPr>
          <w:p w14:paraId="10367C6D">
            <w:pPr>
              <w:jc w:val="center"/>
              <w:rPr>
                <w:rFonts w:ascii="仿宋" w:hAnsi="仿宋" w:eastAsia="仿宋" w:cs="仿宋"/>
                <w:b/>
                <w:bCs/>
                <w:color w:val="auto"/>
                <w:highlight w:val="none"/>
                <w:lang w:eastAsia="zh-CN"/>
              </w:rPr>
            </w:pPr>
          </w:p>
        </w:tc>
        <w:tc>
          <w:tcPr>
            <w:tcW w:w="1326" w:type="dxa"/>
          </w:tcPr>
          <w:p w14:paraId="1A1B2976">
            <w:pPr>
              <w:jc w:val="center"/>
              <w:rPr>
                <w:rFonts w:ascii="仿宋" w:hAnsi="仿宋" w:eastAsia="仿宋" w:cs="仿宋"/>
                <w:b/>
                <w:bCs/>
                <w:color w:val="auto"/>
                <w:highlight w:val="none"/>
                <w:lang w:eastAsia="zh-CN"/>
              </w:rPr>
            </w:pPr>
          </w:p>
        </w:tc>
        <w:tc>
          <w:tcPr>
            <w:tcW w:w="2062" w:type="dxa"/>
          </w:tcPr>
          <w:p w14:paraId="485E9A3A">
            <w:pPr>
              <w:jc w:val="center"/>
              <w:rPr>
                <w:rFonts w:ascii="仿宋" w:hAnsi="仿宋" w:eastAsia="仿宋" w:cs="仿宋"/>
                <w:b/>
                <w:bCs/>
                <w:color w:val="auto"/>
                <w:highlight w:val="none"/>
                <w:lang w:eastAsia="zh-CN"/>
              </w:rPr>
            </w:pPr>
          </w:p>
        </w:tc>
        <w:tc>
          <w:tcPr>
            <w:tcW w:w="1467" w:type="dxa"/>
          </w:tcPr>
          <w:p w14:paraId="195053CD">
            <w:pPr>
              <w:jc w:val="center"/>
              <w:rPr>
                <w:rFonts w:ascii="仿宋" w:hAnsi="仿宋" w:eastAsia="仿宋" w:cs="仿宋"/>
                <w:b/>
                <w:bCs/>
                <w:color w:val="auto"/>
                <w:highlight w:val="none"/>
                <w:lang w:eastAsia="zh-CN"/>
              </w:rPr>
            </w:pPr>
          </w:p>
        </w:tc>
      </w:tr>
    </w:tbl>
    <w:p w14:paraId="2B6900B7">
      <w:pPr>
        <w:spacing w:line="360" w:lineRule="auto"/>
        <w:ind w:firstLine="475" w:firstLineChars="198"/>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备注：供应商应根据其提供的货物，对照招标文件第四</w:t>
      </w:r>
      <w:r>
        <w:rPr>
          <w:rFonts w:hint="eastAsia" w:ascii="仿宋" w:hAnsi="仿宋" w:eastAsia="仿宋" w:cs="仿宋"/>
          <w:color w:val="auto"/>
          <w:highlight w:val="none"/>
          <w:lang w:val="en-US" w:eastAsia="zh-CN"/>
        </w:rPr>
        <w:t>章</w:t>
      </w:r>
      <w:r>
        <w:rPr>
          <w:rFonts w:hint="eastAsia" w:ascii="仿宋" w:hAnsi="仿宋" w:eastAsia="仿宋" w:cs="仿宋"/>
          <w:color w:val="auto"/>
          <w:highlight w:val="none"/>
          <w:lang w:eastAsia="zh-CN"/>
        </w:rPr>
        <w:t>“ 技术规格、数量及质量要求”中的要求，有差异的，则在此表中列明实际响应的内容提要并加以说明，以便查对。本表包括所有的技术响应及差异。无差异说明表示完全响应。</w:t>
      </w:r>
    </w:p>
    <w:p w14:paraId="50CE5CDA">
      <w:pPr>
        <w:pStyle w:val="13"/>
        <w:tabs>
          <w:tab w:val="left" w:pos="5580"/>
        </w:tabs>
        <w:spacing w:line="360" w:lineRule="auto"/>
        <w:ind w:firstLine="480" w:firstLineChars="200"/>
        <w:rPr>
          <w:rFonts w:hint="default" w:ascii="仿宋" w:hAnsi="仿宋" w:eastAsia="仿宋" w:cs="仿宋"/>
          <w:color w:val="000000" w:themeColor="text1"/>
          <w:sz w:val="24"/>
          <w:lang w:val="en-US" w:eastAsia="zh-CN"/>
          <w14:textFill>
            <w14:solidFill>
              <w14:schemeClr w14:val="tx1"/>
            </w14:solidFill>
          </w14:textFill>
        </w:rPr>
      </w:pPr>
    </w:p>
    <w:p w14:paraId="430516DC">
      <w:pPr>
        <w:spacing w:line="360" w:lineRule="auto"/>
        <w:ind w:firstLine="475" w:firstLineChars="198"/>
        <w:rPr>
          <w:rFonts w:ascii="仿宋" w:hAnsi="仿宋" w:eastAsia="仿宋" w:cs="仿宋"/>
          <w:color w:val="auto"/>
          <w:highlight w:val="none"/>
          <w:lang w:eastAsia="zh-CN"/>
        </w:rPr>
      </w:pPr>
    </w:p>
    <w:p w14:paraId="71B07F16">
      <w:pPr>
        <w:pStyle w:val="13"/>
        <w:tabs>
          <w:tab w:val="left" w:pos="5580"/>
        </w:tabs>
        <w:spacing w:line="360" w:lineRule="auto"/>
        <w:ind w:firstLine="3120" w:firstLineChars="1300"/>
        <w:rPr>
          <w:rFonts w:ascii="仿宋" w:hAnsi="仿宋" w:eastAsia="仿宋" w:cs="仿宋"/>
          <w:color w:val="auto"/>
          <w:highlight w:val="none"/>
          <w:lang w:eastAsia="zh-CN"/>
        </w:rPr>
      </w:pPr>
    </w:p>
    <w:p w14:paraId="28C1F843">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737E3DEF">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5E7F4C50">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3DB96EDF">
      <w:pPr>
        <w:pStyle w:val="4"/>
        <w:rPr>
          <w:rFonts w:ascii="仿宋" w:hAnsi="仿宋" w:eastAsia="仿宋" w:cs="仿宋"/>
          <w:color w:val="auto"/>
          <w:sz w:val="36"/>
          <w:szCs w:val="36"/>
          <w:highlight w:val="none"/>
          <w:lang w:eastAsia="zh-CN"/>
        </w:rPr>
      </w:pPr>
    </w:p>
    <w:p w14:paraId="07D054BE">
      <w:pPr>
        <w:rPr>
          <w:rFonts w:ascii="仿宋" w:hAnsi="仿宋" w:eastAsia="仿宋" w:cs="仿宋"/>
          <w:color w:val="auto"/>
          <w:highlight w:val="none"/>
          <w:lang w:eastAsia="zh-CN"/>
        </w:rPr>
      </w:pPr>
    </w:p>
    <w:p w14:paraId="3E60596E">
      <w:pPr>
        <w:jc w:val="center"/>
        <w:rPr>
          <w:rFonts w:hint="eastAsia" w:ascii="仿宋" w:hAnsi="仿宋" w:eastAsia="仿宋" w:cs="仿宋"/>
          <w:b/>
          <w:bCs/>
          <w:color w:val="auto"/>
          <w:sz w:val="36"/>
          <w:szCs w:val="36"/>
          <w:highlight w:val="none"/>
          <w:lang w:eastAsia="zh-CN"/>
        </w:rPr>
      </w:pPr>
    </w:p>
    <w:p w14:paraId="13DD290A">
      <w:pPr>
        <w:jc w:val="center"/>
        <w:rPr>
          <w:rFonts w:hint="eastAsia" w:ascii="仿宋" w:hAnsi="仿宋" w:eastAsia="仿宋" w:cs="仿宋"/>
          <w:b/>
          <w:bCs/>
          <w:color w:val="auto"/>
          <w:sz w:val="36"/>
          <w:szCs w:val="36"/>
          <w:highlight w:val="none"/>
          <w:lang w:eastAsia="zh-CN"/>
        </w:rPr>
      </w:pPr>
    </w:p>
    <w:p w14:paraId="251D682E">
      <w:pPr>
        <w:jc w:val="center"/>
        <w:rPr>
          <w:rFonts w:hint="eastAsia" w:ascii="仿宋" w:hAnsi="仿宋" w:eastAsia="仿宋" w:cs="仿宋"/>
          <w:b/>
          <w:bCs/>
          <w:color w:val="auto"/>
          <w:sz w:val="36"/>
          <w:szCs w:val="36"/>
          <w:highlight w:val="none"/>
          <w:lang w:eastAsia="zh-CN"/>
        </w:rPr>
      </w:pPr>
    </w:p>
    <w:p w14:paraId="1029FC3B">
      <w:pPr>
        <w:jc w:val="center"/>
        <w:rPr>
          <w:rFonts w:hint="eastAsia" w:ascii="仿宋" w:hAnsi="仿宋" w:eastAsia="仿宋" w:cs="仿宋"/>
          <w:b/>
          <w:bCs/>
          <w:color w:val="auto"/>
          <w:sz w:val="36"/>
          <w:szCs w:val="36"/>
          <w:highlight w:val="none"/>
          <w:lang w:eastAsia="zh-CN"/>
        </w:rPr>
      </w:pPr>
    </w:p>
    <w:p w14:paraId="56F7FBBF">
      <w:pPr>
        <w:jc w:val="center"/>
        <w:rPr>
          <w:rFonts w:hint="eastAsia" w:ascii="仿宋" w:hAnsi="仿宋" w:eastAsia="仿宋" w:cs="仿宋"/>
          <w:b/>
          <w:bCs/>
          <w:color w:val="auto"/>
          <w:sz w:val="36"/>
          <w:szCs w:val="36"/>
          <w:highlight w:val="none"/>
          <w:lang w:eastAsia="zh-CN"/>
        </w:rPr>
      </w:pPr>
    </w:p>
    <w:p w14:paraId="1DEDBCC3">
      <w:pPr>
        <w:jc w:val="center"/>
        <w:rPr>
          <w:rFonts w:hint="eastAsia" w:ascii="仿宋" w:hAnsi="仿宋" w:eastAsia="仿宋" w:cs="仿宋"/>
          <w:b/>
          <w:bCs/>
          <w:color w:val="auto"/>
          <w:sz w:val="36"/>
          <w:szCs w:val="36"/>
          <w:highlight w:val="none"/>
          <w:lang w:eastAsia="zh-CN"/>
        </w:rPr>
      </w:pPr>
    </w:p>
    <w:p w14:paraId="2412D480">
      <w:pPr>
        <w:jc w:val="center"/>
        <w:rPr>
          <w:rFonts w:hint="eastAsia" w:ascii="仿宋" w:hAnsi="仿宋" w:eastAsia="仿宋" w:cs="仿宋"/>
          <w:b/>
          <w:bCs/>
          <w:color w:val="auto"/>
          <w:sz w:val="36"/>
          <w:szCs w:val="36"/>
          <w:highlight w:val="none"/>
          <w:lang w:eastAsia="zh-CN"/>
        </w:rPr>
      </w:pPr>
    </w:p>
    <w:p w14:paraId="3E8AE216">
      <w:pPr>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6、商务条款偏离表</w:t>
      </w:r>
    </w:p>
    <w:tbl>
      <w:tblPr>
        <w:tblStyle w:val="27"/>
        <w:tblW w:w="7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788"/>
        <w:gridCol w:w="2731"/>
        <w:gridCol w:w="1130"/>
      </w:tblGrid>
      <w:tr w14:paraId="700D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DD7B0E5">
            <w:pP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788" w:type="dxa"/>
          </w:tcPr>
          <w:p w14:paraId="670E0F92">
            <w:pPr>
              <w:pStyle w:val="13"/>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招标文件的商务条款</w:t>
            </w:r>
          </w:p>
        </w:tc>
        <w:tc>
          <w:tcPr>
            <w:tcW w:w="2731" w:type="dxa"/>
          </w:tcPr>
          <w:p w14:paraId="1CB9C685">
            <w:pPr>
              <w:pStyle w:val="13"/>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投标文件的商务条款</w:t>
            </w:r>
          </w:p>
        </w:tc>
        <w:tc>
          <w:tcPr>
            <w:tcW w:w="1130" w:type="dxa"/>
          </w:tcPr>
          <w:p w14:paraId="243619A7">
            <w:pPr>
              <w:pStyle w:val="13"/>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说明</w:t>
            </w:r>
          </w:p>
        </w:tc>
      </w:tr>
      <w:tr w14:paraId="4AFD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0575F66B">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788" w:type="dxa"/>
            <w:vAlign w:val="center"/>
          </w:tcPr>
          <w:p w14:paraId="0E3108EB">
            <w:pPr>
              <w:rPr>
                <w:rFonts w:ascii="仿宋" w:hAnsi="仿宋" w:eastAsia="仿宋" w:cs="仿宋"/>
                <w:color w:val="auto"/>
                <w:spacing w:val="-1"/>
                <w:highlight w:val="none"/>
              </w:rPr>
            </w:pPr>
          </w:p>
        </w:tc>
        <w:tc>
          <w:tcPr>
            <w:tcW w:w="2731" w:type="dxa"/>
            <w:vAlign w:val="center"/>
          </w:tcPr>
          <w:p w14:paraId="74E4FFF0">
            <w:pPr>
              <w:rPr>
                <w:rFonts w:ascii="仿宋" w:hAnsi="仿宋" w:eastAsia="仿宋" w:cs="仿宋"/>
                <w:color w:val="auto"/>
                <w:spacing w:val="-1"/>
                <w:highlight w:val="none"/>
              </w:rPr>
            </w:pPr>
          </w:p>
        </w:tc>
        <w:tc>
          <w:tcPr>
            <w:tcW w:w="1130" w:type="dxa"/>
            <w:vAlign w:val="center"/>
          </w:tcPr>
          <w:p w14:paraId="5B06A48A">
            <w:pPr>
              <w:rPr>
                <w:rFonts w:ascii="仿宋" w:hAnsi="仿宋" w:eastAsia="仿宋" w:cs="仿宋"/>
                <w:color w:val="auto"/>
                <w:spacing w:val="-1"/>
                <w:highlight w:val="none"/>
              </w:rPr>
            </w:pPr>
          </w:p>
        </w:tc>
      </w:tr>
      <w:tr w14:paraId="164E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0C9EEB6F">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788" w:type="dxa"/>
            <w:vAlign w:val="center"/>
          </w:tcPr>
          <w:p w14:paraId="44731946">
            <w:pPr>
              <w:rPr>
                <w:rFonts w:ascii="仿宋" w:hAnsi="仿宋" w:eastAsia="仿宋" w:cs="仿宋"/>
                <w:color w:val="auto"/>
                <w:spacing w:val="-1"/>
                <w:highlight w:val="none"/>
              </w:rPr>
            </w:pPr>
          </w:p>
        </w:tc>
        <w:tc>
          <w:tcPr>
            <w:tcW w:w="2731" w:type="dxa"/>
            <w:vAlign w:val="center"/>
          </w:tcPr>
          <w:p w14:paraId="1D232A33">
            <w:pPr>
              <w:rPr>
                <w:rFonts w:ascii="仿宋" w:hAnsi="仿宋" w:eastAsia="仿宋" w:cs="仿宋"/>
                <w:color w:val="auto"/>
                <w:spacing w:val="-1"/>
                <w:highlight w:val="none"/>
              </w:rPr>
            </w:pPr>
          </w:p>
        </w:tc>
        <w:tc>
          <w:tcPr>
            <w:tcW w:w="1130" w:type="dxa"/>
            <w:vAlign w:val="center"/>
          </w:tcPr>
          <w:p w14:paraId="61735AC9">
            <w:pPr>
              <w:rPr>
                <w:rFonts w:ascii="仿宋" w:hAnsi="仿宋" w:eastAsia="仿宋" w:cs="仿宋"/>
                <w:color w:val="auto"/>
                <w:spacing w:val="-1"/>
                <w:highlight w:val="none"/>
              </w:rPr>
            </w:pPr>
          </w:p>
        </w:tc>
      </w:tr>
      <w:tr w14:paraId="3D8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C0DCE49">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788" w:type="dxa"/>
            <w:vAlign w:val="center"/>
          </w:tcPr>
          <w:p w14:paraId="5CD67657">
            <w:pPr>
              <w:rPr>
                <w:rFonts w:ascii="仿宋" w:hAnsi="仿宋" w:eastAsia="仿宋" w:cs="仿宋"/>
                <w:color w:val="auto"/>
                <w:spacing w:val="-1"/>
                <w:highlight w:val="none"/>
              </w:rPr>
            </w:pPr>
          </w:p>
        </w:tc>
        <w:tc>
          <w:tcPr>
            <w:tcW w:w="2731" w:type="dxa"/>
            <w:vAlign w:val="center"/>
          </w:tcPr>
          <w:p w14:paraId="6D469564">
            <w:pPr>
              <w:rPr>
                <w:rFonts w:ascii="仿宋" w:hAnsi="仿宋" w:eastAsia="仿宋" w:cs="仿宋"/>
                <w:color w:val="auto"/>
                <w:spacing w:val="-1"/>
                <w:highlight w:val="none"/>
              </w:rPr>
            </w:pPr>
          </w:p>
        </w:tc>
        <w:tc>
          <w:tcPr>
            <w:tcW w:w="1130" w:type="dxa"/>
            <w:vAlign w:val="center"/>
          </w:tcPr>
          <w:p w14:paraId="6498CB71">
            <w:pPr>
              <w:rPr>
                <w:rFonts w:ascii="仿宋" w:hAnsi="仿宋" w:eastAsia="仿宋" w:cs="仿宋"/>
                <w:color w:val="auto"/>
                <w:spacing w:val="-1"/>
                <w:highlight w:val="none"/>
              </w:rPr>
            </w:pPr>
          </w:p>
        </w:tc>
      </w:tr>
      <w:tr w14:paraId="0331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43D2ED8">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788" w:type="dxa"/>
            <w:vAlign w:val="center"/>
          </w:tcPr>
          <w:p w14:paraId="4D4D669A">
            <w:pPr>
              <w:rPr>
                <w:rFonts w:ascii="仿宋" w:hAnsi="仿宋" w:eastAsia="仿宋" w:cs="仿宋"/>
                <w:color w:val="auto"/>
                <w:spacing w:val="-1"/>
                <w:highlight w:val="none"/>
              </w:rPr>
            </w:pPr>
          </w:p>
        </w:tc>
        <w:tc>
          <w:tcPr>
            <w:tcW w:w="2731" w:type="dxa"/>
            <w:vAlign w:val="center"/>
          </w:tcPr>
          <w:p w14:paraId="4AA51B90">
            <w:pPr>
              <w:rPr>
                <w:rFonts w:ascii="仿宋" w:hAnsi="仿宋" w:eastAsia="仿宋" w:cs="仿宋"/>
                <w:color w:val="auto"/>
                <w:spacing w:val="-1"/>
                <w:highlight w:val="none"/>
              </w:rPr>
            </w:pPr>
          </w:p>
        </w:tc>
        <w:tc>
          <w:tcPr>
            <w:tcW w:w="1130" w:type="dxa"/>
            <w:vAlign w:val="center"/>
          </w:tcPr>
          <w:p w14:paraId="5B5FB5E5">
            <w:pPr>
              <w:rPr>
                <w:rFonts w:ascii="仿宋" w:hAnsi="仿宋" w:eastAsia="仿宋" w:cs="仿宋"/>
                <w:color w:val="auto"/>
                <w:spacing w:val="-1"/>
                <w:highlight w:val="none"/>
              </w:rPr>
            </w:pPr>
          </w:p>
        </w:tc>
      </w:tr>
      <w:tr w14:paraId="4424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7218F6C3">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788" w:type="dxa"/>
            <w:vAlign w:val="center"/>
          </w:tcPr>
          <w:p w14:paraId="6E60293C">
            <w:pPr>
              <w:rPr>
                <w:rFonts w:ascii="仿宋" w:hAnsi="仿宋" w:eastAsia="仿宋" w:cs="仿宋"/>
                <w:color w:val="auto"/>
                <w:spacing w:val="-1"/>
                <w:highlight w:val="none"/>
              </w:rPr>
            </w:pPr>
          </w:p>
        </w:tc>
        <w:tc>
          <w:tcPr>
            <w:tcW w:w="2731" w:type="dxa"/>
            <w:vAlign w:val="center"/>
          </w:tcPr>
          <w:p w14:paraId="7822B266">
            <w:pPr>
              <w:rPr>
                <w:rFonts w:ascii="仿宋" w:hAnsi="仿宋" w:eastAsia="仿宋" w:cs="仿宋"/>
                <w:color w:val="auto"/>
                <w:spacing w:val="-1"/>
                <w:highlight w:val="none"/>
              </w:rPr>
            </w:pPr>
          </w:p>
        </w:tc>
        <w:tc>
          <w:tcPr>
            <w:tcW w:w="1130" w:type="dxa"/>
            <w:vAlign w:val="center"/>
          </w:tcPr>
          <w:p w14:paraId="571143BF">
            <w:pPr>
              <w:rPr>
                <w:rFonts w:ascii="仿宋" w:hAnsi="仿宋" w:eastAsia="仿宋" w:cs="仿宋"/>
                <w:color w:val="auto"/>
                <w:spacing w:val="-1"/>
                <w:highlight w:val="none"/>
              </w:rPr>
            </w:pPr>
          </w:p>
        </w:tc>
      </w:tr>
      <w:tr w14:paraId="34AA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4508B717">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788" w:type="dxa"/>
            <w:vAlign w:val="center"/>
          </w:tcPr>
          <w:p w14:paraId="28E695EF">
            <w:pPr>
              <w:rPr>
                <w:rFonts w:ascii="仿宋" w:hAnsi="仿宋" w:eastAsia="仿宋" w:cs="仿宋"/>
                <w:color w:val="auto"/>
                <w:spacing w:val="-1"/>
                <w:highlight w:val="none"/>
              </w:rPr>
            </w:pPr>
          </w:p>
        </w:tc>
        <w:tc>
          <w:tcPr>
            <w:tcW w:w="2731" w:type="dxa"/>
            <w:vAlign w:val="center"/>
          </w:tcPr>
          <w:p w14:paraId="323F9520">
            <w:pPr>
              <w:rPr>
                <w:rFonts w:ascii="仿宋" w:hAnsi="仿宋" w:eastAsia="仿宋" w:cs="仿宋"/>
                <w:color w:val="auto"/>
                <w:spacing w:val="-1"/>
                <w:highlight w:val="none"/>
              </w:rPr>
            </w:pPr>
          </w:p>
        </w:tc>
        <w:tc>
          <w:tcPr>
            <w:tcW w:w="1130" w:type="dxa"/>
            <w:vAlign w:val="center"/>
          </w:tcPr>
          <w:p w14:paraId="54559DF4">
            <w:pPr>
              <w:rPr>
                <w:rFonts w:ascii="仿宋" w:hAnsi="仿宋" w:eastAsia="仿宋" w:cs="仿宋"/>
                <w:color w:val="auto"/>
                <w:spacing w:val="-1"/>
                <w:highlight w:val="none"/>
              </w:rPr>
            </w:pPr>
          </w:p>
        </w:tc>
      </w:tr>
      <w:tr w14:paraId="6115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427B977A">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788" w:type="dxa"/>
            <w:vAlign w:val="center"/>
          </w:tcPr>
          <w:p w14:paraId="6477762D">
            <w:pPr>
              <w:rPr>
                <w:rFonts w:ascii="仿宋" w:hAnsi="仿宋" w:eastAsia="仿宋" w:cs="仿宋"/>
                <w:color w:val="auto"/>
                <w:spacing w:val="-1"/>
                <w:highlight w:val="none"/>
              </w:rPr>
            </w:pPr>
          </w:p>
        </w:tc>
        <w:tc>
          <w:tcPr>
            <w:tcW w:w="2731" w:type="dxa"/>
            <w:vAlign w:val="center"/>
          </w:tcPr>
          <w:p w14:paraId="51D2EC99">
            <w:pPr>
              <w:rPr>
                <w:rFonts w:ascii="仿宋" w:hAnsi="仿宋" w:eastAsia="仿宋" w:cs="仿宋"/>
                <w:color w:val="auto"/>
                <w:spacing w:val="-1"/>
                <w:highlight w:val="none"/>
              </w:rPr>
            </w:pPr>
          </w:p>
        </w:tc>
        <w:tc>
          <w:tcPr>
            <w:tcW w:w="1130" w:type="dxa"/>
            <w:vAlign w:val="center"/>
          </w:tcPr>
          <w:p w14:paraId="1544C636">
            <w:pPr>
              <w:rPr>
                <w:rFonts w:ascii="仿宋" w:hAnsi="仿宋" w:eastAsia="仿宋" w:cs="仿宋"/>
                <w:color w:val="auto"/>
                <w:spacing w:val="-1"/>
                <w:highlight w:val="none"/>
              </w:rPr>
            </w:pPr>
          </w:p>
        </w:tc>
      </w:tr>
      <w:tr w14:paraId="76EB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40B1820A">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788" w:type="dxa"/>
            <w:vAlign w:val="center"/>
          </w:tcPr>
          <w:p w14:paraId="41B9C89C">
            <w:pPr>
              <w:rPr>
                <w:rFonts w:ascii="仿宋" w:hAnsi="仿宋" w:eastAsia="仿宋" w:cs="仿宋"/>
                <w:color w:val="auto"/>
                <w:spacing w:val="-1"/>
                <w:highlight w:val="none"/>
              </w:rPr>
            </w:pPr>
          </w:p>
        </w:tc>
        <w:tc>
          <w:tcPr>
            <w:tcW w:w="2731" w:type="dxa"/>
            <w:vAlign w:val="center"/>
          </w:tcPr>
          <w:p w14:paraId="03055361">
            <w:pPr>
              <w:rPr>
                <w:rFonts w:ascii="仿宋" w:hAnsi="仿宋" w:eastAsia="仿宋" w:cs="仿宋"/>
                <w:color w:val="auto"/>
                <w:spacing w:val="-1"/>
                <w:highlight w:val="none"/>
              </w:rPr>
            </w:pPr>
          </w:p>
        </w:tc>
        <w:tc>
          <w:tcPr>
            <w:tcW w:w="1130" w:type="dxa"/>
            <w:vAlign w:val="center"/>
          </w:tcPr>
          <w:p w14:paraId="6C7C1A2B">
            <w:pPr>
              <w:rPr>
                <w:rFonts w:ascii="仿宋" w:hAnsi="仿宋" w:eastAsia="仿宋" w:cs="仿宋"/>
                <w:color w:val="auto"/>
                <w:spacing w:val="-1"/>
                <w:highlight w:val="none"/>
              </w:rPr>
            </w:pPr>
          </w:p>
        </w:tc>
      </w:tr>
      <w:tr w14:paraId="5C22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3E6C3625">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788" w:type="dxa"/>
            <w:vAlign w:val="center"/>
          </w:tcPr>
          <w:p w14:paraId="5BD565E4">
            <w:pPr>
              <w:rPr>
                <w:rFonts w:ascii="仿宋" w:hAnsi="仿宋" w:eastAsia="仿宋" w:cs="仿宋"/>
                <w:color w:val="auto"/>
                <w:spacing w:val="-1"/>
                <w:highlight w:val="none"/>
              </w:rPr>
            </w:pPr>
          </w:p>
        </w:tc>
        <w:tc>
          <w:tcPr>
            <w:tcW w:w="2731" w:type="dxa"/>
            <w:vAlign w:val="center"/>
          </w:tcPr>
          <w:p w14:paraId="5809AD95">
            <w:pPr>
              <w:rPr>
                <w:rFonts w:ascii="仿宋" w:hAnsi="仿宋" w:eastAsia="仿宋" w:cs="仿宋"/>
                <w:color w:val="auto"/>
                <w:spacing w:val="-1"/>
                <w:highlight w:val="none"/>
              </w:rPr>
            </w:pPr>
          </w:p>
        </w:tc>
        <w:tc>
          <w:tcPr>
            <w:tcW w:w="1130" w:type="dxa"/>
            <w:vAlign w:val="center"/>
          </w:tcPr>
          <w:p w14:paraId="6EC12CF9">
            <w:pPr>
              <w:rPr>
                <w:rFonts w:ascii="仿宋" w:hAnsi="仿宋" w:eastAsia="仿宋" w:cs="仿宋"/>
                <w:color w:val="auto"/>
                <w:spacing w:val="-1"/>
                <w:highlight w:val="none"/>
              </w:rPr>
            </w:pPr>
          </w:p>
        </w:tc>
      </w:tr>
      <w:tr w14:paraId="0C46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1902E7EE">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788" w:type="dxa"/>
            <w:vAlign w:val="center"/>
          </w:tcPr>
          <w:p w14:paraId="63C79021">
            <w:pPr>
              <w:rPr>
                <w:rFonts w:ascii="仿宋" w:hAnsi="仿宋" w:eastAsia="仿宋" w:cs="仿宋"/>
                <w:color w:val="auto"/>
                <w:spacing w:val="-1"/>
                <w:highlight w:val="none"/>
              </w:rPr>
            </w:pPr>
          </w:p>
        </w:tc>
        <w:tc>
          <w:tcPr>
            <w:tcW w:w="2731" w:type="dxa"/>
            <w:vAlign w:val="center"/>
          </w:tcPr>
          <w:p w14:paraId="43DCB05A">
            <w:pPr>
              <w:rPr>
                <w:rFonts w:ascii="仿宋" w:hAnsi="仿宋" w:eastAsia="仿宋" w:cs="仿宋"/>
                <w:color w:val="auto"/>
                <w:spacing w:val="-1"/>
                <w:highlight w:val="none"/>
              </w:rPr>
            </w:pPr>
          </w:p>
        </w:tc>
        <w:tc>
          <w:tcPr>
            <w:tcW w:w="1130" w:type="dxa"/>
            <w:vAlign w:val="center"/>
          </w:tcPr>
          <w:p w14:paraId="2989C07A">
            <w:pPr>
              <w:rPr>
                <w:rFonts w:ascii="仿宋" w:hAnsi="仿宋" w:eastAsia="仿宋" w:cs="仿宋"/>
                <w:color w:val="auto"/>
                <w:spacing w:val="-1"/>
                <w:highlight w:val="none"/>
              </w:rPr>
            </w:pPr>
          </w:p>
        </w:tc>
      </w:tr>
      <w:tr w14:paraId="6AB5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32511FA7">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11</w:t>
            </w:r>
          </w:p>
        </w:tc>
        <w:tc>
          <w:tcPr>
            <w:tcW w:w="2788" w:type="dxa"/>
            <w:vAlign w:val="center"/>
          </w:tcPr>
          <w:p w14:paraId="23C90A1C">
            <w:pPr>
              <w:rPr>
                <w:rFonts w:ascii="仿宋" w:hAnsi="仿宋" w:eastAsia="仿宋" w:cs="仿宋"/>
                <w:color w:val="auto"/>
                <w:spacing w:val="-1"/>
                <w:highlight w:val="none"/>
              </w:rPr>
            </w:pPr>
          </w:p>
        </w:tc>
        <w:tc>
          <w:tcPr>
            <w:tcW w:w="2731" w:type="dxa"/>
            <w:vAlign w:val="center"/>
          </w:tcPr>
          <w:p w14:paraId="303AF4B5">
            <w:pPr>
              <w:rPr>
                <w:rFonts w:ascii="仿宋" w:hAnsi="仿宋" w:eastAsia="仿宋" w:cs="仿宋"/>
                <w:color w:val="auto"/>
                <w:spacing w:val="-1"/>
                <w:highlight w:val="none"/>
              </w:rPr>
            </w:pPr>
          </w:p>
        </w:tc>
        <w:tc>
          <w:tcPr>
            <w:tcW w:w="1130" w:type="dxa"/>
            <w:vAlign w:val="center"/>
          </w:tcPr>
          <w:p w14:paraId="54420BE0">
            <w:pPr>
              <w:rPr>
                <w:rFonts w:ascii="仿宋" w:hAnsi="仿宋" w:eastAsia="仿宋" w:cs="仿宋"/>
                <w:color w:val="auto"/>
                <w:spacing w:val="-1"/>
                <w:highlight w:val="none"/>
              </w:rPr>
            </w:pPr>
          </w:p>
        </w:tc>
      </w:tr>
      <w:tr w14:paraId="7957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11966FF">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12</w:t>
            </w:r>
          </w:p>
        </w:tc>
        <w:tc>
          <w:tcPr>
            <w:tcW w:w="2788" w:type="dxa"/>
            <w:vAlign w:val="center"/>
          </w:tcPr>
          <w:p w14:paraId="31521169">
            <w:pPr>
              <w:rPr>
                <w:rFonts w:ascii="仿宋" w:hAnsi="仿宋" w:eastAsia="仿宋" w:cs="仿宋"/>
                <w:color w:val="auto"/>
                <w:spacing w:val="-1"/>
                <w:highlight w:val="none"/>
              </w:rPr>
            </w:pPr>
          </w:p>
        </w:tc>
        <w:tc>
          <w:tcPr>
            <w:tcW w:w="2731" w:type="dxa"/>
            <w:vAlign w:val="center"/>
          </w:tcPr>
          <w:p w14:paraId="66133092">
            <w:pPr>
              <w:rPr>
                <w:rFonts w:ascii="仿宋" w:hAnsi="仿宋" w:eastAsia="仿宋" w:cs="仿宋"/>
                <w:color w:val="auto"/>
                <w:spacing w:val="-1"/>
                <w:highlight w:val="none"/>
              </w:rPr>
            </w:pPr>
          </w:p>
        </w:tc>
        <w:tc>
          <w:tcPr>
            <w:tcW w:w="1130" w:type="dxa"/>
            <w:vAlign w:val="center"/>
          </w:tcPr>
          <w:p w14:paraId="5DA9FF18">
            <w:pPr>
              <w:rPr>
                <w:rFonts w:ascii="仿宋" w:hAnsi="仿宋" w:eastAsia="仿宋" w:cs="仿宋"/>
                <w:color w:val="auto"/>
                <w:spacing w:val="-1"/>
                <w:highlight w:val="none"/>
              </w:rPr>
            </w:pPr>
          </w:p>
        </w:tc>
      </w:tr>
      <w:tr w14:paraId="31FC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292A3E50">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13</w:t>
            </w:r>
          </w:p>
        </w:tc>
        <w:tc>
          <w:tcPr>
            <w:tcW w:w="2788" w:type="dxa"/>
            <w:vAlign w:val="center"/>
          </w:tcPr>
          <w:p w14:paraId="1FDC95D5">
            <w:pPr>
              <w:rPr>
                <w:rFonts w:ascii="仿宋" w:hAnsi="仿宋" w:eastAsia="仿宋" w:cs="仿宋"/>
                <w:color w:val="auto"/>
                <w:spacing w:val="-1"/>
                <w:highlight w:val="none"/>
              </w:rPr>
            </w:pPr>
          </w:p>
        </w:tc>
        <w:tc>
          <w:tcPr>
            <w:tcW w:w="2731" w:type="dxa"/>
            <w:vAlign w:val="center"/>
          </w:tcPr>
          <w:p w14:paraId="343C49A6">
            <w:pPr>
              <w:rPr>
                <w:rFonts w:ascii="仿宋" w:hAnsi="仿宋" w:eastAsia="仿宋" w:cs="仿宋"/>
                <w:color w:val="auto"/>
                <w:spacing w:val="-1"/>
                <w:highlight w:val="none"/>
              </w:rPr>
            </w:pPr>
          </w:p>
        </w:tc>
        <w:tc>
          <w:tcPr>
            <w:tcW w:w="1130" w:type="dxa"/>
            <w:vAlign w:val="center"/>
          </w:tcPr>
          <w:p w14:paraId="406348D8">
            <w:pPr>
              <w:rPr>
                <w:rFonts w:ascii="仿宋" w:hAnsi="仿宋" w:eastAsia="仿宋" w:cs="仿宋"/>
                <w:color w:val="auto"/>
                <w:spacing w:val="-1"/>
                <w:highlight w:val="none"/>
              </w:rPr>
            </w:pPr>
          </w:p>
        </w:tc>
      </w:tr>
      <w:tr w14:paraId="2EFE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A3A23DC">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14</w:t>
            </w:r>
          </w:p>
        </w:tc>
        <w:tc>
          <w:tcPr>
            <w:tcW w:w="2788" w:type="dxa"/>
            <w:vAlign w:val="center"/>
          </w:tcPr>
          <w:p w14:paraId="0F016AC8">
            <w:pPr>
              <w:rPr>
                <w:rFonts w:ascii="仿宋" w:hAnsi="仿宋" w:eastAsia="仿宋" w:cs="仿宋"/>
                <w:color w:val="auto"/>
                <w:spacing w:val="-1"/>
                <w:highlight w:val="none"/>
              </w:rPr>
            </w:pPr>
          </w:p>
        </w:tc>
        <w:tc>
          <w:tcPr>
            <w:tcW w:w="2731" w:type="dxa"/>
            <w:vAlign w:val="center"/>
          </w:tcPr>
          <w:p w14:paraId="45F43A4D">
            <w:pPr>
              <w:rPr>
                <w:rFonts w:ascii="仿宋" w:hAnsi="仿宋" w:eastAsia="仿宋" w:cs="仿宋"/>
                <w:color w:val="auto"/>
                <w:spacing w:val="-1"/>
                <w:highlight w:val="none"/>
              </w:rPr>
            </w:pPr>
          </w:p>
        </w:tc>
        <w:tc>
          <w:tcPr>
            <w:tcW w:w="1130" w:type="dxa"/>
            <w:vAlign w:val="center"/>
          </w:tcPr>
          <w:p w14:paraId="577DABF8">
            <w:pPr>
              <w:rPr>
                <w:rFonts w:ascii="仿宋" w:hAnsi="仿宋" w:eastAsia="仿宋" w:cs="仿宋"/>
                <w:color w:val="auto"/>
                <w:spacing w:val="-1"/>
                <w:highlight w:val="none"/>
              </w:rPr>
            </w:pPr>
          </w:p>
        </w:tc>
      </w:tr>
      <w:tr w14:paraId="504A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0C4A3A79">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15</w:t>
            </w:r>
          </w:p>
        </w:tc>
        <w:tc>
          <w:tcPr>
            <w:tcW w:w="2788" w:type="dxa"/>
            <w:vAlign w:val="center"/>
          </w:tcPr>
          <w:p w14:paraId="699C2067">
            <w:pPr>
              <w:rPr>
                <w:rFonts w:ascii="仿宋" w:hAnsi="仿宋" w:eastAsia="仿宋" w:cs="仿宋"/>
                <w:color w:val="auto"/>
                <w:spacing w:val="-1"/>
                <w:highlight w:val="none"/>
              </w:rPr>
            </w:pPr>
          </w:p>
        </w:tc>
        <w:tc>
          <w:tcPr>
            <w:tcW w:w="2731" w:type="dxa"/>
            <w:vAlign w:val="center"/>
          </w:tcPr>
          <w:p w14:paraId="440488F4">
            <w:pPr>
              <w:rPr>
                <w:rFonts w:ascii="仿宋" w:hAnsi="仿宋" w:eastAsia="仿宋" w:cs="仿宋"/>
                <w:color w:val="auto"/>
                <w:spacing w:val="-1"/>
                <w:highlight w:val="none"/>
              </w:rPr>
            </w:pPr>
          </w:p>
        </w:tc>
        <w:tc>
          <w:tcPr>
            <w:tcW w:w="1130" w:type="dxa"/>
            <w:vAlign w:val="center"/>
          </w:tcPr>
          <w:p w14:paraId="760A48E3">
            <w:pPr>
              <w:rPr>
                <w:rFonts w:ascii="仿宋" w:hAnsi="仿宋" w:eastAsia="仿宋" w:cs="仿宋"/>
                <w:color w:val="auto"/>
                <w:spacing w:val="-1"/>
                <w:highlight w:val="none"/>
              </w:rPr>
            </w:pPr>
          </w:p>
        </w:tc>
      </w:tr>
    </w:tbl>
    <w:p w14:paraId="58303C55">
      <w:pPr>
        <w:pStyle w:val="13"/>
        <w:tabs>
          <w:tab w:val="left" w:pos="5580"/>
        </w:tabs>
        <w:spacing w:line="360" w:lineRule="auto"/>
        <w:ind w:firstLine="476" w:firstLineChars="20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auto"/>
          <w:spacing w:val="-1"/>
          <w:highlight w:val="none"/>
          <w:lang w:eastAsia="zh-CN"/>
        </w:rPr>
        <w:t>注：</w:t>
      </w:r>
      <w:r>
        <w:rPr>
          <w:rFonts w:hint="eastAsia" w:ascii="仿宋" w:hAnsi="仿宋" w:eastAsia="仿宋" w:cs="仿宋"/>
          <w:color w:val="auto"/>
          <w:spacing w:val="-1"/>
          <w:kern w:val="0"/>
          <w:sz w:val="24"/>
        </w:rPr>
        <w:t>凡投标文件中商务条款（包括供货期、付款</w:t>
      </w:r>
      <w:r>
        <w:rPr>
          <w:rFonts w:hint="eastAsia" w:ascii="仿宋" w:hAnsi="仿宋" w:eastAsia="仿宋" w:cs="仿宋"/>
          <w:color w:val="auto"/>
          <w:spacing w:val="-1"/>
          <w:kern w:val="0"/>
          <w:sz w:val="24"/>
          <w:lang w:eastAsia="zh-CN"/>
        </w:rPr>
        <w:t>方式</w:t>
      </w:r>
      <w:r>
        <w:rPr>
          <w:rFonts w:hint="eastAsia" w:ascii="仿宋" w:hAnsi="仿宋" w:eastAsia="仿宋" w:cs="仿宋"/>
          <w:color w:val="auto"/>
          <w:spacing w:val="-1"/>
          <w:kern w:val="0"/>
          <w:sz w:val="24"/>
        </w:rPr>
        <w:t>、</w:t>
      </w:r>
      <w:r>
        <w:rPr>
          <w:rFonts w:hint="eastAsia" w:ascii="仿宋" w:hAnsi="仿宋" w:eastAsia="仿宋" w:cs="仿宋"/>
          <w:color w:val="auto"/>
          <w:spacing w:val="-1"/>
          <w:kern w:val="0"/>
          <w:sz w:val="24"/>
          <w:lang w:eastAsia="zh-CN"/>
        </w:rPr>
        <w:t>投标保证金、</w:t>
      </w:r>
      <w:r>
        <w:rPr>
          <w:rFonts w:hint="eastAsia" w:ascii="仿宋" w:hAnsi="仿宋" w:eastAsia="仿宋" w:cs="仿宋"/>
          <w:color w:val="auto"/>
          <w:spacing w:val="-1"/>
          <w:kern w:val="0"/>
          <w:sz w:val="24"/>
        </w:rPr>
        <w:t>合同条款以及其它所有商务内容）与</w:t>
      </w:r>
      <w:r>
        <w:rPr>
          <w:rFonts w:hint="eastAsia" w:ascii="仿宋" w:hAnsi="仿宋" w:eastAsia="仿宋" w:cs="仿宋"/>
          <w:color w:val="auto"/>
          <w:spacing w:val="-1"/>
          <w:kern w:val="0"/>
          <w:sz w:val="24"/>
          <w:lang w:eastAsia="zh-CN"/>
        </w:rPr>
        <w:t>招标</w:t>
      </w:r>
      <w:r>
        <w:rPr>
          <w:rFonts w:hint="eastAsia" w:ascii="仿宋" w:hAnsi="仿宋" w:eastAsia="仿宋" w:cs="仿宋"/>
          <w:color w:val="auto"/>
          <w:spacing w:val="-1"/>
          <w:kern w:val="0"/>
          <w:sz w:val="24"/>
        </w:rPr>
        <w:t>文件存在正偏差的，均应在此表中列出（不允许存在负偏离），未在此表中列出的视同完全满足</w:t>
      </w:r>
      <w:r>
        <w:rPr>
          <w:rFonts w:hint="eastAsia" w:ascii="仿宋" w:hAnsi="仿宋" w:eastAsia="仿宋" w:cs="仿宋"/>
          <w:color w:val="auto"/>
          <w:spacing w:val="-1"/>
          <w:kern w:val="0"/>
          <w:sz w:val="24"/>
          <w:lang w:eastAsia="zh-CN"/>
        </w:rPr>
        <w:t>招标文件</w:t>
      </w:r>
      <w:r>
        <w:rPr>
          <w:rFonts w:hint="eastAsia" w:ascii="仿宋" w:hAnsi="仿宋" w:eastAsia="仿宋" w:cs="仿宋"/>
          <w:color w:val="auto"/>
          <w:spacing w:val="-1"/>
          <w:kern w:val="0"/>
          <w:sz w:val="24"/>
        </w:rPr>
        <w:t>要求。</w:t>
      </w:r>
    </w:p>
    <w:p w14:paraId="12BE0A23">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484640A6">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29472F83">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26033907">
      <w:pPr>
        <w:jc w:val="center"/>
        <w:rPr>
          <w:rFonts w:hint="eastAsia" w:ascii="仿宋" w:hAnsi="仿宋" w:eastAsia="仿宋" w:cs="仿宋"/>
          <w:b/>
          <w:bCs/>
          <w:color w:val="auto"/>
          <w:sz w:val="36"/>
          <w:szCs w:val="36"/>
          <w:highlight w:val="none"/>
          <w:lang w:eastAsia="zh-CN"/>
        </w:rPr>
      </w:pPr>
    </w:p>
    <w:p w14:paraId="3DC0D98A">
      <w:pPr>
        <w:jc w:val="center"/>
        <w:rPr>
          <w:rFonts w:hint="eastAsia" w:ascii="仿宋" w:hAnsi="仿宋" w:eastAsia="仿宋" w:cs="仿宋"/>
          <w:b/>
          <w:bCs/>
          <w:color w:val="auto"/>
          <w:sz w:val="36"/>
          <w:szCs w:val="36"/>
          <w:highlight w:val="none"/>
          <w:lang w:eastAsia="zh-CN"/>
        </w:rPr>
      </w:pPr>
    </w:p>
    <w:p w14:paraId="434235B9">
      <w:pPr>
        <w:jc w:val="center"/>
        <w:rPr>
          <w:rFonts w:hint="eastAsia" w:ascii="仿宋" w:hAnsi="仿宋" w:eastAsia="仿宋" w:cs="仿宋"/>
          <w:b/>
          <w:bCs/>
          <w:color w:val="auto"/>
          <w:sz w:val="36"/>
          <w:szCs w:val="36"/>
          <w:highlight w:val="none"/>
          <w:lang w:eastAsia="zh-CN"/>
        </w:rPr>
      </w:pPr>
    </w:p>
    <w:p w14:paraId="5782BF15">
      <w:pPr>
        <w:jc w:val="center"/>
        <w:rPr>
          <w:rFonts w:hint="eastAsia" w:ascii="仿宋" w:hAnsi="仿宋" w:eastAsia="仿宋" w:cs="仿宋"/>
          <w:b/>
          <w:bCs/>
          <w:color w:val="auto"/>
          <w:sz w:val="36"/>
          <w:szCs w:val="36"/>
          <w:highlight w:val="none"/>
          <w:lang w:eastAsia="zh-CN"/>
        </w:rPr>
      </w:pPr>
    </w:p>
    <w:p w14:paraId="6A044593">
      <w:pPr>
        <w:jc w:val="center"/>
        <w:rPr>
          <w:rFonts w:hint="eastAsia" w:ascii="仿宋" w:hAnsi="仿宋" w:eastAsia="仿宋" w:cs="仿宋"/>
          <w:b/>
          <w:bCs/>
          <w:color w:val="auto"/>
          <w:sz w:val="36"/>
          <w:szCs w:val="36"/>
          <w:highlight w:val="none"/>
          <w:lang w:eastAsia="zh-CN"/>
        </w:rPr>
      </w:pPr>
    </w:p>
    <w:p w14:paraId="78C30299">
      <w:pPr>
        <w:jc w:val="center"/>
        <w:rPr>
          <w:rFonts w:hint="eastAsia" w:ascii="仿宋" w:hAnsi="仿宋" w:eastAsia="仿宋" w:cs="仿宋"/>
          <w:b/>
          <w:bCs/>
          <w:color w:val="auto"/>
          <w:sz w:val="36"/>
          <w:szCs w:val="36"/>
          <w:highlight w:val="none"/>
          <w:lang w:eastAsia="zh-CN"/>
        </w:rPr>
      </w:pPr>
    </w:p>
    <w:p w14:paraId="235CB680">
      <w:pPr>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7、投标人基本情况表</w:t>
      </w:r>
    </w:p>
    <w:p w14:paraId="6E39F1D2">
      <w:pPr>
        <w:pStyle w:val="10"/>
        <w:numPr>
          <w:ilvl w:val="0"/>
          <w:numId w:val="0"/>
        </w:numPr>
        <w:kinsoku w:val="0"/>
        <w:overflowPunct w:val="0"/>
        <w:spacing w:before="5"/>
        <w:rPr>
          <w:rFonts w:ascii="仿宋" w:hAnsi="仿宋" w:eastAsia="仿宋" w:cs="仿宋"/>
          <w:b/>
          <w:bCs/>
          <w:color w:val="auto"/>
          <w:sz w:val="6"/>
          <w:szCs w:val="6"/>
          <w:highlight w:val="none"/>
          <w:lang w:eastAsia="zh-CN"/>
        </w:rPr>
      </w:pPr>
    </w:p>
    <w:tbl>
      <w:tblPr>
        <w:tblStyle w:val="2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0D3E3D8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1F1F45E">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3C739A35">
            <w:pPr>
              <w:rPr>
                <w:rFonts w:ascii="仿宋" w:hAnsi="仿宋" w:eastAsia="仿宋" w:cs="仿宋"/>
                <w:color w:val="auto"/>
                <w:highlight w:val="none"/>
              </w:rPr>
            </w:pPr>
          </w:p>
        </w:tc>
      </w:tr>
      <w:tr w14:paraId="3C70CCD4">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2B2B7B4">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260A50AE">
            <w:pPr>
              <w:rPr>
                <w:rFonts w:ascii="仿宋" w:hAnsi="仿宋" w:eastAsia="仿宋" w:cs="仿宋"/>
                <w:color w:val="auto"/>
                <w:highlight w:val="none"/>
              </w:rPr>
            </w:pPr>
          </w:p>
        </w:tc>
      </w:tr>
      <w:tr w14:paraId="24C5234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22632E0">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EEE51CB">
            <w:pPr>
              <w:rPr>
                <w:rFonts w:ascii="仿宋" w:hAnsi="仿宋" w:eastAsia="仿宋" w:cs="仿宋"/>
                <w:color w:val="auto"/>
                <w:highlight w:val="none"/>
              </w:rPr>
            </w:pPr>
          </w:p>
        </w:tc>
      </w:tr>
      <w:tr w14:paraId="7A74269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EA8805C">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1D7637ED">
            <w:pPr>
              <w:rPr>
                <w:rFonts w:ascii="仿宋" w:hAnsi="仿宋" w:eastAsia="仿宋" w:cs="仿宋"/>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14:paraId="4B232BB2">
            <w:pPr>
              <w:pStyle w:val="45"/>
              <w:kinsoku w:val="0"/>
              <w:overflowPunct w:val="0"/>
              <w:spacing w:before="145"/>
              <w:ind w:left="181"/>
              <w:rPr>
                <w:rFonts w:ascii="仿宋" w:hAnsi="仿宋" w:eastAsia="仿宋" w:cs="仿宋"/>
                <w:color w:val="auto"/>
                <w:highlight w:val="none"/>
              </w:rPr>
            </w:pPr>
            <w:r>
              <w:rPr>
                <w:rFonts w:hint="eastAsia" w:ascii="仿宋" w:hAnsi="仿宋" w:eastAsia="仿宋" w:cs="仿宋"/>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441646F5">
            <w:pPr>
              <w:rPr>
                <w:rFonts w:ascii="仿宋" w:hAnsi="仿宋" w:eastAsia="仿宋" w:cs="仿宋"/>
                <w:color w:val="auto"/>
                <w:highlight w:val="none"/>
              </w:rPr>
            </w:pPr>
          </w:p>
        </w:tc>
      </w:tr>
      <w:tr w14:paraId="0BF755BF">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DEA18CC">
            <w:pPr>
              <w:pStyle w:val="45"/>
              <w:kinsoku w:val="0"/>
              <w:overflowPunct w:val="0"/>
              <w:spacing w:before="146"/>
              <w:ind w:left="137"/>
              <w:rPr>
                <w:rFonts w:ascii="仿宋" w:hAnsi="仿宋" w:eastAsia="仿宋" w:cs="仿宋"/>
                <w:color w:val="auto"/>
                <w:highlight w:val="none"/>
              </w:rPr>
            </w:pPr>
            <w:r>
              <w:rPr>
                <w:rFonts w:hint="eastAsia" w:ascii="仿宋" w:hAnsi="仿宋" w:eastAsia="仿宋" w:cs="仿宋"/>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12F5CCA5">
            <w:pPr>
              <w:rPr>
                <w:rFonts w:ascii="仿宋" w:hAnsi="仿宋" w:eastAsia="仿宋" w:cs="仿宋"/>
                <w:color w:val="auto"/>
                <w:highlight w:val="none"/>
              </w:rPr>
            </w:pPr>
          </w:p>
        </w:tc>
      </w:tr>
      <w:tr w14:paraId="7389A89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163B83C">
            <w:pPr>
              <w:pStyle w:val="45"/>
              <w:kinsoku w:val="0"/>
              <w:overflowPunct w:val="0"/>
              <w:spacing w:before="141" w:line="312" w:lineRule="exact"/>
              <w:ind w:left="257" w:right="133" w:hanging="120"/>
              <w:rPr>
                <w:rFonts w:ascii="仿宋" w:hAnsi="仿宋" w:eastAsia="仿宋" w:cs="仿宋"/>
                <w:color w:val="auto"/>
                <w:highlight w:val="none"/>
              </w:rPr>
            </w:pPr>
            <w:r>
              <w:rPr>
                <w:rFonts w:hint="eastAsia" w:ascii="仿宋" w:hAnsi="仿宋" w:eastAsia="仿宋" w:cs="仿宋"/>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69A893C8">
            <w:pPr>
              <w:rPr>
                <w:rFonts w:ascii="仿宋" w:hAnsi="仿宋" w:eastAsia="仿宋" w:cs="仿宋"/>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14:paraId="1BFA1226">
            <w:pPr>
              <w:pStyle w:val="45"/>
              <w:kinsoku w:val="0"/>
              <w:overflowPunct w:val="0"/>
              <w:spacing w:before="4"/>
              <w:rPr>
                <w:rFonts w:ascii="仿宋" w:hAnsi="仿宋" w:eastAsia="仿宋" w:cs="仿宋"/>
                <w:b/>
                <w:bCs/>
                <w:color w:val="auto"/>
                <w:sz w:val="20"/>
                <w:szCs w:val="20"/>
                <w:highlight w:val="none"/>
              </w:rPr>
            </w:pPr>
          </w:p>
          <w:p w14:paraId="752C7E12">
            <w:pPr>
              <w:pStyle w:val="45"/>
              <w:kinsoku w:val="0"/>
              <w:overflowPunct w:val="0"/>
              <w:ind w:left="366"/>
              <w:rPr>
                <w:rFonts w:ascii="仿宋" w:hAnsi="仿宋" w:eastAsia="仿宋" w:cs="仿宋"/>
                <w:color w:val="auto"/>
                <w:highlight w:val="none"/>
              </w:rPr>
            </w:pPr>
            <w:r>
              <w:rPr>
                <w:rFonts w:hint="eastAsia" w:ascii="仿宋" w:hAnsi="仿宋" w:eastAsia="仿宋" w:cs="仿宋"/>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4134F504">
            <w:pPr>
              <w:rPr>
                <w:rFonts w:ascii="仿宋" w:hAnsi="仿宋" w:eastAsia="仿宋" w:cs="仿宋"/>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14:paraId="6CA49354">
            <w:pPr>
              <w:pStyle w:val="45"/>
              <w:kinsoku w:val="0"/>
              <w:overflowPunct w:val="0"/>
              <w:spacing w:before="4"/>
              <w:rPr>
                <w:rFonts w:ascii="仿宋" w:hAnsi="仿宋" w:eastAsia="仿宋" w:cs="仿宋"/>
                <w:b/>
                <w:bCs/>
                <w:color w:val="auto"/>
                <w:sz w:val="20"/>
                <w:szCs w:val="20"/>
                <w:highlight w:val="none"/>
              </w:rPr>
            </w:pPr>
          </w:p>
          <w:p w14:paraId="581182A2">
            <w:pPr>
              <w:pStyle w:val="45"/>
              <w:kinsoku w:val="0"/>
              <w:overflowPunct w:val="0"/>
              <w:ind w:left="383"/>
              <w:rPr>
                <w:rFonts w:ascii="仿宋" w:hAnsi="仿宋" w:eastAsia="仿宋" w:cs="仿宋"/>
                <w:color w:val="auto"/>
                <w:highlight w:val="none"/>
              </w:rPr>
            </w:pPr>
            <w:r>
              <w:rPr>
                <w:rFonts w:hint="eastAsia" w:ascii="仿宋" w:hAnsi="仿宋" w:eastAsia="仿宋" w:cs="仿宋"/>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14:paraId="2F724ECA">
            <w:pPr>
              <w:rPr>
                <w:rFonts w:ascii="仿宋" w:hAnsi="仿宋" w:eastAsia="仿宋" w:cs="仿宋"/>
                <w:color w:val="auto"/>
                <w:highlight w:val="none"/>
              </w:rPr>
            </w:pPr>
          </w:p>
        </w:tc>
      </w:tr>
      <w:tr w14:paraId="0D7FDA0B">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4A96100E">
            <w:pPr>
              <w:pStyle w:val="45"/>
              <w:kinsoku w:val="0"/>
              <w:overflowPunct w:val="0"/>
              <w:rPr>
                <w:rFonts w:ascii="仿宋" w:hAnsi="仿宋" w:eastAsia="仿宋" w:cs="仿宋"/>
                <w:b/>
                <w:bCs/>
                <w:color w:val="auto"/>
                <w:highlight w:val="none"/>
              </w:rPr>
            </w:pPr>
          </w:p>
          <w:p w14:paraId="3A9D558F">
            <w:pPr>
              <w:pStyle w:val="45"/>
              <w:kinsoku w:val="0"/>
              <w:overflowPunct w:val="0"/>
              <w:rPr>
                <w:rFonts w:ascii="仿宋" w:hAnsi="仿宋" w:eastAsia="仿宋" w:cs="仿宋"/>
                <w:b/>
                <w:bCs/>
                <w:color w:val="auto"/>
                <w:highlight w:val="none"/>
              </w:rPr>
            </w:pPr>
          </w:p>
          <w:p w14:paraId="36831C2C">
            <w:pPr>
              <w:pStyle w:val="45"/>
              <w:kinsoku w:val="0"/>
              <w:overflowPunct w:val="0"/>
              <w:rPr>
                <w:rFonts w:ascii="仿宋" w:hAnsi="仿宋" w:eastAsia="仿宋" w:cs="仿宋"/>
                <w:b/>
                <w:bCs/>
                <w:color w:val="auto"/>
                <w:highlight w:val="none"/>
              </w:rPr>
            </w:pPr>
          </w:p>
          <w:p w14:paraId="6E6D6923">
            <w:pPr>
              <w:pStyle w:val="45"/>
              <w:kinsoku w:val="0"/>
              <w:overflowPunct w:val="0"/>
              <w:spacing w:line="475"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5907DB6B">
            <w:pPr>
              <w:pStyle w:val="45"/>
              <w:kinsoku w:val="0"/>
              <w:overflowPunct w:val="0"/>
              <w:spacing w:before="144"/>
              <w:ind w:left="236"/>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66AF54C2">
            <w:pPr>
              <w:rPr>
                <w:rFonts w:ascii="仿宋" w:hAnsi="仿宋" w:eastAsia="仿宋" w:cs="仿宋"/>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14:paraId="216CA03D">
            <w:pPr>
              <w:pStyle w:val="45"/>
              <w:kinsoku w:val="0"/>
              <w:overflowPunct w:val="0"/>
              <w:spacing w:before="144"/>
              <w:ind w:left="118"/>
              <w:rPr>
                <w:rFonts w:ascii="仿宋" w:hAnsi="仿宋" w:eastAsia="仿宋" w:cs="仿宋"/>
                <w:color w:val="auto"/>
                <w:highlight w:val="none"/>
              </w:rPr>
            </w:pPr>
            <w:r>
              <w:rPr>
                <w:rFonts w:hint="eastAsia" w:ascii="仿宋" w:hAnsi="仿宋" w:eastAsia="仿宋" w:cs="仿宋"/>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0DA23EEF">
            <w:pPr>
              <w:rPr>
                <w:rFonts w:ascii="仿宋" w:hAnsi="仿宋" w:eastAsia="仿宋" w:cs="仿宋"/>
                <w:color w:val="auto"/>
                <w:highlight w:val="none"/>
              </w:rPr>
            </w:pPr>
          </w:p>
        </w:tc>
      </w:tr>
      <w:tr w14:paraId="472BD670">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A8593A5">
            <w:pPr>
              <w:rPr>
                <w:rFonts w:ascii="仿宋" w:hAnsi="仿宋" w:eastAsia="仿宋" w:cs="仿宋"/>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14:paraId="1227AD81">
            <w:pPr>
              <w:pStyle w:val="45"/>
              <w:kinsoku w:val="0"/>
              <w:overflowPunct w:val="0"/>
              <w:spacing w:before="145"/>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单位行政和技术负责人</w:t>
            </w:r>
          </w:p>
        </w:tc>
      </w:tr>
      <w:tr w14:paraId="3E92F0F0">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D9595BB">
            <w:pPr>
              <w:pStyle w:val="45"/>
              <w:kinsoku w:val="0"/>
              <w:overflowPunct w:val="0"/>
              <w:spacing w:before="145"/>
              <w:jc w:val="center"/>
              <w:rPr>
                <w:rFonts w:ascii="仿宋" w:hAnsi="仿宋" w:eastAsia="仿宋" w:cs="仿宋"/>
                <w:color w:val="auto"/>
                <w:highlight w:val="none"/>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5A7E5BFA">
            <w:pPr>
              <w:pStyle w:val="45"/>
              <w:kinsoku w:val="0"/>
              <w:overflowPunct w:val="0"/>
              <w:spacing w:before="145"/>
              <w:ind w:left="416"/>
              <w:rPr>
                <w:rFonts w:ascii="仿宋" w:hAnsi="仿宋" w:eastAsia="仿宋" w:cs="仿宋"/>
                <w:color w:val="auto"/>
                <w:highlight w:val="none"/>
              </w:rPr>
            </w:pPr>
            <w:r>
              <w:rPr>
                <w:rFonts w:hint="eastAsia" w:ascii="仿宋" w:hAnsi="仿宋" w:eastAsia="仿宋" w:cs="仿宋"/>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463AA804">
            <w:pPr>
              <w:pStyle w:val="45"/>
              <w:kinsoku w:val="0"/>
              <w:overflowPunct w:val="0"/>
              <w:spacing w:before="145"/>
              <w:ind w:left="452"/>
              <w:rPr>
                <w:rFonts w:ascii="仿宋" w:hAnsi="仿宋" w:eastAsia="仿宋" w:cs="仿宋"/>
                <w:color w:val="auto"/>
                <w:highlight w:val="none"/>
              </w:rPr>
            </w:pPr>
            <w:r>
              <w:rPr>
                <w:rFonts w:hint="eastAsia" w:ascii="仿宋" w:hAnsi="仿宋" w:eastAsia="仿宋" w:cs="仿宋"/>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5E26D928">
            <w:pPr>
              <w:pStyle w:val="45"/>
              <w:kinsoku w:val="0"/>
              <w:overflowPunct w:val="0"/>
              <w:spacing w:before="145"/>
              <w:ind w:left="450"/>
              <w:rPr>
                <w:rFonts w:ascii="仿宋" w:hAnsi="仿宋" w:eastAsia="仿宋" w:cs="仿宋"/>
                <w:color w:val="auto"/>
                <w:highlight w:val="none"/>
              </w:rPr>
            </w:pPr>
            <w:r>
              <w:rPr>
                <w:rFonts w:hint="eastAsia" w:ascii="仿宋" w:hAnsi="仿宋" w:eastAsia="仿宋" w:cs="仿宋"/>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5AE8AF7A">
            <w:pPr>
              <w:pStyle w:val="45"/>
              <w:tabs>
                <w:tab w:val="left" w:pos="479"/>
              </w:tabs>
              <w:kinsoku w:val="0"/>
              <w:overflowPunct w:val="0"/>
              <w:spacing w:before="145"/>
              <w:ind w:right="1"/>
              <w:jc w:val="center"/>
              <w:rPr>
                <w:rFonts w:ascii="仿宋" w:hAnsi="仿宋" w:eastAsia="仿宋" w:cs="仿宋"/>
                <w:color w:val="auto"/>
                <w:highlight w:val="none"/>
              </w:rPr>
            </w:pPr>
            <w:r>
              <w:rPr>
                <w:rFonts w:hint="eastAsia" w:ascii="仿宋" w:hAnsi="仿宋" w:eastAsia="仿宋" w:cs="仿宋"/>
                <w:color w:val="auto"/>
                <w:highlight w:val="none"/>
              </w:rPr>
              <w:t>专</w:t>
            </w:r>
            <w:r>
              <w:rPr>
                <w:rFonts w:hint="eastAsia" w:ascii="仿宋" w:hAnsi="仿宋" w:eastAsia="仿宋" w:cs="仿宋"/>
                <w:color w:val="auto"/>
                <w:highlight w:val="none"/>
              </w:rPr>
              <w:tab/>
            </w:r>
            <w:r>
              <w:rPr>
                <w:rFonts w:hint="eastAsia" w:ascii="仿宋" w:hAnsi="仿宋" w:eastAsia="仿宋" w:cs="仿宋"/>
                <w:color w:val="auto"/>
                <w:highlight w:val="none"/>
              </w:rPr>
              <w:t>业</w:t>
            </w:r>
          </w:p>
        </w:tc>
      </w:tr>
      <w:tr w14:paraId="27401E9E">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97F2F50">
            <w:pPr>
              <w:pStyle w:val="45"/>
              <w:tabs>
                <w:tab w:val="left" w:pos="479"/>
              </w:tabs>
              <w:kinsoku w:val="0"/>
              <w:overflowPunct w:val="0"/>
              <w:spacing w:before="145"/>
              <w:ind w:right="1"/>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5B166249">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38ADAB2">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0A8BC26">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B946111">
            <w:pPr>
              <w:rPr>
                <w:rFonts w:ascii="仿宋" w:hAnsi="仿宋" w:eastAsia="仿宋" w:cs="仿宋"/>
                <w:color w:val="auto"/>
                <w:highlight w:val="none"/>
              </w:rPr>
            </w:pPr>
          </w:p>
        </w:tc>
      </w:tr>
      <w:tr w14:paraId="503B703C">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2B55003">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6F1E3791">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2AE53CF7">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675DEB4">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D76A605">
            <w:pPr>
              <w:rPr>
                <w:rFonts w:ascii="仿宋" w:hAnsi="仿宋" w:eastAsia="仿宋" w:cs="仿宋"/>
                <w:color w:val="auto"/>
                <w:highlight w:val="none"/>
              </w:rPr>
            </w:pPr>
          </w:p>
        </w:tc>
      </w:tr>
      <w:tr w14:paraId="4DC26145">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32E1193">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40244F8E">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3699A5E">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65BD6CF">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6A24C703">
            <w:pPr>
              <w:rPr>
                <w:rFonts w:ascii="仿宋" w:hAnsi="仿宋" w:eastAsia="仿宋" w:cs="仿宋"/>
                <w:color w:val="auto"/>
                <w:highlight w:val="none"/>
              </w:rPr>
            </w:pPr>
          </w:p>
        </w:tc>
      </w:tr>
      <w:tr w14:paraId="0948AC44">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E92ADBE">
            <w:pPr>
              <w:pStyle w:val="45"/>
              <w:kinsoku w:val="0"/>
              <w:overflowPunct w:val="0"/>
              <w:spacing w:before="1"/>
              <w:rPr>
                <w:rFonts w:ascii="仿宋" w:hAnsi="仿宋" w:eastAsia="仿宋" w:cs="仿宋"/>
                <w:b/>
                <w:bCs/>
                <w:color w:val="auto"/>
                <w:sz w:val="23"/>
                <w:szCs w:val="23"/>
                <w:highlight w:val="none"/>
              </w:rPr>
            </w:pPr>
          </w:p>
          <w:p w14:paraId="2E5A18EC">
            <w:pPr>
              <w:pStyle w:val="45"/>
              <w:kinsoku w:val="0"/>
              <w:overflowPunct w:val="0"/>
              <w:spacing w:line="237"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109477F9">
            <w:pPr>
              <w:rPr>
                <w:rFonts w:ascii="仿宋" w:hAnsi="仿宋" w:eastAsia="仿宋" w:cs="仿宋"/>
                <w:color w:val="auto"/>
                <w:highlight w:val="none"/>
              </w:rPr>
            </w:pPr>
          </w:p>
        </w:tc>
      </w:tr>
    </w:tbl>
    <w:p w14:paraId="3A2D1D0C">
      <w:pPr>
        <w:pStyle w:val="42"/>
        <w:spacing w:line="440" w:lineRule="exact"/>
        <w:ind w:firstLine="0"/>
        <w:jc w:val="both"/>
        <w:rPr>
          <w:rFonts w:ascii="仿宋" w:hAnsi="仿宋" w:eastAsia="仿宋" w:cs="仿宋"/>
          <w:b/>
          <w:color w:val="auto"/>
          <w:sz w:val="30"/>
          <w:szCs w:val="30"/>
          <w:highlight w:val="none"/>
        </w:rPr>
      </w:pPr>
    </w:p>
    <w:p w14:paraId="2463C662">
      <w:pPr>
        <w:pStyle w:val="42"/>
        <w:spacing w:line="440" w:lineRule="exact"/>
        <w:ind w:firstLine="0"/>
        <w:jc w:val="both"/>
        <w:rPr>
          <w:rFonts w:ascii="仿宋" w:hAnsi="仿宋" w:eastAsia="仿宋" w:cs="仿宋"/>
          <w:b/>
          <w:color w:val="auto"/>
          <w:sz w:val="30"/>
          <w:szCs w:val="30"/>
          <w:highlight w:val="none"/>
        </w:rPr>
      </w:pPr>
    </w:p>
    <w:p w14:paraId="58FFF42B">
      <w:pPr>
        <w:pStyle w:val="42"/>
        <w:spacing w:line="440" w:lineRule="exact"/>
        <w:ind w:firstLine="0"/>
        <w:jc w:val="both"/>
        <w:rPr>
          <w:rFonts w:ascii="仿宋" w:hAnsi="仿宋" w:eastAsia="仿宋" w:cs="仿宋"/>
          <w:b/>
          <w:color w:val="auto"/>
          <w:sz w:val="30"/>
          <w:szCs w:val="30"/>
          <w:highlight w:val="none"/>
        </w:rPr>
      </w:pPr>
    </w:p>
    <w:p w14:paraId="079151E8">
      <w:pPr>
        <w:pStyle w:val="42"/>
        <w:spacing w:line="440" w:lineRule="exact"/>
        <w:ind w:firstLine="0"/>
        <w:jc w:val="both"/>
        <w:rPr>
          <w:rFonts w:ascii="仿宋" w:hAnsi="仿宋" w:eastAsia="仿宋" w:cs="仿宋"/>
          <w:b/>
          <w:color w:val="auto"/>
          <w:sz w:val="30"/>
          <w:szCs w:val="30"/>
          <w:highlight w:val="none"/>
        </w:rPr>
      </w:pPr>
    </w:p>
    <w:p w14:paraId="3026C7BC">
      <w:pPr>
        <w:pStyle w:val="42"/>
        <w:spacing w:line="440" w:lineRule="exact"/>
        <w:ind w:firstLine="0"/>
        <w:jc w:val="both"/>
        <w:rPr>
          <w:rFonts w:ascii="仿宋" w:hAnsi="仿宋" w:eastAsia="仿宋" w:cs="仿宋"/>
          <w:b/>
          <w:color w:val="auto"/>
          <w:sz w:val="30"/>
          <w:szCs w:val="30"/>
          <w:highlight w:val="none"/>
        </w:rPr>
      </w:pPr>
    </w:p>
    <w:p w14:paraId="78EFE977">
      <w:pPr>
        <w:pStyle w:val="42"/>
        <w:spacing w:line="440" w:lineRule="exact"/>
        <w:ind w:firstLine="0"/>
        <w:jc w:val="both"/>
        <w:rPr>
          <w:rFonts w:ascii="仿宋" w:hAnsi="仿宋" w:eastAsia="仿宋" w:cs="仿宋"/>
          <w:b/>
          <w:color w:val="auto"/>
          <w:sz w:val="30"/>
          <w:szCs w:val="30"/>
          <w:highlight w:val="none"/>
        </w:rPr>
      </w:pPr>
    </w:p>
    <w:p w14:paraId="273DFCDF">
      <w:pPr>
        <w:jc w:val="center"/>
        <w:rPr>
          <w:rFonts w:hint="eastAsia" w:ascii="仿宋" w:hAnsi="仿宋" w:eastAsia="仿宋" w:cs="仿宋"/>
          <w:b/>
          <w:bCs/>
          <w:color w:val="auto"/>
          <w:sz w:val="30"/>
          <w:szCs w:val="30"/>
          <w:highlight w:val="none"/>
          <w:lang w:val="en-US" w:eastAsia="zh-CN"/>
        </w:rPr>
      </w:pPr>
    </w:p>
    <w:p w14:paraId="07B813EB">
      <w:pPr>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8、中标服务费支付承诺书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（采购代理机构）</w:t>
      </w:r>
      <w:r>
        <w:rPr>
          <w:rFonts w:hint="eastAsia" w:ascii="仿宋" w:hAnsi="仿宋" w:eastAsia="仿宋" w:cs="仿宋"/>
          <w:color w:val="auto"/>
          <w:sz w:val="24"/>
          <w:szCs w:val="24"/>
          <w:highlight w:val="none"/>
        </w:rPr>
        <w:t xml:space="preserve">  </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0F6D2DA8">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投标单位名称：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4B960F3E">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highlight w:val="none"/>
          <w:lang w:eastAsia="zh-CN"/>
        </w:rPr>
        <w:t>法定代表人或其委托代理人（</w:t>
      </w:r>
      <w:r>
        <w:rPr>
          <w:rFonts w:hint="eastAsia" w:ascii="仿宋" w:hAnsi="仿宋" w:eastAsia="仿宋" w:cs="仿宋"/>
          <w:color w:val="auto"/>
          <w:szCs w:val="21"/>
          <w:highlight w:val="none"/>
          <w:lang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312CA1BE">
      <w:pPr>
        <w:spacing w:line="500" w:lineRule="exact"/>
        <w:ind w:firstLine="48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1B5FBCD5">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6282D170">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7310AC80">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52AB9C74">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7F515548">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1DD8BB6C">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08FAFA72">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0243A907">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438818C2">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eastAsia="zh-CN"/>
        </w:rPr>
      </w:pPr>
    </w:p>
    <w:p w14:paraId="1F665E4B">
      <w:pPr>
        <w:pStyle w:val="10"/>
        <w:numPr>
          <w:ilvl w:val="0"/>
          <w:numId w:val="0"/>
        </w:numPr>
        <w:kinsoku w:val="0"/>
        <w:overflowPunct w:val="0"/>
        <w:spacing w:before="34" w:line="357" w:lineRule="auto"/>
        <w:ind w:left="480" w:right="126"/>
        <w:jc w:val="center"/>
        <w:rPr>
          <w:rFonts w:hint="eastAsia" w:ascii="仿宋" w:hAnsi="仿宋" w:eastAsia="仿宋" w:cs="仿宋"/>
          <w:bCs/>
          <w:color w:val="auto"/>
          <w:sz w:val="36"/>
          <w:szCs w:val="36"/>
          <w:highlight w:val="none"/>
          <w:lang w:val="en-US" w:eastAsia="zh-CN"/>
        </w:rPr>
      </w:pPr>
    </w:p>
    <w:p w14:paraId="2F6FF0CD">
      <w:pPr>
        <w:spacing w:line="360" w:lineRule="auto"/>
        <w:jc w:val="center"/>
        <w:rPr>
          <w:rFonts w:hint="eastAsia" w:ascii="仿宋" w:hAnsi="仿宋" w:eastAsia="仿宋" w:cs="仿宋"/>
          <w:b/>
          <w:bCs/>
          <w:color w:val="auto"/>
          <w:sz w:val="36"/>
          <w:szCs w:val="36"/>
          <w:highlight w:val="none"/>
          <w:lang w:val="en-US" w:eastAsia="zh-CN" w:bidi="en-US"/>
        </w:rPr>
      </w:pPr>
    </w:p>
    <w:p w14:paraId="058AA127">
      <w:pPr>
        <w:spacing w:line="360" w:lineRule="auto"/>
        <w:jc w:val="center"/>
        <w:rPr>
          <w:rFonts w:hint="eastAsia" w:ascii="仿宋" w:hAnsi="仿宋" w:eastAsia="仿宋" w:cs="仿宋"/>
          <w:b/>
          <w:bCs/>
          <w:color w:val="auto"/>
          <w:sz w:val="36"/>
          <w:szCs w:val="36"/>
          <w:highlight w:val="none"/>
          <w:lang w:val="en-US" w:eastAsia="zh-CN" w:bidi="en-US"/>
        </w:rPr>
      </w:pPr>
      <w:r>
        <w:rPr>
          <w:rFonts w:hint="eastAsia" w:ascii="仿宋" w:hAnsi="仿宋" w:eastAsia="仿宋" w:cs="仿宋"/>
          <w:b/>
          <w:bCs/>
          <w:color w:val="auto"/>
          <w:sz w:val="36"/>
          <w:szCs w:val="36"/>
          <w:highlight w:val="none"/>
          <w:lang w:val="en-US" w:eastAsia="zh-CN" w:bidi="en-US"/>
        </w:rPr>
        <w:t>9、中小企业声明函(货物)</w:t>
      </w:r>
    </w:p>
    <w:p w14:paraId="7173E2A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00173A3">
      <w:pPr>
        <w:numPr>
          <w:ilvl w:val="0"/>
          <w:numId w:val="10"/>
        </w:num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（采购文件中明确的所属行业）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7CB61B40">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 </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（采购文件明中确的所属行业） </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0B44340F">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796C681">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3611356F">
      <w:pPr>
        <w:spacing w:line="360" w:lineRule="auto"/>
        <w:ind w:firstLine="480" w:firstLineChars="200"/>
        <w:rPr>
          <w:rFonts w:ascii="仿宋" w:hAnsi="仿宋" w:eastAsia="仿宋" w:cs="仿宋"/>
          <w:color w:val="auto"/>
          <w:highlight w:val="none"/>
          <w:lang w:eastAsia="zh-CN"/>
        </w:rPr>
      </w:pPr>
    </w:p>
    <w:p w14:paraId="7E92716A">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6A712B95">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5D6C8C39">
      <w:pPr>
        <w:spacing w:line="360" w:lineRule="auto"/>
        <w:ind w:firstLine="480" w:firstLineChars="200"/>
        <w:rPr>
          <w:rFonts w:ascii="仿宋" w:hAnsi="仿宋" w:eastAsia="仿宋" w:cs="仿宋"/>
          <w:color w:val="auto"/>
          <w:highlight w:val="none"/>
          <w:lang w:eastAsia="zh-CN"/>
        </w:rPr>
      </w:pPr>
    </w:p>
    <w:p w14:paraId="38768981">
      <w:pPr>
        <w:spacing w:line="360" w:lineRule="auto"/>
        <w:ind w:firstLine="4560"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0B66F88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4C5DADA7">
      <w:pPr>
        <w:pStyle w:val="19"/>
        <w:rPr>
          <w:rFonts w:ascii="仿宋" w:hAnsi="仿宋" w:eastAsia="仿宋" w:cs="仿宋"/>
          <w:color w:val="auto"/>
          <w:highlight w:val="none"/>
          <w:lang w:eastAsia="zh-CN"/>
        </w:rPr>
      </w:pPr>
    </w:p>
    <w:p w14:paraId="0C1B62E0">
      <w:pPr>
        <w:pStyle w:val="19"/>
        <w:rPr>
          <w:rFonts w:ascii="仿宋" w:hAnsi="仿宋" w:eastAsia="仿宋" w:cs="仿宋"/>
          <w:color w:val="auto"/>
          <w:highlight w:val="none"/>
          <w:lang w:eastAsia="zh-CN"/>
        </w:rPr>
      </w:pPr>
    </w:p>
    <w:p w14:paraId="7BB5509F">
      <w:pPr>
        <w:pStyle w:val="19"/>
        <w:rPr>
          <w:rFonts w:ascii="仿宋" w:hAnsi="仿宋" w:eastAsia="仿宋" w:cs="仿宋"/>
          <w:color w:val="auto"/>
          <w:highlight w:val="none"/>
          <w:lang w:eastAsia="zh-CN"/>
        </w:rPr>
      </w:pPr>
    </w:p>
    <w:p w14:paraId="5D273BC8">
      <w:pPr>
        <w:pStyle w:val="19"/>
        <w:rPr>
          <w:rFonts w:ascii="仿宋" w:hAnsi="仿宋" w:eastAsia="仿宋" w:cs="仿宋"/>
          <w:color w:val="auto"/>
          <w:highlight w:val="none"/>
          <w:lang w:eastAsia="zh-CN"/>
        </w:rPr>
      </w:pPr>
    </w:p>
    <w:p w14:paraId="76AC9CCC">
      <w:pPr>
        <w:pStyle w:val="19"/>
        <w:rPr>
          <w:rFonts w:ascii="仿宋" w:hAnsi="仿宋" w:eastAsia="仿宋" w:cs="仿宋"/>
          <w:color w:val="auto"/>
          <w:highlight w:val="none"/>
          <w:lang w:eastAsia="zh-CN"/>
        </w:rPr>
      </w:pPr>
    </w:p>
    <w:p w14:paraId="6F46C64A">
      <w:pPr>
        <w:pStyle w:val="19"/>
        <w:rPr>
          <w:rFonts w:ascii="仿宋" w:hAnsi="仿宋" w:eastAsia="仿宋" w:cs="仿宋"/>
          <w:color w:val="auto"/>
          <w:highlight w:val="none"/>
          <w:lang w:eastAsia="zh-CN"/>
        </w:rPr>
      </w:pPr>
    </w:p>
    <w:p w14:paraId="7160EAC1">
      <w:pPr>
        <w:pStyle w:val="19"/>
        <w:rPr>
          <w:rFonts w:ascii="仿宋" w:hAnsi="仿宋" w:eastAsia="仿宋" w:cs="仿宋"/>
          <w:color w:val="auto"/>
          <w:highlight w:val="none"/>
          <w:lang w:eastAsia="zh-CN"/>
        </w:rPr>
      </w:pPr>
    </w:p>
    <w:p w14:paraId="7DB305F4">
      <w:pPr>
        <w:pStyle w:val="19"/>
        <w:rPr>
          <w:rFonts w:ascii="仿宋" w:hAnsi="仿宋" w:eastAsia="仿宋" w:cs="仿宋"/>
          <w:color w:val="auto"/>
          <w:highlight w:val="none"/>
          <w:lang w:eastAsia="zh-CN"/>
        </w:rPr>
      </w:pPr>
    </w:p>
    <w:p w14:paraId="1D3344C4">
      <w:pPr>
        <w:pStyle w:val="19"/>
        <w:rPr>
          <w:rFonts w:ascii="仿宋" w:hAnsi="仿宋" w:eastAsia="仿宋" w:cs="仿宋"/>
          <w:color w:val="auto"/>
          <w:highlight w:val="none"/>
          <w:lang w:eastAsia="zh-CN"/>
        </w:rPr>
      </w:pPr>
    </w:p>
    <w:p w14:paraId="0478650D">
      <w:pPr>
        <w:pStyle w:val="19"/>
        <w:rPr>
          <w:rFonts w:ascii="仿宋" w:hAnsi="仿宋" w:eastAsia="仿宋" w:cs="仿宋"/>
          <w:color w:val="auto"/>
          <w:highlight w:val="none"/>
          <w:lang w:eastAsia="zh-CN"/>
        </w:rPr>
      </w:pPr>
    </w:p>
    <w:p w14:paraId="50B2C109">
      <w:pPr>
        <w:pStyle w:val="19"/>
        <w:rPr>
          <w:rFonts w:ascii="仿宋" w:hAnsi="仿宋" w:eastAsia="仿宋" w:cs="仿宋"/>
          <w:color w:val="auto"/>
          <w:highlight w:val="none"/>
          <w:lang w:eastAsia="zh-CN"/>
        </w:rPr>
      </w:pPr>
    </w:p>
    <w:p w14:paraId="3249FF19">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p>
    <w:p w14:paraId="635211B9">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p>
    <w:p w14:paraId="30A4CC41">
      <w:pPr>
        <w:spacing w:line="360" w:lineRule="auto"/>
        <w:jc w:val="center"/>
        <w:rPr>
          <w:rFonts w:hint="eastAsia" w:ascii="仿宋" w:hAnsi="仿宋" w:eastAsia="仿宋" w:cs="仿宋"/>
          <w:b/>
          <w:bCs/>
          <w:color w:val="auto"/>
          <w:sz w:val="36"/>
          <w:szCs w:val="36"/>
          <w:highlight w:val="none"/>
          <w:lang w:val="en-US" w:eastAsia="zh-CN" w:bidi="en-US"/>
        </w:rPr>
      </w:pPr>
    </w:p>
    <w:p w14:paraId="27D25F26">
      <w:pPr>
        <w:spacing w:line="360" w:lineRule="auto"/>
        <w:jc w:val="center"/>
        <w:rPr>
          <w:rFonts w:hint="eastAsia" w:ascii="仿宋" w:hAnsi="仿宋" w:eastAsia="仿宋" w:cs="仿宋"/>
          <w:b/>
          <w:bCs/>
          <w:color w:val="auto"/>
          <w:sz w:val="36"/>
          <w:szCs w:val="36"/>
          <w:highlight w:val="none"/>
          <w:lang w:val="en-US" w:eastAsia="zh-CN" w:bidi="en-US"/>
        </w:rPr>
      </w:pPr>
      <w:r>
        <w:rPr>
          <w:rFonts w:hint="eastAsia" w:ascii="仿宋" w:hAnsi="仿宋" w:eastAsia="仿宋" w:cs="仿宋"/>
          <w:b/>
          <w:bCs/>
          <w:color w:val="auto"/>
          <w:sz w:val="36"/>
          <w:szCs w:val="36"/>
          <w:highlight w:val="none"/>
          <w:lang w:val="en-US" w:eastAsia="zh-CN" w:bidi="en-US"/>
        </w:rPr>
        <w:t>10、残疾人福利性单位声明函</w:t>
      </w:r>
    </w:p>
    <w:p w14:paraId="65EF91E5">
      <w:pPr>
        <w:widowControl/>
        <w:adjustRightInd w:val="0"/>
        <w:snapToGrid w:val="0"/>
        <w:spacing w:line="440" w:lineRule="exact"/>
        <w:ind w:firstLine="504" w:firstLineChars="200"/>
        <w:rPr>
          <w:rFonts w:ascii="仿宋" w:hAnsi="仿宋" w:eastAsia="仿宋" w:cs="仿宋"/>
          <w:color w:val="auto"/>
          <w:spacing w:val="6"/>
          <w:highlight w:val="none"/>
          <w:lang w:eastAsia="zh-CN"/>
        </w:rPr>
      </w:pPr>
    </w:p>
    <w:p w14:paraId="7976524E">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单位的</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项目采购活动提供本单位制造的货物（由本单位承担工程/提供服务），或者提供其他残疾人福利性单位制造的货物（不包括使用非残疾人福利性单位注册商标的货物）。</w:t>
      </w:r>
    </w:p>
    <w:p w14:paraId="7DC2746E">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本单位对上述声明的真实性负责。如有虚假，将依法承担相应责任。</w:t>
      </w:r>
    </w:p>
    <w:p w14:paraId="761293B2">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w:t>
      </w:r>
    </w:p>
    <w:p w14:paraId="2E64009B">
      <w:pPr>
        <w:widowControl/>
        <w:adjustRightInd w:val="0"/>
        <w:snapToGrid w:val="0"/>
        <w:spacing w:line="440" w:lineRule="exact"/>
        <w:ind w:firstLine="5544" w:firstLineChars="2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单位名称（盖章）：</w:t>
      </w:r>
    </w:p>
    <w:p w14:paraId="54BBEF61">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日  期：</w:t>
      </w:r>
    </w:p>
    <w:p w14:paraId="29F82431">
      <w:pPr>
        <w:pStyle w:val="3"/>
        <w:numPr>
          <w:ilvl w:val="1"/>
          <w:numId w:val="0"/>
        </w:numPr>
        <w:spacing w:line="240" w:lineRule="atLeast"/>
        <w:jc w:val="left"/>
        <w:rPr>
          <w:rFonts w:ascii="仿宋" w:hAnsi="仿宋" w:eastAsia="仿宋" w:cs="仿宋"/>
          <w:bCs/>
          <w:color w:val="auto"/>
          <w:sz w:val="24"/>
          <w:highlight w:val="none"/>
          <w:lang w:eastAsia="zh-CN"/>
        </w:rPr>
      </w:pPr>
    </w:p>
    <w:p w14:paraId="6D27CCDC">
      <w:pPr>
        <w:pStyle w:val="3"/>
        <w:numPr>
          <w:ilvl w:val="1"/>
          <w:numId w:val="0"/>
        </w:numPr>
        <w:spacing w:line="240" w:lineRule="atLeast"/>
        <w:jc w:val="left"/>
        <w:rPr>
          <w:rFonts w:ascii="仿宋" w:hAnsi="仿宋" w:eastAsia="仿宋" w:cs="仿宋"/>
          <w:bCs/>
          <w:color w:val="auto"/>
          <w:sz w:val="24"/>
          <w:highlight w:val="none"/>
          <w:lang w:eastAsia="zh-CN"/>
        </w:rPr>
      </w:pPr>
    </w:p>
    <w:p w14:paraId="66DDF3D0">
      <w:pPr>
        <w:pStyle w:val="3"/>
        <w:numPr>
          <w:ilvl w:val="1"/>
          <w:numId w:val="0"/>
        </w:numPr>
        <w:spacing w:line="240" w:lineRule="atLeast"/>
        <w:jc w:val="left"/>
        <w:rPr>
          <w:rFonts w:ascii="仿宋" w:hAnsi="仿宋" w:eastAsia="仿宋" w:cs="仿宋"/>
          <w:bCs/>
          <w:color w:val="auto"/>
          <w:sz w:val="24"/>
          <w:highlight w:val="none"/>
          <w:lang w:eastAsia="zh-CN"/>
        </w:rPr>
      </w:pPr>
    </w:p>
    <w:p w14:paraId="72EFCBC7">
      <w:pPr>
        <w:rPr>
          <w:rFonts w:ascii="仿宋" w:hAnsi="仿宋" w:eastAsia="仿宋" w:cs="仿宋"/>
          <w:b/>
          <w:bCs/>
          <w:color w:val="auto"/>
          <w:highlight w:val="none"/>
          <w:lang w:eastAsia="zh-CN"/>
        </w:rPr>
      </w:pPr>
    </w:p>
    <w:p w14:paraId="50BA938B">
      <w:pPr>
        <w:pStyle w:val="38"/>
        <w:rPr>
          <w:rFonts w:ascii="仿宋" w:hAnsi="仿宋" w:eastAsia="仿宋" w:cs="仿宋"/>
          <w:b/>
          <w:bCs/>
          <w:color w:val="auto"/>
          <w:highlight w:val="none"/>
          <w:lang w:eastAsia="zh-CN"/>
        </w:rPr>
      </w:pPr>
    </w:p>
    <w:p w14:paraId="61AB93BF">
      <w:pPr>
        <w:pStyle w:val="38"/>
        <w:rPr>
          <w:rFonts w:ascii="仿宋" w:hAnsi="仿宋" w:eastAsia="仿宋" w:cs="仿宋"/>
          <w:b/>
          <w:bCs/>
          <w:color w:val="auto"/>
          <w:highlight w:val="none"/>
          <w:lang w:eastAsia="zh-CN"/>
        </w:rPr>
      </w:pPr>
    </w:p>
    <w:p w14:paraId="5C8942CC">
      <w:pPr>
        <w:pStyle w:val="38"/>
        <w:rPr>
          <w:rFonts w:ascii="仿宋" w:hAnsi="仿宋" w:eastAsia="仿宋" w:cs="仿宋"/>
          <w:b/>
          <w:bCs/>
          <w:color w:val="auto"/>
          <w:highlight w:val="none"/>
          <w:lang w:eastAsia="zh-CN"/>
        </w:rPr>
      </w:pPr>
    </w:p>
    <w:p w14:paraId="35F94C18">
      <w:pPr>
        <w:pStyle w:val="38"/>
        <w:rPr>
          <w:rFonts w:ascii="仿宋" w:hAnsi="仿宋" w:eastAsia="仿宋" w:cs="仿宋"/>
          <w:b/>
          <w:bCs/>
          <w:color w:val="auto"/>
          <w:highlight w:val="none"/>
          <w:lang w:eastAsia="zh-CN"/>
        </w:rPr>
      </w:pPr>
    </w:p>
    <w:p w14:paraId="6010BE23">
      <w:pPr>
        <w:pStyle w:val="38"/>
        <w:rPr>
          <w:rFonts w:ascii="仿宋" w:hAnsi="仿宋" w:eastAsia="仿宋" w:cs="仿宋"/>
          <w:b/>
          <w:bCs/>
          <w:color w:val="auto"/>
          <w:highlight w:val="none"/>
          <w:lang w:eastAsia="zh-CN"/>
        </w:rPr>
      </w:pPr>
    </w:p>
    <w:p w14:paraId="08054BC0">
      <w:pPr>
        <w:pStyle w:val="38"/>
        <w:rPr>
          <w:rFonts w:ascii="仿宋" w:hAnsi="仿宋" w:eastAsia="仿宋" w:cs="仿宋"/>
          <w:b/>
          <w:bCs/>
          <w:color w:val="auto"/>
          <w:highlight w:val="none"/>
          <w:lang w:eastAsia="zh-CN"/>
        </w:rPr>
      </w:pPr>
    </w:p>
    <w:p w14:paraId="3CFBD6AC">
      <w:pPr>
        <w:pStyle w:val="38"/>
        <w:rPr>
          <w:rFonts w:ascii="仿宋" w:hAnsi="仿宋" w:eastAsia="仿宋" w:cs="仿宋"/>
          <w:b/>
          <w:bCs/>
          <w:color w:val="auto"/>
          <w:highlight w:val="none"/>
          <w:lang w:eastAsia="zh-CN"/>
        </w:rPr>
      </w:pPr>
    </w:p>
    <w:p w14:paraId="485CE248">
      <w:pPr>
        <w:pStyle w:val="38"/>
        <w:rPr>
          <w:rFonts w:ascii="仿宋" w:hAnsi="仿宋" w:eastAsia="仿宋" w:cs="仿宋"/>
          <w:b/>
          <w:bCs/>
          <w:color w:val="auto"/>
          <w:highlight w:val="none"/>
          <w:lang w:eastAsia="zh-CN"/>
        </w:rPr>
      </w:pPr>
    </w:p>
    <w:p w14:paraId="331E949B">
      <w:pPr>
        <w:pStyle w:val="38"/>
        <w:rPr>
          <w:rFonts w:ascii="仿宋" w:hAnsi="仿宋" w:eastAsia="仿宋" w:cs="仿宋"/>
          <w:b/>
          <w:bCs/>
          <w:color w:val="auto"/>
          <w:highlight w:val="none"/>
          <w:lang w:eastAsia="zh-CN"/>
        </w:rPr>
      </w:pPr>
    </w:p>
    <w:p w14:paraId="4BEA3500">
      <w:pPr>
        <w:pStyle w:val="38"/>
        <w:rPr>
          <w:rFonts w:ascii="仿宋" w:hAnsi="仿宋" w:eastAsia="仿宋" w:cs="仿宋"/>
          <w:b/>
          <w:bCs/>
          <w:color w:val="auto"/>
          <w:highlight w:val="none"/>
          <w:lang w:eastAsia="zh-CN"/>
        </w:rPr>
      </w:pPr>
    </w:p>
    <w:p w14:paraId="25D4D31A">
      <w:pPr>
        <w:pStyle w:val="38"/>
        <w:rPr>
          <w:rFonts w:ascii="仿宋" w:hAnsi="仿宋" w:eastAsia="仿宋" w:cs="仿宋"/>
          <w:b/>
          <w:bCs/>
          <w:color w:val="auto"/>
          <w:highlight w:val="none"/>
          <w:lang w:eastAsia="zh-CN"/>
        </w:rPr>
      </w:pPr>
    </w:p>
    <w:p w14:paraId="5380A28F">
      <w:pPr>
        <w:pStyle w:val="38"/>
        <w:rPr>
          <w:rFonts w:ascii="仿宋" w:hAnsi="仿宋" w:eastAsia="仿宋" w:cs="仿宋"/>
          <w:b/>
          <w:bCs/>
          <w:color w:val="auto"/>
          <w:highlight w:val="none"/>
          <w:lang w:eastAsia="zh-CN"/>
        </w:rPr>
      </w:pPr>
    </w:p>
    <w:p w14:paraId="6B8EBFAF">
      <w:pPr>
        <w:pStyle w:val="38"/>
        <w:rPr>
          <w:rFonts w:ascii="仿宋" w:hAnsi="仿宋" w:eastAsia="仿宋" w:cs="仿宋"/>
          <w:b/>
          <w:bCs/>
          <w:color w:val="auto"/>
          <w:highlight w:val="none"/>
          <w:lang w:eastAsia="zh-CN"/>
        </w:rPr>
      </w:pPr>
    </w:p>
    <w:p w14:paraId="148B91A2">
      <w:pPr>
        <w:pStyle w:val="38"/>
        <w:rPr>
          <w:rFonts w:ascii="仿宋" w:hAnsi="仿宋" w:eastAsia="仿宋" w:cs="仿宋"/>
          <w:b/>
          <w:bCs/>
          <w:color w:val="auto"/>
          <w:highlight w:val="none"/>
          <w:lang w:eastAsia="zh-CN"/>
        </w:rPr>
      </w:pPr>
    </w:p>
    <w:p w14:paraId="32A15545">
      <w:pPr>
        <w:pStyle w:val="38"/>
        <w:rPr>
          <w:rFonts w:ascii="仿宋" w:hAnsi="仿宋" w:eastAsia="仿宋" w:cs="仿宋"/>
          <w:b/>
          <w:bCs/>
          <w:color w:val="auto"/>
          <w:highlight w:val="none"/>
          <w:lang w:eastAsia="zh-CN"/>
        </w:rPr>
      </w:pPr>
    </w:p>
    <w:p w14:paraId="0B3A2874">
      <w:pPr>
        <w:pStyle w:val="38"/>
        <w:rPr>
          <w:rFonts w:ascii="仿宋" w:hAnsi="仿宋" w:eastAsia="仿宋" w:cs="仿宋"/>
          <w:b/>
          <w:bCs/>
          <w:color w:val="auto"/>
          <w:highlight w:val="none"/>
          <w:lang w:eastAsia="zh-CN"/>
        </w:rPr>
      </w:pPr>
    </w:p>
    <w:p w14:paraId="2743A7F4">
      <w:pPr>
        <w:pStyle w:val="38"/>
        <w:rPr>
          <w:rFonts w:ascii="仿宋" w:hAnsi="仿宋" w:eastAsia="仿宋" w:cs="仿宋"/>
          <w:b/>
          <w:bCs/>
          <w:color w:val="auto"/>
          <w:highlight w:val="none"/>
          <w:lang w:eastAsia="zh-CN"/>
        </w:rPr>
      </w:pPr>
    </w:p>
    <w:p w14:paraId="755CD832">
      <w:pPr>
        <w:pStyle w:val="38"/>
        <w:rPr>
          <w:rFonts w:ascii="仿宋" w:hAnsi="仿宋" w:eastAsia="仿宋" w:cs="仿宋"/>
          <w:b/>
          <w:bCs/>
          <w:color w:val="auto"/>
          <w:highlight w:val="none"/>
          <w:lang w:eastAsia="zh-CN"/>
        </w:rPr>
      </w:pPr>
    </w:p>
    <w:p w14:paraId="66F6131C">
      <w:pPr>
        <w:spacing w:line="360" w:lineRule="auto"/>
        <w:jc w:val="center"/>
        <w:rPr>
          <w:rFonts w:hint="eastAsia" w:ascii="仿宋" w:hAnsi="仿宋" w:eastAsia="仿宋" w:cs="仿宋"/>
          <w:b/>
          <w:bCs/>
          <w:color w:val="auto"/>
          <w:sz w:val="36"/>
          <w:szCs w:val="36"/>
          <w:highlight w:val="none"/>
          <w:lang w:val="en-US" w:eastAsia="zh-CN" w:bidi="en-US"/>
        </w:rPr>
      </w:pPr>
      <w:r>
        <w:rPr>
          <w:rFonts w:hint="eastAsia" w:ascii="仿宋" w:hAnsi="仿宋" w:eastAsia="仿宋" w:cs="仿宋"/>
          <w:b/>
          <w:bCs/>
          <w:color w:val="auto"/>
          <w:sz w:val="36"/>
          <w:szCs w:val="36"/>
          <w:highlight w:val="none"/>
          <w:lang w:val="en-US" w:eastAsia="zh-CN" w:bidi="en-US"/>
        </w:rPr>
        <w:t>11、</w:t>
      </w:r>
      <w:r>
        <w:rPr>
          <w:rFonts w:hint="eastAsia" w:ascii="仿宋" w:hAnsi="仿宋" w:eastAsia="仿宋" w:cs="仿宋"/>
          <w:b/>
          <w:bCs/>
          <w:color w:val="auto"/>
          <w:sz w:val="32"/>
          <w:szCs w:val="32"/>
          <w:highlight w:val="none"/>
          <w:lang w:eastAsia="zh-CN"/>
        </w:rPr>
        <w:t>评分标准和细则中技术、</w:t>
      </w:r>
      <w:r>
        <w:rPr>
          <w:rFonts w:hint="eastAsia" w:ascii="仿宋" w:hAnsi="仿宋" w:eastAsia="仿宋" w:cs="仿宋"/>
          <w:b/>
          <w:bCs/>
          <w:color w:val="auto"/>
          <w:sz w:val="32"/>
          <w:szCs w:val="32"/>
          <w:highlight w:val="none"/>
          <w:lang w:val="en-US" w:eastAsia="zh-CN"/>
        </w:rPr>
        <w:t>商务</w:t>
      </w:r>
      <w:r>
        <w:rPr>
          <w:rFonts w:hint="eastAsia" w:ascii="仿宋" w:hAnsi="仿宋" w:eastAsia="仿宋" w:cs="仿宋"/>
          <w:b/>
          <w:bCs/>
          <w:color w:val="auto"/>
          <w:sz w:val="32"/>
          <w:szCs w:val="32"/>
          <w:highlight w:val="none"/>
          <w:lang w:eastAsia="zh-CN"/>
        </w:rPr>
        <w:t>部分证明材料（格式自拟</w:t>
      </w:r>
      <w:r>
        <w:rPr>
          <w:rFonts w:hint="eastAsia" w:ascii="仿宋" w:hAnsi="仿宋" w:eastAsia="仿宋" w:cs="仿宋"/>
          <w:color w:val="auto"/>
          <w:sz w:val="32"/>
          <w:szCs w:val="32"/>
          <w:highlight w:val="none"/>
          <w:lang w:eastAsia="zh-CN"/>
        </w:rPr>
        <w:t>）</w:t>
      </w:r>
    </w:p>
    <w:p w14:paraId="4F62B853">
      <w:pPr>
        <w:pStyle w:val="3"/>
        <w:numPr>
          <w:ilvl w:val="1"/>
          <w:numId w:val="0"/>
        </w:numPr>
        <w:spacing w:line="240" w:lineRule="atLeast"/>
        <w:ind w:left="617" w:leftChars="257"/>
        <w:rPr>
          <w:rFonts w:ascii="仿宋" w:hAnsi="仿宋" w:eastAsia="仿宋" w:cs="仿宋"/>
          <w:color w:val="auto"/>
          <w:sz w:val="24"/>
          <w:highlight w:val="none"/>
          <w:lang w:eastAsia="zh-CN"/>
        </w:rPr>
      </w:pPr>
    </w:p>
    <w:p w14:paraId="2396FF0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35E2295F">
      <w:pPr>
        <w:pStyle w:val="13"/>
        <w:tabs>
          <w:tab w:val="left" w:pos="5580"/>
        </w:tabs>
        <w:spacing w:line="240" w:lineRule="atLeas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2.复印件上应加盖本单位章（自然人投标的无需盖章，需要签字）。</w:t>
      </w:r>
    </w:p>
    <w:p w14:paraId="65EE7A67">
      <w:pPr>
        <w:pStyle w:val="3"/>
        <w:numPr>
          <w:ilvl w:val="1"/>
          <w:numId w:val="0"/>
        </w:numPr>
        <w:spacing w:line="240" w:lineRule="atLeas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14:paraId="2283D7E4">
      <w:pPr>
        <w:rPr>
          <w:rFonts w:hint="eastAsia" w:ascii="仿宋" w:hAnsi="仿宋" w:eastAsia="仿宋" w:cs="仿宋"/>
          <w:color w:val="auto"/>
          <w:sz w:val="24"/>
          <w:highlight w:val="none"/>
          <w:lang w:eastAsia="zh-CN"/>
        </w:rPr>
      </w:pPr>
    </w:p>
    <w:p w14:paraId="3E1810BF">
      <w:pPr>
        <w:rPr>
          <w:rFonts w:hint="eastAsia" w:ascii="仿宋" w:hAnsi="仿宋" w:eastAsia="仿宋" w:cs="仿宋"/>
          <w:color w:val="auto"/>
          <w:sz w:val="24"/>
          <w:highlight w:val="none"/>
          <w:lang w:eastAsia="zh-CN"/>
        </w:rPr>
      </w:pPr>
    </w:p>
    <w:p w14:paraId="33578645">
      <w:pPr>
        <w:pStyle w:val="3"/>
        <w:numPr>
          <w:ilvl w:val="1"/>
          <w:numId w:val="0"/>
        </w:numPr>
        <w:spacing w:line="240" w:lineRule="atLeast"/>
        <w:jc w:val="left"/>
        <w:rPr>
          <w:rFonts w:ascii="仿宋" w:hAnsi="仿宋" w:eastAsia="仿宋" w:cs="仿宋"/>
          <w:bCs/>
          <w:color w:val="auto"/>
          <w:sz w:val="24"/>
          <w:highlight w:val="none"/>
          <w:lang w:eastAsia="zh-CN"/>
        </w:rPr>
      </w:pPr>
    </w:p>
    <w:p w14:paraId="67C9D07D">
      <w:pPr>
        <w:spacing w:line="360" w:lineRule="auto"/>
        <w:jc w:val="both"/>
        <w:rPr>
          <w:rFonts w:hint="eastAsia" w:ascii="仿宋" w:hAnsi="仿宋" w:eastAsia="仿宋" w:cs="仿宋"/>
          <w:b/>
          <w:bCs/>
          <w:color w:val="auto"/>
          <w:sz w:val="32"/>
          <w:szCs w:val="32"/>
          <w:highlight w:val="none"/>
          <w:lang w:val="en-US" w:eastAsia="zh-CN" w:bidi="en-US"/>
        </w:rPr>
      </w:pPr>
      <w:r>
        <w:rPr>
          <w:rFonts w:hint="eastAsia" w:ascii="仿宋" w:hAnsi="仿宋" w:eastAsia="仿宋" w:cs="仿宋"/>
          <w:b/>
          <w:bCs/>
          <w:color w:val="auto"/>
          <w:sz w:val="32"/>
          <w:szCs w:val="32"/>
          <w:highlight w:val="none"/>
          <w:lang w:val="en-US" w:eastAsia="zh-CN" w:bidi="en-US"/>
        </w:rPr>
        <w:t>12、供应商认为有必要提供的其他证明材料（格式自拟）</w:t>
      </w:r>
    </w:p>
    <w:p w14:paraId="68FCE329">
      <w:pPr>
        <w:pStyle w:val="13"/>
        <w:tabs>
          <w:tab w:val="left" w:pos="5580"/>
        </w:tabs>
        <w:spacing w:line="240" w:lineRule="atLeast"/>
        <w:ind w:firstLine="480" w:firstLineChars="200"/>
        <w:rPr>
          <w:rFonts w:ascii="仿宋" w:hAnsi="仿宋" w:eastAsia="仿宋" w:cs="仿宋"/>
          <w:color w:val="auto"/>
          <w:highlight w:val="none"/>
          <w:lang w:eastAsia="zh-CN"/>
        </w:rPr>
      </w:pPr>
    </w:p>
    <w:p w14:paraId="61FA5C52">
      <w:pPr>
        <w:pStyle w:val="13"/>
        <w:tabs>
          <w:tab w:val="left" w:pos="5580"/>
        </w:tabs>
        <w:spacing w:line="240" w:lineRule="atLeas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说明：复印件上应加盖本单位章（自然人投标的无需盖章，需要签字）。</w:t>
      </w:r>
    </w:p>
    <w:p w14:paraId="1DBCAD86">
      <w:pPr>
        <w:pStyle w:val="20"/>
        <w:ind w:left="2880"/>
        <w:rPr>
          <w:color w:val="auto"/>
          <w:highlight w:val="none"/>
          <w:lang w:eastAsia="zh-CN"/>
        </w:rPr>
      </w:pPr>
    </w:p>
    <w:p w14:paraId="056BCB63">
      <w:pPr>
        <w:rPr>
          <w:color w:val="auto"/>
          <w:highlight w:val="none"/>
          <w:lang w:eastAsia="zh-CN"/>
        </w:rPr>
      </w:pPr>
    </w:p>
    <w:p w14:paraId="0E8FEFA7">
      <w:pPr>
        <w:rPr>
          <w:color w:val="auto"/>
          <w:highlight w:val="none"/>
          <w:lang w:eastAsia="zh-CN"/>
        </w:rPr>
      </w:pPr>
    </w:p>
    <w:p w14:paraId="6CCFF5DF">
      <w:pPr>
        <w:rPr>
          <w:color w:val="auto"/>
          <w:highlight w:val="none"/>
          <w:lang w:eastAsia="zh-CN"/>
        </w:rPr>
      </w:pPr>
    </w:p>
    <w:p w14:paraId="4FB9AD33">
      <w:pPr>
        <w:rPr>
          <w:color w:val="auto"/>
          <w:highlight w:val="none"/>
          <w:lang w:eastAsia="zh-CN"/>
        </w:rPr>
      </w:pPr>
    </w:p>
    <w:p w14:paraId="13324783">
      <w:pPr>
        <w:rPr>
          <w:color w:val="auto"/>
          <w:highlight w:val="none"/>
          <w:lang w:eastAsia="zh-CN"/>
        </w:rPr>
      </w:pPr>
    </w:p>
    <w:p w14:paraId="2D8AACF4">
      <w:pPr>
        <w:rPr>
          <w:color w:val="auto"/>
          <w:highlight w:val="none"/>
          <w:lang w:eastAsia="zh-CN"/>
        </w:rPr>
      </w:pPr>
    </w:p>
    <w:p w14:paraId="26A9216E">
      <w:pPr>
        <w:rPr>
          <w:color w:val="auto"/>
          <w:highlight w:val="none"/>
          <w:lang w:eastAsia="zh-CN"/>
        </w:rPr>
      </w:pPr>
    </w:p>
    <w:p w14:paraId="4CC9FDD9">
      <w:pPr>
        <w:rPr>
          <w:color w:val="auto"/>
          <w:highlight w:val="none"/>
          <w:lang w:eastAsia="zh-CN"/>
        </w:rPr>
      </w:pPr>
    </w:p>
    <w:p w14:paraId="3094C3EE">
      <w:pPr>
        <w:rPr>
          <w:color w:val="auto"/>
          <w:highlight w:val="none"/>
          <w:lang w:eastAsia="zh-CN"/>
        </w:rPr>
      </w:pPr>
    </w:p>
    <w:p w14:paraId="32DB3863">
      <w:pPr>
        <w:rPr>
          <w:color w:val="auto"/>
          <w:highlight w:val="none"/>
          <w:lang w:eastAsia="zh-CN"/>
        </w:rPr>
      </w:pPr>
    </w:p>
    <w:p w14:paraId="564E344F">
      <w:pPr>
        <w:rPr>
          <w:color w:val="auto"/>
          <w:highlight w:val="none"/>
          <w:lang w:eastAsia="zh-CN"/>
        </w:rPr>
      </w:pPr>
    </w:p>
    <w:p w14:paraId="17514498">
      <w:pPr>
        <w:rPr>
          <w:color w:val="auto"/>
          <w:highlight w:val="none"/>
          <w:lang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auto"/>
    <w:pitch w:val="default"/>
    <w:sig w:usb0="A00002FF" w:usb1="28CFFCFA" w:usb2="00000016" w:usb3="00000000" w:csb0="0010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825F6">
    <w:pPr>
      <w:pStyle w:val="16"/>
      <w:ind w:right="360"/>
      <w:jc w:val="both"/>
    </w:pPr>
    <w:r>
      <w:rPr>
        <w:sz w:val="16"/>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9C800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499C8009"/>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605F">
    <w:pPr>
      <w:pStyle w:val="16"/>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ADAF30">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23ADAF30">
                    <w:pPr>
                      <w:pStyle w:val="16"/>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898D">
    <w:pPr>
      <w:pStyle w:val="16"/>
      <w:ind w:right="360"/>
      <w:jc w:val="both"/>
    </w:pPr>
    <w:r>
      <w:rPr>
        <w:sz w:val="13"/>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A63019">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14:paraId="73A63019">
                    <w:pPr>
                      <w:pStyle w:val="16"/>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14:paraId="3199AE93">
    <w:pPr>
      <w:pStyle w:val="16"/>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1B4D">
    <w:pPr>
      <w:pStyle w:val="16"/>
      <w:ind w:right="360"/>
      <w:jc w:val="both"/>
    </w:pPr>
    <w:r>
      <w:rPr>
        <w:sz w:val="24"/>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51104A">
                          <w:pPr>
                            <w:pStyle w:val="16"/>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G58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yVnVhh68cv3b5cfvy4/vzKK&#10;kUC9x4rqHjxVxuHODbQ2cxwpmHgPbTDpS4wY5Une81VeGCKT6dJ6tV6XlJKUmx3CLx6v+4DxLTjD&#10;klHzQO+XZRWn9xjH0rkkdbPuXmmd31DbvwKEOUYgL8F0OzEZJ05WHPbDRG/vmjOx62kRam5p7znT&#10;7y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aG58cBAACdAwAADgAAAAAAAAABACAAAAAeAQAAZHJzL2Uyb0RvYy54&#10;bWxQSwUGAAAAAAYABgBZAQAAVwUAAAAA&#10;">
              <v:fill on="f" focussize="0,0"/>
              <v:stroke on="f"/>
              <v:imagedata o:title=""/>
              <o:lock v:ext="edit" aspectratio="f"/>
              <v:textbox inset="0mm,0mm,0mm,0mm" style="mso-fit-shape-to-text:t;">
                <w:txbxContent>
                  <w:p w14:paraId="4551104A">
                    <w:pPr>
                      <w:pStyle w:val="16"/>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7E6CD1CE">
    <w:pPr>
      <w:pStyle w:val="16"/>
      <w:autoSpaceDE w:val="0"/>
      <w:autoSpaceDN w:val="0"/>
      <w:adjustRightInd w:val="0"/>
      <w:ind w:left="7200" w:hanging="7200" w:hangingChars="4000"/>
      <w:jc w:val="both"/>
    </w:pPr>
  </w:p>
  <w:p w14:paraId="5F06630E">
    <w:pPr>
      <w:pStyle w:val="16"/>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DCBA">
    <w:pPr>
      <w:pStyle w:val="16"/>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963105">
                          <w:pPr>
                            <w:pStyle w:val="1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36963105">
                    <w:pPr>
                      <w:pStyle w:val="1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7F31">
    <w:pPr>
      <w:pStyle w:val="17"/>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0F3E">
    <w:pPr>
      <w:pStyle w:val="17"/>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CFC1">
    <w:pPr>
      <w:pStyle w:val="17"/>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BCD0F"/>
    <w:multiLevelType w:val="singleLevel"/>
    <w:tmpl w:val="C15BCD0F"/>
    <w:lvl w:ilvl="0" w:tentative="0">
      <w:start w:val="1"/>
      <w:numFmt w:val="decimal"/>
      <w:pStyle w:val="18"/>
      <w:lvlText w:val="%1."/>
      <w:lvlJc w:val="left"/>
      <w:pPr>
        <w:tabs>
          <w:tab w:val="left" w:pos="2040"/>
        </w:tabs>
        <w:ind w:left="2040" w:hanging="360"/>
      </w:pPr>
    </w:lvl>
  </w:abstractNum>
  <w:abstractNum w:abstractNumId="1">
    <w:nsid w:val="CF0DAD01"/>
    <w:multiLevelType w:val="singleLevel"/>
    <w:tmpl w:val="CF0DAD01"/>
    <w:lvl w:ilvl="0" w:tentative="0">
      <w:start w:val="1"/>
      <w:numFmt w:val="decimal"/>
      <w:suff w:val="space"/>
      <w:lvlText w:val="%1."/>
      <w:lvlJc w:val="left"/>
    </w:lvl>
  </w:abstractNum>
  <w:abstractNum w:abstractNumId="2">
    <w:nsid w:val="E643E0BB"/>
    <w:multiLevelType w:val="singleLevel"/>
    <w:tmpl w:val="E643E0BB"/>
    <w:lvl w:ilvl="0" w:tentative="0">
      <w:start w:val="6"/>
      <w:numFmt w:val="chineseCounting"/>
      <w:suff w:val="nothing"/>
      <w:lvlText w:val="%1、"/>
      <w:lvlJc w:val="left"/>
      <w:rPr>
        <w:rFonts w:hint="eastAsia"/>
      </w:rPr>
    </w:lvl>
  </w:abstractNum>
  <w:abstractNum w:abstractNumId="3">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127F168B"/>
    <w:multiLevelType w:val="singleLevel"/>
    <w:tmpl w:val="127F168B"/>
    <w:lvl w:ilvl="0" w:tentative="0">
      <w:start w:val="4"/>
      <w:numFmt w:val="decimal"/>
      <w:suff w:val="nothing"/>
      <w:lvlText w:val="%1、"/>
      <w:lvlJc w:val="left"/>
    </w:lvl>
  </w:abstractNum>
  <w:abstractNum w:abstractNumId="7">
    <w:nsid w:val="3CE944AE"/>
    <w:multiLevelType w:val="singleLevel"/>
    <w:tmpl w:val="3CE944AE"/>
    <w:lvl w:ilvl="0" w:tentative="0">
      <w:start w:val="3"/>
      <w:numFmt w:val="decimal"/>
      <w:suff w:val="nothing"/>
      <w:lvlText w:val="（%1）"/>
      <w:lvlJc w:val="left"/>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0"/>
  </w:num>
  <w:num w:numId="3">
    <w:abstractNumId w:val="2"/>
  </w:num>
  <w:num w:numId="4">
    <w:abstractNumId w:val="7"/>
  </w:num>
  <w:num w:numId="5">
    <w:abstractNumId w:val="8"/>
  </w:num>
  <w:num w:numId="6">
    <w:abstractNumId w:val="5"/>
  </w:num>
  <w:num w:numId="7">
    <w:abstractNumId w:val="9"/>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0E7277"/>
    <w:rsid w:val="00153D08"/>
    <w:rsid w:val="001750E8"/>
    <w:rsid w:val="001909B2"/>
    <w:rsid w:val="00232484"/>
    <w:rsid w:val="00263A0D"/>
    <w:rsid w:val="004259D8"/>
    <w:rsid w:val="00461E17"/>
    <w:rsid w:val="00471CA4"/>
    <w:rsid w:val="00562077"/>
    <w:rsid w:val="00597163"/>
    <w:rsid w:val="005D4E0B"/>
    <w:rsid w:val="005F2F99"/>
    <w:rsid w:val="00643BE3"/>
    <w:rsid w:val="006761BB"/>
    <w:rsid w:val="006D00E3"/>
    <w:rsid w:val="0076445C"/>
    <w:rsid w:val="008276FA"/>
    <w:rsid w:val="008849F7"/>
    <w:rsid w:val="008D1783"/>
    <w:rsid w:val="008D4A14"/>
    <w:rsid w:val="009143D6"/>
    <w:rsid w:val="00A329DF"/>
    <w:rsid w:val="00A6565C"/>
    <w:rsid w:val="00A75CA8"/>
    <w:rsid w:val="00AA277B"/>
    <w:rsid w:val="00AB0B74"/>
    <w:rsid w:val="00AF420A"/>
    <w:rsid w:val="00B22C66"/>
    <w:rsid w:val="00BA4013"/>
    <w:rsid w:val="00C26A7F"/>
    <w:rsid w:val="00C377E4"/>
    <w:rsid w:val="00C53164"/>
    <w:rsid w:val="00C57AF5"/>
    <w:rsid w:val="00C74FD6"/>
    <w:rsid w:val="00D00791"/>
    <w:rsid w:val="00D00D67"/>
    <w:rsid w:val="00D03DFD"/>
    <w:rsid w:val="00D84377"/>
    <w:rsid w:val="00DE0124"/>
    <w:rsid w:val="00E52F76"/>
    <w:rsid w:val="00E56748"/>
    <w:rsid w:val="00EB29FB"/>
    <w:rsid w:val="00ED05CA"/>
    <w:rsid w:val="00F050C2"/>
    <w:rsid w:val="00F1191B"/>
    <w:rsid w:val="00F5767A"/>
    <w:rsid w:val="00F70359"/>
    <w:rsid w:val="00FB6C7A"/>
    <w:rsid w:val="010F3B4F"/>
    <w:rsid w:val="0123584C"/>
    <w:rsid w:val="013D4B60"/>
    <w:rsid w:val="014631E4"/>
    <w:rsid w:val="014F6266"/>
    <w:rsid w:val="015E0ED4"/>
    <w:rsid w:val="01650D7E"/>
    <w:rsid w:val="01785B98"/>
    <w:rsid w:val="017E5928"/>
    <w:rsid w:val="017E63B3"/>
    <w:rsid w:val="019F0F2F"/>
    <w:rsid w:val="01AF0E8E"/>
    <w:rsid w:val="01BA3FA8"/>
    <w:rsid w:val="01C36FE5"/>
    <w:rsid w:val="01DA1C08"/>
    <w:rsid w:val="01E44B68"/>
    <w:rsid w:val="01EF3980"/>
    <w:rsid w:val="02070CCA"/>
    <w:rsid w:val="022364BF"/>
    <w:rsid w:val="02315CB3"/>
    <w:rsid w:val="02421D02"/>
    <w:rsid w:val="02614ACA"/>
    <w:rsid w:val="027D687D"/>
    <w:rsid w:val="02845918"/>
    <w:rsid w:val="028956F5"/>
    <w:rsid w:val="02A978DC"/>
    <w:rsid w:val="02BA1505"/>
    <w:rsid w:val="02BD6714"/>
    <w:rsid w:val="02E7054D"/>
    <w:rsid w:val="02EA4873"/>
    <w:rsid w:val="02EC0BEA"/>
    <w:rsid w:val="02F96864"/>
    <w:rsid w:val="02FA546A"/>
    <w:rsid w:val="02FF77E7"/>
    <w:rsid w:val="03076C87"/>
    <w:rsid w:val="03120DC1"/>
    <w:rsid w:val="03152839"/>
    <w:rsid w:val="032338E1"/>
    <w:rsid w:val="03531E23"/>
    <w:rsid w:val="035508BA"/>
    <w:rsid w:val="03575C81"/>
    <w:rsid w:val="03B15391"/>
    <w:rsid w:val="03BD4CCE"/>
    <w:rsid w:val="03D270B5"/>
    <w:rsid w:val="03DF7ECE"/>
    <w:rsid w:val="04267B2D"/>
    <w:rsid w:val="04281DF6"/>
    <w:rsid w:val="042A106A"/>
    <w:rsid w:val="042F3B90"/>
    <w:rsid w:val="04700DA8"/>
    <w:rsid w:val="04770389"/>
    <w:rsid w:val="04C64537"/>
    <w:rsid w:val="04CF4ABF"/>
    <w:rsid w:val="04D51446"/>
    <w:rsid w:val="04E11CA6"/>
    <w:rsid w:val="04E13A54"/>
    <w:rsid w:val="04E346EE"/>
    <w:rsid w:val="04ED5C61"/>
    <w:rsid w:val="04FE4606"/>
    <w:rsid w:val="050F221F"/>
    <w:rsid w:val="051E7B81"/>
    <w:rsid w:val="052120A3"/>
    <w:rsid w:val="052B11CF"/>
    <w:rsid w:val="053E4A03"/>
    <w:rsid w:val="05402CD4"/>
    <w:rsid w:val="05595BA9"/>
    <w:rsid w:val="056F1060"/>
    <w:rsid w:val="0591547A"/>
    <w:rsid w:val="05B60A3D"/>
    <w:rsid w:val="05CD1A66"/>
    <w:rsid w:val="05CE725F"/>
    <w:rsid w:val="05D26519"/>
    <w:rsid w:val="05E43238"/>
    <w:rsid w:val="05F031E1"/>
    <w:rsid w:val="06052BB4"/>
    <w:rsid w:val="06141E47"/>
    <w:rsid w:val="0615521A"/>
    <w:rsid w:val="061E4834"/>
    <w:rsid w:val="062E44A1"/>
    <w:rsid w:val="06385AA9"/>
    <w:rsid w:val="063B7194"/>
    <w:rsid w:val="06532EA5"/>
    <w:rsid w:val="067376C2"/>
    <w:rsid w:val="067D155B"/>
    <w:rsid w:val="06894493"/>
    <w:rsid w:val="068F23C3"/>
    <w:rsid w:val="069A65B0"/>
    <w:rsid w:val="06A20D46"/>
    <w:rsid w:val="06AA2A99"/>
    <w:rsid w:val="06B43B7D"/>
    <w:rsid w:val="07286AF1"/>
    <w:rsid w:val="072C60C0"/>
    <w:rsid w:val="073826E5"/>
    <w:rsid w:val="074F6B51"/>
    <w:rsid w:val="07D02091"/>
    <w:rsid w:val="07FB5F0C"/>
    <w:rsid w:val="08074BF6"/>
    <w:rsid w:val="08253C96"/>
    <w:rsid w:val="082D7498"/>
    <w:rsid w:val="08323FEC"/>
    <w:rsid w:val="083E2F6B"/>
    <w:rsid w:val="08564CB9"/>
    <w:rsid w:val="085D5AE7"/>
    <w:rsid w:val="086504F8"/>
    <w:rsid w:val="086E3851"/>
    <w:rsid w:val="088651E5"/>
    <w:rsid w:val="088C7521"/>
    <w:rsid w:val="088E0BE1"/>
    <w:rsid w:val="08962DA7"/>
    <w:rsid w:val="089E79A9"/>
    <w:rsid w:val="08A7618F"/>
    <w:rsid w:val="08A92ADB"/>
    <w:rsid w:val="08BE1675"/>
    <w:rsid w:val="08BF5E5A"/>
    <w:rsid w:val="08C903E2"/>
    <w:rsid w:val="08D631A4"/>
    <w:rsid w:val="0910796B"/>
    <w:rsid w:val="0911242E"/>
    <w:rsid w:val="091D420B"/>
    <w:rsid w:val="09231976"/>
    <w:rsid w:val="093F2ABC"/>
    <w:rsid w:val="094368C3"/>
    <w:rsid w:val="0949658D"/>
    <w:rsid w:val="094A448C"/>
    <w:rsid w:val="095073FA"/>
    <w:rsid w:val="09615163"/>
    <w:rsid w:val="096948AB"/>
    <w:rsid w:val="097E5D15"/>
    <w:rsid w:val="098331E1"/>
    <w:rsid w:val="099723FA"/>
    <w:rsid w:val="09B17236"/>
    <w:rsid w:val="09B44D67"/>
    <w:rsid w:val="09BB7723"/>
    <w:rsid w:val="09E92566"/>
    <w:rsid w:val="0A007485"/>
    <w:rsid w:val="0A226110"/>
    <w:rsid w:val="0A271261"/>
    <w:rsid w:val="0A304AAF"/>
    <w:rsid w:val="0A40121D"/>
    <w:rsid w:val="0A573D66"/>
    <w:rsid w:val="0A5E3D23"/>
    <w:rsid w:val="0A622E54"/>
    <w:rsid w:val="0A6A2DB6"/>
    <w:rsid w:val="0A77232F"/>
    <w:rsid w:val="0A8A693C"/>
    <w:rsid w:val="0A982D0F"/>
    <w:rsid w:val="0AAC0660"/>
    <w:rsid w:val="0AAF412D"/>
    <w:rsid w:val="0AB87005"/>
    <w:rsid w:val="0AC937EB"/>
    <w:rsid w:val="0ACA7096"/>
    <w:rsid w:val="0ADD6DCA"/>
    <w:rsid w:val="0AE222D4"/>
    <w:rsid w:val="0AEC1713"/>
    <w:rsid w:val="0AFE7394"/>
    <w:rsid w:val="0B135808"/>
    <w:rsid w:val="0B213EE8"/>
    <w:rsid w:val="0B2B7CBC"/>
    <w:rsid w:val="0B2F3756"/>
    <w:rsid w:val="0B3D750A"/>
    <w:rsid w:val="0B416FFB"/>
    <w:rsid w:val="0B4660A3"/>
    <w:rsid w:val="0B472137"/>
    <w:rsid w:val="0B5331D2"/>
    <w:rsid w:val="0B641CFB"/>
    <w:rsid w:val="0B7109F5"/>
    <w:rsid w:val="0B81389B"/>
    <w:rsid w:val="0B941400"/>
    <w:rsid w:val="0B9E39F1"/>
    <w:rsid w:val="0BB54396"/>
    <w:rsid w:val="0BB60709"/>
    <w:rsid w:val="0BC65752"/>
    <w:rsid w:val="0BF26C44"/>
    <w:rsid w:val="0C0E42CE"/>
    <w:rsid w:val="0C120997"/>
    <w:rsid w:val="0C1429D4"/>
    <w:rsid w:val="0C247AE0"/>
    <w:rsid w:val="0C300ECF"/>
    <w:rsid w:val="0C394176"/>
    <w:rsid w:val="0C8335EC"/>
    <w:rsid w:val="0CA352C8"/>
    <w:rsid w:val="0CC0289C"/>
    <w:rsid w:val="0CC954FA"/>
    <w:rsid w:val="0CE57E5A"/>
    <w:rsid w:val="0CF550D2"/>
    <w:rsid w:val="0D2A0F85"/>
    <w:rsid w:val="0D533015"/>
    <w:rsid w:val="0D5E03AD"/>
    <w:rsid w:val="0D625AD8"/>
    <w:rsid w:val="0D6E6F26"/>
    <w:rsid w:val="0D6E7E4F"/>
    <w:rsid w:val="0D8C4A31"/>
    <w:rsid w:val="0D9030DE"/>
    <w:rsid w:val="0D9378B6"/>
    <w:rsid w:val="0DB6446C"/>
    <w:rsid w:val="0DC43F13"/>
    <w:rsid w:val="0DCB704F"/>
    <w:rsid w:val="0DCD1019"/>
    <w:rsid w:val="0DD8346A"/>
    <w:rsid w:val="0E056A05"/>
    <w:rsid w:val="0E3E1813"/>
    <w:rsid w:val="0E607529"/>
    <w:rsid w:val="0E835B7C"/>
    <w:rsid w:val="0E846DBE"/>
    <w:rsid w:val="0E8C1181"/>
    <w:rsid w:val="0E972280"/>
    <w:rsid w:val="0EA0672E"/>
    <w:rsid w:val="0EB815FA"/>
    <w:rsid w:val="0EC93A45"/>
    <w:rsid w:val="0ECA4B48"/>
    <w:rsid w:val="0ED15CD4"/>
    <w:rsid w:val="0EE06B2A"/>
    <w:rsid w:val="0EF51734"/>
    <w:rsid w:val="0F0F7410"/>
    <w:rsid w:val="0F152C78"/>
    <w:rsid w:val="0F2900C2"/>
    <w:rsid w:val="0F356E0A"/>
    <w:rsid w:val="0F360E40"/>
    <w:rsid w:val="0F371686"/>
    <w:rsid w:val="0F4E7F38"/>
    <w:rsid w:val="0F8D4090"/>
    <w:rsid w:val="0F977B31"/>
    <w:rsid w:val="0FA22205"/>
    <w:rsid w:val="0FA37CB2"/>
    <w:rsid w:val="0FB21E04"/>
    <w:rsid w:val="0FB767C5"/>
    <w:rsid w:val="0FC621C4"/>
    <w:rsid w:val="0FF110FF"/>
    <w:rsid w:val="0FFE0D46"/>
    <w:rsid w:val="0FFF7484"/>
    <w:rsid w:val="10015291"/>
    <w:rsid w:val="101822F4"/>
    <w:rsid w:val="103C44D9"/>
    <w:rsid w:val="105F7F23"/>
    <w:rsid w:val="10685029"/>
    <w:rsid w:val="10797237"/>
    <w:rsid w:val="108654B0"/>
    <w:rsid w:val="10872D51"/>
    <w:rsid w:val="109429AB"/>
    <w:rsid w:val="10B353ED"/>
    <w:rsid w:val="10B916F7"/>
    <w:rsid w:val="10BB6702"/>
    <w:rsid w:val="10D94714"/>
    <w:rsid w:val="10E2791A"/>
    <w:rsid w:val="10ED552F"/>
    <w:rsid w:val="11270A41"/>
    <w:rsid w:val="11352510"/>
    <w:rsid w:val="114227C7"/>
    <w:rsid w:val="11447845"/>
    <w:rsid w:val="114535BD"/>
    <w:rsid w:val="114E2471"/>
    <w:rsid w:val="116457F1"/>
    <w:rsid w:val="11A43746"/>
    <w:rsid w:val="11B26E86"/>
    <w:rsid w:val="11B30526"/>
    <w:rsid w:val="11BC6F84"/>
    <w:rsid w:val="11E12A09"/>
    <w:rsid w:val="12145BB7"/>
    <w:rsid w:val="121A2353"/>
    <w:rsid w:val="121E6A93"/>
    <w:rsid w:val="12326DC2"/>
    <w:rsid w:val="12380A2C"/>
    <w:rsid w:val="125B31D3"/>
    <w:rsid w:val="125C296C"/>
    <w:rsid w:val="12633CFA"/>
    <w:rsid w:val="12891287"/>
    <w:rsid w:val="128A5956"/>
    <w:rsid w:val="1291653A"/>
    <w:rsid w:val="129526FC"/>
    <w:rsid w:val="12A52565"/>
    <w:rsid w:val="12CE5D59"/>
    <w:rsid w:val="12D56E34"/>
    <w:rsid w:val="12E23A01"/>
    <w:rsid w:val="12EE4E70"/>
    <w:rsid w:val="12F51E04"/>
    <w:rsid w:val="12F61656"/>
    <w:rsid w:val="13015F66"/>
    <w:rsid w:val="130308CA"/>
    <w:rsid w:val="1312560D"/>
    <w:rsid w:val="131C0573"/>
    <w:rsid w:val="1326612C"/>
    <w:rsid w:val="132C218A"/>
    <w:rsid w:val="13386F35"/>
    <w:rsid w:val="1358363C"/>
    <w:rsid w:val="13651CF4"/>
    <w:rsid w:val="137D70FC"/>
    <w:rsid w:val="13A01F4A"/>
    <w:rsid w:val="13A66595"/>
    <w:rsid w:val="13C94031"/>
    <w:rsid w:val="13CA1B57"/>
    <w:rsid w:val="13D12EE6"/>
    <w:rsid w:val="13D55805"/>
    <w:rsid w:val="13F84D28"/>
    <w:rsid w:val="13FB7686"/>
    <w:rsid w:val="140E413A"/>
    <w:rsid w:val="140E5EE8"/>
    <w:rsid w:val="14261483"/>
    <w:rsid w:val="142B46CE"/>
    <w:rsid w:val="145E6E6F"/>
    <w:rsid w:val="14602089"/>
    <w:rsid w:val="14841E5F"/>
    <w:rsid w:val="14871C3B"/>
    <w:rsid w:val="14885C9A"/>
    <w:rsid w:val="14953EB8"/>
    <w:rsid w:val="14AD6DAB"/>
    <w:rsid w:val="14B46A8F"/>
    <w:rsid w:val="14CD6092"/>
    <w:rsid w:val="14DF08DB"/>
    <w:rsid w:val="14DF1632"/>
    <w:rsid w:val="14E7596C"/>
    <w:rsid w:val="14EA24B1"/>
    <w:rsid w:val="15200D24"/>
    <w:rsid w:val="1525173B"/>
    <w:rsid w:val="153C6A85"/>
    <w:rsid w:val="154019C6"/>
    <w:rsid w:val="154749E1"/>
    <w:rsid w:val="156959EB"/>
    <w:rsid w:val="156D1711"/>
    <w:rsid w:val="159F732A"/>
    <w:rsid w:val="15A00DC2"/>
    <w:rsid w:val="15C31338"/>
    <w:rsid w:val="15E839EB"/>
    <w:rsid w:val="16010E59"/>
    <w:rsid w:val="16105F47"/>
    <w:rsid w:val="161672D6"/>
    <w:rsid w:val="161F618A"/>
    <w:rsid w:val="162D108F"/>
    <w:rsid w:val="16456719"/>
    <w:rsid w:val="16533BFB"/>
    <w:rsid w:val="16641D15"/>
    <w:rsid w:val="1674311D"/>
    <w:rsid w:val="167B61DA"/>
    <w:rsid w:val="16846935"/>
    <w:rsid w:val="1686445B"/>
    <w:rsid w:val="168801D3"/>
    <w:rsid w:val="169923E1"/>
    <w:rsid w:val="16995913"/>
    <w:rsid w:val="16C404D3"/>
    <w:rsid w:val="16C61301"/>
    <w:rsid w:val="16C61D70"/>
    <w:rsid w:val="16DD57C1"/>
    <w:rsid w:val="16E3540A"/>
    <w:rsid w:val="16EA2C3C"/>
    <w:rsid w:val="171F0B4E"/>
    <w:rsid w:val="172577D0"/>
    <w:rsid w:val="17377504"/>
    <w:rsid w:val="1756362C"/>
    <w:rsid w:val="17563E2E"/>
    <w:rsid w:val="17614581"/>
    <w:rsid w:val="177248E5"/>
    <w:rsid w:val="177B0796"/>
    <w:rsid w:val="178644DD"/>
    <w:rsid w:val="17881C02"/>
    <w:rsid w:val="178E694D"/>
    <w:rsid w:val="179B5CE4"/>
    <w:rsid w:val="17A34B99"/>
    <w:rsid w:val="17BC77D4"/>
    <w:rsid w:val="17C2367E"/>
    <w:rsid w:val="17DD0823"/>
    <w:rsid w:val="17EB3771"/>
    <w:rsid w:val="17F751E7"/>
    <w:rsid w:val="180055D3"/>
    <w:rsid w:val="181866A5"/>
    <w:rsid w:val="18251A52"/>
    <w:rsid w:val="184461DF"/>
    <w:rsid w:val="1845308C"/>
    <w:rsid w:val="18487256"/>
    <w:rsid w:val="18624A54"/>
    <w:rsid w:val="18804808"/>
    <w:rsid w:val="188C382F"/>
    <w:rsid w:val="1890511D"/>
    <w:rsid w:val="18B934D0"/>
    <w:rsid w:val="18B978A7"/>
    <w:rsid w:val="18BA7663"/>
    <w:rsid w:val="18BB6BDC"/>
    <w:rsid w:val="18CC2463"/>
    <w:rsid w:val="18D25736"/>
    <w:rsid w:val="18D314AE"/>
    <w:rsid w:val="18D53478"/>
    <w:rsid w:val="18DF7E53"/>
    <w:rsid w:val="18E86D07"/>
    <w:rsid w:val="18EF69FF"/>
    <w:rsid w:val="18FE29CF"/>
    <w:rsid w:val="19094ED0"/>
    <w:rsid w:val="1910625E"/>
    <w:rsid w:val="192F27EC"/>
    <w:rsid w:val="193053A7"/>
    <w:rsid w:val="19341F89"/>
    <w:rsid w:val="19421AF3"/>
    <w:rsid w:val="19445F08"/>
    <w:rsid w:val="1956601D"/>
    <w:rsid w:val="196440B8"/>
    <w:rsid w:val="19791440"/>
    <w:rsid w:val="198D3D53"/>
    <w:rsid w:val="198F7ACB"/>
    <w:rsid w:val="19B7492C"/>
    <w:rsid w:val="19D10590"/>
    <w:rsid w:val="19D24BCD"/>
    <w:rsid w:val="19F91D19"/>
    <w:rsid w:val="1A0D104E"/>
    <w:rsid w:val="1A1F69B1"/>
    <w:rsid w:val="1A613215"/>
    <w:rsid w:val="1A6A7BF0"/>
    <w:rsid w:val="1A6C043C"/>
    <w:rsid w:val="1A7B32EF"/>
    <w:rsid w:val="1A8F14AF"/>
    <w:rsid w:val="1A9D6217"/>
    <w:rsid w:val="1A9D7751"/>
    <w:rsid w:val="1AA14F3E"/>
    <w:rsid w:val="1AAD645B"/>
    <w:rsid w:val="1ABB2559"/>
    <w:rsid w:val="1AC612CA"/>
    <w:rsid w:val="1ACD57BB"/>
    <w:rsid w:val="1ACE57E5"/>
    <w:rsid w:val="1ADC289C"/>
    <w:rsid w:val="1AFE6CB6"/>
    <w:rsid w:val="1B1C6573"/>
    <w:rsid w:val="1B2938B4"/>
    <w:rsid w:val="1B326451"/>
    <w:rsid w:val="1B357473"/>
    <w:rsid w:val="1B3867B7"/>
    <w:rsid w:val="1B3917D2"/>
    <w:rsid w:val="1B526E30"/>
    <w:rsid w:val="1B5A42F2"/>
    <w:rsid w:val="1B8F4956"/>
    <w:rsid w:val="1BA46EB4"/>
    <w:rsid w:val="1BB67591"/>
    <w:rsid w:val="1BB73608"/>
    <w:rsid w:val="1BB84883"/>
    <w:rsid w:val="1BC17CE4"/>
    <w:rsid w:val="1BDA22A6"/>
    <w:rsid w:val="1BDE2FDE"/>
    <w:rsid w:val="1BE65325"/>
    <w:rsid w:val="1BEA2D97"/>
    <w:rsid w:val="1BED7449"/>
    <w:rsid w:val="1BF54431"/>
    <w:rsid w:val="1BF81957"/>
    <w:rsid w:val="1C755B9B"/>
    <w:rsid w:val="1C770BAC"/>
    <w:rsid w:val="1C8812E8"/>
    <w:rsid w:val="1C8E406A"/>
    <w:rsid w:val="1CBF4223"/>
    <w:rsid w:val="1CC048D1"/>
    <w:rsid w:val="1CC41839"/>
    <w:rsid w:val="1CFF3DC8"/>
    <w:rsid w:val="1D061330"/>
    <w:rsid w:val="1D086E56"/>
    <w:rsid w:val="1D1439C8"/>
    <w:rsid w:val="1D262F66"/>
    <w:rsid w:val="1D28001A"/>
    <w:rsid w:val="1D37200B"/>
    <w:rsid w:val="1D6F5759"/>
    <w:rsid w:val="1DAA46C5"/>
    <w:rsid w:val="1DDE4B7D"/>
    <w:rsid w:val="1DF63C75"/>
    <w:rsid w:val="1DFC3255"/>
    <w:rsid w:val="1E122A78"/>
    <w:rsid w:val="1E1D18EE"/>
    <w:rsid w:val="1E2565A3"/>
    <w:rsid w:val="1E435DE1"/>
    <w:rsid w:val="1E4677DE"/>
    <w:rsid w:val="1E4C4C26"/>
    <w:rsid w:val="1E4F61D8"/>
    <w:rsid w:val="1E6813A9"/>
    <w:rsid w:val="1E6D1634"/>
    <w:rsid w:val="1E826190"/>
    <w:rsid w:val="1EA47B74"/>
    <w:rsid w:val="1ECE4F82"/>
    <w:rsid w:val="1EE5064C"/>
    <w:rsid w:val="1EFD7285"/>
    <w:rsid w:val="1F0321C6"/>
    <w:rsid w:val="1F0664F1"/>
    <w:rsid w:val="1F0E3240"/>
    <w:rsid w:val="1F134CFA"/>
    <w:rsid w:val="1F1558E5"/>
    <w:rsid w:val="1F235B73"/>
    <w:rsid w:val="1F580C40"/>
    <w:rsid w:val="1F5B26D6"/>
    <w:rsid w:val="1F6007D8"/>
    <w:rsid w:val="1F6410B2"/>
    <w:rsid w:val="1F6C3F34"/>
    <w:rsid w:val="1F8A4FBC"/>
    <w:rsid w:val="1F8D2C15"/>
    <w:rsid w:val="1F903C55"/>
    <w:rsid w:val="1F94338A"/>
    <w:rsid w:val="1F9E7C38"/>
    <w:rsid w:val="1F9F4AF6"/>
    <w:rsid w:val="1FAF5D54"/>
    <w:rsid w:val="1FB02549"/>
    <w:rsid w:val="1FB748C5"/>
    <w:rsid w:val="20085EE1"/>
    <w:rsid w:val="203828DD"/>
    <w:rsid w:val="204038CD"/>
    <w:rsid w:val="20497A92"/>
    <w:rsid w:val="205D4216"/>
    <w:rsid w:val="20746CEC"/>
    <w:rsid w:val="207D13AB"/>
    <w:rsid w:val="209D4381"/>
    <w:rsid w:val="20C04A0E"/>
    <w:rsid w:val="20C20786"/>
    <w:rsid w:val="20E00C0C"/>
    <w:rsid w:val="210D445E"/>
    <w:rsid w:val="211A31D2"/>
    <w:rsid w:val="211C2165"/>
    <w:rsid w:val="21375C3D"/>
    <w:rsid w:val="21395615"/>
    <w:rsid w:val="213A482E"/>
    <w:rsid w:val="214B3ADD"/>
    <w:rsid w:val="21805B40"/>
    <w:rsid w:val="218454A5"/>
    <w:rsid w:val="21BA145D"/>
    <w:rsid w:val="21C4408A"/>
    <w:rsid w:val="21F7470F"/>
    <w:rsid w:val="21FE11B6"/>
    <w:rsid w:val="21FF0FBD"/>
    <w:rsid w:val="22034519"/>
    <w:rsid w:val="22086693"/>
    <w:rsid w:val="221072CF"/>
    <w:rsid w:val="22121299"/>
    <w:rsid w:val="221A4B12"/>
    <w:rsid w:val="221F7512"/>
    <w:rsid w:val="22561186"/>
    <w:rsid w:val="22576C53"/>
    <w:rsid w:val="22631D83"/>
    <w:rsid w:val="2271363E"/>
    <w:rsid w:val="227B0BEC"/>
    <w:rsid w:val="22965E6B"/>
    <w:rsid w:val="229677D4"/>
    <w:rsid w:val="22AE28BF"/>
    <w:rsid w:val="22C94716"/>
    <w:rsid w:val="22D64075"/>
    <w:rsid w:val="22D700DE"/>
    <w:rsid w:val="22DB168B"/>
    <w:rsid w:val="22EA18E2"/>
    <w:rsid w:val="22F917C9"/>
    <w:rsid w:val="22FB7F7F"/>
    <w:rsid w:val="23226B91"/>
    <w:rsid w:val="232272BA"/>
    <w:rsid w:val="232F2D7C"/>
    <w:rsid w:val="23463622"/>
    <w:rsid w:val="234B6DE3"/>
    <w:rsid w:val="235333B2"/>
    <w:rsid w:val="235B1AD6"/>
    <w:rsid w:val="235B27CC"/>
    <w:rsid w:val="2362197B"/>
    <w:rsid w:val="236C00BB"/>
    <w:rsid w:val="23874BA3"/>
    <w:rsid w:val="238D7E59"/>
    <w:rsid w:val="23900846"/>
    <w:rsid w:val="239823A2"/>
    <w:rsid w:val="23A64B10"/>
    <w:rsid w:val="23C82F67"/>
    <w:rsid w:val="23DB48BD"/>
    <w:rsid w:val="23E07E45"/>
    <w:rsid w:val="23EB0F9D"/>
    <w:rsid w:val="240510B5"/>
    <w:rsid w:val="2426737F"/>
    <w:rsid w:val="242C7FB7"/>
    <w:rsid w:val="24311EAA"/>
    <w:rsid w:val="24376D95"/>
    <w:rsid w:val="243E0014"/>
    <w:rsid w:val="24433E0A"/>
    <w:rsid w:val="245B2E54"/>
    <w:rsid w:val="24844E02"/>
    <w:rsid w:val="24850334"/>
    <w:rsid w:val="248633FB"/>
    <w:rsid w:val="248A5117"/>
    <w:rsid w:val="249661B1"/>
    <w:rsid w:val="24B21BA7"/>
    <w:rsid w:val="24BD6260"/>
    <w:rsid w:val="24F609FE"/>
    <w:rsid w:val="24F627AC"/>
    <w:rsid w:val="24FD3B3B"/>
    <w:rsid w:val="25002F8D"/>
    <w:rsid w:val="25147944"/>
    <w:rsid w:val="254F617F"/>
    <w:rsid w:val="2551032A"/>
    <w:rsid w:val="25546BA5"/>
    <w:rsid w:val="25550156"/>
    <w:rsid w:val="255E422A"/>
    <w:rsid w:val="256D43FD"/>
    <w:rsid w:val="257A33DD"/>
    <w:rsid w:val="25851C68"/>
    <w:rsid w:val="258D4BC1"/>
    <w:rsid w:val="25986FB6"/>
    <w:rsid w:val="25A24EBE"/>
    <w:rsid w:val="25A4045A"/>
    <w:rsid w:val="25B032A3"/>
    <w:rsid w:val="25B75F7D"/>
    <w:rsid w:val="25C56C78"/>
    <w:rsid w:val="25D16D75"/>
    <w:rsid w:val="25E25090"/>
    <w:rsid w:val="25FB512C"/>
    <w:rsid w:val="262A77B7"/>
    <w:rsid w:val="262B2929"/>
    <w:rsid w:val="262D66A1"/>
    <w:rsid w:val="266939BE"/>
    <w:rsid w:val="26712A32"/>
    <w:rsid w:val="267D2FA7"/>
    <w:rsid w:val="268100F0"/>
    <w:rsid w:val="268B6833"/>
    <w:rsid w:val="26917272"/>
    <w:rsid w:val="26970B8E"/>
    <w:rsid w:val="269D2766"/>
    <w:rsid w:val="26AF4526"/>
    <w:rsid w:val="26B3099F"/>
    <w:rsid w:val="26B40B71"/>
    <w:rsid w:val="26B733C2"/>
    <w:rsid w:val="26C77D3F"/>
    <w:rsid w:val="26CD578F"/>
    <w:rsid w:val="26D37563"/>
    <w:rsid w:val="26D9195B"/>
    <w:rsid w:val="26DC54DA"/>
    <w:rsid w:val="26FD4164"/>
    <w:rsid w:val="271501AB"/>
    <w:rsid w:val="271A7CC3"/>
    <w:rsid w:val="272837BD"/>
    <w:rsid w:val="274B4345"/>
    <w:rsid w:val="27593CE3"/>
    <w:rsid w:val="2759752E"/>
    <w:rsid w:val="275F0ADD"/>
    <w:rsid w:val="27641FEC"/>
    <w:rsid w:val="276F4A98"/>
    <w:rsid w:val="27870033"/>
    <w:rsid w:val="278C389C"/>
    <w:rsid w:val="279B763B"/>
    <w:rsid w:val="280B656E"/>
    <w:rsid w:val="2810392E"/>
    <w:rsid w:val="28305FD5"/>
    <w:rsid w:val="283D072F"/>
    <w:rsid w:val="284A27BE"/>
    <w:rsid w:val="284B05F2"/>
    <w:rsid w:val="286536CA"/>
    <w:rsid w:val="286B44D3"/>
    <w:rsid w:val="287C56BE"/>
    <w:rsid w:val="287F6D76"/>
    <w:rsid w:val="28861B45"/>
    <w:rsid w:val="28FF3998"/>
    <w:rsid w:val="290F6532"/>
    <w:rsid w:val="291C049E"/>
    <w:rsid w:val="291F0973"/>
    <w:rsid w:val="292E7F82"/>
    <w:rsid w:val="29384AB9"/>
    <w:rsid w:val="293D4896"/>
    <w:rsid w:val="294C5091"/>
    <w:rsid w:val="294E1863"/>
    <w:rsid w:val="29512DB5"/>
    <w:rsid w:val="29557033"/>
    <w:rsid w:val="295B7B82"/>
    <w:rsid w:val="295E3016"/>
    <w:rsid w:val="29763EBB"/>
    <w:rsid w:val="298151C5"/>
    <w:rsid w:val="29865982"/>
    <w:rsid w:val="299B171F"/>
    <w:rsid w:val="29BD1AEA"/>
    <w:rsid w:val="29D2383A"/>
    <w:rsid w:val="29E61504"/>
    <w:rsid w:val="29EC3DAC"/>
    <w:rsid w:val="29F20F87"/>
    <w:rsid w:val="2A015314"/>
    <w:rsid w:val="2A0E67EA"/>
    <w:rsid w:val="2A147BDA"/>
    <w:rsid w:val="2A2644A5"/>
    <w:rsid w:val="2A2953D2"/>
    <w:rsid w:val="2A5E151F"/>
    <w:rsid w:val="2A6374BC"/>
    <w:rsid w:val="2A6F2C28"/>
    <w:rsid w:val="2A8F257B"/>
    <w:rsid w:val="2AA25896"/>
    <w:rsid w:val="2AB303AA"/>
    <w:rsid w:val="2AC31382"/>
    <w:rsid w:val="2AD11A62"/>
    <w:rsid w:val="2ADC5AFD"/>
    <w:rsid w:val="2AE17A5A"/>
    <w:rsid w:val="2AE56C24"/>
    <w:rsid w:val="2AE928C2"/>
    <w:rsid w:val="2AF23A16"/>
    <w:rsid w:val="2AF552B4"/>
    <w:rsid w:val="2AF9470D"/>
    <w:rsid w:val="2B2A724C"/>
    <w:rsid w:val="2B3330A0"/>
    <w:rsid w:val="2B462671"/>
    <w:rsid w:val="2B4E4DCD"/>
    <w:rsid w:val="2B505E78"/>
    <w:rsid w:val="2B704853"/>
    <w:rsid w:val="2B732DA8"/>
    <w:rsid w:val="2B762634"/>
    <w:rsid w:val="2B773770"/>
    <w:rsid w:val="2B88437A"/>
    <w:rsid w:val="2B8925CC"/>
    <w:rsid w:val="2B97636B"/>
    <w:rsid w:val="2BA75CE6"/>
    <w:rsid w:val="2BEB6DE3"/>
    <w:rsid w:val="2C302A48"/>
    <w:rsid w:val="2C387B4E"/>
    <w:rsid w:val="2C526E62"/>
    <w:rsid w:val="2CB17636"/>
    <w:rsid w:val="2CB21DCF"/>
    <w:rsid w:val="2CCD64E8"/>
    <w:rsid w:val="2CD70408"/>
    <w:rsid w:val="2CEA709A"/>
    <w:rsid w:val="2CEB7878"/>
    <w:rsid w:val="2CED26E7"/>
    <w:rsid w:val="2CFB5024"/>
    <w:rsid w:val="2D0D130F"/>
    <w:rsid w:val="2D1B0C53"/>
    <w:rsid w:val="2D261D28"/>
    <w:rsid w:val="2D380A40"/>
    <w:rsid w:val="2D5B4E57"/>
    <w:rsid w:val="2D72220F"/>
    <w:rsid w:val="2D7E66F1"/>
    <w:rsid w:val="2D8E7B01"/>
    <w:rsid w:val="2D95546D"/>
    <w:rsid w:val="2DA570F4"/>
    <w:rsid w:val="2DB43A1E"/>
    <w:rsid w:val="2DB85DC1"/>
    <w:rsid w:val="2DC03F17"/>
    <w:rsid w:val="2DC9254F"/>
    <w:rsid w:val="2DCA4758"/>
    <w:rsid w:val="2DDB2F86"/>
    <w:rsid w:val="2DEC5EE4"/>
    <w:rsid w:val="2DF1140A"/>
    <w:rsid w:val="2E0F4CE4"/>
    <w:rsid w:val="2E1B0C2F"/>
    <w:rsid w:val="2E2935E7"/>
    <w:rsid w:val="2E2D19AE"/>
    <w:rsid w:val="2E310CF9"/>
    <w:rsid w:val="2E3662A3"/>
    <w:rsid w:val="2E3F180D"/>
    <w:rsid w:val="2E637500"/>
    <w:rsid w:val="2E764B34"/>
    <w:rsid w:val="2E7E3F56"/>
    <w:rsid w:val="2E954277"/>
    <w:rsid w:val="2EA4771D"/>
    <w:rsid w:val="2EA94D33"/>
    <w:rsid w:val="2EB85F02"/>
    <w:rsid w:val="2ECB148D"/>
    <w:rsid w:val="2ED0014B"/>
    <w:rsid w:val="2ED161A3"/>
    <w:rsid w:val="2EF00C8B"/>
    <w:rsid w:val="2F034443"/>
    <w:rsid w:val="2F067A90"/>
    <w:rsid w:val="2F0D52C2"/>
    <w:rsid w:val="2F140EC6"/>
    <w:rsid w:val="2F176141"/>
    <w:rsid w:val="2F265E4E"/>
    <w:rsid w:val="2F4B5DEA"/>
    <w:rsid w:val="2F5A64AE"/>
    <w:rsid w:val="2F77273B"/>
    <w:rsid w:val="2F815AF6"/>
    <w:rsid w:val="2F8673D4"/>
    <w:rsid w:val="2F995004"/>
    <w:rsid w:val="2F9C21A2"/>
    <w:rsid w:val="2FA50B1C"/>
    <w:rsid w:val="2FAD33C2"/>
    <w:rsid w:val="2FAF0279"/>
    <w:rsid w:val="2FCA4F61"/>
    <w:rsid w:val="2FD815CC"/>
    <w:rsid w:val="300113DD"/>
    <w:rsid w:val="301A16BC"/>
    <w:rsid w:val="301B400C"/>
    <w:rsid w:val="302063B0"/>
    <w:rsid w:val="3025032E"/>
    <w:rsid w:val="302A0D5E"/>
    <w:rsid w:val="302A3C52"/>
    <w:rsid w:val="30486A4B"/>
    <w:rsid w:val="305022CF"/>
    <w:rsid w:val="305F1B4D"/>
    <w:rsid w:val="30647164"/>
    <w:rsid w:val="30792A97"/>
    <w:rsid w:val="3094000D"/>
    <w:rsid w:val="309537C1"/>
    <w:rsid w:val="30986E0D"/>
    <w:rsid w:val="309D2507"/>
    <w:rsid w:val="30AB4D93"/>
    <w:rsid w:val="30BD6874"/>
    <w:rsid w:val="30BF65DB"/>
    <w:rsid w:val="30C419B0"/>
    <w:rsid w:val="30F229C1"/>
    <w:rsid w:val="310E0297"/>
    <w:rsid w:val="311E5564"/>
    <w:rsid w:val="311F11E2"/>
    <w:rsid w:val="312468F3"/>
    <w:rsid w:val="313A1B8F"/>
    <w:rsid w:val="314D5E4A"/>
    <w:rsid w:val="316450AF"/>
    <w:rsid w:val="31AF60BD"/>
    <w:rsid w:val="31C54436"/>
    <w:rsid w:val="31DE4CF4"/>
    <w:rsid w:val="31FE0F16"/>
    <w:rsid w:val="32004C6A"/>
    <w:rsid w:val="32081D71"/>
    <w:rsid w:val="32387E25"/>
    <w:rsid w:val="325141C6"/>
    <w:rsid w:val="325974C4"/>
    <w:rsid w:val="326C1BE3"/>
    <w:rsid w:val="327E788B"/>
    <w:rsid w:val="32AD108D"/>
    <w:rsid w:val="32B36A30"/>
    <w:rsid w:val="32B435BE"/>
    <w:rsid w:val="32C20171"/>
    <w:rsid w:val="32C263C3"/>
    <w:rsid w:val="32D227B9"/>
    <w:rsid w:val="32EB5581"/>
    <w:rsid w:val="32F67E2E"/>
    <w:rsid w:val="331F7476"/>
    <w:rsid w:val="33223F1A"/>
    <w:rsid w:val="33380434"/>
    <w:rsid w:val="33474C5C"/>
    <w:rsid w:val="335A2AA0"/>
    <w:rsid w:val="335B1D88"/>
    <w:rsid w:val="335C76C1"/>
    <w:rsid w:val="33711F29"/>
    <w:rsid w:val="33773FEA"/>
    <w:rsid w:val="337B3536"/>
    <w:rsid w:val="337E0E1D"/>
    <w:rsid w:val="33847B78"/>
    <w:rsid w:val="33877982"/>
    <w:rsid w:val="338A4301"/>
    <w:rsid w:val="33955886"/>
    <w:rsid w:val="33B757FC"/>
    <w:rsid w:val="33C85C5B"/>
    <w:rsid w:val="33D4015C"/>
    <w:rsid w:val="33E02E82"/>
    <w:rsid w:val="33FB7DDF"/>
    <w:rsid w:val="341A3513"/>
    <w:rsid w:val="343E1709"/>
    <w:rsid w:val="34476B80"/>
    <w:rsid w:val="34525525"/>
    <w:rsid w:val="345B262C"/>
    <w:rsid w:val="3464452F"/>
    <w:rsid w:val="34684D49"/>
    <w:rsid w:val="34784F8C"/>
    <w:rsid w:val="347907F4"/>
    <w:rsid w:val="347B2C5B"/>
    <w:rsid w:val="34897199"/>
    <w:rsid w:val="34976726"/>
    <w:rsid w:val="34A15DE7"/>
    <w:rsid w:val="34AA5B2B"/>
    <w:rsid w:val="34AC63E7"/>
    <w:rsid w:val="34C401D1"/>
    <w:rsid w:val="34F63E6E"/>
    <w:rsid w:val="34F903B8"/>
    <w:rsid w:val="35085E11"/>
    <w:rsid w:val="351A6043"/>
    <w:rsid w:val="3528436A"/>
    <w:rsid w:val="353F5AA9"/>
    <w:rsid w:val="35427B0F"/>
    <w:rsid w:val="35575B42"/>
    <w:rsid w:val="355C048E"/>
    <w:rsid w:val="356B5D1D"/>
    <w:rsid w:val="35711EBA"/>
    <w:rsid w:val="357F49FA"/>
    <w:rsid w:val="358945DD"/>
    <w:rsid w:val="358A094F"/>
    <w:rsid w:val="35941976"/>
    <w:rsid w:val="35F377F6"/>
    <w:rsid w:val="361909F0"/>
    <w:rsid w:val="36280E49"/>
    <w:rsid w:val="36290C7B"/>
    <w:rsid w:val="36305093"/>
    <w:rsid w:val="36394B26"/>
    <w:rsid w:val="36453EFF"/>
    <w:rsid w:val="36624145"/>
    <w:rsid w:val="36657792"/>
    <w:rsid w:val="36982718"/>
    <w:rsid w:val="36A4475E"/>
    <w:rsid w:val="36A45B26"/>
    <w:rsid w:val="36AA5E0A"/>
    <w:rsid w:val="36CA0C5E"/>
    <w:rsid w:val="36D05553"/>
    <w:rsid w:val="36D87F64"/>
    <w:rsid w:val="36E45212"/>
    <w:rsid w:val="36E903C3"/>
    <w:rsid w:val="36F658A8"/>
    <w:rsid w:val="370451FC"/>
    <w:rsid w:val="37057598"/>
    <w:rsid w:val="37066C5A"/>
    <w:rsid w:val="370916A9"/>
    <w:rsid w:val="371C74DF"/>
    <w:rsid w:val="37217B5C"/>
    <w:rsid w:val="37227431"/>
    <w:rsid w:val="372E04CB"/>
    <w:rsid w:val="37323758"/>
    <w:rsid w:val="37491867"/>
    <w:rsid w:val="374B0FB6"/>
    <w:rsid w:val="374E6478"/>
    <w:rsid w:val="37520F41"/>
    <w:rsid w:val="375D3AFF"/>
    <w:rsid w:val="3762161D"/>
    <w:rsid w:val="37755EB7"/>
    <w:rsid w:val="377C1237"/>
    <w:rsid w:val="378679C0"/>
    <w:rsid w:val="378F65A8"/>
    <w:rsid w:val="37A05DB8"/>
    <w:rsid w:val="37A12630"/>
    <w:rsid w:val="37AC319E"/>
    <w:rsid w:val="37C93D50"/>
    <w:rsid w:val="37D44BCF"/>
    <w:rsid w:val="37DE58F5"/>
    <w:rsid w:val="38012C35"/>
    <w:rsid w:val="38083993"/>
    <w:rsid w:val="38107357"/>
    <w:rsid w:val="38136735"/>
    <w:rsid w:val="381B27FE"/>
    <w:rsid w:val="3839252C"/>
    <w:rsid w:val="38435851"/>
    <w:rsid w:val="3844320E"/>
    <w:rsid w:val="385979D1"/>
    <w:rsid w:val="38715716"/>
    <w:rsid w:val="38746E9D"/>
    <w:rsid w:val="38762532"/>
    <w:rsid w:val="387949A9"/>
    <w:rsid w:val="38895400"/>
    <w:rsid w:val="38912AC0"/>
    <w:rsid w:val="38A24CCD"/>
    <w:rsid w:val="38BD4DB8"/>
    <w:rsid w:val="38C13A06"/>
    <w:rsid w:val="38C56C0D"/>
    <w:rsid w:val="38DE52AC"/>
    <w:rsid w:val="38ED70B3"/>
    <w:rsid w:val="38F90665"/>
    <w:rsid w:val="390067EE"/>
    <w:rsid w:val="393042D6"/>
    <w:rsid w:val="3966323C"/>
    <w:rsid w:val="39691347"/>
    <w:rsid w:val="396E4BAF"/>
    <w:rsid w:val="39704154"/>
    <w:rsid w:val="397F2B73"/>
    <w:rsid w:val="39856638"/>
    <w:rsid w:val="39A77BA6"/>
    <w:rsid w:val="39AB7BB1"/>
    <w:rsid w:val="39AF5DC9"/>
    <w:rsid w:val="39C07B4A"/>
    <w:rsid w:val="39E166D2"/>
    <w:rsid w:val="39E44E71"/>
    <w:rsid w:val="39EF27A0"/>
    <w:rsid w:val="3A0329B6"/>
    <w:rsid w:val="3A0B4EF8"/>
    <w:rsid w:val="3A1034D9"/>
    <w:rsid w:val="3A1273C6"/>
    <w:rsid w:val="3A1A05AE"/>
    <w:rsid w:val="3A2406E3"/>
    <w:rsid w:val="3A255614"/>
    <w:rsid w:val="3A5B144E"/>
    <w:rsid w:val="3A5E2E76"/>
    <w:rsid w:val="3A6D6A80"/>
    <w:rsid w:val="3A96260F"/>
    <w:rsid w:val="3AB46F3A"/>
    <w:rsid w:val="3AC54CA3"/>
    <w:rsid w:val="3AE06945"/>
    <w:rsid w:val="3AFA401D"/>
    <w:rsid w:val="3B043A1D"/>
    <w:rsid w:val="3B1339F6"/>
    <w:rsid w:val="3B2A146C"/>
    <w:rsid w:val="3B7F7C46"/>
    <w:rsid w:val="3B941E1F"/>
    <w:rsid w:val="3BA42B0A"/>
    <w:rsid w:val="3BA50C7A"/>
    <w:rsid w:val="3BB23E83"/>
    <w:rsid w:val="3BC21DAE"/>
    <w:rsid w:val="3BCC2061"/>
    <w:rsid w:val="3BDE19D1"/>
    <w:rsid w:val="3BF179D9"/>
    <w:rsid w:val="3BFC66FA"/>
    <w:rsid w:val="3C017A86"/>
    <w:rsid w:val="3C0E4427"/>
    <w:rsid w:val="3C1814F4"/>
    <w:rsid w:val="3C2A7AAA"/>
    <w:rsid w:val="3C2F4ACA"/>
    <w:rsid w:val="3C300842"/>
    <w:rsid w:val="3C552056"/>
    <w:rsid w:val="3C851CFB"/>
    <w:rsid w:val="3C893FAF"/>
    <w:rsid w:val="3C946E63"/>
    <w:rsid w:val="3CA827C1"/>
    <w:rsid w:val="3CAD59EE"/>
    <w:rsid w:val="3CAF5C0A"/>
    <w:rsid w:val="3CB60D47"/>
    <w:rsid w:val="3CC35EC1"/>
    <w:rsid w:val="3CDA4418"/>
    <w:rsid w:val="3D271C45"/>
    <w:rsid w:val="3D38095E"/>
    <w:rsid w:val="3D643600"/>
    <w:rsid w:val="3D723DD3"/>
    <w:rsid w:val="3D751F42"/>
    <w:rsid w:val="3D7C2FD8"/>
    <w:rsid w:val="3DA46241"/>
    <w:rsid w:val="3DA60DBB"/>
    <w:rsid w:val="3DA87F4F"/>
    <w:rsid w:val="3DB03948"/>
    <w:rsid w:val="3DC2196D"/>
    <w:rsid w:val="3DE73182"/>
    <w:rsid w:val="3DFA1D1A"/>
    <w:rsid w:val="3E1619C4"/>
    <w:rsid w:val="3E23240C"/>
    <w:rsid w:val="3E55288E"/>
    <w:rsid w:val="3E5E3444"/>
    <w:rsid w:val="3E7C7D6E"/>
    <w:rsid w:val="3E88226F"/>
    <w:rsid w:val="3E88666E"/>
    <w:rsid w:val="3E8D1B42"/>
    <w:rsid w:val="3EC27CA4"/>
    <w:rsid w:val="3EC60FE9"/>
    <w:rsid w:val="3EDD6FEC"/>
    <w:rsid w:val="3F0B5DBE"/>
    <w:rsid w:val="3F163D1F"/>
    <w:rsid w:val="3F2E70A0"/>
    <w:rsid w:val="3F385E8A"/>
    <w:rsid w:val="3F6A3151"/>
    <w:rsid w:val="3F724CCD"/>
    <w:rsid w:val="3F874C1D"/>
    <w:rsid w:val="3F962E29"/>
    <w:rsid w:val="3F973103"/>
    <w:rsid w:val="3FB7642C"/>
    <w:rsid w:val="3FE14F98"/>
    <w:rsid w:val="4004626D"/>
    <w:rsid w:val="40131504"/>
    <w:rsid w:val="402B1A4C"/>
    <w:rsid w:val="403F2E01"/>
    <w:rsid w:val="404D4719"/>
    <w:rsid w:val="405014B2"/>
    <w:rsid w:val="406665E0"/>
    <w:rsid w:val="408000C8"/>
    <w:rsid w:val="40814B23"/>
    <w:rsid w:val="408E72C3"/>
    <w:rsid w:val="408E7BCF"/>
    <w:rsid w:val="40A06D4D"/>
    <w:rsid w:val="40A37834"/>
    <w:rsid w:val="40AB15B8"/>
    <w:rsid w:val="40B26236"/>
    <w:rsid w:val="40B92571"/>
    <w:rsid w:val="40BC6B48"/>
    <w:rsid w:val="40C14C05"/>
    <w:rsid w:val="40C764D4"/>
    <w:rsid w:val="41012B5E"/>
    <w:rsid w:val="41042A54"/>
    <w:rsid w:val="413B181B"/>
    <w:rsid w:val="41436921"/>
    <w:rsid w:val="416359C8"/>
    <w:rsid w:val="41681350"/>
    <w:rsid w:val="416F668A"/>
    <w:rsid w:val="417F79BD"/>
    <w:rsid w:val="419378A9"/>
    <w:rsid w:val="419F6662"/>
    <w:rsid w:val="41A72D03"/>
    <w:rsid w:val="41BC55E0"/>
    <w:rsid w:val="41BF069E"/>
    <w:rsid w:val="41C31810"/>
    <w:rsid w:val="41D76CFC"/>
    <w:rsid w:val="41E81277"/>
    <w:rsid w:val="420661D3"/>
    <w:rsid w:val="420B7389"/>
    <w:rsid w:val="421B789E"/>
    <w:rsid w:val="423563C7"/>
    <w:rsid w:val="42397786"/>
    <w:rsid w:val="426C1EA8"/>
    <w:rsid w:val="42777FC0"/>
    <w:rsid w:val="42A1055B"/>
    <w:rsid w:val="42C57370"/>
    <w:rsid w:val="42D8263E"/>
    <w:rsid w:val="42DD6902"/>
    <w:rsid w:val="42E51E45"/>
    <w:rsid w:val="42FF450A"/>
    <w:rsid w:val="430832B2"/>
    <w:rsid w:val="43144276"/>
    <w:rsid w:val="43264088"/>
    <w:rsid w:val="43333AFF"/>
    <w:rsid w:val="434966C0"/>
    <w:rsid w:val="43603D96"/>
    <w:rsid w:val="437C4518"/>
    <w:rsid w:val="4383063C"/>
    <w:rsid w:val="43880F63"/>
    <w:rsid w:val="43900453"/>
    <w:rsid w:val="43911900"/>
    <w:rsid w:val="43AA4B1B"/>
    <w:rsid w:val="43C42B78"/>
    <w:rsid w:val="43CB7C06"/>
    <w:rsid w:val="43CE514A"/>
    <w:rsid w:val="43D2785E"/>
    <w:rsid w:val="43EB0B8A"/>
    <w:rsid w:val="43F26816"/>
    <w:rsid w:val="441E0010"/>
    <w:rsid w:val="44352E99"/>
    <w:rsid w:val="44513C7B"/>
    <w:rsid w:val="445769C9"/>
    <w:rsid w:val="44637696"/>
    <w:rsid w:val="4467501D"/>
    <w:rsid w:val="446D3502"/>
    <w:rsid w:val="44740DA7"/>
    <w:rsid w:val="44881E95"/>
    <w:rsid w:val="44A6072E"/>
    <w:rsid w:val="44B30262"/>
    <w:rsid w:val="44B411E9"/>
    <w:rsid w:val="44B8321B"/>
    <w:rsid w:val="44C7578F"/>
    <w:rsid w:val="44CE2E30"/>
    <w:rsid w:val="44D31AB8"/>
    <w:rsid w:val="45111167"/>
    <w:rsid w:val="4517597F"/>
    <w:rsid w:val="45442C68"/>
    <w:rsid w:val="454815E5"/>
    <w:rsid w:val="455410FD"/>
    <w:rsid w:val="455B42EF"/>
    <w:rsid w:val="455D72FE"/>
    <w:rsid w:val="457C2033"/>
    <w:rsid w:val="45B02114"/>
    <w:rsid w:val="45C6139C"/>
    <w:rsid w:val="45D15B02"/>
    <w:rsid w:val="45F0051F"/>
    <w:rsid w:val="45F70027"/>
    <w:rsid w:val="45F72B61"/>
    <w:rsid w:val="46026F77"/>
    <w:rsid w:val="460543FD"/>
    <w:rsid w:val="4609638B"/>
    <w:rsid w:val="46135147"/>
    <w:rsid w:val="463712E7"/>
    <w:rsid w:val="465C55EF"/>
    <w:rsid w:val="46605468"/>
    <w:rsid w:val="466A125B"/>
    <w:rsid w:val="46994235"/>
    <w:rsid w:val="46A2549B"/>
    <w:rsid w:val="46A41C10"/>
    <w:rsid w:val="46A636F7"/>
    <w:rsid w:val="46A95479"/>
    <w:rsid w:val="46B856BC"/>
    <w:rsid w:val="46EF342D"/>
    <w:rsid w:val="46F50B99"/>
    <w:rsid w:val="46F77B89"/>
    <w:rsid w:val="47025EAF"/>
    <w:rsid w:val="471C5C4A"/>
    <w:rsid w:val="47203A3B"/>
    <w:rsid w:val="473A5CBA"/>
    <w:rsid w:val="473C453F"/>
    <w:rsid w:val="4743767B"/>
    <w:rsid w:val="47443EE7"/>
    <w:rsid w:val="475353E4"/>
    <w:rsid w:val="4757256C"/>
    <w:rsid w:val="47633658"/>
    <w:rsid w:val="47705640"/>
    <w:rsid w:val="478A4765"/>
    <w:rsid w:val="478B191A"/>
    <w:rsid w:val="479D69AF"/>
    <w:rsid w:val="47CB7671"/>
    <w:rsid w:val="47E90CDF"/>
    <w:rsid w:val="47F15329"/>
    <w:rsid w:val="47F830B6"/>
    <w:rsid w:val="481728B6"/>
    <w:rsid w:val="482657E1"/>
    <w:rsid w:val="48531B40"/>
    <w:rsid w:val="487B3318"/>
    <w:rsid w:val="48887BC9"/>
    <w:rsid w:val="48B8648B"/>
    <w:rsid w:val="48B93029"/>
    <w:rsid w:val="48BA396D"/>
    <w:rsid w:val="48BE6A26"/>
    <w:rsid w:val="48C50F58"/>
    <w:rsid w:val="48D32C81"/>
    <w:rsid w:val="491868E5"/>
    <w:rsid w:val="495C4A24"/>
    <w:rsid w:val="49726A4B"/>
    <w:rsid w:val="498868D5"/>
    <w:rsid w:val="498A4FCE"/>
    <w:rsid w:val="49984EFD"/>
    <w:rsid w:val="499A72FA"/>
    <w:rsid w:val="49B0569C"/>
    <w:rsid w:val="49CB1213"/>
    <w:rsid w:val="49CF6FD5"/>
    <w:rsid w:val="49E14F29"/>
    <w:rsid w:val="49F25ED2"/>
    <w:rsid w:val="4A076C56"/>
    <w:rsid w:val="4A08384B"/>
    <w:rsid w:val="4A4319C9"/>
    <w:rsid w:val="4A431F7F"/>
    <w:rsid w:val="4A711501"/>
    <w:rsid w:val="4A837CC2"/>
    <w:rsid w:val="4AA46683"/>
    <w:rsid w:val="4AAF0341"/>
    <w:rsid w:val="4ADB07DF"/>
    <w:rsid w:val="4ADE5F63"/>
    <w:rsid w:val="4AE253FD"/>
    <w:rsid w:val="4AEC1DD8"/>
    <w:rsid w:val="4AF13892"/>
    <w:rsid w:val="4AF8077D"/>
    <w:rsid w:val="4AF84C20"/>
    <w:rsid w:val="4AFB026D"/>
    <w:rsid w:val="4B03567D"/>
    <w:rsid w:val="4B082C3C"/>
    <w:rsid w:val="4B097E96"/>
    <w:rsid w:val="4B0A7CF9"/>
    <w:rsid w:val="4B105AC6"/>
    <w:rsid w:val="4B140ACE"/>
    <w:rsid w:val="4B304F9F"/>
    <w:rsid w:val="4B5032B2"/>
    <w:rsid w:val="4B54430C"/>
    <w:rsid w:val="4B684422"/>
    <w:rsid w:val="4B742573"/>
    <w:rsid w:val="4B7B64DF"/>
    <w:rsid w:val="4BA10E14"/>
    <w:rsid w:val="4BB73B85"/>
    <w:rsid w:val="4BF478AD"/>
    <w:rsid w:val="4BF61160"/>
    <w:rsid w:val="4BFA7533"/>
    <w:rsid w:val="4C0D46FC"/>
    <w:rsid w:val="4C143394"/>
    <w:rsid w:val="4C17384D"/>
    <w:rsid w:val="4C196BC9"/>
    <w:rsid w:val="4C211F55"/>
    <w:rsid w:val="4C251A45"/>
    <w:rsid w:val="4C257A37"/>
    <w:rsid w:val="4C3645C0"/>
    <w:rsid w:val="4C395894"/>
    <w:rsid w:val="4C552A37"/>
    <w:rsid w:val="4C64712B"/>
    <w:rsid w:val="4C700EF1"/>
    <w:rsid w:val="4C760354"/>
    <w:rsid w:val="4C79769B"/>
    <w:rsid w:val="4C891B35"/>
    <w:rsid w:val="4CBA0F25"/>
    <w:rsid w:val="4CC07CA7"/>
    <w:rsid w:val="4CD945DE"/>
    <w:rsid w:val="4CDE4289"/>
    <w:rsid w:val="4CE216E4"/>
    <w:rsid w:val="4D48432B"/>
    <w:rsid w:val="4D4D4B4C"/>
    <w:rsid w:val="4D54068A"/>
    <w:rsid w:val="4D550108"/>
    <w:rsid w:val="4D7F6F33"/>
    <w:rsid w:val="4D820233"/>
    <w:rsid w:val="4D844549"/>
    <w:rsid w:val="4D9A1FBF"/>
    <w:rsid w:val="4DA60522"/>
    <w:rsid w:val="4DA62A1D"/>
    <w:rsid w:val="4DDE31B9"/>
    <w:rsid w:val="4DE92356"/>
    <w:rsid w:val="4DED20EF"/>
    <w:rsid w:val="4DF25957"/>
    <w:rsid w:val="4DF50B78"/>
    <w:rsid w:val="4E125E62"/>
    <w:rsid w:val="4E1E499E"/>
    <w:rsid w:val="4E257ADB"/>
    <w:rsid w:val="4E370904"/>
    <w:rsid w:val="4E4B5067"/>
    <w:rsid w:val="4E50267E"/>
    <w:rsid w:val="4E657666"/>
    <w:rsid w:val="4E6938E7"/>
    <w:rsid w:val="4E6A5759"/>
    <w:rsid w:val="4E6E3FBD"/>
    <w:rsid w:val="4E6F0D56"/>
    <w:rsid w:val="4E701DC0"/>
    <w:rsid w:val="4E7E543D"/>
    <w:rsid w:val="4E8C0649"/>
    <w:rsid w:val="4E93713A"/>
    <w:rsid w:val="4EAC01FC"/>
    <w:rsid w:val="4EB54D0F"/>
    <w:rsid w:val="4EBB21ED"/>
    <w:rsid w:val="4EC00544"/>
    <w:rsid w:val="4ECA741E"/>
    <w:rsid w:val="4EE647F9"/>
    <w:rsid w:val="4EE71234"/>
    <w:rsid w:val="4EE86F5A"/>
    <w:rsid w:val="4EEE303D"/>
    <w:rsid w:val="4EEF00E8"/>
    <w:rsid w:val="4F006719"/>
    <w:rsid w:val="4F0E4A13"/>
    <w:rsid w:val="4F1C3BF6"/>
    <w:rsid w:val="4F2E489B"/>
    <w:rsid w:val="4F4018F9"/>
    <w:rsid w:val="4F4C72E9"/>
    <w:rsid w:val="4F5166AD"/>
    <w:rsid w:val="4F591E0C"/>
    <w:rsid w:val="4F5D25FD"/>
    <w:rsid w:val="4F643265"/>
    <w:rsid w:val="4F741231"/>
    <w:rsid w:val="4F8B2FB0"/>
    <w:rsid w:val="4F9667B6"/>
    <w:rsid w:val="4FAE58AE"/>
    <w:rsid w:val="4FB41D44"/>
    <w:rsid w:val="4FB93303"/>
    <w:rsid w:val="4FBC32D6"/>
    <w:rsid w:val="4FC60E49"/>
    <w:rsid w:val="4FCE5F50"/>
    <w:rsid w:val="4FD23C92"/>
    <w:rsid w:val="4FD55530"/>
    <w:rsid w:val="50105D76"/>
    <w:rsid w:val="50203C86"/>
    <w:rsid w:val="50300C5A"/>
    <w:rsid w:val="50355FCF"/>
    <w:rsid w:val="503A35E5"/>
    <w:rsid w:val="50414462"/>
    <w:rsid w:val="5056019C"/>
    <w:rsid w:val="507D1C90"/>
    <w:rsid w:val="50827466"/>
    <w:rsid w:val="508E7F3E"/>
    <w:rsid w:val="50927F38"/>
    <w:rsid w:val="50A86B66"/>
    <w:rsid w:val="50BF6E81"/>
    <w:rsid w:val="50C51101"/>
    <w:rsid w:val="50EA500B"/>
    <w:rsid w:val="50FF0870"/>
    <w:rsid w:val="511C3DE5"/>
    <w:rsid w:val="512A6927"/>
    <w:rsid w:val="51314285"/>
    <w:rsid w:val="513D513B"/>
    <w:rsid w:val="513F080C"/>
    <w:rsid w:val="514209A3"/>
    <w:rsid w:val="5157341F"/>
    <w:rsid w:val="515755AF"/>
    <w:rsid w:val="51583AFC"/>
    <w:rsid w:val="518E2B89"/>
    <w:rsid w:val="51960E38"/>
    <w:rsid w:val="51A206CC"/>
    <w:rsid w:val="51A86022"/>
    <w:rsid w:val="51B07CE9"/>
    <w:rsid w:val="51CE4B40"/>
    <w:rsid w:val="51DF61F2"/>
    <w:rsid w:val="51FE3FDB"/>
    <w:rsid w:val="524876DE"/>
    <w:rsid w:val="52654DCD"/>
    <w:rsid w:val="5268268C"/>
    <w:rsid w:val="526E4B08"/>
    <w:rsid w:val="526F7C25"/>
    <w:rsid w:val="5275420C"/>
    <w:rsid w:val="528B1ED6"/>
    <w:rsid w:val="52993685"/>
    <w:rsid w:val="52A511EA"/>
    <w:rsid w:val="52A66D10"/>
    <w:rsid w:val="52B14033"/>
    <w:rsid w:val="52B56E7C"/>
    <w:rsid w:val="52B626C2"/>
    <w:rsid w:val="52B72CCB"/>
    <w:rsid w:val="52D719EE"/>
    <w:rsid w:val="52DA541F"/>
    <w:rsid w:val="52F061DD"/>
    <w:rsid w:val="52F263F9"/>
    <w:rsid w:val="52FA6702"/>
    <w:rsid w:val="53026543"/>
    <w:rsid w:val="5306542C"/>
    <w:rsid w:val="530869B1"/>
    <w:rsid w:val="530A15C8"/>
    <w:rsid w:val="53146370"/>
    <w:rsid w:val="532E24F6"/>
    <w:rsid w:val="532F2219"/>
    <w:rsid w:val="533662E6"/>
    <w:rsid w:val="53390376"/>
    <w:rsid w:val="533C1C56"/>
    <w:rsid w:val="53486019"/>
    <w:rsid w:val="534F543C"/>
    <w:rsid w:val="53536E2D"/>
    <w:rsid w:val="53796D79"/>
    <w:rsid w:val="537D2167"/>
    <w:rsid w:val="5382152B"/>
    <w:rsid w:val="53842532"/>
    <w:rsid w:val="53914B2C"/>
    <w:rsid w:val="53DC38BE"/>
    <w:rsid w:val="53E01E88"/>
    <w:rsid w:val="53E75312"/>
    <w:rsid w:val="53EA0E7E"/>
    <w:rsid w:val="53FC12DE"/>
    <w:rsid w:val="540A24A6"/>
    <w:rsid w:val="541C54DC"/>
    <w:rsid w:val="541D6439"/>
    <w:rsid w:val="544205A3"/>
    <w:rsid w:val="546926EB"/>
    <w:rsid w:val="546A09A4"/>
    <w:rsid w:val="54994D7E"/>
    <w:rsid w:val="54996B2C"/>
    <w:rsid w:val="549E4143"/>
    <w:rsid w:val="54A77BD0"/>
    <w:rsid w:val="54AF15A9"/>
    <w:rsid w:val="54DE52B7"/>
    <w:rsid w:val="54E87AB4"/>
    <w:rsid w:val="54F40207"/>
    <w:rsid w:val="55024486"/>
    <w:rsid w:val="550541C2"/>
    <w:rsid w:val="5508717A"/>
    <w:rsid w:val="55142657"/>
    <w:rsid w:val="551E5284"/>
    <w:rsid w:val="552535BC"/>
    <w:rsid w:val="553117F6"/>
    <w:rsid w:val="553813F1"/>
    <w:rsid w:val="55384597"/>
    <w:rsid w:val="553B4087"/>
    <w:rsid w:val="553C395C"/>
    <w:rsid w:val="55404A2C"/>
    <w:rsid w:val="554A5BE6"/>
    <w:rsid w:val="556E3CCA"/>
    <w:rsid w:val="556E620B"/>
    <w:rsid w:val="557E3F74"/>
    <w:rsid w:val="55821076"/>
    <w:rsid w:val="558A1FB2"/>
    <w:rsid w:val="55A35789"/>
    <w:rsid w:val="55A41C2D"/>
    <w:rsid w:val="55E24503"/>
    <w:rsid w:val="55E83204"/>
    <w:rsid w:val="55EA1914"/>
    <w:rsid w:val="560C52C2"/>
    <w:rsid w:val="56140811"/>
    <w:rsid w:val="56292132"/>
    <w:rsid w:val="56493792"/>
    <w:rsid w:val="56562A21"/>
    <w:rsid w:val="565A22EB"/>
    <w:rsid w:val="567037A7"/>
    <w:rsid w:val="56777341"/>
    <w:rsid w:val="567E247E"/>
    <w:rsid w:val="568E01E7"/>
    <w:rsid w:val="5692023C"/>
    <w:rsid w:val="569C0B56"/>
    <w:rsid w:val="56C105BC"/>
    <w:rsid w:val="56CB143B"/>
    <w:rsid w:val="56CF6A43"/>
    <w:rsid w:val="56D402F0"/>
    <w:rsid w:val="56DC4338"/>
    <w:rsid w:val="56E74715"/>
    <w:rsid w:val="56E94BE1"/>
    <w:rsid w:val="572F4B71"/>
    <w:rsid w:val="57367748"/>
    <w:rsid w:val="575329D5"/>
    <w:rsid w:val="576E139F"/>
    <w:rsid w:val="57790E97"/>
    <w:rsid w:val="57AE4DD7"/>
    <w:rsid w:val="57B27F05"/>
    <w:rsid w:val="57B4461F"/>
    <w:rsid w:val="57C21E4C"/>
    <w:rsid w:val="57D8796C"/>
    <w:rsid w:val="57FF1107"/>
    <w:rsid w:val="58261185"/>
    <w:rsid w:val="5837687D"/>
    <w:rsid w:val="583C31B4"/>
    <w:rsid w:val="583F5C3D"/>
    <w:rsid w:val="5849381E"/>
    <w:rsid w:val="584A021A"/>
    <w:rsid w:val="58613E05"/>
    <w:rsid w:val="5866766D"/>
    <w:rsid w:val="589A5311"/>
    <w:rsid w:val="589F66DB"/>
    <w:rsid w:val="58FC58DC"/>
    <w:rsid w:val="59061A80"/>
    <w:rsid w:val="5908019E"/>
    <w:rsid w:val="5918680C"/>
    <w:rsid w:val="591B1A70"/>
    <w:rsid w:val="594015B1"/>
    <w:rsid w:val="59464DA9"/>
    <w:rsid w:val="5951436D"/>
    <w:rsid w:val="59554FEC"/>
    <w:rsid w:val="595A0DC1"/>
    <w:rsid w:val="596D4A2C"/>
    <w:rsid w:val="598338AF"/>
    <w:rsid w:val="599B0EFC"/>
    <w:rsid w:val="599C2C1B"/>
    <w:rsid w:val="599C7120"/>
    <w:rsid w:val="599D6464"/>
    <w:rsid w:val="59B87DFF"/>
    <w:rsid w:val="59BC4757"/>
    <w:rsid w:val="59BD150F"/>
    <w:rsid w:val="59BD511F"/>
    <w:rsid w:val="59DA2255"/>
    <w:rsid w:val="59F2174F"/>
    <w:rsid w:val="59F23B9C"/>
    <w:rsid w:val="59FB03DA"/>
    <w:rsid w:val="5A0C5111"/>
    <w:rsid w:val="5A130C2C"/>
    <w:rsid w:val="5A303C47"/>
    <w:rsid w:val="5A392A01"/>
    <w:rsid w:val="5A39563D"/>
    <w:rsid w:val="5A427C66"/>
    <w:rsid w:val="5A483CEB"/>
    <w:rsid w:val="5A6377F9"/>
    <w:rsid w:val="5A850661"/>
    <w:rsid w:val="5AAB1367"/>
    <w:rsid w:val="5AB032D8"/>
    <w:rsid w:val="5AE0581C"/>
    <w:rsid w:val="5AE96334"/>
    <w:rsid w:val="5AF4204A"/>
    <w:rsid w:val="5B073D10"/>
    <w:rsid w:val="5B2F3729"/>
    <w:rsid w:val="5B31213F"/>
    <w:rsid w:val="5B5F738D"/>
    <w:rsid w:val="5B61236E"/>
    <w:rsid w:val="5B8172F0"/>
    <w:rsid w:val="5BA54009"/>
    <w:rsid w:val="5BAF480F"/>
    <w:rsid w:val="5BDB3ECE"/>
    <w:rsid w:val="5BE43388"/>
    <w:rsid w:val="5C142F3C"/>
    <w:rsid w:val="5C3F489B"/>
    <w:rsid w:val="5C473312"/>
    <w:rsid w:val="5C5D72CE"/>
    <w:rsid w:val="5C5E240A"/>
    <w:rsid w:val="5C643EC4"/>
    <w:rsid w:val="5C7929C3"/>
    <w:rsid w:val="5C857737"/>
    <w:rsid w:val="5C882160"/>
    <w:rsid w:val="5CCF1148"/>
    <w:rsid w:val="5CD53D28"/>
    <w:rsid w:val="5CE9389A"/>
    <w:rsid w:val="5CF718B7"/>
    <w:rsid w:val="5CFE6002"/>
    <w:rsid w:val="5D0460DC"/>
    <w:rsid w:val="5D0946FC"/>
    <w:rsid w:val="5D170F36"/>
    <w:rsid w:val="5D2366CB"/>
    <w:rsid w:val="5D3331A6"/>
    <w:rsid w:val="5D486FBE"/>
    <w:rsid w:val="5D4D7B53"/>
    <w:rsid w:val="5D706898"/>
    <w:rsid w:val="5D8A153C"/>
    <w:rsid w:val="5D8F31C2"/>
    <w:rsid w:val="5D912798"/>
    <w:rsid w:val="5D99669E"/>
    <w:rsid w:val="5DB90857"/>
    <w:rsid w:val="5DBD3CB4"/>
    <w:rsid w:val="5DE1497B"/>
    <w:rsid w:val="5DEA43BA"/>
    <w:rsid w:val="5DEF5A0F"/>
    <w:rsid w:val="5E0D3CA2"/>
    <w:rsid w:val="5E135BA1"/>
    <w:rsid w:val="5E1D1079"/>
    <w:rsid w:val="5E211941"/>
    <w:rsid w:val="5E227B93"/>
    <w:rsid w:val="5E23592E"/>
    <w:rsid w:val="5E563CE0"/>
    <w:rsid w:val="5E565A8E"/>
    <w:rsid w:val="5E6D59C3"/>
    <w:rsid w:val="5E7121D1"/>
    <w:rsid w:val="5E8537C2"/>
    <w:rsid w:val="5E8B448B"/>
    <w:rsid w:val="5E90073D"/>
    <w:rsid w:val="5E9341CF"/>
    <w:rsid w:val="5E9A1E1F"/>
    <w:rsid w:val="5E9C0CBE"/>
    <w:rsid w:val="5EA049D8"/>
    <w:rsid w:val="5EAC1B52"/>
    <w:rsid w:val="5EB55098"/>
    <w:rsid w:val="5EC342A2"/>
    <w:rsid w:val="5EC6388D"/>
    <w:rsid w:val="5EDA6373"/>
    <w:rsid w:val="5EF13A09"/>
    <w:rsid w:val="5EF46D8B"/>
    <w:rsid w:val="5F0453BF"/>
    <w:rsid w:val="5F182D44"/>
    <w:rsid w:val="5F1A6ABC"/>
    <w:rsid w:val="5F357D99"/>
    <w:rsid w:val="5F487ACD"/>
    <w:rsid w:val="5F5A15AE"/>
    <w:rsid w:val="5F6067D6"/>
    <w:rsid w:val="5F8F4324"/>
    <w:rsid w:val="5F9C1BC7"/>
    <w:rsid w:val="5FA86D63"/>
    <w:rsid w:val="5FAB7702"/>
    <w:rsid w:val="5FBD0C6B"/>
    <w:rsid w:val="5FC23A00"/>
    <w:rsid w:val="5FC4513D"/>
    <w:rsid w:val="5FE65467"/>
    <w:rsid w:val="5FFB68ED"/>
    <w:rsid w:val="600A2FD4"/>
    <w:rsid w:val="601F4136"/>
    <w:rsid w:val="6022031E"/>
    <w:rsid w:val="604C7149"/>
    <w:rsid w:val="60584392"/>
    <w:rsid w:val="605974FE"/>
    <w:rsid w:val="607A7403"/>
    <w:rsid w:val="608F7035"/>
    <w:rsid w:val="609B022F"/>
    <w:rsid w:val="60A92C72"/>
    <w:rsid w:val="60AA69DE"/>
    <w:rsid w:val="60B42F40"/>
    <w:rsid w:val="60C82547"/>
    <w:rsid w:val="60D03566"/>
    <w:rsid w:val="6102075D"/>
    <w:rsid w:val="611063C8"/>
    <w:rsid w:val="61183C2B"/>
    <w:rsid w:val="613C4EE5"/>
    <w:rsid w:val="614150DB"/>
    <w:rsid w:val="61457DA0"/>
    <w:rsid w:val="614B11AE"/>
    <w:rsid w:val="6151078F"/>
    <w:rsid w:val="61541F25"/>
    <w:rsid w:val="61620180"/>
    <w:rsid w:val="61695AD8"/>
    <w:rsid w:val="617D1400"/>
    <w:rsid w:val="617F6DE9"/>
    <w:rsid w:val="61903065"/>
    <w:rsid w:val="61903A3C"/>
    <w:rsid w:val="61AB3B0F"/>
    <w:rsid w:val="61C24BFD"/>
    <w:rsid w:val="61C471B3"/>
    <w:rsid w:val="61C8409B"/>
    <w:rsid w:val="61D20A4F"/>
    <w:rsid w:val="61D76EE6"/>
    <w:rsid w:val="61DA0784"/>
    <w:rsid w:val="61E3018A"/>
    <w:rsid w:val="61EC7E6A"/>
    <w:rsid w:val="620121B5"/>
    <w:rsid w:val="620D46B6"/>
    <w:rsid w:val="621338C4"/>
    <w:rsid w:val="62145A44"/>
    <w:rsid w:val="6220088D"/>
    <w:rsid w:val="624B3714"/>
    <w:rsid w:val="625B18C5"/>
    <w:rsid w:val="626004E0"/>
    <w:rsid w:val="62787340"/>
    <w:rsid w:val="62B227ED"/>
    <w:rsid w:val="62B40FD5"/>
    <w:rsid w:val="6304265A"/>
    <w:rsid w:val="6317540E"/>
    <w:rsid w:val="63251B06"/>
    <w:rsid w:val="632932AD"/>
    <w:rsid w:val="63310433"/>
    <w:rsid w:val="634A483E"/>
    <w:rsid w:val="635D166D"/>
    <w:rsid w:val="637628BB"/>
    <w:rsid w:val="637A3FCD"/>
    <w:rsid w:val="6386335A"/>
    <w:rsid w:val="63AE042A"/>
    <w:rsid w:val="63AE1EC8"/>
    <w:rsid w:val="63C51B85"/>
    <w:rsid w:val="63F55D49"/>
    <w:rsid w:val="6408152D"/>
    <w:rsid w:val="640F5CFD"/>
    <w:rsid w:val="642B45E0"/>
    <w:rsid w:val="64366989"/>
    <w:rsid w:val="64487E89"/>
    <w:rsid w:val="64540CC2"/>
    <w:rsid w:val="64604EAC"/>
    <w:rsid w:val="64740A1C"/>
    <w:rsid w:val="647823DC"/>
    <w:rsid w:val="647B6F42"/>
    <w:rsid w:val="64805FF8"/>
    <w:rsid w:val="64835103"/>
    <w:rsid w:val="648F5856"/>
    <w:rsid w:val="64C45DE1"/>
    <w:rsid w:val="64D37E39"/>
    <w:rsid w:val="64D7429C"/>
    <w:rsid w:val="65380C12"/>
    <w:rsid w:val="65393A14"/>
    <w:rsid w:val="653D443F"/>
    <w:rsid w:val="65434447"/>
    <w:rsid w:val="6544327A"/>
    <w:rsid w:val="65577F52"/>
    <w:rsid w:val="65584EF8"/>
    <w:rsid w:val="65677A9C"/>
    <w:rsid w:val="656F7113"/>
    <w:rsid w:val="65B35574"/>
    <w:rsid w:val="65D200F0"/>
    <w:rsid w:val="65F73581"/>
    <w:rsid w:val="65FA31A3"/>
    <w:rsid w:val="663168CC"/>
    <w:rsid w:val="66457796"/>
    <w:rsid w:val="664A79D0"/>
    <w:rsid w:val="66545717"/>
    <w:rsid w:val="66A5387A"/>
    <w:rsid w:val="66AD290B"/>
    <w:rsid w:val="66AD5949"/>
    <w:rsid w:val="66BC2B4E"/>
    <w:rsid w:val="66C2621A"/>
    <w:rsid w:val="66C37A39"/>
    <w:rsid w:val="66DE0D17"/>
    <w:rsid w:val="66E853A9"/>
    <w:rsid w:val="66FE060F"/>
    <w:rsid w:val="67184229"/>
    <w:rsid w:val="672E75A8"/>
    <w:rsid w:val="67573E7B"/>
    <w:rsid w:val="67584625"/>
    <w:rsid w:val="6764746E"/>
    <w:rsid w:val="67656B1B"/>
    <w:rsid w:val="677F7E04"/>
    <w:rsid w:val="679413D5"/>
    <w:rsid w:val="679542C8"/>
    <w:rsid w:val="67AE419D"/>
    <w:rsid w:val="67AF051E"/>
    <w:rsid w:val="67AF209E"/>
    <w:rsid w:val="67B22635"/>
    <w:rsid w:val="67B60664"/>
    <w:rsid w:val="67BE74C9"/>
    <w:rsid w:val="67C94540"/>
    <w:rsid w:val="67D92386"/>
    <w:rsid w:val="67EB5499"/>
    <w:rsid w:val="67F00D02"/>
    <w:rsid w:val="680B1697"/>
    <w:rsid w:val="680D0202"/>
    <w:rsid w:val="681C5653"/>
    <w:rsid w:val="683769EB"/>
    <w:rsid w:val="683C6122"/>
    <w:rsid w:val="683F0DF2"/>
    <w:rsid w:val="684F37DE"/>
    <w:rsid w:val="686C263E"/>
    <w:rsid w:val="689E250C"/>
    <w:rsid w:val="68A1024E"/>
    <w:rsid w:val="68AA2AF0"/>
    <w:rsid w:val="68AE714D"/>
    <w:rsid w:val="68B2669E"/>
    <w:rsid w:val="68CB6160"/>
    <w:rsid w:val="68DA7E1F"/>
    <w:rsid w:val="68E22B52"/>
    <w:rsid w:val="68E87C2B"/>
    <w:rsid w:val="68EB131E"/>
    <w:rsid w:val="68ED6FEF"/>
    <w:rsid w:val="68F3373D"/>
    <w:rsid w:val="69101308"/>
    <w:rsid w:val="69182A19"/>
    <w:rsid w:val="691F0B40"/>
    <w:rsid w:val="69277887"/>
    <w:rsid w:val="693A198C"/>
    <w:rsid w:val="694F1A58"/>
    <w:rsid w:val="69511D05"/>
    <w:rsid w:val="695E325D"/>
    <w:rsid w:val="69600F1A"/>
    <w:rsid w:val="6963672A"/>
    <w:rsid w:val="69685470"/>
    <w:rsid w:val="69764EE6"/>
    <w:rsid w:val="698C50B9"/>
    <w:rsid w:val="698E1753"/>
    <w:rsid w:val="69B642C0"/>
    <w:rsid w:val="69D47128"/>
    <w:rsid w:val="69F06C2F"/>
    <w:rsid w:val="69F07ED0"/>
    <w:rsid w:val="69FE3890"/>
    <w:rsid w:val="6A10379F"/>
    <w:rsid w:val="6A3273AF"/>
    <w:rsid w:val="6A3D3FA6"/>
    <w:rsid w:val="6A3F1ACC"/>
    <w:rsid w:val="6A4F72AA"/>
    <w:rsid w:val="6A636242"/>
    <w:rsid w:val="6A686507"/>
    <w:rsid w:val="6A7A0A2B"/>
    <w:rsid w:val="6A7F636D"/>
    <w:rsid w:val="6A835451"/>
    <w:rsid w:val="6A846193"/>
    <w:rsid w:val="6A8B7554"/>
    <w:rsid w:val="6A99183B"/>
    <w:rsid w:val="6AB161D5"/>
    <w:rsid w:val="6AB37984"/>
    <w:rsid w:val="6AC67AF8"/>
    <w:rsid w:val="6AC87D14"/>
    <w:rsid w:val="6ACA0B7E"/>
    <w:rsid w:val="6ACF32F8"/>
    <w:rsid w:val="6ADC67B8"/>
    <w:rsid w:val="6ADE7537"/>
    <w:rsid w:val="6AED1528"/>
    <w:rsid w:val="6AF26B3F"/>
    <w:rsid w:val="6B133F99"/>
    <w:rsid w:val="6B1D66F9"/>
    <w:rsid w:val="6B221B0E"/>
    <w:rsid w:val="6B377473"/>
    <w:rsid w:val="6B426B13"/>
    <w:rsid w:val="6B7937E1"/>
    <w:rsid w:val="6B9419A4"/>
    <w:rsid w:val="6B96273F"/>
    <w:rsid w:val="6BA20565"/>
    <w:rsid w:val="6BB205BA"/>
    <w:rsid w:val="6BBE4C73"/>
    <w:rsid w:val="6BC4672D"/>
    <w:rsid w:val="6BFF7765"/>
    <w:rsid w:val="6C1A634D"/>
    <w:rsid w:val="6C1F0748"/>
    <w:rsid w:val="6C1F1BB5"/>
    <w:rsid w:val="6C305B70"/>
    <w:rsid w:val="6C364F34"/>
    <w:rsid w:val="6C3A4520"/>
    <w:rsid w:val="6C5630FD"/>
    <w:rsid w:val="6C6204DD"/>
    <w:rsid w:val="6C6B4119"/>
    <w:rsid w:val="6C7543E1"/>
    <w:rsid w:val="6C783074"/>
    <w:rsid w:val="6C7D42B4"/>
    <w:rsid w:val="6C81017A"/>
    <w:rsid w:val="6C8A3E98"/>
    <w:rsid w:val="6C963B87"/>
    <w:rsid w:val="6CA96079"/>
    <w:rsid w:val="6CAC1F8A"/>
    <w:rsid w:val="6CAD0F6F"/>
    <w:rsid w:val="6CAE64CE"/>
    <w:rsid w:val="6CB0280D"/>
    <w:rsid w:val="6CB3564C"/>
    <w:rsid w:val="6CB95D72"/>
    <w:rsid w:val="6CC81EA4"/>
    <w:rsid w:val="6CC91B21"/>
    <w:rsid w:val="6CD521A0"/>
    <w:rsid w:val="6D202E2C"/>
    <w:rsid w:val="6D281124"/>
    <w:rsid w:val="6D2D5C52"/>
    <w:rsid w:val="6D37776E"/>
    <w:rsid w:val="6D445574"/>
    <w:rsid w:val="6D473593"/>
    <w:rsid w:val="6D69517B"/>
    <w:rsid w:val="6D6D2C9E"/>
    <w:rsid w:val="6D7B2E1B"/>
    <w:rsid w:val="6D895E36"/>
    <w:rsid w:val="6DA63567"/>
    <w:rsid w:val="6DCE453B"/>
    <w:rsid w:val="6DD644F6"/>
    <w:rsid w:val="6DD94FEE"/>
    <w:rsid w:val="6DDF784E"/>
    <w:rsid w:val="6DF7234B"/>
    <w:rsid w:val="6E3B360C"/>
    <w:rsid w:val="6E623FDB"/>
    <w:rsid w:val="6E8E3022"/>
    <w:rsid w:val="6EBA5BC5"/>
    <w:rsid w:val="6EC51F25"/>
    <w:rsid w:val="6EC6456A"/>
    <w:rsid w:val="6EC8214A"/>
    <w:rsid w:val="6EDC41D0"/>
    <w:rsid w:val="6EDF73DA"/>
    <w:rsid w:val="6EE352C1"/>
    <w:rsid w:val="6EF22C08"/>
    <w:rsid w:val="6F0D2199"/>
    <w:rsid w:val="6F1976C8"/>
    <w:rsid w:val="6F1D055D"/>
    <w:rsid w:val="6F2B7E7A"/>
    <w:rsid w:val="6F3B6D06"/>
    <w:rsid w:val="6F4A0A27"/>
    <w:rsid w:val="6F51652A"/>
    <w:rsid w:val="6F634051"/>
    <w:rsid w:val="6F7C731F"/>
    <w:rsid w:val="6F926779"/>
    <w:rsid w:val="6F99134C"/>
    <w:rsid w:val="6F9D691F"/>
    <w:rsid w:val="6FFC5967"/>
    <w:rsid w:val="70021CEB"/>
    <w:rsid w:val="70315D5F"/>
    <w:rsid w:val="703412AA"/>
    <w:rsid w:val="704838FD"/>
    <w:rsid w:val="706207F2"/>
    <w:rsid w:val="7066454C"/>
    <w:rsid w:val="707B3132"/>
    <w:rsid w:val="707F6878"/>
    <w:rsid w:val="709119F6"/>
    <w:rsid w:val="709F5073"/>
    <w:rsid w:val="70AF7F0C"/>
    <w:rsid w:val="70B00070"/>
    <w:rsid w:val="70B0102E"/>
    <w:rsid w:val="70B2124A"/>
    <w:rsid w:val="70BC644D"/>
    <w:rsid w:val="70C42D2B"/>
    <w:rsid w:val="70CA7AC4"/>
    <w:rsid w:val="70CB2248"/>
    <w:rsid w:val="70CB4DC3"/>
    <w:rsid w:val="70D16063"/>
    <w:rsid w:val="70E70043"/>
    <w:rsid w:val="70E90DC7"/>
    <w:rsid w:val="70F562D7"/>
    <w:rsid w:val="70F61AE4"/>
    <w:rsid w:val="71381023"/>
    <w:rsid w:val="713D64DC"/>
    <w:rsid w:val="714A1292"/>
    <w:rsid w:val="715B2E69"/>
    <w:rsid w:val="71810C1C"/>
    <w:rsid w:val="718720E0"/>
    <w:rsid w:val="71941D4C"/>
    <w:rsid w:val="71C122F6"/>
    <w:rsid w:val="71F040F8"/>
    <w:rsid w:val="71F7318A"/>
    <w:rsid w:val="71FB64E8"/>
    <w:rsid w:val="72021D5D"/>
    <w:rsid w:val="720634E7"/>
    <w:rsid w:val="72094B9E"/>
    <w:rsid w:val="721A3870"/>
    <w:rsid w:val="72204897"/>
    <w:rsid w:val="722D62E3"/>
    <w:rsid w:val="724065B9"/>
    <w:rsid w:val="724265FE"/>
    <w:rsid w:val="724F3AC4"/>
    <w:rsid w:val="72587BCF"/>
    <w:rsid w:val="72873F22"/>
    <w:rsid w:val="728E35F1"/>
    <w:rsid w:val="72DB435C"/>
    <w:rsid w:val="72E81386"/>
    <w:rsid w:val="731750C1"/>
    <w:rsid w:val="732773A6"/>
    <w:rsid w:val="7349576A"/>
    <w:rsid w:val="735760D9"/>
    <w:rsid w:val="73704B9F"/>
    <w:rsid w:val="73781E2A"/>
    <w:rsid w:val="73797009"/>
    <w:rsid w:val="737C6513"/>
    <w:rsid w:val="739641CD"/>
    <w:rsid w:val="7397507D"/>
    <w:rsid w:val="73BE0114"/>
    <w:rsid w:val="73C565BA"/>
    <w:rsid w:val="73D26F5B"/>
    <w:rsid w:val="73DA0C8A"/>
    <w:rsid w:val="73DE4104"/>
    <w:rsid w:val="73DF2D55"/>
    <w:rsid w:val="73F76C73"/>
    <w:rsid w:val="740C0054"/>
    <w:rsid w:val="74143FCA"/>
    <w:rsid w:val="746135D3"/>
    <w:rsid w:val="7467373E"/>
    <w:rsid w:val="74700E42"/>
    <w:rsid w:val="74825670"/>
    <w:rsid w:val="748A603A"/>
    <w:rsid w:val="74940C67"/>
    <w:rsid w:val="74A03EB7"/>
    <w:rsid w:val="74A82AE1"/>
    <w:rsid w:val="74C104FD"/>
    <w:rsid w:val="74CF13BD"/>
    <w:rsid w:val="74FD704D"/>
    <w:rsid w:val="750A1256"/>
    <w:rsid w:val="750B5D52"/>
    <w:rsid w:val="750E0DBD"/>
    <w:rsid w:val="752E2E69"/>
    <w:rsid w:val="753541F8"/>
    <w:rsid w:val="755443BE"/>
    <w:rsid w:val="755B467D"/>
    <w:rsid w:val="75631372"/>
    <w:rsid w:val="75781DD0"/>
    <w:rsid w:val="757F5473"/>
    <w:rsid w:val="75824D9D"/>
    <w:rsid w:val="75872680"/>
    <w:rsid w:val="7596016F"/>
    <w:rsid w:val="75AB1C93"/>
    <w:rsid w:val="75BD12DC"/>
    <w:rsid w:val="75CD4430"/>
    <w:rsid w:val="75E17EDC"/>
    <w:rsid w:val="7608190C"/>
    <w:rsid w:val="761B163F"/>
    <w:rsid w:val="761E6A3A"/>
    <w:rsid w:val="761F3505"/>
    <w:rsid w:val="76486327"/>
    <w:rsid w:val="764F3097"/>
    <w:rsid w:val="76695DFA"/>
    <w:rsid w:val="766C1E9B"/>
    <w:rsid w:val="76810114"/>
    <w:rsid w:val="76816FC9"/>
    <w:rsid w:val="76941E85"/>
    <w:rsid w:val="76B85F9A"/>
    <w:rsid w:val="76C23869"/>
    <w:rsid w:val="76C267AC"/>
    <w:rsid w:val="76C44396"/>
    <w:rsid w:val="76E41762"/>
    <w:rsid w:val="76E46ECE"/>
    <w:rsid w:val="76E83614"/>
    <w:rsid w:val="770519A8"/>
    <w:rsid w:val="770964AB"/>
    <w:rsid w:val="7717316E"/>
    <w:rsid w:val="77181DE6"/>
    <w:rsid w:val="771C4E0C"/>
    <w:rsid w:val="77336515"/>
    <w:rsid w:val="77444BC6"/>
    <w:rsid w:val="77603777"/>
    <w:rsid w:val="77747B28"/>
    <w:rsid w:val="77786406"/>
    <w:rsid w:val="77901BB9"/>
    <w:rsid w:val="779B3C6B"/>
    <w:rsid w:val="77AB5706"/>
    <w:rsid w:val="77BD3D54"/>
    <w:rsid w:val="77C64F3D"/>
    <w:rsid w:val="77C7479C"/>
    <w:rsid w:val="77E52E64"/>
    <w:rsid w:val="77EF68E0"/>
    <w:rsid w:val="77F008AA"/>
    <w:rsid w:val="77F71C38"/>
    <w:rsid w:val="78174088"/>
    <w:rsid w:val="782A5B6A"/>
    <w:rsid w:val="78395DAD"/>
    <w:rsid w:val="786136A7"/>
    <w:rsid w:val="787B3EF7"/>
    <w:rsid w:val="787D26D8"/>
    <w:rsid w:val="788E3223"/>
    <w:rsid w:val="789164D8"/>
    <w:rsid w:val="78BE4504"/>
    <w:rsid w:val="78CF226D"/>
    <w:rsid w:val="78E06AB0"/>
    <w:rsid w:val="78FF080F"/>
    <w:rsid w:val="79194C3C"/>
    <w:rsid w:val="79334EF2"/>
    <w:rsid w:val="793A70E8"/>
    <w:rsid w:val="79517126"/>
    <w:rsid w:val="795805F1"/>
    <w:rsid w:val="79782905"/>
    <w:rsid w:val="798E0318"/>
    <w:rsid w:val="79A45AA0"/>
    <w:rsid w:val="79AF62F8"/>
    <w:rsid w:val="79F01427"/>
    <w:rsid w:val="7A0D2DBC"/>
    <w:rsid w:val="7A1F0FD2"/>
    <w:rsid w:val="7A2A295A"/>
    <w:rsid w:val="7A326EC1"/>
    <w:rsid w:val="7A3C3932"/>
    <w:rsid w:val="7A556F82"/>
    <w:rsid w:val="7A721678"/>
    <w:rsid w:val="7A8D0632"/>
    <w:rsid w:val="7A8E0021"/>
    <w:rsid w:val="7A8F643C"/>
    <w:rsid w:val="7A9B287B"/>
    <w:rsid w:val="7AC415A1"/>
    <w:rsid w:val="7AD93877"/>
    <w:rsid w:val="7ADB3C24"/>
    <w:rsid w:val="7ADE6F38"/>
    <w:rsid w:val="7B031C60"/>
    <w:rsid w:val="7B310FBD"/>
    <w:rsid w:val="7B324B86"/>
    <w:rsid w:val="7B413C96"/>
    <w:rsid w:val="7B42540E"/>
    <w:rsid w:val="7B443D8C"/>
    <w:rsid w:val="7B7E44DA"/>
    <w:rsid w:val="7B9652C4"/>
    <w:rsid w:val="7BB65DCF"/>
    <w:rsid w:val="7BC260B9"/>
    <w:rsid w:val="7BDD535C"/>
    <w:rsid w:val="7BDF7589"/>
    <w:rsid w:val="7BF02535"/>
    <w:rsid w:val="7BF53DED"/>
    <w:rsid w:val="7BFC0690"/>
    <w:rsid w:val="7C10112E"/>
    <w:rsid w:val="7C1D50F5"/>
    <w:rsid w:val="7C52568F"/>
    <w:rsid w:val="7C6106D5"/>
    <w:rsid w:val="7C6151AF"/>
    <w:rsid w:val="7C684EB3"/>
    <w:rsid w:val="7C867CD4"/>
    <w:rsid w:val="7CBD556F"/>
    <w:rsid w:val="7CC540BD"/>
    <w:rsid w:val="7CC80AC4"/>
    <w:rsid w:val="7D1E37C3"/>
    <w:rsid w:val="7D2012E9"/>
    <w:rsid w:val="7D373771"/>
    <w:rsid w:val="7D3B5470"/>
    <w:rsid w:val="7D423759"/>
    <w:rsid w:val="7D695F1A"/>
    <w:rsid w:val="7D712C70"/>
    <w:rsid w:val="7D816BD7"/>
    <w:rsid w:val="7D9121E7"/>
    <w:rsid w:val="7D935B21"/>
    <w:rsid w:val="7DA939D5"/>
    <w:rsid w:val="7DAF266D"/>
    <w:rsid w:val="7DC73FEB"/>
    <w:rsid w:val="7DD56578"/>
    <w:rsid w:val="7DD956AA"/>
    <w:rsid w:val="7DDA4A01"/>
    <w:rsid w:val="7DEA3E93"/>
    <w:rsid w:val="7DFF0D42"/>
    <w:rsid w:val="7E2D5B39"/>
    <w:rsid w:val="7E42351F"/>
    <w:rsid w:val="7E4B05E8"/>
    <w:rsid w:val="7E762BF0"/>
    <w:rsid w:val="7E77318C"/>
    <w:rsid w:val="7E7E6C0F"/>
    <w:rsid w:val="7E955D07"/>
    <w:rsid w:val="7EC81FBE"/>
    <w:rsid w:val="7ED160D1"/>
    <w:rsid w:val="7EDB5E10"/>
    <w:rsid w:val="7EEE3521"/>
    <w:rsid w:val="7EF766B2"/>
    <w:rsid w:val="7EF90044"/>
    <w:rsid w:val="7F211349"/>
    <w:rsid w:val="7F2B4D67"/>
    <w:rsid w:val="7F405C73"/>
    <w:rsid w:val="7F443BE1"/>
    <w:rsid w:val="7F460259"/>
    <w:rsid w:val="7F7F7177"/>
    <w:rsid w:val="7F8520B5"/>
    <w:rsid w:val="7F9F5AC1"/>
    <w:rsid w:val="7FA44454"/>
    <w:rsid w:val="7FA97CBC"/>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5"/>
    <w:basedOn w:val="1"/>
    <w:next w:val="1"/>
    <w:qFormat/>
    <w:uiPriority w:val="0"/>
    <w:pPr>
      <w:widowControl/>
      <w:spacing w:before="100" w:beforeLines="0" w:beforeAutospacing="1" w:after="100" w:afterLines="0" w:afterAutospacing="1"/>
      <w:jc w:val="left"/>
      <w:outlineLvl w:val="4"/>
    </w:pPr>
    <w:rPr>
      <w:rFonts w:ascii="宋体" w:hAnsi="宋体"/>
      <w:b/>
      <w:kern w:val="0"/>
      <w:sz w:val="20"/>
    </w:rPr>
  </w:style>
  <w:style w:type="character" w:default="1" w:styleId="29">
    <w:name w:val="Default Paragraph Font"/>
    <w:autoRedefine/>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0"/>
    <w:pPr>
      <w:jc w:val="center"/>
    </w:pPr>
    <w:rPr>
      <w:szCs w:val="20"/>
    </w:rPr>
  </w:style>
  <w:style w:type="paragraph" w:styleId="7">
    <w:name w:val="Normal Indent"/>
    <w:basedOn w:val="1"/>
    <w:autoRedefine/>
    <w:qFormat/>
    <w:uiPriority w:val="0"/>
    <w:pPr>
      <w:autoSpaceDE w:val="0"/>
      <w:autoSpaceDN w:val="0"/>
      <w:adjustRightInd w:val="0"/>
      <w:ind w:firstLine="420"/>
    </w:pPr>
    <w:rPr>
      <w:rFonts w:ascii="宋体"/>
      <w:szCs w:val="20"/>
    </w:rPr>
  </w:style>
  <w:style w:type="paragraph" w:styleId="8">
    <w:name w:val="toa heading"/>
    <w:basedOn w:val="1"/>
    <w:next w:val="1"/>
    <w:autoRedefine/>
    <w:qFormat/>
    <w:uiPriority w:val="0"/>
    <w:pPr>
      <w:spacing w:before="120"/>
    </w:pPr>
    <w:rPr>
      <w:rFonts w:ascii="Cambria" w:hAnsi="Cambria"/>
      <w:szCs w:val="20"/>
    </w:rPr>
  </w:style>
  <w:style w:type="paragraph" w:styleId="9">
    <w:name w:val="Body Text 3"/>
    <w:basedOn w:val="1"/>
    <w:qFormat/>
    <w:uiPriority w:val="0"/>
    <w:pPr>
      <w:spacing w:line="400" w:lineRule="atLeast"/>
    </w:pPr>
    <w:rPr>
      <w:rFonts w:ascii="宋体" w:hAnsi="宋体"/>
      <w:color w:val="800080"/>
      <w:sz w:val="24"/>
    </w:rPr>
  </w:style>
  <w:style w:type="paragraph" w:styleId="10">
    <w:name w:val="Body Text"/>
    <w:basedOn w:val="1"/>
    <w:next w:val="1"/>
    <w:autoRedefine/>
    <w:qFormat/>
    <w:uiPriority w:val="99"/>
    <w:pPr>
      <w:numPr>
        <w:ilvl w:val="0"/>
        <w:numId w:val="1"/>
      </w:numPr>
      <w:tabs>
        <w:tab w:val="clear" w:pos="780"/>
      </w:tabs>
      <w:ind w:left="0" w:firstLine="0"/>
    </w:pPr>
    <w:rPr>
      <w:rFonts w:ascii="黑体" w:eastAsia="黑体"/>
      <w:sz w:val="22"/>
    </w:rPr>
  </w:style>
  <w:style w:type="paragraph" w:styleId="11">
    <w:name w:val="Body Text Indent"/>
    <w:basedOn w:val="1"/>
    <w:autoRedefine/>
    <w:qFormat/>
    <w:uiPriority w:val="0"/>
    <w:pPr>
      <w:spacing w:after="120"/>
      <w:ind w:left="200" w:leftChars="200"/>
    </w:pPr>
  </w:style>
  <w:style w:type="paragraph" w:styleId="12">
    <w:name w:val="Block Text"/>
    <w:basedOn w:val="1"/>
    <w:qFormat/>
    <w:uiPriority w:val="0"/>
    <w:pPr>
      <w:adjustRightInd w:val="0"/>
      <w:spacing w:line="360" w:lineRule="auto"/>
      <w:ind w:left="630" w:right="-609" w:firstLine="420"/>
    </w:pPr>
    <w:rPr>
      <w:rFonts w:ascii="仿宋_GB2312" w:eastAsia="仿宋_GB2312"/>
      <w:kern w:val="0"/>
      <w:szCs w:val="20"/>
    </w:rPr>
  </w:style>
  <w:style w:type="paragraph" w:styleId="13">
    <w:name w:val="Plain Text"/>
    <w:basedOn w:val="1"/>
    <w:autoRedefine/>
    <w:qFormat/>
    <w:uiPriority w:val="0"/>
    <w:rPr>
      <w:rFonts w:ascii="宋体"/>
      <w:szCs w:val="20"/>
      <w:u w:color="000000"/>
    </w:rPr>
  </w:style>
  <w:style w:type="paragraph" w:styleId="14">
    <w:name w:val="Date"/>
    <w:basedOn w:val="1"/>
    <w:next w:val="1"/>
    <w:autoRedefine/>
    <w:qFormat/>
    <w:uiPriority w:val="0"/>
    <w:rPr>
      <w:rFonts w:ascii="Arial" w:hAnsi="Arial" w:eastAsia="仿宋_GB2312"/>
      <w:sz w:val="32"/>
      <w:szCs w:val="20"/>
      <w:u w:color="000000"/>
    </w:rPr>
  </w:style>
  <w:style w:type="paragraph" w:styleId="15">
    <w:name w:val="Balloon Text"/>
    <w:basedOn w:val="1"/>
    <w:autoRedefine/>
    <w:qFormat/>
    <w:uiPriority w:val="0"/>
    <w:rPr>
      <w:sz w:val="18"/>
      <w:szCs w:val="18"/>
    </w:rPr>
  </w:style>
  <w:style w:type="paragraph" w:styleId="16">
    <w:name w:val="footer"/>
    <w:basedOn w:val="1"/>
    <w:autoRedefine/>
    <w:qFormat/>
    <w:uiPriority w:val="0"/>
    <w:pPr>
      <w:tabs>
        <w:tab w:val="center" w:pos="4153"/>
        <w:tab w:val="right" w:pos="8306"/>
      </w:tabs>
      <w:snapToGrid w:val="0"/>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List Number 5"/>
    <w:basedOn w:val="1"/>
    <w:qFormat/>
    <w:uiPriority w:val="0"/>
    <w:pPr>
      <w:numPr>
        <w:ilvl w:val="0"/>
        <w:numId w:val="2"/>
      </w:numPr>
    </w:pPr>
  </w:style>
  <w:style w:type="paragraph" w:styleId="19">
    <w:name w:val="footnote text"/>
    <w:basedOn w:val="1"/>
    <w:autoRedefine/>
    <w:semiHidden/>
    <w:unhideWhenUsed/>
    <w:qFormat/>
    <w:uiPriority w:val="99"/>
    <w:pPr>
      <w:snapToGrid w:val="0"/>
    </w:pPr>
    <w:rPr>
      <w:sz w:val="18"/>
      <w:szCs w:val="18"/>
    </w:rPr>
  </w:style>
  <w:style w:type="paragraph" w:styleId="20">
    <w:name w:val="index 7"/>
    <w:basedOn w:val="1"/>
    <w:next w:val="1"/>
    <w:autoRedefine/>
    <w:qFormat/>
    <w:uiPriority w:val="0"/>
    <w:pPr>
      <w:ind w:left="1200" w:leftChars="1200"/>
    </w:pPr>
    <w:rPr>
      <w:color w:val="auto"/>
      <w:kern w:val="2"/>
    </w:rPr>
  </w:style>
  <w:style w:type="paragraph" w:styleId="21">
    <w:name w:val="Body Text 2"/>
    <w:basedOn w:val="1"/>
    <w:autoRedefine/>
    <w:qFormat/>
    <w:uiPriority w:val="0"/>
    <w:pPr>
      <w:tabs>
        <w:tab w:val="left" w:pos="0"/>
      </w:tabs>
      <w:spacing w:line="400" w:lineRule="atLeast"/>
    </w:pPr>
    <w:rPr>
      <w:rFonts w:ascii="Arial" w:hAnsi="Arial"/>
    </w:rPr>
  </w:style>
  <w:style w:type="paragraph" w:styleId="2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3">
    <w:name w:val="Normal (Web)"/>
    <w:basedOn w:val="1"/>
    <w:autoRedefine/>
    <w:qFormat/>
    <w:uiPriority w:val="99"/>
    <w:pPr>
      <w:widowControl/>
    </w:pPr>
    <w:rPr>
      <w:rFonts w:ascii="宋体" w:hAnsi="宋体" w:eastAsia="宋体" w:cs="宋体"/>
    </w:rPr>
  </w:style>
  <w:style w:type="paragraph" w:styleId="24">
    <w:name w:val="Title"/>
    <w:basedOn w:val="1"/>
    <w:next w:val="1"/>
    <w:autoRedefine/>
    <w:qFormat/>
    <w:uiPriority w:val="0"/>
    <w:pPr>
      <w:spacing w:before="240" w:after="60"/>
      <w:jc w:val="center"/>
      <w:outlineLvl w:val="0"/>
    </w:pPr>
    <w:rPr>
      <w:rFonts w:ascii="Cambria" w:hAnsi="Cambria"/>
      <w:b/>
      <w:bCs/>
      <w:sz w:val="32"/>
      <w:szCs w:val="32"/>
    </w:rPr>
  </w:style>
  <w:style w:type="paragraph" w:styleId="25">
    <w:name w:val="Body Text First Indent"/>
    <w:basedOn w:val="10"/>
    <w:next w:val="1"/>
    <w:autoRedefine/>
    <w:qFormat/>
    <w:uiPriority w:val="0"/>
    <w:pPr>
      <w:tabs>
        <w:tab w:val="left" w:pos="780"/>
      </w:tabs>
      <w:spacing w:after="220" w:afterLines="0" w:line="220" w:lineRule="atLeast"/>
      <w:ind w:firstLine="420"/>
    </w:pPr>
    <w:rPr>
      <w:rFonts w:ascii="Times New Roman" w:hAnsi="Times New Roman" w:eastAsia="宋体" w:cs="Times New Roman"/>
      <w:sz w:val="21"/>
      <w:szCs w:val="20"/>
    </w:rPr>
  </w:style>
  <w:style w:type="paragraph" w:styleId="26">
    <w:name w:val="Body Text First Indent 2"/>
    <w:basedOn w:val="11"/>
    <w:next w:val="1"/>
    <w:autoRedefine/>
    <w:qFormat/>
    <w:uiPriority w:val="0"/>
    <w:pPr>
      <w:ind w:firstLine="420" w:firstLineChars="2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Hyperlink"/>
    <w:autoRedefine/>
    <w:qFormat/>
    <w:uiPriority w:val="99"/>
    <w:rPr>
      <w:color w:val="0000FF"/>
      <w:u w:val="single"/>
    </w:rPr>
  </w:style>
  <w:style w:type="character" w:styleId="32">
    <w:name w:val="footnote reference"/>
    <w:basedOn w:val="29"/>
    <w:autoRedefine/>
    <w:semiHidden/>
    <w:unhideWhenUsed/>
    <w:qFormat/>
    <w:uiPriority w:val="99"/>
    <w:rPr>
      <w:vertAlign w:val="superscript"/>
    </w:rPr>
  </w:style>
  <w:style w:type="character" w:styleId="33">
    <w:name w:val="HTML Sample"/>
    <w:basedOn w:val="29"/>
    <w:qFormat/>
    <w:uiPriority w:val="0"/>
    <w:rPr>
      <w:rFonts w:ascii="Courier New" w:hAnsi="Courier New"/>
    </w:rPr>
  </w:style>
  <w:style w:type="paragraph" w:customStyle="1" w:styleId="34">
    <w:name w:val="Default"/>
    <w:basedOn w:val="2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_Style 2"/>
    <w:basedOn w:val="2"/>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6">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37">
    <w:name w:val="样式 首行缩进:  2 字符"/>
    <w:basedOn w:val="1"/>
    <w:autoRedefine/>
    <w:qFormat/>
    <w:uiPriority w:val="0"/>
    <w:pPr>
      <w:spacing w:line="360" w:lineRule="auto"/>
      <w:ind w:firstLine="480" w:firstLineChars="200"/>
    </w:pPr>
    <w:rPr>
      <w:rFonts w:ascii="宋体" w:hAnsi="宋体" w:cs="宋体"/>
      <w:szCs w:val="20"/>
    </w:rPr>
  </w:style>
  <w:style w:type="paragraph" w:customStyle="1" w:styleId="38">
    <w:name w:val="正文格式"/>
    <w:basedOn w:val="1"/>
    <w:autoRedefine/>
    <w:qFormat/>
    <w:uiPriority w:val="99"/>
    <w:pPr>
      <w:widowControl/>
      <w:adjustRightInd w:val="0"/>
      <w:snapToGrid w:val="0"/>
      <w:spacing w:line="400" w:lineRule="atLeast"/>
      <w:ind w:firstLine="482"/>
      <w:textAlignment w:val="baseline"/>
    </w:pPr>
  </w:style>
  <w:style w:type="paragraph" w:customStyle="1" w:styleId="39">
    <w:name w:val="文档正文"/>
    <w:basedOn w:val="7"/>
    <w:autoRedefine/>
    <w:qFormat/>
    <w:uiPriority w:val="0"/>
    <w:pPr>
      <w:spacing w:line="360" w:lineRule="auto"/>
    </w:pPr>
    <w:rPr>
      <w:rFonts w:hAnsi="宋体"/>
      <w:b/>
      <w:bCs/>
    </w:rPr>
  </w:style>
  <w:style w:type="paragraph" w:customStyle="1" w:styleId="40">
    <w:name w:val="Heading #2|1"/>
    <w:basedOn w:val="1"/>
    <w:autoRedefine/>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1">
    <w:name w:val="Body text|2"/>
    <w:basedOn w:val="1"/>
    <w:autoRedefine/>
    <w:qFormat/>
    <w:uiPriority w:val="0"/>
    <w:pPr>
      <w:spacing w:after="260"/>
      <w:ind w:firstLine="140"/>
    </w:pPr>
    <w:rPr>
      <w:rFonts w:ascii="宋体" w:hAnsi="宋体" w:eastAsia="宋体" w:cs="宋体"/>
      <w:sz w:val="30"/>
      <w:szCs w:val="30"/>
      <w:lang w:val="zh-TW" w:eastAsia="zh-TW" w:bidi="zh-TW"/>
    </w:rPr>
  </w:style>
  <w:style w:type="paragraph" w:customStyle="1" w:styleId="42">
    <w:name w:val="Body text|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3">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4">
    <w:name w:val="Table caption|1"/>
    <w:basedOn w:val="1"/>
    <w:autoRedefine/>
    <w:qFormat/>
    <w:uiPriority w:val="0"/>
    <w:rPr>
      <w:rFonts w:ascii="宋体" w:hAnsi="宋体" w:eastAsia="宋体" w:cs="宋体"/>
      <w:sz w:val="22"/>
      <w:szCs w:val="22"/>
      <w:lang w:val="zh-TW" w:eastAsia="zh-TW" w:bidi="zh-TW"/>
    </w:rPr>
  </w:style>
  <w:style w:type="paragraph" w:customStyle="1" w:styleId="45">
    <w:name w:val="Table Paragraph"/>
    <w:basedOn w:val="1"/>
    <w:autoRedefine/>
    <w:qFormat/>
    <w:uiPriority w:val="1"/>
    <w:pPr>
      <w:autoSpaceDE w:val="0"/>
      <w:autoSpaceDN w:val="0"/>
      <w:adjustRightInd w:val="0"/>
    </w:pPr>
    <w:rPr>
      <w:rFonts w:eastAsia="宋体"/>
    </w:rPr>
  </w:style>
  <w:style w:type="paragraph" w:customStyle="1" w:styleId="46">
    <w:name w:val="black1"/>
    <w:basedOn w:val="1"/>
    <w:autoRedefine/>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7">
    <w:name w:val="图例"/>
    <w:basedOn w:val="1"/>
    <w:autoRedefine/>
    <w:qFormat/>
    <w:uiPriority w:val="0"/>
    <w:pPr>
      <w:spacing w:before="120" w:after="120" w:line="360" w:lineRule="auto"/>
      <w:jc w:val="center"/>
    </w:pPr>
    <w:rPr>
      <w:rFonts w:eastAsia="仿宋_GB2312"/>
      <w:b/>
    </w:rPr>
  </w:style>
  <w:style w:type="paragraph" w:customStyle="1" w:styleId="48">
    <w:name w:val="WPS Plain"/>
    <w:autoRedefine/>
    <w:qFormat/>
    <w:uiPriority w:val="0"/>
    <w:rPr>
      <w:rFonts w:ascii="Times New Roman" w:hAnsi="Times New Roman" w:eastAsia="宋体" w:cs="Times New Roman"/>
      <w:lang w:val="en-US" w:eastAsia="zh-CN" w:bidi="ar-SA"/>
    </w:rPr>
  </w:style>
  <w:style w:type="paragraph" w:customStyle="1" w:styleId="49">
    <w:name w:val="样式 左侧:  0 厘米 悬挂缩进: 2.5 字符"/>
    <w:basedOn w:val="1"/>
    <w:autoRedefine/>
    <w:qFormat/>
    <w:uiPriority w:val="0"/>
    <w:pPr>
      <w:ind w:left="525" w:hanging="525" w:hangingChars="250"/>
    </w:pPr>
    <w:rPr>
      <w:szCs w:val="20"/>
    </w:rPr>
  </w:style>
  <w:style w:type="character" w:customStyle="1" w:styleId="50">
    <w:name w:val="font11"/>
    <w:basedOn w:val="29"/>
    <w:autoRedefine/>
    <w:qFormat/>
    <w:uiPriority w:val="0"/>
    <w:rPr>
      <w:rFonts w:ascii="Calibri" w:hAnsi="Calibri" w:cs="Calibri"/>
      <w:color w:val="000000"/>
      <w:sz w:val="20"/>
      <w:szCs w:val="20"/>
      <w:u w:val="none"/>
    </w:rPr>
  </w:style>
  <w:style w:type="paragraph" w:styleId="51">
    <w:name w:val="List Paragraph"/>
    <w:basedOn w:val="1"/>
    <w:autoRedefine/>
    <w:qFormat/>
    <w:uiPriority w:val="0"/>
    <w:pPr>
      <w:widowControl/>
      <w:ind w:firstLine="420" w:firstLineChars="200"/>
    </w:pPr>
  </w:style>
  <w:style w:type="paragraph" w:customStyle="1" w:styleId="52">
    <w:name w:val="列出段落1"/>
    <w:basedOn w:val="1"/>
    <w:autoRedefine/>
    <w:qFormat/>
    <w:uiPriority w:val="34"/>
    <w:pPr>
      <w:ind w:firstLine="420" w:firstLineChars="200"/>
    </w:p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55">
    <w:name w:val="Body text|4"/>
    <w:basedOn w:val="1"/>
    <w:autoRedefine/>
    <w:qFormat/>
    <w:uiPriority w:val="0"/>
    <w:pPr>
      <w:spacing w:after="580"/>
    </w:pPr>
    <w:rPr>
      <w:rFonts w:ascii="MingLiU" w:hAnsi="MingLiU" w:eastAsia="MingLiU" w:cs="MingLiU"/>
      <w:color w:val="00005D"/>
      <w:sz w:val="56"/>
      <w:szCs w:val="56"/>
      <w:lang w:val="zh-TW" w:eastAsia="zh-TW" w:bidi="zh-TW"/>
    </w:rPr>
  </w:style>
  <w:style w:type="character" w:customStyle="1" w:styleId="56">
    <w:name w:val="font61"/>
    <w:basedOn w:val="29"/>
    <w:autoRedefine/>
    <w:qFormat/>
    <w:uiPriority w:val="0"/>
    <w:rPr>
      <w:rFonts w:hint="default" w:ascii="方正仿宋_GBK" w:hAnsi="方正仿宋_GBK" w:eastAsia="方正仿宋_GBK" w:cs="方正仿宋_GBK"/>
      <w:color w:val="000000"/>
      <w:sz w:val="18"/>
      <w:szCs w:val="18"/>
      <w:u w:val="none"/>
    </w:rPr>
  </w:style>
  <w:style w:type="character" w:customStyle="1" w:styleId="57">
    <w:name w:val="font121"/>
    <w:basedOn w:val="29"/>
    <w:autoRedefine/>
    <w:qFormat/>
    <w:uiPriority w:val="0"/>
    <w:rPr>
      <w:rFonts w:hint="eastAsia" w:ascii="宋体" w:hAnsi="宋体" w:eastAsia="宋体" w:cs="宋体"/>
      <w:color w:val="000000"/>
      <w:sz w:val="18"/>
      <w:szCs w:val="18"/>
      <w:u w:val="none"/>
    </w:rPr>
  </w:style>
  <w:style w:type="character" w:customStyle="1" w:styleId="58">
    <w:name w:val="font51"/>
    <w:basedOn w:val="29"/>
    <w:autoRedefine/>
    <w:qFormat/>
    <w:uiPriority w:val="0"/>
    <w:rPr>
      <w:rFonts w:hint="default" w:ascii="Arial" w:hAnsi="Arial" w:cs="Arial"/>
      <w:color w:val="000000"/>
      <w:sz w:val="18"/>
      <w:szCs w:val="18"/>
      <w:u w:val="none"/>
    </w:rPr>
  </w:style>
  <w:style w:type="character" w:customStyle="1" w:styleId="59">
    <w:name w:val="font31"/>
    <w:basedOn w:val="29"/>
    <w:autoRedefine/>
    <w:qFormat/>
    <w:uiPriority w:val="0"/>
    <w:rPr>
      <w:rFonts w:hint="eastAsia" w:ascii="宋体" w:hAnsi="宋体" w:eastAsia="宋体" w:cs="宋体"/>
      <w:color w:val="000000"/>
      <w:sz w:val="22"/>
      <w:szCs w:val="22"/>
      <w:u w:val="none"/>
    </w:rPr>
  </w:style>
  <w:style w:type="character" w:customStyle="1" w:styleId="60">
    <w:name w:val="font41"/>
    <w:basedOn w:val="29"/>
    <w:autoRedefine/>
    <w:qFormat/>
    <w:uiPriority w:val="0"/>
    <w:rPr>
      <w:rFonts w:hint="eastAsia" w:ascii="宋体" w:hAnsi="宋体" w:eastAsia="宋体" w:cs="宋体"/>
      <w:color w:val="000000"/>
      <w:sz w:val="18"/>
      <w:szCs w:val="18"/>
      <w:u w:val="none"/>
    </w:rPr>
  </w:style>
  <w:style w:type="character" w:customStyle="1" w:styleId="61">
    <w:name w:val="font01"/>
    <w:basedOn w:val="29"/>
    <w:autoRedefine/>
    <w:qFormat/>
    <w:uiPriority w:val="0"/>
    <w:rPr>
      <w:rFonts w:hint="eastAsia" w:ascii="宋体" w:hAnsi="宋体" w:eastAsia="宋体" w:cs="宋体"/>
      <w:color w:val="000000"/>
      <w:sz w:val="22"/>
      <w:szCs w:val="22"/>
      <w:u w:val="none"/>
    </w:rPr>
  </w:style>
  <w:style w:type="character" w:customStyle="1" w:styleId="62">
    <w:name w:val="font21"/>
    <w:basedOn w:val="29"/>
    <w:autoRedefine/>
    <w:qFormat/>
    <w:uiPriority w:val="0"/>
    <w:rPr>
      <w:rFonts w:hint="eastAsia" w:ascii="宋体" w:hAnsi="宋体" w:eastAsia="宋体" w:cs="宋体"/>
      <w:color w:val="00B050"/>
      <w:sz w:val="20"/>
      <w:szCs w:val="20"/>
      <w:u w:val="none"/>
    </w:rPr>
  </w:style>
  <w:style w:type="character" w:customStyle="1" w:styleId="63">
    <w:name w:val="font131"/>
    <w:basedOn w:val="29"/>
    <w:autoRedefine/>
    <w:qFormat/>
    <w:uiPriority w:val="0"/>
    <w:rPr>
      <w:rFonts w:hint="eastAsia" w:ascii="宋体" w:hAnsi="宋体" w:eastAsia="宋体" w:cs="宋体"/>
      <w:b/>
      <w:bCs/>
      <w:color w:val="000000"/>
      <w:sz w:val="18"/>
      <w:szCs w:val="18"/>
      <w:u w:val="none"/>
    </w:rPr>
  </w:style>
  <w:style w:type="character" w:customStyle="1" w:styleId="64">
    <w:name w:val="font141"/>
    <w:basedOn w:val="29"/>
    <w:autoRedefine/>
    <w:qFormat/>
    <w:uiPriority w:val="0"/>
    <w:rPr>
      <w:rFonts w:hint="eastAsia" w:ascii="宋体" w:hAnsi="宋体" w:eastAsia="宋体" w:cs="宋体"/>
      <w:color w:val="E54C5E"/>
      <w:sz w:val="20"/>
      <w:szCs w:val="20"/>
      <w:u w:val="none"/>
    </w:rPr>
  </w:style>
  <w:style w:type="paragraph" w:customStyle="1" w:styleId="6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character" w:customStyle="1" w:styleId="66">
    <w:name w:val="font161"/>
    <w:basedOn w:val="29"/>
    <w:qFormat/>
    <w:uiPriority w:val="0"/>
    <w:rPr>
      <w:rFonts w:ascii="Arial" w:hAnsi="Arial" w:cs="Arial"/>
      <w:color w:val="000000"/>
      <w:sz w:val="20"/>
      <w:szCs w:val="20"/>
      <w:u w:val="none"/>
    </w:rPr>
  </w:style>
  <w:style w:type="character" w:customStyle="1" w:styleId="67">
    <w:name w:val="font171"/>
    <w:basedOn w:val="29"/>
    <w:qFormat/>
    <w:uiPriority w:val="0"/>
    <w:rPr>
      <w:rFonts w:hint="eastAsia" w:ascii="宋体" w:hAnsi="宋体" w:eastAsia="宋体" w:cs="宋体"/>
      <w:color w:val="000000"/>
      <w:sz w:val="20"/>
      <w:szCs w:val="20"/>
      <w:u w:val="none"/>
    </w:rPr>
  </w:style>
  <w:style w:type="character" w:customStyle="1" w:styleId="68">
    <w:name w:val="font181"/>
    <w:basedOn w:val="29"/>
    <w:qFormat/>
    <w:uiPriority w:val="0"/>
    <w:rPr>
      <w:rFonts w:hint="eastAsia" w:ascii="宋体" w:hAnsi="宋体" w:eastAsia="宋体" w:cs="宋体"/>
      <w:color w:val="000000"/>
      <w:sz w:val="18"/>
      <w:szCs w:val="18"/>
      <w:u w:val="none"/>
    </w:rPr>
  </w:style>
  <w:style w:type="character" w:customStyle="1" w:styleId="69">
    <w:name w:val="font81"/>
    <w:basedOn w:val="29"/>
    <w:qFormat/>
    <w:uiPriority w:val="0"/>
    <w:rPr>
      <w:rFonts w:hint="eastAsia" w:ascii="仿宋" w:hAnsi="仿宋" w:eastAsia="仿宋" w:cs="仿宋"/>
      <w:color w:val="000000"/>
      <w:sz w:val="18"/>
      <w:szCs w:val="18"/>
      <w:u w:val="none"/>
    </w:rPr>
  </w:style>
  <w:style w:type="character" w:customStyle="1" w:styleId="70">
    <w:name w:val="font91"/>
    <w:basedOn w:val="29"/>
    <w:qFormat/>
    <w:uiPriority w:val="0"/>
    <w:rPr>
      <w:rFonts w:hint="eastAsia" w:ascii="仿宋" w:hAnsi="仿宋" w:eastAsia="仿宋" w:cs="仿宋"/>
      <w:color w:val="000000"/>
      <w:sz w:val="18"/>
      <w:szCs w:val="18"/>
      <w:u w:val="none"/>
    </w:rPr>
  </w:style>
  <w:style w:type="paragraph" w:customStyle="1" w:styleId="71">
    <w:name w:val="UP正文"/>
    <w:basedOn w:val="72"/>
    <w:qFormat/>
    <w:uiPriority w:val="0"/>
    <w:pPr>
      <w:spacing w:line="360" w:lineRule="auto"/>
      <w:ind w:left="420" w:leftChars="200" w:firstLine="420" w:firstLineChars="200"/>
    </w:pPr>
    <w:rPr>
      <w:rFonts w:ascii="Tahoma" w:eastAsia="宋体" w:cs="宋体"/>
      <w:kern w:val="2"/>
      <w:sz w:val="21"/>
      <w:lang w:val="en-US" w:eastAsia="zh-CN" w:bidi="ar-SA"/>
    </w:rPr>
  </w:style>
  <w:style w:type="paragraph" w:customStyle="1" w:styleId="72">
    <w:name w:val="样式 正文文本缩进 2 + Tahoma 五号 首行缩进:  2 字符2"/>
    <w:basedOn w:val="1"/>
    <w:qFormat/>
    <w:uiPriority w:val="0"/>
    <w:pPr>
      <w:spacing w:line="360" w:lineRule="auto"/>
      <w:ind w:left="420" w:leftChars="200" w:firstLine="420" w:firstLineChars="200"/>
    </w:pPr>
    <w:rPr>
      <w:rFonts w:ascii="Tahoma" w:eastAsia="宋体"/>
    </w:rPr>
  </w:style>
  <w:style w:type="paragraph" w:customStyle="1" w:styleId="73">
    <w:name w:val="Table Text"/>
    <w:basedOn w:val="1"/>
    <w:autoRedefine/>
    <w:semiHidden/>
    <w:qFormat/>
    <w:uiPriority w:val="0"/>
    <w:rPr>
      <w:rFonts w:ascii="宋体" w:hAnsi="宋体" w:eastAsia="宋体" w:cs="宋体"/>
      <w:sz w:val="24"/>
      <w:szCs w:val="24"/>
      <w:lang w:val="en-US" w:eastAsia="en-US" w:bidi="ar-SA"/>
    </w:rPr>
  </w:style>
  <w:style w:type="paragraph" w:customStyle="1" w:styleId="74">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line="440" w:lineRule="atLeast"/>
      <w:jc w:val="left"/>
    </w:pPr>
    <w:rPr>
      <w:rFonts w:ascii="Arial" w:hAnsi="Arial"/>
      <w:kern w:val="0"/>
      <w:sz w:val="28"/>
      <w:szCs w:val="28"/>
    </w:rPr>
  </w:style>
  <w:style w:type="paragraph" w:customStyle="1" w:styleId="7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99</Pages>
  <Words>31603</Words>
  <Characters>33465</Characters>
  <Lines>389</Lines>
  <Paragraphs>109</Paragraphs>
  <TotalTime>6</TotalTime>
  <ScaleCrop>false</ScaleCrop>
  <LinksUpToDate>false</LinksUpToDate>
  <CharactersWithSpaces>35230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*^_^*燕儿*^_^*</cp:lastModifiedBy>
  <cp:lastPrinted>2026-05-19T04:07:00Z</cp:lastPrinted>
  <dcterms:modified xsi:type="dcterms:W3CDTF">2026-05-20T09:45:55Z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200D1396FC0A47619A1F73E299857EF5_13</vt:lpwstr>
  </property>
  <property fmtid="{D5CDD505-2E9C-101B-9397-08002B2CF9AE}" pid="4" name="KSOTemplateDocerSaveRecord">
    <vt:lpwstr>eyJoZGlkIjoiNTA4ODcxMTkxNmEwYzAzYTA5NzZlOTM1ZGVkNTE1NjQiLCJ1c2VySWQiOiI3NDE1MTI1NzgifQ==</vt:lpwstr>
  </property>
</Properties>
</file>