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270FC">
      <w:pPr>
        <w:spacing w:line="360" w:lineRule="auto"/>
        <w:jc w:val="center"/>
        <w:rPr>
          <w:rFonts w:ascii="仿宋_GB2312" w:hAnsi="仿宋_GB2312" w:eastAsia="仿宋_GB2312" w:cs="仿宋_GB2312"/>
          <w:b/>
          <w:color w:val="auto"/>
          <w:sz w:val="44"/>
          <w:szCs w:val="44"/>
          <w:highlight w:val="none"/>
        </w:rPr>
      </w:pPr>
    </w:p>
    <w:p w14:paraId="5FDEBA4E">
      <w:pPr>
        <w:adjustRightInd/>
        <w:spacing w:line="360" w:lineRule="auto"/>
        <w:jc w:val="center"/>
        <w:rPr>
          <w:rFonts w:ascii="仿宋_GB2312" w:hAnsi="仿宋_GB2312" w:eastAsia="仿宋_GB2312" w:cs="仿宋_GB2312"/>
          <w:b/>
          <w:color w:val="auto"/>
          <w:sz w:val="48"/>
          <w:szCs w:val="48"/>
          <w:highlight w:val="none"/>
        </w:rPr>
      </w:pPr>
    </w:p>
    <w:p w14:paraId="0AD53A13">
      <w:pPr>
        <w:keepNext w:val="0"/>
        <w:keepLines w:val="0"/>
        <w:pageBreakBefore w:val="0"/>
        <w:widowControl w:val="0"/>
        <w:kinsoku/>
        <w:wordWrap/>
        <w:overflowPunct/>
        <w:topLinePunct w:val="0"/>
        <w:autoSpaceDE/>
        <w:autoSpaceDN/>
        <w:bidi w:val="0"/>
        <w:adjustRightInd/>
        <w:snapToGrid/>
        <w:spacing w:before="160" w:after="160" w:line="640" w:lineRule="exact"/>
        <w:jc w:val="center"/>
        <w:textAlignment w:val="auto"/>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新碶综合文化活动中心音视频系统采购项目</w:t>
      </w:r>
    </w:p>
    <w:p w14:paraId="48FA8FF8">
      <w:pPr>
        <w:keepNext w:val="0"/>
        <w:keepLines w:val="0"/>
        <w:pageBreakBefore w:val="0"/>
        <w:widowControl w:val="0"/>
        <w:kinsoku/>
        <w:wordWrap/>
        <w:overflowPunct/>
        <w:topLinePunct w:val="0"/>
        <w:autoSpaceDE/>
        <w:autoSpaceDN/>
        <w:bidi w:val="0"/>
        <w:adjustRightInd/>
        <w:snapToGrid/>
        <w:spacing w:before="160" w:after="160" w:line="640" w:lineRule="exact"/>
        <w:jc w:val="center"/>
        <w:textAlignment w:val="auto"/>
        <w:rPr>
          <w:rFonts w:hint="eastAsia" w:ascii="仿宋_GB2312" w:hAnsi="仿宋_GB2312" w:eastAsia="仿宋_GB2312" w:cs="仿宋_GB2312"/>
          <w:color w:val="auto"/>
          <w:sz w:val="48"/>
          <w:szCs w:val="48"/>
          <w:highlight w:val="none"/>
        </w:rPr>
      </w:pPr>
    </w:p>
    <w:p w14:paraId="421F6615">
      <w:pPr>
        <w:keepNext w:val="0"/>
        <w:keepLines w:val="0"/>
        <w:pageBreakBefore w:val="0"/>
        <w:widowControl w:val="0"/>
        <w:kinsoku/>
        <w:wordWrap/>
        <w:overflowPunct/>
        <w:topLinePunct w:val="0"/>
        <w:autoSpaceDE/>
        <w:autoSpaceDN/>
        <w:bidi w:val="0"/>
        <w:adjustRightInd/>
        <w:snapToGrid/>
        <w:spacing w:before="160" w:after="160" w:line="640" w:lineRule="exact"/>
        <w:jc w:val="center"/>
        <w:textAlignment w:val="auto"/>
        <w:rPr>
          <w:rFonts w:hint="eastAsia" w:ascii="仿宋_GB2312" w:hAnsi="仿宋_GB2312" w:eastAsia="仿宋_GB2312" w:cs="仿宋_GB2312"/>
          <w:color w:val="auto"/>
          <w:sz w:val="48"/>
          <w:szCs w:val="48"/>
          <w:highlight w:val="none"/>
        </w:rPr>
      </w:pPr>
    </w:p>
    <w:p w14:paraId="26331C7E">
      <w:pPr>
        <w:keepNext w:val="0"/>
        <w:keepLines w:val="0"/>
        <w:pageBreakBefore w:val="0"/>
        <w:widowControl w:val="0"/>
        <w:kinsoku/>
        <w:wordWrap/>
        <w:overflowPunct/>
        <w:topLinePunct w:val="0"/>
        <w:autoSpaceDE/>
        <w:autoSpaceDN/>
        <w:bidi w:val="0"/>
        <w:adjustRightInd/>
        <w:snapToGrid/>
        <w:spacing w:before="160" w:after="160" w:line="640" w:lineRule="exact"/>
        <w:jc w:val="center"/>
        <w:textAlignment w:val="auto"/>
        <w:rPr>
          <w:rFonts w:ascii="仿宋_GB2312" w:hAnsi="仿宋_GB2312" w:eastAsia="仿宋_GB2312" w:cs="仿宋_GB2312"/>
          <w:color w:val="auto"/>
          <w:sz w:val="48"/>
          <w:szCs w:val="48"/>
          <w:highlight w:val="none"/>
        </w:rPr>
      </w:pPr>
      <w:r>
        <w:rPr>
          <w:rFonts w:hint="eastAsia" w:ascii="仿宋_GB2312" w:hAnsi="仿宋_GB2312" w:eastAsia="仿宋_GB2312" w:cs="仿宋_GB2312"/>
          <w:color w:val="auto"/>
          <w:sz w:val="48"/>
          <w:szCs w:val="48"/>
          <w:highlight w:val="none"/>
        </w:rPr>
        <w:t>招标文件</w:t>
      </w:r>
    </w:p>
    <w:p w14:paraId="304D32E6">
      <w:pPr>
        <w:keepNext w:val="0"/>
        <w:keepLines w:val="0"/>
        <w:pageBreakBefore w:val="0"/>
        <w:widowControl w:val="0"/>
        <w:kinsoku/>
        <w:wordWrap/>
        <w:overflowPunct/>
        <w:topLinePunct w:val="0"/>
        <w:autoSpaceDE/>
        <w:autoSpaceDN/>
        <w:bidi w:val="0"/>
        <w:adjustRightInd/>
        <w:snapToGrid/>
        <w:spacing w:before="160" w:after="160" w:line="640" w:lineRule="exact"/>
        <w:jc w:val="center"/>
        <w:textAlignment w:val="auto"/>
        <w:rPr>
          <w:rFonts w:hint="eastAsia" w:ascii="仿宋_GB2312" w:hAnsi="仿宋_GB2312" w:eastAsia="仿宋_GB2312" w:cs="仿宋_GB2312"/>
          <w:color w:val="auto"/>
          <w:sz w:val="44"/>
          <w:szCs w:val="44"/>
          <w:highlight w:val="none"/>
          <w:lang w:eastAsia="zh-CN"/>
        </w:rPr>
      </w:pPr>
      <w:r>
        <w:rPr>
          <w:rFonts w:hint="eastAsia" w:ascii="仿宋_GB2312" w:hAnsi="仿宋_GB2312" w:eastAsia="仿宋_GB2312" w:cs="仿宋_GB2312"/>
          <w:color w:val="auto"/>
          <w:sz w:val="44"/>
          <w:szCs w:val="44"/>
          <w:highlight w:val="none"/>
          <w:lang w:eastAsia="zh-CN"/>
        </w:rPr>
        <w:t>（电子招</w:t>
      </w:r>
      <w:r>
        <w:rPr>
          <w:rFonts w:hint="eastAsia" w:ascii="仿宋_GB2312" w:hAnsi="仿宋_GB2312" w:eastAsia="仿宋_GB2312" w:cs="仿宋_GB2312"/>
          <w:color w:val="auto"/>
          <w:sz w:val="44"/>
          <w:szCs w:val="44"/>
          <w:highlight w:val="none"/>
          <w:lang w:val="en-US" w:eastAsia="zh-CN"/>
        </w:rPr>
        <w:t>标</w:t>
      </w:r>
      <w:r>
        <w:rPr>
          <w:rFonts w:hint="eastAsia" w:ascii="仿宋_GB2312" w:hAnsi="仿宋_GB2312" w:eastAsia="仿宋_GB2312" w:cs="仿宋_GB2312"/>
          <w:color w:val="auto"/>
          <w:sz w:val="44"/>
          <w:szCs w:val="44"/>
          <w:highlight w:val="none"/>
          <w:lang w:eastAsia="zh-CN"/>
        </w:rPr>
        <w:t>投标）</w:t>
      </w:r>
    </w:p>
    <w:p w14:paraId="629943BD">
      <w:pPr>
        <w:keepNext w:val="0"/>
        <w:keepLines w:val="0"/>
        <w:pageBreakBefore w:val="0"/>
        <w:widowControl w:val="0"/>
        <w:kinsoku/>
        <w:wordWrap/>
        <w:overflowPunct/>
        <w:topLinePunct w:val="0"/>
        <w:autoSpaceDE/>
        <w:autoSpaceDN/>
        <w:bidi w:val="0"/>
        <w:adjustRightInd/>
        <w:snapToGrid/>
        <w:spacing w:before="160" w:after="160" w:line="60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lang w:eastAsia="zh-CN"/>
        </w:rPr>
        <w:t>CTZB-2026030392</w:t>
      </w:r>
    </w:p>
    <w:p w14:paraId="52C8821C">
      <w:pPr>
        <w:adjustRightInd/>
        <w:spacing w:line="440" w:lineRule="exact"/>
        <w:rPr>
          <w:rFonts w:ascii="仿宋_GB2312" w:hAnsi="仿宋_GB2312" w:eastAsia="仿宋_GB2312" w:cs="仿宋_GB2312"/>
          <w:color w:val="auto"/>
          <w:sz w:val="28"/>
          <w:szCs w:val="20"/>
          <w:highlight w:val="none"/>
        </w:rPr>
      </w:pPr>
    </w:p>
    <w:p w14:paraId="03BCAB11">
      <w:pPr>
        <w:adjustRightInd/>
        <w:spacing w:line="440" w:lineRule="exact"/>
        <w:jc w:val="center"/>
        <w:rPr>
          <w:rFonts w:ascii="仿宋_GB2312" w:hAnsi="仿宋_GB2312" w:eastAsia="仿宋_GB2312" w:cs="仿宋_GB2312"/>
          <w:color w:val="auto"/>
          <w:sz w:val="28"/>
          <w:szCs w:val="28"/>
          <w:highlight w:val="none"/>
        </w:rPr>
      </w:pPr>
    </w:p>
    <w:p w14:paraId="4A9490B7">
      <w:pPr>
        <w:adjustRightInd/>
        <w:spacing w:line="440" w:lineRule="exact"/>
        <w:jc w:val="center"/>
        <w:rPr>
          <w:rFonts w:ascii="仿宋_GB2312" w:hAnsi="仿宋_GB2312" w:eastAsia="仿宋_GB2312" w:cs="仿宋_GB2312"/>
          <w:color w:val="auto"/>
          <w:sz w:val="28"/>
          <w:szCs w:val="28"/>
          <w:highlight w:val="none"/>
        </w:rPr>
      </w:pPr>
    </w:p>
    <w:p w14:paraId="27E4C864">
      <w:pPr>
        <w:adjustRightInd/>
        <w:spacing w:line="440" w:lineRule="exact"/>
        <w:jc w:val="center"/>
        <w:rPr>
          <w:rFonts w:ascii="仿宋_GB2312" w:hAnsi="仿宋_GB2312" w:eastAsia="仿宋_GB2312" w:cs="仿宋_GB2312"/>
          <w:color w:val="auto"/>
          <w:sz w:val="28"/>
          <w:szCs w:val="28"/>
          <w:highlight w:val="none"/>
        </w:rPr>
      </w:pPr>
    </w:p>
    <w:p w14:paraId="3B04AB66">
      <w:pPr>
        <w:adjustRightInd/>
        <w:spacing w:line="440" w:lineRule="exact"/>
        <w:jc w:val="center"/>
        <w:rPr>
          <w:rFonts w:ascii="仿宋_GB2312" w:hAnsi="仿宋_GB2312" w:eastAsia="仿宋_GB2312" w:cs="仿宋_GB2312"/>
          <w:color w:val="auto"/>
          <w:sz w:val="28"/>
          <w:szCs w:val="28"/>
          <w:highlight w:val="none"/>
        </w:rPr>
      </w:pPr>
    </w:p>
    <w:p w14:paraId="50E0A6AD">
      <w:pPr>
        <w:adjustRightInd/>
        <w:spacing w:line="440" w:lineRule="exact"/>
        <w:jc w:val="center"/>
        <w:rPr>
          <w:rFonts w:ascii="仿宋_GB2312" w:hAnsi="仿宋_GB2312" w:eastAsia="仿宋_GB2312" w:cs="仿宋_GB2312"/>
          <w:color w:val="auto"/>
          <w:sz w:val="28"/>
          <w:szCs w:val="28"/>
          <w:highlight w:val="none"/>
        </w:rPr>
      </w:pPr>
    </w:p>
    <w:p w14:paraId="2311C70B">
      <w:pPr>
        <w:adjustRightInd/>
        <w:spacing w:line="440" w:lineRule="exact"/>
        <w:jc w:val="center"/>
        <w:rPr>
          <w:rFonts w:ascii="仿宋_GB2312" w:hAnsi="仿宋_GB2312" w:eastAsia="仿宋_GB2312" w:cs="仿宋_GB2312"/>
          <w:color w:val="auto"/>
          <w:sz w:val="28"/>
          <w:szCs w:val="28"/>
          <w:highlight w:val="none"/>
        </w:rPr>
      </w:pPr>
    </w:p>
    <w:p w14:paraId="787227B1">
      <w:pPr>
        <w:adjustRightInd/>
        <w:spacing w:line="440" w:lineRule="exact"/>
        <w:jc w:val="center"/>
        <w:rPr>
          <w:rFonts w:ascii="仿宋_GB2312" w:hAnsi="仿宋_GB2312" w:eastAsia="仿宋_GB2312" w:cs="仿宋_GB2312"/>
          <w:color w:val="auto"/>
          <w:sz w:val="28"/>
          <w:szCs w:val="28"/>
          <w:highlight w:val="none"/>
        </w:rPr>
      </w:pPr>
    </w:p>
    <w:p w14:paraId="40FCF8D6">
      <w:pPr>
        <w:adjustRightInd/>
        <w:spacing w:line="440" w:lineRule="exact"/>
        <w:jc w:val="center"/>
        <w:rPr>
          <w:rFonts w:ascii="仿宋_GB2312" w:hAnsi="仿宋_GB2312" w:eastAsia="仿宋_GB2312" w:cs="仿宋_GB2312"/>
          <w:color w:val="auto"/>
          <w:sz w:val="28"/>
          <w:szCs w:val="28"/>
          <w:highlight w:val="none"/>
        </w:rPr>
      </w:pPr>
    </w:p>
    <w:p w14:paraId="1B628B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采购人：</w:t>
      </w:r>
      <w:r>
        <w:rPr>
          <w:rFonts w:hint="eastAsia" w:ascii="仿宋_GB2312" w:hAnsi="仿宋_GB2312" w:eastAsia="仿宋_GB2312" w:cs="仿宋_GB2312"/>
          <w:color w:val="auto"/>
          <w:sz w:val="28"/>
          <w:szCs w:val="28"/>
          <w:highlight w:val="none"/>
          <w:lang w:eastAsia="zh-CN"/>
        </w:rPr>
        <w:t>宁波市北仑区公共项目建设管理中心</w:t>
      </w:r>
    </w:p>
    <w:p w14:paraId="67DE65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采购代理机构：</w:t>
      </w:r>
      <w:r>
        <w:rPr>
          <w:rFonts w:hint="eastAsia" w:ascii="仿宋_GB2312" w:hAnsi="仿宋_GB2312" w:eastAsia="仿宋_GB2312" w:cs="仿宋_GB2312"/>
          <w:bCs/>
          <w:color w:val="auto"/>
          <w:sz w:val="28"/>
          <w:szCs w:val="28"/>
          <w:highlight w:val="none"/>
          <w:lang w:eastAsia="zh-CN"/>
        </w:rPr>
        <w:t>浙江省成套招标代理有限公司</w:t>
      </w:r>
    </w:p>
    <w:p w14:paraId="583EA6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sz w:val="28"/>
          <w:szCs w:val="28"/>
          <w:highlight w:val="none"/>
          <w:lang w:eastAsia="zh-CN"/>
        </w:rPr>
      </w:pPr>
    </w:p>
    <w:p w14:paraId="4E249B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202</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lang w:eastAsia="zh-CN"/>
        </w:rPr>
        <w:t>年</w:t>
      </w:r>
      <w:r>
        <w:rPr>
          <w:rFonts w:hint="eastAsia" w:ascii="仿宋_GB2312" w:hAnsi="仿宋_GB2312" w:eastAsia="仿宋_GB2312" w:cs="仿宋_GB2312"/>
          <w:bCs/>
          <w:color w:val="auto"/>
          <w:sz w:val="28"/>
          <w:szCs w:val="28"/>
          <w:highlight w:val="none"/>
          <w:lang w:val="en-US" w:eastAsia="zh-CN"/>
        </w:rPr>
        <w:t>04</w:t>
      </w:r>
      <w:r>
        <w:rPr>
          <w:rFonts w:hint="eastAsia" w:ascii="仿宋_GB2312" w:hAnsi="仿宋_GB2312" w:eastAsia="仿宋_GB2312" w:cs="仿宋_GB2312"/>
          <w:bCs/>
          <w:color w:val="auto"/>
          <w:sz w:val="28"/>
          <w:szCs w:val="28"/>
          <w:highlight w:val="none"/>
          <w:lang w:eastAsia="zh-CN"/>
        </w:rPr>
        <w:t>月</w:t>
      </w:r>
    </w:p>
    <w:p w14:paraId="6235C3B1">
      <w:pPr>
        <w:spacing w:line="360" w:lineRule="auto"/>
        <w:jc w:val="center"/>
        <w:rPr>
          <w:rFonts w:ascii="仿宋_GB2312" w:hAnsi="仿宋_GB2312" w:eastAsia="仿宋_GB2312" w:cs="仿宋_GB2312"/>
          <w:color w:val="auto"/>
          <w:sz w:val="24"/>
          <w:highlight w:val="none"/>
        </w:rPr>
        <w:sectPr>
          <w:footerReference r:id="rId4" w:type="even"/>
          <w:pgSz w:w="11906" w:h="16838"/>
          <w:pgMar w:top="1417" w:right="1134" w:bottom="1417" w:left="1417" w:header="1304" w:footer="992" w:gutter="0"/>
          <w:cols w:space="0" w:num="1"/>
          <w:titlePg/>
          <w:rtlGutter w:val="0"/>
          <w:docGrid w:linePitch="312" w:charSpace="0"/>
        </w:sectPr>
      </w:pPr>
    </w:p>
    <w:p w14:paraId="03A2D267">
      <w:pPr>
        <w:keepNext w:val="0"/>
        <w:keepLines w:val="0"/>
        <w:pageBreakBefore w:val="0"/>
        <w:widowControl w:val="0"/>
        <w:kinsoku/>
        <w:wordWrap/>
        <w:overflowPunct/>
        <w:topLinePunct w:val="0"/>
        <w:autoSpaceDE/>
        <w:autoSpaceDN/>
        <w:bidi w:val="0"/>
        <w:adjustRightInd w:val="0"/>
        <w:snapToGrid/>
        <w:spacing w:line="640" w:lineRule="exact"/>
        <w:jc w:val="center"/>
        <w:textAlignment w:val="auto"/>
        <w:rPr>
          <w:rFonts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目  录</w:t>
      </w:r>
    </w:p>
    <w:p w14:paraId="6ADC3B32">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p>
    <w:p w14:paraId="53080F62">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p>
    <w:p w14:paraId="4B85C25E">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 xml:space="preserve">      招标公告</w:t>
      </w:r>
    </w:p>
    <w:p w14:paraId="448E4E09">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 xml:space="preserve">      投标人须知</w:t>
      </w:r>
    </w:p>
    <w:p w14:paraId="475CD760">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 xml:space="preserve">      采购需求</w:t>
      </w:r>
    </w:p>
    <w:p w14:paraId="676FAEAE">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 xml:space="preserve">      评标办法</w:t>
      </w:r>
    </w:p>
    <w:p w14:paraId="00FAAFC6">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 xml:space="preserve">      拟签订的合同文本</w:t>
      </w:r>
    </w:p>
    <w:p w14:paraId="107F08DE">
      <w:pPr>
        <w:keepNext w:val="0"/>
        <w:keepLines w:val="0"/>
        <w:pageBreakBefore w:val="0"/>
        <w:widowControl w:val="0"/>
        <w:kinsoku/>
        <w:wordWrap/>
        <w:overflowPunct/>
        <w:topLinePunct w:val="0"/>
        <w:autoSpaceDE/>
        <w:autoSpaceDN/>
        <w:bidi w:val="0"/>
        <w:adjustRightInd w:val="0"/>
        <w:snapToGrid/>
        <w:spacing w:line="64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 xml:space="preserve">      应提交的有关格式范例</w:t>
      </w:r>
    </w:p>
    <w:p w14:paraId="500902CD">
      <w:pPr>
        <w:rPr>
          <w:rFonts w:ascii="仿宋_GB2312" w:hAnsi="仿宋_GB2312" w:eastAsia="仿宋_GB2312" w:cs="仿宋_GB2312"/>
          <w:color w:val="auto"/>
          <w:sz w:val="24"/>
          <w:highlight w:val="none"/>
        </w:rPr>
      </w:pPr>
      <w:bookmarkStart w:id="0" w:name="_Hlt91233176"/>
      <w:bookmarkEnd w:id="0"/>
      <w:bookmarkStart w:id="1" w:name="_Toc91899869"/>
      <w:r>
        <w:rPr>
          <w:rFonts w:ascii="仿宋_GB2312" w:hAnsi="仿宋_GB2312" w:eastAsia="仿宋_GB2312" w:cs="仿宋_GB2312"/>
          <w:color w:val="auto"/>
          <w:sz w:val="24"/>
          <w:highlight w:val="none"/>
        </w:rPr>
        <w:br w:type="page"/>
      </w:r>
    </w:p>
    <w:p w14:paraId="7920FD70">
      <w:pPr>
        <w:keepNext w:val="0"/>
        <w:keepLines w:val="0"/>
        <w:pageBreakBefore w:val="0"/>
        <w:widowControl w:val="0"/>
        <w:kinsoku/>
        <w:wordWrap/>
        <w:overflowPunct/>
        <w:topLinePunct w:val="0"/>
        <w:autoSpaceDE/>
        <w:autoSpaceDN/>
        <w:bidi w:val="0"/>
        <w:adjustRightInd w:val="0"/>
        <w:snapToGrid/>
        <w:spacing w:line="640" w:lineRule="exact"/>
        <w:jc w:val="center"/>
        <w:textAlignment w:val="auto"/>
        <w:outlineLvl w:val="0"/>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第一</w:t>
      </w:r>
      <w:r>
        <w:rPr>
          <w:rFonts w:hint="eastAsia" w:ascii="仿宋_GB2312" w:hAnsi="仿宋_GB2312" w:eastAsia="仿宋_GB2312" w:cs="仿宋_GB2312"/>
          <w:b/>
          <w:bCs/>
          <w:color w:val="auto"/>
          <w:sz w:val="36"/>
          <w:szCs w:val="36"/>
          <w:highlight w:val="none"/>
          <w:lang w:val="en-US" w:eastAsia="zh-CN"/>
        </w:rPr>
        <w:t>章</w:t>
      </w:r>
      <w:r>
        <w:rPr>
          <w:rFonts w:hint="eastAsia" w:ascii="仿宋_GB2312" w:hAnsi="仿宋_GB2312" w:eastAsia="仿宋_GB2312" w:cs="仿宋_GB2312"/>
          <w:b/>
          <w:bCs/>
          <w:color w:val="auto"/>
          <w:sz w:val="36"/>
          <w:szCs w:val="36"/>
          <w:highlight w:val="none"/>
        </w:rPr>
        <w:t xml:space="preserve"> 招标公告</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3"/>
      </w:tblGrid>
      <w:tr w14:paraId="5685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3" w:type="dxa"/>
          </w:tcPr>
          <w:p w14:paraId="437A4C55">
            <w:pPr>
              <w:tabs>
                <w:tab w:val="left" w:pos="432"/>
              </w:tabs>
              <w:adjustRightInd/>
              <w:spacing w:line="440" w:lineRule="exact"/>
              <w:ind w:firstLine="420"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项目概况</w:t>
            </w:r>
          </w:p>
          <w:p w14:paraId="2C08B9DF">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eastAsia="zh-CN"/>
              </w:rPr>
              <w:t>新碶综合文化活动中心音视频系统采购项目</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招标项目的潜在投标人应在政采云平台（https</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//www.zcygov.cn/）获取（下载）招标文件，并于</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月</w:t>
            </w:r>
            <w:r>
              <w:rPr>
                <w:rFonts w:hint="eastAsia" w:ascii="仿宋_GB2312" w:hAnsi="仿宋_GB2312" w:eastAsia="仿宋_GB2312" w:cs="仿宋_GB2312"/>
                <w:color w:val="auto"/>
                <w:sz w:val="21"/>
                <w:szCs w:val="21"/>
                <w:highlight w:val="none"/>
                <w:lang w:val="en-US" w:eastAsia="zh-CN"/>
              </w:rPr>
              <w:t>29</w:t>
            </w:r>
            <w:r>
              <w:rPr>
                <w:rFonts w:hint="eastAsia" w:ascii="仿宋_GB2312" w:hAnsi="仿宋_GB2312" w:eastAsia="仿宋_GB2312" w:cs="仿宋_GB2312"/>
                <w:color w:val="auto"/>
                <w:sz w:val="21"/>
                <w:szCs w:val="21"/>
                <w:highlight w:val="none"/>
                <w:lang w:eastAsia="zh-CN"/>
              </w:rPr>
              <w:t>日</w:t>
            </w:r>
            <w:r>
              <w:rPr>
                <w:rFonts w:hint="eastAsia" w:ascii="仿宋_GB2312" w:hAnsi="仿宋_GB2312" w:eastAsia="仿宋_GB2312" w:cs="仿宋_GB2312"/>
                <w:color w:val="auto"/>
                <w:sz w:val="21"/>
                <w:szCs w:val="21"/>
                <w:highlight w:val="none"/>
                <w:lang w:val="en-US" w:eastAsia="zh-CN"/>
              </w:rPr>
              <w:t>09:3</w:t>
            </w:r>
            <w:r>
              <w:rPr>
                <w:rFonts w:hint="eastAsia" w:ascii="仿宋_GB2312" w:hAnsi="仿宋_GB2312" w:eastAsia="仿宋_GB2312" w:cs="仿宋_GB2312"/>
                <w:color w:val="auto"/>
                <w:sz w:val="21"/>
                <w:szCs w:val="21"/>
                <w:highlight w:val="none"/>
              </w:rPr>
              <w:t>0（北京时间）前递交（上传）投标文件。</w:t>
            </w:r>
          </w:p>
        </w:tc>
      </w:tr>
    </w:tbl>
    <w:p w14:paraId="6120F8D0">
      <w:pPr>
        <w:tabs>
          <w:tab w:val="left" w:pos="432"/>
        </w:tabs>
        <w:adjustRightInd/>
        <w:spacing w:line="440" w:lineRule="exact"/>
        <w:rPr>
          <w:rFonts w:hint="eastAsia" w:ascii="仿宋_GB2312" w:hAnsi="仿宋_GB2312" w:eastAsia="仿宋_GB2312" w:cs="仿宋_GB2312"/>
          <w:color w:val="auto"/>
          <w:sz w:val="21"/>
          <w:szCs w:val="21"/>
          <w:highlight w:val="none"/>
        </w:rPr>
      </w:pPr>
    </w:p>
    <w:p w14:paraId="29F3447E">
      <w:pPr>
        <w:tabs>
          <w:tab w:val="left" w:pos="432"/>
        </w:tabs>
        <w:adjustRightInd/>
        <w:spacing w:line="440" w:lineRule="exact"/>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一、项目基本情况</w:t>
      </w:r>
    </w:p>
    <w:p w14:paraId="5FAEAD3E">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项目编号：</w:t>
      </w:r>
      <w:r>
        <w:rPr>
          <w:rFonts w:hint="eastAsia" w:ascii="仿宋_GB2312" w:hAnsi="仿宋_GB2312" w:eastAsia="仿宋_GB2312" w:cs="仿宋_GB2312"/>
          <w:color w:val="auto"/>
          <w:sz w:val="21"/>
          <w:szCs w:val="21"/>
          <w:highlight w:val="none"/>
          <w:lang w:eastAsia="zh-CN"/>
        </w:rPr>
        <w:t>CTZB-2026030392</w:t>
      </w:r>
    </w:p>
    <w:p w14:paraId="461E789A">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项目名称：</w:t>
      </w:r>
      <w:r>
        <w:rPr>
          <w:rFonts w:hint="eastAsia" w:ascii="仿宋_GB2312" w:hAnsi="仿宋_GB2312" w:eastAsia="仿宋_GB2312" w:cs="仿宋_GB2312"/>
          <w:color w:val="auto"/>
          <w:sz w:val="21"/>
          <w:szCs w:val="21"/>
          <w:highlight w:val="none"/>
          <w:lang w:eastAsia="zh-CN"/>
        </w:rPr>
        <w:t>新碶综合文化活动中心音视频系统采购项目</w:t>
      </w:r>
    </w:p>
    <w:p w14:paraId="1378493C">
      <w:pPr>
        <w:tabs>
          <w:tab w:val="left" w:pos="432"/>
        </w:tabs>
        <w:adjustRightInd/>
        <w:spacing w:line="440" w:lineRule="exact"/>
        <w:ind w:firstLine="420" w:firstLineChars="20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预算金额（元）：</w:t>
      </w:r>
      <w:r>
        <w:rPr>
          <w:rFonts w:hint="eastAsia" w:ascii="仿宋_GB2312" w:hAnsi="仿宋_GB2312" w:eastAsia="仿宋_GB2312" w:cs="仿宋_GB2312"/>
          <w:color w:val="auto"/>
          <w:sz w:val="21"/>
          <w:szCs w:val="21"/>
          <w:highlight w:val="none"/>
          <w:lang w:val="en-US" w:eastAsia="zh-CN"/>
        </w:rPr>
        <w:t>3451936</w:t>
      </w:r>
    </w:p>
    <w:p w14:paraId="3AB57F80">
      <w:pPr>
        <w:tabs>
          <w:tab w:val="left" w:pos="432"/>
        </w:tabs>
        <w:adjustRightInd/>
        <w:spacing w:line="440" w:lineRule="exact"/>
        <w:ind w:firstLine="420" w:firstLineChars="20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最高限价（元）：</w:t>
      </w:r>
      <w:r>
        <w:rPr>
          <w:rFonts w:hint="eastAsia" w:ascii="仿宋_GB2312" w:hAnsi="仿宋_GB2312" w:eastAsia="仿宋_GB2312" w:cs="仿宋_GB2312"/>
          <w:color w:val="auto"/>
          <w:sz w:val="21"/>
          <w:szCs w:val="21"/>
          <w:highlight w:val="none"/>
          <w:lang w:val="en-US" w:eastAsia="zh-CN"/>
        </w:rPr>
        <w:t>3334066.3</w:t>
      </w:r>
    </w:p>
    <w:p w14:paraId="7C4F39CE">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采购需求：</w:t>
      </w:r>
    </w:p>
    <w:p w14:paraId="57926984">
      <w:pPr>
        <w:tabs>
          <w:tab w:val="left" w:pos="432"/>
        </w:tabs>
        <w:adjustRightInd/>
        <w:spacing w:line="440" w:lineRule="exact"/>
        <w:ind w:firstLine="420" w:firstLineChars="20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数量：</w:t>
      </w:r>
      <w:r>
        <w:rPr>
          <w:rFonts w:hint="eastAsia" w:ascii="仿宋_GB2312" w:hAnsi="仿宋_GB2312" w:eastAsia="仿宋_GB2312" w:cs="仿宋_GB2312"/>
          <w:color w:val="auto"/>
          <w:sz w:val="21"/>
          <w:szCs w:val="21"/>
          <w:highlight w:val="none"/>
          <w:lang w:val="en-US" w:eastAsia="zh-CN"/>
        </w:rPr>
        <w:t>1批</w:t>
      </w:r>
    </w:p>
    <w:p w14:paraId="16DE2400">
      <w:pPr>
        <w:tabs>
          <w:tab w:val="left" w:pos="432"/>
        </w:tabs>
        <w:adjustRightInd/>
        <w:spacing w:line="440" w:lineRule="exact"/>
        <w:ind w:firstLine="420" w:firstLineChars="20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预算金额（元）：</w:t>
      </w:r>
      <w:r>
        <w:rPr>
          <w:rFonts w:hint="eastAsia" w:ascii="仿宋_GB2312" w:hAnsi="仿宋_GB2312" w:eastAsia="仿宋_GB2312" w:cs="仿宋_GB2312"/>
          <w:color w:val="auto"/>
          <w:sz w:val="21"/>
          <w:szCs w:val="21"/>
          <w:highlight w:val="none"/>
          <w:lang w:val="en-US" w:eastAsia="zh-CN"/>
        </w:rPr>
        <w:t>3451936</w:t>
      </w:r>
    </w:p>
    <w:p w14:paraId="59D96479">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简要规格描述或项目基本概况介绍、用途：</w:t>
      </w:r>
      <w:r>
        <w:rPr>
          <w:rFonts w:hint="eastAsia" w:ascii="仿宋_GB2312" w:hAnsi="仿宋_GB2312" w:eastAsia="仿宋_GB2312" w:cs="仿宋_GB2312"/>
          <w:color w:val="auto"/>
          <w:sz w:val="21"/>
          <w:szCs w:val="21"/>
          <w:highlight w:val="none"/>
          <w:lang w:eastAsia="zh-CN"/>
        </w:rPr>
        <w:t>新碶综合文化活动中心音视频系统采购项目</w:t>
      </w:r>
      <w:r>
        <w:rPr>
          <w:rFonts w:hint="eastAsia" w:ascii="仿宋_GB2312" w:hAnsi="仿宋_GB2312" w:eastAsia="仿宋_GB2312" w:cs="仿宋_GB2312"/>
          <w:color w:val="auto"/>
          <w:sz w:val="21"/>
          <w:szCs w:val="21"/>
          <w:highlight w:val="none"/>
        </w:rPr>
        <w:t>。具体以招标文件第三</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“采购需求”为准，供应商可点击本公告下方“浏览采购文件”查看采购需求。</w:t>
      </w:r>
    </w:p>
    <w:p w14:paraId="4B3F25AA">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备注：</w:t>
      </w:r>
      <w:r>
        <w:rPr>
          <w:rFonts w:hint="eastAsia" w:ascii="仿宋_GB2312" w:hAnsi="仿宋_GB2312" w:eastAsia="仿宋_GB2312" w:cs="仿宋_GB2312"/>
          <w:bCs/>
          <w:color w:val="auto"/>
          <w:kern w:val="2"/>
          <w:sz w:val="21"/>
          <w:szCs w:val="21"/>
          <w:highlight w:val="none"/>
          <w:lang w:val="en-US" w:eastAsia="zh-CN"/>
        </w:rPr>
        <w:t>/</w:t>
      </w:r>
    </w:p>
    <w:p w14:paraId="30FE0F22">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合同履约期限：接采购人供货通知后</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0日历天内交货</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完成安装调试工作并达到验收条件。</w:t>
      </w:r>
    </w:p>
    <w:p w14:paraId="27B05935">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本项目（</w:t>
      </w:r>
      <w:r>
        <w:rPr>
          <w:rFonts w:hint="eastAsia" w:ascii="仿宋_GB2312" w:hAnsi="仿宋_GB2312" w:eastAsia="仿宋_GB2312" w:cs="仿宋_GB2312"/>
          <w:color w:val="auto"/>
          <w:sz w:val="21"/>
          <w:szCs w:val="21"/>
          <w:highlight w:val="none"/>
          <w:lang w:val="en-US" w:eastAsia="zh-CN"/>
        </w:rPr>
        <w:t>否</w:t>
      </w:r>
      <w:r>
        <w:rPr>
          <w:rFonts w:hint="eastAsia" w:ascii="仿宋_GB2312" w:hAnsi="仿宋_GB2312" w:eastAsia="仿宋_GB2312" w:cs="仿宋_GB2312"/>
          <w:color w:val="auto"/>
          <w:sz w:val="21"/>
          <w:szCs w:val="21"/>
          <w:highlight w:val="none"/>
        </w:rPr>
        <w:t>）接受联合体投标。</w:t>
      </w:r>
    </w:p>
    <w:p w14:paraId="5D9777AD">
      <w:pPr>
        <w:tabs>
          <w:tab w:val="left" w:pos="432"/>
        </w:tabs>
        <w:adjustRightInd/>
        <w:spacing w:line="440" w:lineRule="exact"/>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二、申请人的资格要求：</w:t>
      </w:r>
    </w:p>
    <w:p w14:paraId="7618C368">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1．满足《中华人民共和国政府采购法》第二十二条规定；未被“信用中国”（www.creditchina.gov.cn</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、中国政府采购网（www.ccgp.gov.cn）列入失信被执行人、重大税收违法案件当事人名单、政府采购严重违法失信行为记录名单；</w:t>
      </w:r>
    </w:p>
    <w:p w14:paraId="6D4B6B58">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2．落实政府采购政策需满足的资格要求：</w:t>
      </w:r>
      <w:r>
        <w:rPr>
          <w:rFonts w:hint="eastAsia" w:ascii="仿宋_GB2312" w:hAnsi="仿宋_GB2312" w:eastAsia="仿宋_GB2312" w:cs="仿宋_GB2312"/>
          <w:color w:val="auto"/>
          <w:sz w:val="21"/>
          <w:szCs w:val="21"/>
          <w:highlight w:val="none"/>
          <w:lang w:val="en-US" w:eastAsia="zh-CN"/>
        </w:rPr>
        <w:t>无</w:t>
      </w:r>
      <w:r>
        <w:rPr>
          <w:rFonts w:hint="eastAsia" w:ascii="仿宋_GB2312" w:hAnsi="仿宋_GB2312" w:eastAsia="仿宋_GB2312" w:cs="仿宋_GB2312"/>
          <w:color w:val="auto"/>
          <w:sz w:val="21"/>
          <w:szCs w:val="21"/>
          <w:highlight w:val="none"/>
        </w:rPr>
        <w:t>；</w:t>
      </w:r>
    </w:p>
    <w:p w14:paraId="10C7F43B">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3．本项目的特定资格要求：</w:t>
      </w:r>
      <w:r>
        <w:rPr>
          <w:rFonts w:hint="eastAsia" w:ascii="仿宋_GB2312" w:hAnsi="仿宋_GB2312" w:eastAsia="仿宋_GB2312" w:cs="仿宋_GB2312"/>
          <w:color w:val="auto"/>
          <w:sz w:val="21"/>
          <w:szCs w:val="21"/>
          <w:highlight w:val="none"/>
          <w:lang w:val="en-US" w:eastAsia="zh-CN"/>
        </w:rPr>
        <w:t>无</w:t>
      </w:r>
      <w:r>
        <w:rPr>
          <w:rFonts w:hint="eastAsia" w:ascii="仿宋_GB2312" w:hAnsi="仿宋_GB2312" w:eastAsia="仿宋_GB2312" w:cs="仿宋_GB2312"/>
          <w:color w:val="auto"/>
          <w:sz w:val="21"/>
          <w:szCs w:val="21"/>
          <w:highlight w:val="none"/>
        </w:rPr>
        <w:t>；</w:t>
      </w:r>
    </w:p>
    <w:p w14:paraId="39BB03F4">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208875E">
      <w:pPr>
        <w:tabs>
          <w:tab w:val="left" w:pos="432"/>
        </w:tabs>
        <w:adjustRightInd/>
        <w:spacing w:line="440" w:lineRule="exact"/>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三、获取招标文件</w:t>
      </w:r>
    </w:p>
    <w:p w14:paraId="3BEE1770">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时间：</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月9日</w:t>
      </w:r>
      <w:r>
        <w:rPr>
          <w:rFonts w:hint="eastAsia" w:ascii="仿宋_GB2312" w:hAnsi="仿宋_GB2312" w:eastAsia="仿宋_GB2312" w:cs="仿宋_GB2312"/>
          <w:color w:val="auto"/>
          <w:sz w:val="21"/>
          <w:szCs w:val="21"/>
          <w:highlight w:val="none"/>
        </w:rPr>
        <w:t>至</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月</w:t>
      </w:r>
      <w:r>
        <w:rPr>
          <w:rFonts w:hint="eastAsia" w:ascii="仿宋_GB2312" w:hAnsi="仿宋_GB2312" w:eastAsia="仿宋_GB2312" w:cs="仿宋_GB2312"/>
          <w:color w:val="auto"/>
          <w:sz w:val="21"/>
          <w:szCs w:val="21"/>
          <w:highlight w:val="none"/>
          <w:lang w:val="en-US" w:eastAsia="zh-CN"/>
        </w:rPr>
        <w:t>16</w:t>
      </w:r>
      <w:r>
        <w:rPr>
          <w:rFonts w:hint="eastAsia" w:ascii="仿宋_GB2312" w:hAnsi="仿宋_GB2312" w:eastAsia="仿宋_GB2312" w:cs="仿宋_GB2312"/>
          <w:color w:val="auto"/>
          <w:sz w:val="21"/>
          <w:szCs w:val="21"/>
          <w:highlight w:val="none"/>
          <w:lang w:eastAsia="zh-CN"/>
        </w:rPr>
        <w:t>日</w:t>
      </w:r>
      <w:r>
        <w:rPr>
          <w:rFonts w:hint="eastAsia" w:ascii="仿宋_GB2312" w:hAnsi="仿宋_GB2312" w:eastAsia="仿宋_GB2312" w:cs="仿宋_GB2312"/>
          <w:color w:val="auto"/>
          <w:sz w:val="21"/>
          <w:szCs w:val="21"/>
          <w:highlight w:val="none"/>
        </w:rPr>
        <w:t>，每天上午00</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00至12</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00，下午12</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00至23</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59（北京时间，线上获取法定节假日均可）</w:t>
      </w:r>
    </w:p>
    <w:p w14:paraId="645F2011">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地点（网址）：政采云平台（https</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//www.zcygov.cn/）</w:t>
      </w:r>
    </w:p>
    <w:p w14:paraId="50BFC631">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方式：供应商登录政采云平台https</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//www.zcygov.cn/在线申请获取采购文件（进入“项目采购”应用，在获取采购文件菜单中选择项目，申请获取采购文件）。</w:t>
      </w:r>
    </w:p>
    <w:p w14:paraId="565378A2">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售价（元）：0</w:t>
      </w:r>
    </w:p>
    <w:p w14:paraId="4E8FAE2D">
      <w:pPr>
        <w:tabs>
          <w:tab w:val="left" w:pos="432"/>
        </w:tabs>
        <w:adjustRightInd/>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四、提交投标文件截止时间、开标时间和地点</w:t>
      </w:r>
    </w:p>
    <w:p w14:paraId="69A4788D">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提交投标文件截止时间：</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月</w:t>
      </w:r>
      <w:r>
        <w:rPr>
          <w:rFonts w:hint="eastAsia" w:ascii="仿宋_GB2312" w:hAnsi="仿宋_GB2312" w:eastAsia="仿宋_GB2312" w:cs="仿宋_GB2312"/>
          <w:color w:val="auto"/>
          <w:sz w:val="21"/>
          <w:szCs w:val="21"/>
          <w:highlight w:val="none"/>
          <w:lang w:val="en-US" w:eastAsia="zh-CN"/>
        </w:rPr>
        <w:t>29</w:t>
      </w:r>
      <w:r>
        <w:rPr>
          <w:rFonts w:hint="eastAsia" w:ascii="仿宋_GB2312" w:hAnsi="仿宋_GB2312" w:eastAsia="仿宋_GB2312" w:cs="仿宋_GB2312"/>
          <w:color w:val="auto"/>
          <w:sz w:val="21"/>
          <w:szCs w:val="21"/>
          <w:highlight w:val="none"/>
          <w:lang w:eastAsia="zh-CN"/>
        </w:rPr>
        <w:t>日</w:t>
      </w:r>
      <w:r>
        <w:rPr>
          <w:rFonts w:hint="eastAsia" w:ascii="仿宋_GB2312" w:hAnsi="仿宋_GB2312" w:eastAsia="仿宋_GB2312" w:cs="仿宋_GB2312"/>
          <w:color w:val="auto"/>
          <w:sz w:val="21"/>
          <w:szCs w:val="21"/>
          <w:highlight w:val="none"/>
          <w:lang w:val="en-US" w:eastAsia="zh-CN"/>
        </w:rPr>
        <w:t>09:30</w:t>
      </w:r>
      <w:r>
        <w:rPr>
          <w:rFonts w:hint="eastAsia" w:ascii="仿宋_GB2312" w:hAnsi="仿宋_GB2312" w:eastAsia="仿宋_GB2312" w:cs="仿宋_GB2312"/>
          <w:color w:val="auto"/>
          <w:sz w:val="21"/>
          <w:szCs w:val="21"/>
          <w:highlight w:val="none"/>
        </w:rPr>
        <w:t>（北京时间）</w:t>
      </w:r>
    </w:p>
    <w:p w14:paraId="4F901D9F">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投标地点（网址）：政采云平台（https</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//www.zcygov.cn/）</w:t>
      </w:r>
    </w:p>
    <w:p w14:paraId="1C789E78">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开标时间：</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月</w:t>
      </w:r>
      <w:r>
        <w:rPr>
          <w:rFonts w:hint="eastAsia" w:ascii="仿宋_GB2312" w:hAnsi="仿宋_GB2312" w:eastAsia="仿宋_GB2312" w:cs="仿宋_GB2312"/>
          <w:color w:val="auto"/>
          <w:sz w:val="21"/>
          <w:szCs w:val="21"/>
          <w:highlight w:val="none"/>
          <w:lang w:val="en-US" w:eastAsia="zh-CN"/>
        </w:rPr>
        <w:t>29</w:t>
      </w:r>
      <w:r>
        <w:rPr>
          <w:rFonts w:hint="eastAsia" w:ascii="仿宋_GB2312" w:hAnsi="仿宋_GB2312" w:eastAsia="仿宋_GB2312" w:cs="仿宋_GB2312"/>
          <w:color w:val="auto"/>
          <w:sz w:val="21"/>
          <w:szCs w:val="21"/>
          <w:highlight w:val="none"/>
          <w:lang w:eastAsia="zh-CN"/>
        </w:rPr>
        <w:t>日</w:t>
      </w:r>
      <w:r>
        <w:rPr>
          <w:rFonts w:hint="eastAsia" w:ascii="仿宋_GB2312" w:hAnsi="仿宋_GB2312" w:eastAsia="仿宋_GB2312" w:cs="仿宋_GB2312"/>
          <w:color w:val="auto"/>
          <w:sz w:val="21"/>
          <w:szCs w:val="21"/>
          <w:highlight w:val="none"/>
          <w:lang w:val="en-US" w:eastAsia="zh-CN"/>
        </w:rPr>
        <w:t>09:3</w:t>
      </w:r>
      <w:r>
        <w:rPr>
          <w:rFonts w:hint="eastAsia" w:ascii="仿宋_GB2312" w:hAnsi="仿宋_GB2312" w:eastAsia="仿宋_GB2312" w:cs="仿宋_GB2312"/>
          <w:color w:val="auto"/>
          <w:sz w:val="21"/>
          <w:szCs w:val="21"/>
          <w:highlight w:val="none"/>
        </w:rPr>
        <w:t>0（北京时间）</w:t>
      </w:r>
    </w:p>
    <w:p w14:paraId="3B46FA95">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开标地点（网址）：政采云平台（https</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//www.zcygov.cn/）</w:t>
      </w:r>
      <w:r>
        <w:rPr>
          <w:rFonts w:hint="eastAsia" w:ascii="仿宋_GB2312" w:hAnsi="仿宋_GB2312" w:eastAsia="仿宋_GB2312" w:cs="仿宋_GB2312"/>
          <w:color w:val="auto"/>
          <w:sz w:val="21"/>
          <w:szCs w:val="21"/>
          <w:highlight w:val="none"/>
          <w:lang w:val="en-US" w:eastAsia="zh-CN"/>
        </w:rPr>
        <w:t>/宁波市北仑区四明山路773号北仑行政大楼B座三楼区政务服务中心交易厅（具体场所安排详见电子指示屏幕）</w:t>
      </w:r>
    </w:p>
    <w:p w14:paraId="47E86009">
      <w:pPr>
        <w:tabs>
          <w:tab w:val="left" w:pos="432"/>
        </w:tabs>
        <w:adjustRightInd/>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五、公告期限</w:t>
      </w:r>
    </w:p>
    <w:p w14:paraId="68E329ED">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自本公告发布之日起5个工作日。</w:t>
      </w:r>
    </w:p>
    <w:p w14:paraId="3A26EBF6">
      <w:pPr>
        <w:tabs>
          <w:tab w:val="left" w:pos="432"/>
        </w:tabs>
        <w:adjustRightInd/>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六、其他补充事宜</w:t>
      </w:r>
    </w:p>
    <w:p w14:paraId="42E457D7">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8BEA379">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9E10782">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BECEAE1">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4．其他事项：（1）需要落实的政府采购政策：包括节约资源、保护环境、支持创新、促进中小企业发展</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实施本国产品标准</w:t>
      </w:r>
      <w:r>
        <w:rPr>
          <w:rFonts w:hint="eastAsia" w:ascii="仿宋_GB2312" w:hAnsi="仿宋_GB2312" w:eastAsia="仿宋_GB2312" w:cs="仿宋_GB2312"/>
          <w:color w:val="auto"/>
          <w:sz w:val="21"/>
          <w:szCs w:val="21"/>
          <w:highlight w:val="none"/>
        </w:rPr>
        <w:t>等。详见招标文件的第二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“投标人须知”总则。（2）电子招</w:t>
      </w:r>
      <w:r>
        <w:rPr>
          <w:rFonts w:hint="eastAsia" w:ascii="仿宋_GB2312" w:hAnsi="仿宋_GB2312" w:eastAsia="仿宋_GB2312" w:cs="仿宋_GB2312"/>
          <w:color w:val="auto"/>
          <w:sz w:val="21"/>
          <w:szCs w:val="21"/>
          <w:highlight w:val="none"/>
          <w:lang w:val="en-US" w:eastAsia="zh-CN"/>
        </w:rPr>
        <w:t>标</w:t>
      </w:r>
      <w:r>
        <w:rPr>
          <w:rFonts w:hint="eastAsia" w:ascii="仿宋_GB2312" w:hAnsi="仿宋_GB2312" w:eastAsia="仿宋_GB2312" w:cs="仿宋_GB2312"/>
          <w:color w:val="auto"/>
          <w:sz w:val="21"/>
          <w:szCs w:val="21"/>
          <w:highlight w:val="none"/>
        </w:rPr>
        <w:t>投标的说明：①电子招</w:t>
      </w:r>
      <w:r>
        <w:rPr>
          <w:rFonts w:hint="eastAsia" w:ascii="仿宋_GB2312" w:hAnsi="仿宋_GB2312" w:eastAsia="仿宋_GB2312" w:cs="仿宋_GB2312"/>
          <w:color w:val="auto"/>
          <w:sz w:val="21"/>
          <w:szCs w:val="21"/>
          <w:highlight w:val="none"/>
          <w:lang w:val="en-US" w:eastAsia="zh-CN"/>
        </w:rPr>
        <w:t>标</w:t>
      </w:r>
      <w:r>
        <w:rPr>
          <w:rFonts w:hint="eastAsia" w:ascii="仿宋_GB2312" w:hAnsi="仿宋_GB2312" w:eastAsia="仿宋_GB2312" w:cs="仿宋_GB2312"/>
          <w:color w:val="auto"/>
          <w:sz w:val="21"/>
          <w:szCs w:val="21"/>
          <w:highlight w:val="none"/>
        </w:rPr>
        <w:t>投标：本项目以数据电文形式，依托“政府采购云平台（www.zcygov.cn）”进行招</w:t>
      </w:r>
      <w:r>
        <w:rPr>
          <w:rFonts w:hint="eastAsia" w:ascii="仿宋_GB2312" w:hAnsi="仿宋_GB2312" w:eastAsia="仿宋_GB2312" w:cs="仿宋_GB2312"/>
          <w:color w:val="auto"/>
          <w:sz w:val="21"/>
          <w:szCs w:val="21"/>
          <w:highlight w:val="none"/>
          <w:lang w:val="en-US" w:eastAsia="zh-CN"/>
        </w:rPr>
        <w:t>标</w:t>
      </w:r>
      <w:r>
        <w:rPr>
          <w:rFonts w:hint="eastAsia" w:ascii="仿宋_GB2312" w:hAnsi="仿宋_GB2312" w:eastAsia="仿宋_GB2312" w:cs="仿宋_GB2312"/>
          <w:color w:val="auto"/>
          <w:sz w:val="21"/>
          <w:szCs w:val="21"/>
          <w:highlight w:val="none"/>
        </w:rPr>
        <w:t>投标活动，不接受纸质投标文件；②投标准备：注册账号</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点击“商家入驻”，进行政府采购供应商资料填写；申领CA数字证书</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申领流程详见“浙江政府采购网-下载专区-电子交易客户端-CA驱动和申领流程”；安装“政采云电子交易客户端”</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第15</w:t>
      </w:r>
      <w:r>
        <w:rPr>
          <w:rFonts w:hint="eastAsia" w:ascii="仿宋_GB2312" w:hAnsi="仿宋_GB2312" w:eastAsia="仿宋_GB2312" w:cs="仿宋_GB2312"/>
          <w:color w:val="auto"/>
          <w:sz w:val="21"/>
          <w:szCs w:val="21"/>
          <w:highlight w:val="none"/>
          <w:lang w:val="en-US" w:eastAsia="zh-CN"/>
        </w:rPr>
        <w:t>条-</w:t>
      </w:r>
      <w:r>
        <w:rPr>
          <w:rFonts w:hint="eastAsia" w:ascii="仿宋_GB2312" w:hAnsi="仿宋_GB2312" w:eastAsia="仿宋_GB2312" w:cs="仿宋_GB2312"/>
          <w:color w:val="auto"/>
          <w:sz w:val="21"/>
          <w:szCs w:val="21"/>
          <w:highlight w:val="none"/>
        </w:rPr>
        <w:t>“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根据《浙江省财政厅关于规范政府采购供应商资格设定及资格审查的通知》（浙财采监〔2013〕24号）第六条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5）因信用中国网站中“重大税收违法案件当事人名单”已调整为“重大税收违法失信主体”，但政采云平台系统自动生成的仍为“重大税收违法案件当事人名单”，故查询的内容以“重大税收违法失信主体”为准。</w:t>
      </w:r>
    </w:p>
    <w:p w14:paraId="302AD15A">
      <w:pPr>
        <w:tabs>
          <w:tab w:val="left" w:pos="432"/>
        </w:tabs>
        <w:adjustRightInd/>
        <w:spacing w:line="440" w:lineRule="exact"/>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七</w:t>
      </w:r>
      <w:r>
        <w:rPr>
          <w:rFonts w:hint="eastAsia" w:ascii="仿宋_GB2312" w:hAnsi="仿宋_GB2312" w:eastAsia="仿宋_GB2312" w:cs="仿宋_GB2312"/>
          <w:b/>
          <w:bCs/>
          <w:color w:val="auto"/>
          <w:sz w:val="21"/>
          <w:szCs w:val="21"/>
          <w:highlight w:val="none"/>
        </w:rPr>
        <w:t>、对本次采购提出询问、质疑、投诉，请按以下方式联系</w:t>
      </w:r>
    </w:p>
    <w:p w14:paraId="300AD4F1">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1.采购人信息</w:t>
      </w:r>
    </w:p>
    <w:p w14:paraId="002C141F">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名称：</w:t>
      </w:r>
      <w:r>
        <w:rPr>
          <w:rFonts w:hint="eastAsia" w:ascii="仿宋_GB2312" w:hAnsi="仿宋_GB2312" w:eastAsia="仿宋_GB2312" w:cs="仿宋_GB2312"/>
          <w:color w:val="auto"/>
          <w:sz w:val="21"/>
          <w:szCs w:val="21"/>
          <w:highlight w:val="none"/>
          <w:lang w:eastAsia="zh-CN"/>
        </w:rPr>
        <w:t>宁波市北仑区公共项目建设管理中心</w:t>
      </w:r>
    </w:p>
    <w:p w14:paraId="5EF50248">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地址：</w:t>
      </w:r>
      <w:r>
        <w:rPr>
          <w:rFonts w:hint="eastAsia" w:ascii="仿宋_GB2312" w:hAnsi="仿宋_GB2312" w:eastAsia="仿宋_GB2312" w:cs="仿宋_GB2312"/>
          <w:color w:val="auto"/>
          <w:sz w:val="21"/>
          <w:szCs w:val="21"/>
          <w:highlight w:val="none"/>
          <w:lang w:eastAsia="zh-CN"/>
        </w:rPr>
        <w:t>宁波市北仑区四明山路775号北仑行政大楼B座7楼</w:t>
      </w:r>
    </w:p>
    <w:p w14:paraId="606EDEFA">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传真：/</w:t>
      </w:r>
    </w:p>
    <w:p w14:paraId="2C4DF83A">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项目联系人（询问）：徐老师</w:t>
      </w:r>
    </w:p>
    <w:p w14:paraId="540DDF1F">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项目联系方式（询问）：0574-89384041</w:t>
      </w:r>
    </w:p>
    <w:p w14:paraId="0B24C698">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质疑联系人：姚老师</w:t>
      </w:r>
    </w:p>
    <w:p w14:paraId="1604E33B">
      <w:pPr>
        <w:tabs>
          <w:tab w:val="left" w:pos="432"/>
        </w:tabs>
        <w:adjustRightInd/>
        <w:spacing w:line="440" w:lineRule="exact"/>
        <w:ind w:firstLine="420" w:firstLineChars="200"/>
        <w:rPr>
          <w:rFonts w:hint="default" w:ascii="仿宋_GB2312" w:hAnsi="仿宋_GB2312" w:eastAsia="宋体"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质疑联系方式：0574-89384040</w:t>
      </w:r>
    </w:p>
    <w:p w14:paraId="28D25477">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2.采购代理机构信息</w:t>
      </w:r>
    </w:p>
    <w:p w14:paraId="12CB40E2">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名称：</w:t>
      </w:r>
      <w:r>
        <w:rPr>
          <w:rFonts w:hint="eastAsia" w:ascii="仿宋_GB2312" w:hAnsi="仿宋_GB2312" w:eastAsia="仿宋_GB2312" w:cs="仿宋_GB2312"/>
          <w:color w:val="auto"/>
          <w:sz w:val="21"/>
          <w:szCs w:val="21"/>
          <w:highlight w:val="none"/>
          <w:lang w:eastAsia="zh-CN"/>
        </w:rPr>
        <w:t>浙江省成套招标代理有限公司</w:t>
      </w:r>
    </w:p>
    <w:p w14:paraId="22C8698B">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地址：宁波市海曙区翠柏路89号宁波工程学院公共培训平台C栋8楼</w:t>
      </w:r>
    </w:p>
    <w:p w14:paraId="2D1E4C71">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传真：/</w:t>
      </w:r>
    </w:p>
    <w:p w14:paraId="6B549BCA">
      <w:pPr>
        <w:tabs>
          <w:tab w:val="left" w:pos="432"/>
        </w:tabs>
        <w:adjustRightInd/>
        <w:spacing w:line="440" w:lineRule="exact"/>
        <w:ind w:firstLine="420" w:firstLineChars="20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项目联系人（询问）：奚睿</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方巧飞、</w:t>
      </w:r>
      <w:r>
        <w:rPr>
          <w:rFonts w:hint="eastAsia" w:ascii="仿宋_GB2312" w:hAnsi="仿宋_GB2312" w:eastAsia="仿宋_GB2312" w:cs="仿宋_GB2312"/>
          <w:color w:val="auto"/>
          <w:sz w:val="21"/>
          <w:szCs w:val="21"/>
          <w:highlight w:val="none"/>
        </w:rPr>
        <w:t>刘晓红</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毛宇兰</w:t>
      </w:r>
    </w:p>
    <w:p w14:paraId="10E99A7E">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项目联系方式（询问）：</w:t>
      </w:r>
      <w:r>
        <w:rPr>
          <w:rFonts w:hint="eastAsia" w:ascii="仿宋_GB2312" w:hAnsi="仿宋_GB2312" w:eastAsia="仿宋_GB2312" w:cs="仿宋_GB2312"/>
          <w:color w:val="auto"/>
          <w:sz w:val="21"/>
          <w:szCs w:val="21"/>
          <w:highlight w:val="none"/>
          <w:lang w:eastAsia="zh-CN"/>
        </w:rPr>
        <w:t>0574-87127967</w:t>
      </w:r>
    </w:p>
    <w:p w14:paraId="4148A428">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质疑联系人：</w:t>
      </w:r>
      <w:r>
        <w:rPr>
          <w:rFonts w:hint="eastAsia" w:ascii="仿宋_GB2312" w:hAnsi="仿宋_GB2312" w:eastAsia="仿宋_GB2312" w:cs="仿宋_GB2312"/>
          <w:color w:val="auto"/>
          <w:sz w:val="21"/>
          <w:szCs w:val="21"/>
          <w:highlight w:val="none"/>
          <w:lang w:val="en-US" w:eastAsia="zh-CN"/>
        </w:rPr>
        <w:t>钱聪</w:t>
      </w:r>
    </w:p>
    <w:p w14:paraId="1FBF2F57">
      <w:pPr>
        <w:tabs>
          <w:tab w:val="left" w:pos="432"/>
        </w:tabs>
        <w:adjustRightInd/>
        <w:spacing w:line="440" w:lineRule="exact"/>
        <w:ind w:firstLine="420" w:firstLineChars="200"/>
        <w:rPr>
          <w:rFonts w:hint="default"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rPr>
        <w:t>质疑联系方式</w:t>
      </w:r>
      <w:r>
        <w:rPr>
          <w:rFonts w:hint="eastAsia" w:ascii="仿宋_GB2312" w:hAnsi="仿宋_GB2312" w:eastAsia="仿宋_GB2312" w:cs="仿宋_GB2312"/>
          <w:color w:val="auto"/>
          <w:sz w:val="21"/>
          <w:szCs w:val="21"/>
          <w:highlight w:val="none"/>
          <w:lang w:val="en-US" w:eastAsia="zh-CN"/>
        </w:rPr>
        <w:t>：0574-87127967</w:t>
      </w:r>
    </w:p>
    <w:p w14:paraId="16D933A2">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3.同级政府采购监督管理部门</w:t>
      </w:r>
    </w:p>
    <w:p w14:paraId="682A827E">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名称：</w:t>
      </w:r>
      <w:r>
        <w:rPr>
          <w:rFonts w:hint="eastAsia" w:ascii="仿宋_GB2312" w:hAnsi="仿宋_GB2312" w:eastAsia="仿宋_GB2312" w:cs="仿宋_GB2312"/>
          <w:color w:val="auto"/>
          <w:sz w:val="21"/>
          <w:szCs w:val="21"/>
          <w:highlight w:val="none"/>
          <w:lang w:eastAsia="zh-CN"/>
        </w:rPr>
        <w:t>宁波市北仑区财政局政府采购办公室</w:t>
      </w:r>
    </w:p>
    <w:p w14:paraId="62C613E3">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地址：</w:t>
      </w:r>
      <w:r>
        <w:rPr>
          <w:rFonts w:hint="eastAsia" w:ascii="仿宋_GB2312" w:hAnsi="仿宋_GB2312" w:eastAsia="仿宋_GB2312" w:cs="仿宋_GB2312"/>
          <w:color w:val="auto"/>
          <w:sz w:val="21"/>
          <w:szCs w:val="21"/>
          <w:highlight w:val="none"/>
          <w:lang w:eastAsia="zh-CN"/>
        </w:rPr>
        <w:t>宁波市北仑区四明山路775号行政大楼A座</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楼</w:t>
      </w:r>
    </w:p>
    <w:p w14:paraId="37FCA974">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传真：/</w:t>
      </w:r>
    </w:p>
    <w:p w14:paraId="4D70BAFC">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lang w:eastAsia="zh-CN"/>
        </w:rPr>
        <w:t>严老师</w:t>
      </w:r>
    </w:p>
    <w:p w14:paraId="6012B223">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监督投诉电话：0574-</w:t>
      </w:r>
      <w:r>
        <w:rPr>
          <w:rFonts w:hint="eastAsia" w:ascii="仿宋_GB2312" w:hAnsi="仿宋_GB2312" w:eastAsia="仿宋_GB2312" w:cs="仿宋_GB2312"/>
          <w:color w:val="auto"/>
          <w:sz w:val="21"/>
          <w:szCs w:val="21"/>
          <w:highlight w:val="none"/>
          <w:lang w:eastAsia="zh-CN"/>
        </w:rPr>
        <w:t>89383754</w:t>
      </w:r>
    </w:p>
    <w:p w14:paraId="70A539F4">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p>
    <w:p w14:paraId="5AE65F24">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p>
    <w:p w14:paraId="44622BD6">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若对项目采购电子交易系统操作有疑问，可登录政采云（https</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//www.zcygov.cn/），点击右侧咨询小采，获取采小蜜智能服务管家帮助，或拨打政采云服务热线95763获取热线服务帮助。</w:t>
      </w:r>
    </w:p>
    <w:p w14:paraId="1D0EB454">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CA问题联系电话（人工）：汇信CA 400-888-4636；天谷CA 400-087-8198。</w:t>
      </w:r>
    </w:p>
    <w:p w14:paraId="2D819821">
      <w:pP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br w:type="page"/>
      </w:r>
    </w:p>
    <w:p w14:paraId="030B80AB">
      <w:pPr>
        <w:keepNext w:val="0"/>
        <w:keepLines w:val="0"/>
        <w:pageBreakBefore w:val="0"/>
        <w:widowControl w:val="0"/>
        <w:kinsoku/>
        <w:wordWrap/>
        <w:overflowPunct/>
        <w:topLinePunct w:val="0"/>
        <w:autoSpaceDE/>
        <w:autoSpaceDN/>
        <w:bidi w:val="0"/>
        <w:adjustRightInd w:val="0"/>
        <w:snapToGrid/>
        <w:spacing w:line="640" w:lineRule="exact"/>
        <w:jc w:val="center"/>
        <w:textAlignment w:val="auto"/>
        <w:outlineLvl w:val="0"/>
        <w:rPr>
          <w:rFonts w:hint="default" w:ascii="仿宋_GB2312" w:hAnsi="仿宋_GB2312" w:eastAsia="仿宋_GB2312" w:cs="仿宋_GB2312"/>
          <w:b/>
          <w:bCs/>
          <w:color w:val="auto"/>
          <w:sz w:val="36"/>
          <w:szCs w:val="36"/>
          <w:highlight w:val="none"/>
          <w:lang w:val="en-US" w:eastAsia="zh-CN"/>
        </w:rPr>
      </w:pPr>
      <w:r>
        <w:rPr>
          <w:rFonts w:hint="eastAsia" w:ascii="仿宋_GB2312" w:hAnsi="仿宋_GB2312" w:eastAsia="仿宋_GB2312" w:cs="仿宋_GB2312"/>
          <w:b/>
          <w:bCs/>
          <w:color w:val="auto"/>
          <w:sz w:val="36"/>
          <w:szCs w:val="36"/>
          <w:highlight w:val="none"/>
        </w:rPr>
        <w:t>第</w:t>
      </w:r>
      <w:r>
        <w:rPr>
          <w:rFonts w:hint="eastAsia" w:ascii="仿宋_GB2312" w:hAnsi="仿宋_GB2312" w:eastAsia="仿宋_GB2312" w:cs="仿宋_GB2312"/>
          <w:b/>
          <w:bCs/>
          <w:color w:val="auto"/>
          <w:sz w:val="36"/>
          <w:szCs w:val="36"/>
          <w:highlight w:val="none"/>
          <w:lang w:val="en-US" w:eastAsia="zh-CN"/>
        </w:rPr>
        <w:t>二章</w:t>
      </w:r>
      <w:r>
        <w:rPr>
          <w:rFonts w:hint="eastAsia" w:ascii="仿宋_GB2312" w:hAnsi="仿宋_GB2312" w:eastAsia="仿宋_GB2312" w:cs="仿宋_GB2312"/>
          <w:b/>
          <w:bCs/>
          <w:color w:val="auto"/>
          <w:sz w:val="36"/>
          <w:szCs w:val="36"/>
          <w:highlight w:val="none"/>
        </w:rPr>
        <w:t xml:space="preserve"> </w:t>
      </w:r>
      <w:r>
        <w:rPr>
          <w:rFonts w:hint="eastAsia" w:ascii="仿宋_GB2312" w:hAnsi="仿宋_GB2312" w:eastAsia="仿宋_GB2312" w:cs="仿宋_GB2312"/>
          <w:b/>
          <w:bCs/>
          <w:color w:val="auto"/>
          <w:sz w:val="36"/>
          <w:szCs w:val="36"/>
          <w:highlight w:val="none"/>
          <w:lang w:val="en-US" w:eastAsia="zh-CN"/>
        </w:rPr>
        <w:t>投标人须知</w:t>
      </w:r>
    </w:p>
    <w:bookmarkEnd w:id="1"/>
    <w:p w14:paraId="6CDF5AB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ascii="仿宋_GB2312" w:hAnsi="仿宋_GB2312" w:eastAsia="仿宋_GB2312" w:cs="仿宋_GB2312"/>
          <w:b/>
          <w:color w:val="auto"/>
          <w:sz w:val="32"/>
          <w:szCs w:val="20"/>
          <w:highlight w:val="none"/>
        </w:rPr>
      </w:pPr>
      <w:bookmarkStart w:id="2" w:name="_Hlt74728647"/>
      <w:bookmarkEnd w:id="2"/>
      <w:bookmarkStart w:id="3" w:name="_Hlt74729822"/>
      <w:bookmarkEnd w:id="3"/>
      <w:bookmarkStart w:id="4" w:name="_Hlt74707423"/>
      <w:bookmarkEnd w:id="4"/>
      <w:bookmarkStart w:id="5" w:name="_Hlt74649545"/>
      <w:bookmarkEnd w:id="5"/>
      <w:bookmarkStart w:id="6" w:name="_Toc91899871"/>
      <w:r>
        <w:rPr>
          <w:rFonts w:hint="eastAsia" w:ascii="仿宋_GB2312" w:hAnsi="仿宋_GB2312" w:eastAsia="仿宋_GB2312" w:cs="仿宋_GB2312"/>
          <w:b/>
          <w:color w:val="auto"/>
          <w:sz w:val="32"/>
          <w:szCs w:val="20"/>
          <w:highlight w:val="none"/>
        </w:rPr>
        <w:t>前附表</w:t>
      </w:r>
    </w:p>
    <w:tbl>
      <w:tblPr>
        <w:tblStyle w:val="14"/>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2041"/>
        <w:gridCol w:w="6698"/>
      </w:tblGrid>
      <w:tr w14:paraId="6E58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29" w:type="dxa"/>
            <w:vAlign w:val="center"/>
          </w:tcPr>
          <w:p w14:paraId="761095DC">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2041" w:type="dxa"/>
            <w:vAlign w:val="center"/>
          </w:tcPr>
          <w:p w14:paraId="073D02D2">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事项</w:t>
            </w:r>
          </w:p>
        </w:tc>
        <w:tc>
          <w:tcPr>
            <w:tcW w:w="6698" w:type="dxa"/>
            <w:vAlign w:val="center"/>
          </w:tcPr>
          <w:p w14:paraId="5F2C2E6C">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本项目的特别规定</w:t>
            </w:r>
          </w:p>
        </w:tc>
      </w:tr>
      <w:tr w14:paraId="4CE4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19937046">
            <w:pPr>
              <w:adjustRightInd/>
              <w:spacing w:line="44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041" w:type="dxa"/>
            <w:vAlign w:val="center"/>
          </w:tcPr>
          <w:p w14:paraId="160A2A5D">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项目属性与核心产品</w:t>
            </w:r>
          </w:p>
        </w:tc>
        <w:tc>
          <w:tcPr>
            <w:tcW w:w="6698" w:type="dxa"/>
            <w:vAlign w:val="center"/>
          </w:tcPr>
          <w:p w14:paraId="17D6E1F2">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货物类，单一产品或核心产品为：</w:t>
            </w:r>
            <w:r>
              <w:rPr>
                <w:rFonts w:hint="eastAsia" w:ascii="仿宋_GB2312" w:hAnsi="仿宋_GB2312" w:eastAsia="仿宋_GB2312" w:cs="仿宋_GB2312"/>
                <w:color w:val="auto"/>
                <w:sz w:val="21"/>
                <w:szCs w:val="21"/>
                <w:highlight w:val="none"/>
                <w:u w:val="single"/>
              </w:rPr>
              <w:t xml:space="preserve"> 左/右声道线阵列音箱组 </w:t>
            </w:r>
            <w:r>
              <w:rPr>
                <w:rFonts w:hint="eastAsia" w:ascii="仿宋_GB2312" w:hAnsi="仿宋_GB2312" w:eastAsia="仿宋_GB2312" w:cs="仿宋_GB2312"/>
                <w:color w:val="auto"/>
                <w:sz w:val="21"/>
                <w:szCs w:val="21"/>
                <w:highlight w:val="none"/>
              </w:rPr>
              <w:t>。</w:t>
            </w:r>
          </w:p>
        </w:tc>
      </w:tr>
      <w:tr w14:paraId="613B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629" w:type="dxa"/>
            <w:vAlign w:val="center"/>
          </w:tcPr>
          <w:p w14:paraId="5FE6A2C4">
            <w:pPr>
              <w:adjustRightInd/>
              <w:spacing w:line="44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041" w:type="dxa"/>
            <w:vAlign w:val="center"/>
          </w:tcPr>
          <w:p w14:paraId="70B082A1">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采购标的对应的中小企业划分标准所属行业</w:t>
            </w:r>
          </w:p>
        </w:tc>
        <w:tc>
          <w:tcPr>
            <w:tcW w:w="6698" w:type="dxa"/>
            <w:vAlign w:val="center"/>
          </w:tcPr>
          <w:p w14:paraId="32BA9221">
            <w:pPr>
              <w:tabs>
                <w:tab w:val="left" w:pos="432"/>
              </w:tabs>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（1）标的：</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u w:val="single"/>
                <w:lang w:val="en-US" w:eastAsia="zh-CN"/>
              </w:rPr>
              <w:t>招标文件第三章</w:t>
            </w:r>
            <w:r>
              <w:rPr>
                <w:rFonts w:hint="eastAsia" w:ascii="仿宋_GB2312" w:hAnsi="仿宋_GB2312" w:eastAsia="仿宋_GB2312" w:cs="仿宋_GB2312"/>
                <w:color w:val="auto"/>
                <w:kern w:val="0"/>
                <w:sz w:val="21"/>
                <w:szCs w:val="21"/>
                <w:highlight w:val="none"/>
                <w:u w:val="single"/>
                <w:lang w:eastAsia="zh-CN"/>
              </w:rPr>
              <w:t>《</w:t>
            </w:r>
            <w:r>
              <w:rPr>
                <w:rFonts w:hint="eastAsia" w:ascii="仿宋_GB2312" w:hAnsi="仿宋_GB2312" w:eastAsia="仿宋_GB2312" w:cs="仿宋_GB2312"/>
                <w:color w:val="auto"/>
                <w:kern w:val="0"/>
                <w:sz w:val="21"/>
                <w:szCs w:val="21"/>
                <w:highlight w:val="none"/>
                <w:u w:val="single"/>
                <w:lang w:val="en-US" w:eastAsia="zh-CN"/>
              </w:rPr>
              <w:t>采购需求</w:t>
            </w:r>
            <w:r>
              <w:rPr>
                <w:rFonts w:hint="eastAsia" w:ascii="仿宋_GB2312" w:hAnsi="仿宋_GB2312" w:eastAsia="仿宋_GB2312" w:cs="仿宋_GB2312"/>
                <w:color w:val="auto"/>
                <w:kern w:val="0"/>
                <w:sz w:val="21"/>
                <w:szCs w:val="21"/>
                <w:highlight w:val="none"/>
                <w:u w:val="single"/>
                <w:lang w:eastAsia="zh-CN"/>
              </w:rPr>
              <w:t>》</w:t>
            </w:r>
            <w:r>
              <w:rPr>
                <w:rFonts w:hint="eastAsia" w:ascii="仿宋_GB2312" w:hAnsi="仿宋_GB2312" w:eastAsia="仿宋_GB2312" w:cs="仿宋_GB2312"/>
                <w:color w:val="auto"/>
                <w:kern w:val="0"/>
                <w:sz w:val="21"/>
                <w:szCs w:val="21"/>
                <w:highlight w:val="none"/>
                <w:u w:val="single"/>
                <w:lang w:val="en-US" w:eastAsia="zh-CN"/>
              </w:rPr>
              <w:t>中《采购清单》所列设备</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，属于</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b/>
                <w:bCs/>
                <w:color w:val="auto"/>
                <w:kern w:val="0"/>
                <w:sz w:val="21"/>
                <w:szCs w:val="21"/>
                <w:highlight w:val="none"/>
                <w:u w:val="single"/>
              </w:rPr>
              <w:t>工业</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w:t>
            </w:r>
          </w:p>
          <w:p w14:paraId="494F2271">
            <w:pPr>
              <w:tabs>
                <w:tab w:val="left" w:pos="432"/>
              </w:tabs>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（根据《关于印发中小企业划型标准规定的通知》（工信部联企业〔2011〕300号）规定：</w:t>
            </w:r>
            <w:r>
              <w:rPr>
                <w:rFonts w:hint="eastAsia" w:ascii="仿宋_GB2312" w:hAnsi="仿宋_GB2312" w:eastAsia="仿宋_GB2312" w:cs="仿宋_GB2312"/>
                <w:b/>
                <w:bCs/>
                <w:color w:val="auto"/>
                <w:sz w:val="21"/>
                <w:szCs w:val="21"/>
                <w:highlight w:val="none"/>
                <w:u w:val="single"/>
                <w:lang w:val="en-US" w:eastAsia="zh-CN"/>
              </w:rPr>
              <w:t>工</w:t>
            </w:r>
            <w:r>
              <w:rPr>
                <w:rFonts w:hint="eastAsia" w:ascii="仿宋_GB2312" w:hAnsi="仿宋_GB2312" w:eastAsia="仿宋_GB2312" w:cs="仿宋_GB2312"/>
                <w:b/>
                <w:bCs/>
                <w:color w:val="auto"/>
                <w:sz w:val="21"/>
                <w:szCs w:val="21"/>
                <w:highlight w:val="none"/>
                <w:u w:val="single"/>
              </w:rPr>
              <w:t>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_GB2312" w:hAnsi="仿宋_GB2312" w:eastAsia="仿宋_GB2312" w:cs="仿宋_GB2312"/>
                <w:color w:val="auto"/>
                <w:sz w:val="21"/>
                <w:szCs w:val="21"/>
                <w:highlight w:val="none"/>
              </w:rPr>
              <w:t>。）</w:t>
            </w:r>
          </w:p>
          <w:p w14:paraId="55E3F4DA">
            <w:pPr>
              <w:tabs>
                <w:tab w:val="left" w:pos="432"/>
              </w:tabs>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监狱企业、残疾人福利性单位视同小型、微型企业；符合中小企业划分标准的个体工商户，在政府采购活动中视同中小企业。</w:t>
            </w:r>
          </w:p>
          <w:p w14:paraId="1E18160E">
            <w:pPr>
              <w:tabs>
                <w:tab w:val="left" w:pos="432"/>
              </w:tabs>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注：中小企业以供应商填写的《中小企业声明函》为准，残疾人福利性单位以供应商填写的《残疾人福利性单位声明函》（同时提供《关于促进残疾人就业政府采购政策的通知》中规定的残疾人福利性单位需要具备的条件的证明材料）为判定标准，监狱企业须供应商提供由省级以上监狱管理局、戒毒管理局（含新疆生产建设兵团）出具的属于监狱企业的证明文件，否则不予认定。</w:t>
            </w:r>
          </w:p>
        </w:tc>
      </w:tr>
      <w:tr w14:paraId="185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629" w:type="dxa"/>
            <w:vAlign w:val="center"/>
          </w:tcPr>
          <w:p w14:paraId="0370C6E7">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p>
        </w:tc>
        <w:tc>
          <w:tcPr>
            <w:tcW w:w="2041" w:type="dxa"/>
            <w:vAlign w:val="center"/>
          </w:tcPr>
          <w:p w14:paraId="7D339EF5">
            <w:pPr>
              <w:adjustRightInd/>
              <w:spacing w:line="44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中小企业预留采购份额情况</w:t>
            </w:r>
          </w:p>
        </w:tc>
        <w:tc>
          <w:tcPr>
            <w:tcW w:w="6698" w:type="dxa"/>
            <w:vAlign w:val="center"/>
          </w:tcPr>
          <w:p w14:paraId="5006DB09">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根据《政府采购促进中小企业发展管理办法》财库〔2020〕46号文件的规定，本项目</w:t>
            </w:r>
            <w:r>
              <w:rPr>
                <w:rFonts w:hint="eastAsia" w:ascii="仿宋_GB2312" w:hAnsi="仿宋_GB2312" w:eastAsia="仿宋_GB2312" w:cs="仿宋_GB2312"/>
                <w:b/>
                <w:bCs/>
                <w:color w:val="auto"/>
                <w:sz w:val="21"/>
                <w:szCs w:val="21"/>
                <w:highlight w:val="none"/>
                <w:u w:val="single"/>
                <w:lang w:val="en-US" w:eastAsia="zh-CN"/>
              </w:rPr>
              <w:t>否</w:t>
            </w:r>
            <w:r>
              <w:rPr>
                <w:rFonts w:hint="eastAsia" w:ascii="仿宋_GB2312" w:hAnsi="仿宋_GB2312" w:eastAsia="仿宋_GB2312" w:cs="仿宋_GB2312"/>
                <w:color w:val="auto"/>
                <w:sz w:val="21"/>
                <w:szCs w:val="21"/>
                <w:highlight w:val="none"/>
              </w:rPr>
              <w:t>属于预留</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份额专门面向中小企业采购的项目。</w:t>
            </w:r>
          </w:p>
        </w:tc>
      </w:tr>
      <w:tr w14:paraId="1BF2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20" w:hRule="atLeast"/>
          <w:jc w:val="center"/>
        </w:trPr>
        <w:tc>
          <w:tcPr>
            <w:tcW w:w="629" w:type="dxa"/>
            <w:vAlign w:val="center"/>
          </w:tcPr>
          <w:p w14:paraId="67837262">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2041" w:type="dxa"/>
            <w:vAlign w:val="center"/>
          </w:tcPr>
          <w:p w14:paraId="459F9AEA">
            <w:pPr>
              <w:adjustRightInd/>
              <w:spacing w:line="440" w:lineRule="exact"/>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中小企业价格评审优惠措施</w:t>
            </w:r>
          </w:p>
        </w:tc>
        <w:tc>
          <w:tcPr>
            <w:tcW w:w="6698" w:type="dxa"/>
            <w:vAlign w:val="center"/>
          </w:tcPr>
          <w:p w14:paraId="71512CB1">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对于未预留份额专门面向中小企业的</w:t>
            </w:r>
            <w:r>
              <w:rPr>
                <w:rFonts w:hint="eastAsia" w:ascii="仿宋_GB2312" w:hAnsi="仿宋_GB2312" w:eastAsia="仿宋_GB2312" w:cs="仿宋_GB2312"/>
                <w:color w:val="auto"/>
                <w:sz w:val="21"/>
                <w:szCs w:val="21"/>
                <w:highlight w:val="none"/>
                <w:lang w:eastAsia="zh-CN"/>
              </w:rPr>
              <w:t>政府采购货物</w:t>
            </w:r>
            <w:r>
              <w:rPr>
                <w:rFonts w:hint="eastAsia" w:ascii="仿宋_GB2312" w:hAnsi="仿宋_GB2312" w:eastAsia="仿宋_GB2312" w:cs="仿宋_GB2312"/>
                <w:color w:val="auto"/>
                <w:sz w:val="21"/>
                <w:szCs w:val="21"/>
                <w:highlight w:val="none"/>
              </w:rPr>
              <w:t>项目，以及预留份额</w:t>
            </w:r>
            <w:r>
              <w:rPr>
                <w:rFonts w:hint="eastAsia" w:ascii="仿宋_GB2312" w:hAnsi="仿宋_GB2312" w:eastAsia="仿宋_GB2312" w:cs="仿宋_GB2312"/>
                <w:color w:val="auto"/>
                <w:sz w:val="21"/>
                <w:szCs w:val="21"/>
                <w:highlight w:val="none"/>
                <w:lang w:eastAsia="zh-CN"/>
              </w:rPr>
              <w:t>政府采购货物</w:t>
            </w:r>
            <w:r>
              <w:rPr>
                <w:rFonts w:hint="eastAsia" w:ascii="仿宋_GB2312" w:hAnsi="仿宋_GB2312" w:eastAsia="仿宋_GB2312" w:cs="仿宋_GB2312"/>
                <w:color w:val="auto"/>
                <w:sz w:val="21"/>
                <w:szCs w:val="21"/>
                <w:highlight w:val="none"/>
              </w:rPr>
              <w:t>项目中的非预留部分标项，对小型和微型企业的投标报价给予10%的扣除，用扣除后的价格参与评审。接受大中型企业与小微企业组成联合体或者允许大中型企业向一家或者多家小微企业分包的</w:t>
            </w:r>
            <w:r>
              <w:rPr>
                <w:rFonts w:hint="eastAsia" w:ascii="仿宋_GB2312" w:hAnsi="仿宋_GB2312" w:eastAsia="仿宋_GB2312" w:cs="仿宋_GB2312"/>
                <w:color w:val="auto"/>
                <w:sz w:val="21"/>
                <w:szCs w:val="21"/>
                <w:highlight w:val="none"/>
                <w:lang w:eastAsia="zh-CN"/>
              </w:rPr>
              <w:t>政府采购货物</w:t>
            </w:r>
            <w:r>
              <w:rPr>
                <w:rFonts w:hint="eastAsia" w:ascii="仿宋_GB2312" w:hAnsi="仿宋_GB2312" w:eastAsia="仿宋_GB2312" w:cs="仿宋_GB2312"/>
                <w:color w:val="auto"/>
                <w:sz w:val="21"/>
                <w:szCs w:val="21"/>
                <w:highlight w:val="none"/>
              </w:rPr>
              <w:t>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tc>
      </w:tr>
      <w:tr w14:paraId="5289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3368FF38">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2041" w:type="dxa"/>
            <w:vAlign w:val="center"/>
          </w:tcPr>
          <w:p w14:paraId="56F36A63">
            <w:pPr>
              <w:adjustRightInd/>
              <w:spacing w:line="440" w:lineRule="exact"/>
              <w:jc w:val="center"/>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支持本国产品</w:t>
            </w:r>
          </w:p>
        </w:tc>
        <w:tc>
          <w:tcPr>
            <w:tcW w:w="6698" w:type="dxa"/>
            <w:vAlign w:val="center"/>
          </w:tcPr>
          <w:p w14:paraId="7BFD338D">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（1）本国产品标准的适用范围：</w:t>
            </w:r>
          </w:p>
          <w:p w14:paraId="737CA948">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1EE849">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（2）本采购项目：</w:t>
            </w:r>
          </w:p>
          <w:p w14:paraId="17245C93">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lang w:val="en-US" w:eastAsia="zh-CN"/>
              </w:rPr>
              <w:t>A</w:t>
            </w:r>
            <w:r>
              <w:rPr>
                <w:rFonts w:hint="eastAsia" w:ascii="仿宋_GB2312" w:hAnsi="仿宋_GB2312" w:eastAsia="仿宋_GB2312" w:cs="仿宋_GB2312"/>
                <w:color w:val="auto"/>
                <w:sz w:val="21"/>
                <w:szCs w:val="21"/>
                <w:highlight w:val="none"/>
              </w:rPr>
              <w:t>不适用本国产品标准及相关政策。</w:t>
            </w:r>
          </w:p>
          <w:p w14:paraId="3B0CFFAF">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B</w:t>
            </w:r>
            <w:r>
              <w:rPr>
                <w:rFonts w:hint="eastAsia" w:ascii="仿宋_GB2312" w:hAnsi="仿宋_GB2312" w:eastAsia="仿宋_GB2312" w:cs="仿宋_GB2312"/>
                <w:color w:val="auto"/>
                <w:sz w:val="21"/>
                <w:szCs w:val="21"/>
                <w:highlight w:val="none"/>
              </w:rPr>
              <w:t>适用本国产品标准及相关政策。</w:t>
            </w:r>
          </w:p>
          <w:p w14:paraId="58A56285">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（3）本国产品标准：</w:t>
            </w:r>
          </w:p>
          <w:p w14:paraId="4AF6CBB3">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①产品在中国境内生产；</w:t>
            </w:r>
          </w:p>
          <w:p w14:paraId="306F35E5">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②产品在中国境内生产的组件成本占比达到规定比例：尚未实施。</w:t>
            </w:r>
          </w:p>
          <w:p w14:paraId="79D84483">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③特定产品的关键组件、关键工序符合相关要求：尚未实施。</w:t>
            </w:r>
          </w:p>
          <w:p w14:paraId="08C3721E">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（4）对本国产品的支持政策：</w:t>
            </w:r>
          </w:p>
          <w:p w14:paraId="4A6604EA">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政府采购活动中既有本国产品又有非本国产品参与竞争的，依法对本国产品给予价格评审优惠，对本国产品的报价给予的价格扣除，用扣除后的价格参与评审。</w:t>
            </w:r>
          </w:p>
          <w:p w14:paraId="1A8096E1">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C2395E">
            <w:pPr>
              <w:tabs>
                <w:tab w:val="left" w:pos="432"/>
              </w:tabs>
              <w:adjustRightInd/>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（5）出具符合要求的《关于符合本国产品标准的声明函》（格式见第六</w:t>
            </w:r>
            <w:r>
              <w:rPr>
                <w:rFonts w:hint="eastAsia" w:ascii="仿宋_GB2312" w:hAnsi="仿宋_GB2312" w:eastAsia="仿宋_GB2312" w:cs="仿宋_GB2312"/>
                <w:color w:val="auto"/>
                <w:sz w:val="21"/>
                <w:szCs w:val="21"/>
                <w:highlight w:val="none"/>
                <w:lang w:val="en-US" w:eastAsia="zh-CN"/>
              </w:rPr>
              <w:t>章附件8</w:t>
            </w:r>
            <w:r>
              <w:rPr>
                <w:rFonts w:hint="eastAsia" w:ascii="仿宋_GB2312" w:hAnsi="仿宋_GB2312" w:eastAsia="仿宋_GB2312" w:cs="仿宋_GB2312"/>
                <w:color w:val="auto"/>
                <w:sz w:val="21"/>
                <w:szCs w:val="21"/>
                <w:highlight w:val="none"/>
              </w:rPr>
              <w:t>）或财政部会同有关部门规定的有关证明文件的，该产品视为本国产品。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tc>
      </w:tr>
      <w:tr w14:paraId="0EA0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629" w:type="dxa"/>
            <w:vAlign w:val="center"/>
          </w:tcPr>
          <w:p w14:paraId="1FE6EBD2">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6</w:t>
            </w:r>
          </w:p>
        </w:tc>
        <w:tc>
          <w:tcPr>
            <w:tcW w:w="2041" w:type="dxa"/>
            <w:vAlign w:val="center"/>
          </w:tcPr>
          <w:p w14:paraId="11A6BE28">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是否允许采购进口产品</w:t>
            </w:r>
          </w:p>
        </w:tc>
        <w:tc>
          <w:tcPr>
            <w:tcW w:w="6698" w:type="dxa"/>
            <w:vAlign w:val="center"/>
          </w:tcPr>
          <w:p w14:paraId="4D27BC15">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A</w:t>
            </w:r>
            <w:r>
              <w:rPr>
                <w:rFonts w:hint="eastAsia" w:ascii="仿宋_GB2312" w:hAnsi="仿宋_GB2312" w:eastAsia="仿宋_GB2312" w:cs="仿宋_GB2312"/>
                <w:color w:val="auto"/>
                <w:kern w:val="0"/>
                <w:sz w:val="21"/>
                <w:szCs w:val="21"/>
                <w:highlight w:val="none"/>
              </w:rPr>
              <w:t>本项</w:t>
            </w:r>
            <w:r>
              <w:rPr>
                <w:rFonts w:hint="eastAsia" w:ascii="仿宋_GB2312" w:hAnsi="仿宋_GB2312" w:eastAsia="仿宋_GB2312" w:cs="仿宋_GB2312"/>
                <w:color w:val="auto"/>
                <w:sz w:val="21"/>
                <w:szCs w:val="21"/>
                <w:highlight w:val="none"/>
              </w:rPr>
              <w:t>目不允许采购进口产品</w:t>
            </w:r>
            <w:r>
              <w:rPr>
                <w:rFonts w:hint="eastAsia" w:ascii="仿宋_GB2312" w:hAnsi="仿宋_GB2312" w:eastAsia="仿宋_GB2312" w:cs="仿宋_GB2312"/>
                <w:color w:val="auto"/>
                <w:kern w:val="0"/>
                <w:sz w:val="21"/>
                <w:szCs w:val="21"/>
                <w:highlight w:val="none"/>
              </w:rPr>
              <w:t>。</w:t>
            </w:r>
          </w:p>
          <w:p w14:paraId="35CAB1F0">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lang w:val="en-US" w:eastAsia="zh-CN"/>
              </w:rPr>
              <w:t>B</w:t>
            </w:r>
            <w:r>
              <w:rPr>
                <w:rFonts w:hint="eastAsia" w:ascii="仿宋_GB2312" w:hAnsi="仿宋_GB2312" w:eastAsia="仿宋_GB2312" w:cs="仿宋_GB2312"/>
                <w:color w:val="auto"/>
                <w:kern w:val="0"/>
                <w:sz w:val="21"/>
                <w:szCs w:val="21"/>
                <w:highlight w:val="none"/>
              </w:rPr>
              <w:t>可以就</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kern w:val="0"/>
                <w:sz w:val="21"/>
                <w:szCs w:val="21"/>
                <w:highlight w:val="none"/>
              </w:rPr>
              <w:t>采购进口产品。</w:t>
            </w:r>
          </w:p>
        </w:tc>
      </w:tr>
      <w:tr w14:paraId="182E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2BACA661">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7</w:t>
            </w:r>
          </w:p>
        </w:tc>
        <w:tc>
          <w:tcPr>
            <w:tcW w:w="2041" w:type="dxa"/>
            <w:vAlign w:val="center"/>
          </w:tcPr>
          <w:p w14:paraId="0EAAE262">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分包</w:t>
            </w:r>
          </w:p>
        </w:tc>
        <w:tc>
          <w:tcPr>
            <w:tcW w:w="6698" w:type="dxa"/>
            <w:vAlign w:val="center"/>
          </w:tcPr>
          <w:p w14:paraId="0424A51A">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lang w:val="en-US" w:eastAsia="zh-CN"/>
              </w:rPr>
              <w:t>A</w:t>
            </w:r>
            <w:r>
              <w:rPr>
                <w:rFonts w:hint="eastAsia" w:ascii="仿宋_GB2312" w:hAnsi="仿宋_GB2312" w:eastAsia="仿宋_GB2312" w:cs="仿宋_GB2312"/>
                <w:color w:val="auto"/>
                <w:sz w:val="21"/>
                <w:szCs w:val="21"/>
                <w:highlight w:val="none"/>
              </w:rPr>
              <w:t>同意将非主体、非关键性的</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工作分包。</w:t>
            </w:r>
          </w:p>
          <w:p w14:paraId="090CD258">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B</w:t>
            </w:r>
            <w:r>
              <w:rPr>
                <w:rFonts w:hint="eastAsia" w:ascii="仿宋_GB2312" w:hAnsi="仿宋_GB2312" w:eastAsia="仿宋_GB2312" w:cs="仿宋_GB2312"/>
                <w:color w:val="auto"/>
                <w:sz w:val="21"/>
                <w:szCs w:val="21"/>
                <w:highlight w:val="none"/>
              </w:rPr>
              <w:t>不同意分包。</w:t>
            </w:r>
          </w:p>
          <w:p w14:paraId="788D8AE1">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注：不得限制大中型企业向小微企业合理分包。</w:t>
            </w:r>
          </w:p>
        </w:tc>
      </w:tr>
      <w:tr w14:paraId="15B1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0958C43A">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8</w:t>
            </w:r>
          </w:p>
        </w:tc>
        <w:tc>
          <w:tcPr>
            <w:tcW w:w="2041" w:type="dxa"/>
            <w:vAlign w:val="center"/>
          </w:tcPr>
          <w:p w14:paraId="68DC3220">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开标前答疑会或现场考察</w:t>
            </w:r>
          </w:p>
        </w:tc>
        <w:tc>
          <w:tcPr>
            <w:tcW w:w="6698" w:type="dxa"/>
            <w:vAlign w:val="center"/>
          </w:tcPr>
          <w:p w14:paraId="76FE5268">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A</w:t>
            </w:r>
            <w:r>
              <w:rPr>
                <w:rFonts w:hint="eastAsia" w:ascii="仿宋_GB2312" w:hAnsi="仿宋_GB2312" w:eastAsia="仿宋_GB2312" w:cs="仿宋_GB2312"/>
                <w:color w:val="auto"/>
                <w:sz w:val="21"/>
                <w:szCs w:val="21"/>
                <w:highlight w:val="none"/>
              </w:rPr>
              <w:t>不组织。供应商可自行对本项目现场和周围环境进行踏勘。踏勘现场所发生的费用由供应商自己承担。不论何种原因所造成，在踏勘过程中，供应商自行对由此次踏勘现场而造成的死亡、人身伤害、财产损失、损害以及任何其它损失、损害和引起的费用和开支承担责任。</w:t>
            </w:r>
          </w:p>
          <w:p w14:paraId="62A56387">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rPr>
              <w:t>B组织，</w:t>
            </w:r>
            <w:r>
              <w:rPr>
                <w:rFonts w:hint="eastAsia" w:ascii="仿宋_GB2312" w:hAnsi="仿宋_GB2312" w:eastAsia="仿宋_GB2312" w:cs="仿宋_GB2312"/>
                <w:color w:val="auto"/>
                <w:sz w:val="21"/>
                <w:szCs w:val="21"/>
                <w:highlight w:val="none"/>
              </w:rPr>
              <w:t>时间：</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，地点：</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，联系方式：</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w:t>
            </w:r>
          </w:p>
        </w:tc>
      </w:tr>
      <w:tr w14:paraId="28F5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629" w:type="dxa"/>
            <w:vAlign w:val="center"/>
          </w:tcPr>
          <w:p w14:paraId="2DE0BD0D">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w:t>
            </w:r>
          </w:p>
        </w:tc>
        <w:tc>
          <w:tcPr>
            <w:tcW w:w="2041" w:type="dxa"/>
            <w:vAlign w:val="center"/>
          </w:tcPr>
          <w:p w14:paraId="06EB7A4E">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样品提供</w:t>
            </w:r>
          </w:p>
        </w:tc>
        <w:tc>
          <w:tcPr>
            <w:tcW w:w="6698" w:type="dxa"/>
            <w:vAlign w:val="center"/>
          </w:tcPr>
          <w:p w14:paraId="36588EA8">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A</w:t>
            </w:r>
            <w:r>
              <w:rPr>
                <w:rFonts w:hint="eastAsia" w:ascii="仿宋_GB2312" w:hAnsi="仿宋_GB2312" w:eastAsia="仿宋_GB2312" w:cs="仿宋_GB2312"/>
                <w:color w:val="auto"/>
                <w:sz w:val="21"/>
                <w:szCs w:val="21"/>
                <w:highlight w:val="none"/>
              </w:rPr>
              <w:t>不要求提供。</w:t>
            </w:r>
          </w:p>
          <w:p w14:paraId="3C4FB3A8">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☐B要求提供，</w:t>
            </w:r>
          </w:p>
          <w:p w14:paraId="64BBD3B0">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（1）样品：</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w:t>
            </w:r>
          </w:p>
          <w:p w14:paraId="0F0B2943">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（2）样品制作的标准和要求：</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w:t>
            </w:r>
          </w:p>
          <w:p w14:paraId="21F980F3">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（3）样品的评审方法以及评审标准：详见第四章“评</w:t>
            </w:r>
            <w:r>
              <w:rPr>
                <w:rFonts w:hint="eastAsia" w:ascii="仿宋_GB2312" w:hAnsi="仿宋_GB2312" w:eastAsia="仿宋_GB2312" w:cs="仿宋_GB2312"/>
                <w:color w:val="auto"/>
                <w:sz w:val="21"/>
                <w:szCs w:val="21"/>
                <w:highlight w:val="none"/>
                <w:lang w:val="en-US" w:eastAsia="zh-CN"/>
              </w:rPr>
              <w:t>标办</w:t>
            </w:r>
            <w:r>
              <w:rPr>
                <w:rFonts w:hint="eastAsia" w:ascii="仿宋_GB2312" w:hAnsi="仿宋_GB2312" w:eastAsia="仿宋_GB2312" w:cs="仿宋_GB2312"/>
                <w:color w:val="auto"/>
                <w:sz w:val="21"/>
                <w:szCs w:val="21"/>
                <w:highlight w:val="none"/>
              </w:rPr>
              <w:t>法”；</w:t>
            </w:r>
          </w:p>
          <w:p w14:paraId="6A3F5BF3">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（4）是否需要随样品提交检测报告：</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sz w:val="21"/>
                <w:szCs w:val="21"/>
                <w:highlight w:val="none"/>
              </w:rPr>
              <w:t>否；☐是，检测机构的要求：</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；检测内容：</w:t>
            </w:r>
            <w:r>
              <w:rPr>
                <w:rFonts w:hint="eastAsia" w:ascii="仿宋_GB2312" w:hAnsi="仿宋_GB2312" w:eastAsia="仿宋_GB2312" w:cs="仿宋_GB2312"/>
                <w:color w:val="auto"/>
                <w:sz w:val="21"/>
                <w:szCs w:val="21"/>
                <w:highlight w:val="none"/>
                <w:u w:val="single"/>
              </w:rPr>
              <w:t xml:space="preserve"> / </w:t>
            </w:r>
            <w:r>
              <w:rPr>
                <w:rFonts w:hint="eastAsia" w:ascii="仿宋_GB2312" w:hAnsi="仿宋_GB2312" w:eastAsia="仿宋_GB2312" w:cs="仿宋_GB2312"/>
                <w:color w:val="auto"/>
                <w:sz w:val="21"/>
                <w:szCs w:val="21"/>
                <w:highlight w:val="none"/>
              </w:rPr>
              <w:t>。</w:t>
            </w:r>
          </w:p>
          <w:p w14:paraId="50902BBB">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（5）提供样品的时间：</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rPr>
              <w:t>；地点：</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rPr>
              <w:t>。请供应商在上述时间内提供样品并按规定位置安装完毕。超过截止时间的，采购人或采购代理机构将不予接收，并将清场并封闭样品现场。</w:t>
            </w:r>
          </w:p>
          <w:p w14:paraId="40601A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（6）采购活动结束后，对于未</w:t>
            </w:r>
            <w:r>
              <w:rPr>
                <w:rFonts w:hint="eastAsia" w:ascii="仿宋_GB2312" w:hAnsi="仿宋_GB2312" w:eastAsia="仿宋_GB2312" w:cs="仿宋_GB2312"/>
                <w:color w:val="auto"/>
                <w:sz w:val="21"/>
                <w:szCs w:val="21"/>
                <w:highlight w:val="none"/>
                <w:lang w:val="en-US" w:eastAsia="zh-CN"/>
              </w:rPr>
              <w:t>中标投标人</w:t>
            </w:r>
            <w:r>
              <w:rPr>
                <w:rFonts w:hint="eastAsia" w:ascii="仿宋_GB2312" w:hAnsi="仿宋_GB2312" w:eastAsia="仿宋_GB2312" w:cs="仿宋_GB2312"/>
                <w:color w:val="auto"/>
                <w:sz w:val="21"/>
                <w:szCs w:val="21"/>
                <w:highlight w:val="none"/>
              </w:rPr>
              <w:t>提供的样品，采购人、采购代理机构将通知未</w:t>
            </w:r>
            <w:r>
              <w:rPr>
                <w:rFonts w:hint="eastAsia" w:ascii="仿宋_GB2312" w:hAnsi="仿宋_GB2312" w:eastAsia="仿宋_GB2312" w:cs="仿宋_GB2312"/>
                <w:color w:val="auto"/>
                <w:sz w:val="21"/>
                <w:szCs w:val="21"/>
                <w:highlight w:val="none"/>
                <w:lang w:val="en-US" w:eastAsia="zh-CN"/>
              </w:rPr>
              <w:t>中标投标人</w:t>
            </w:r>
            <w:r>
              <w:rPr>
                <w:rFonts w:hint="eastAsia" w:ascii="仿宋_GB2312" w:hAnsi="仿宋_GB2312" w:eastAsia="仿宋_GB2312" w:cs="仿宋_GB2312"/>
                <w:color w:val="auto"/>
                <w:sz w:val="21"/>
                <w:szCs w:val="21"/>
                <w:highlight w:val="none"/>
              </w:rPr>
              <w:t>在规定的时间内取回，逾期未取回的，采购人、采购代理机构不负保管义务；对于</w:t>
            </w:r>
            <w:r>
              <w:rPr>
                <w:rFonts w:hint="eastAsia" w:ascii="仿宋_GB2312" w:hAnsi="仿宋_GB2312" w:eastAsia="仿宋_GB2312" w:cs="仿宋_GB2312"/>
                <w:color w:val="auto"/>
                <w:sz w:val="21"/>
                <w:szCs w:val="21"/>
                <w:highlight w:val="none"/>
                <w:lang w:val="en-US" w:eastAsia="zh-CN"/>
              </w:rPr>
              <w:t>中标</w:t>
            </w:r>
            <w:bookmarkStart w:id="386" w:name="_GoBack"/>
            <w:bookmarkEnd w:id="386"/>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提供的样品，采购人将进行保管、封存，并作为履约验收的参考。</w:t>
            </w:r>
          </w:p>
          <w:p w14:paraId="7012153C">
            <w:pPr>
              <w:adjustRightInd/>
              <w:spacing w:line="440" w:lineRule="exact"/>
              <w:ind w:firstLine="420" w:firstLineChars="200"/>
              <w:rPr>
                <w:rFonts w:ascii="仿宋_GB2312" w:hAnsi="仿宋_GB2312" w:eastAsia="仿宋_GB2312" w:cs="仿宋_GB2312"/>
                <w:b/>
                <w:color w:val="auto"/>
                <w:sz w:val="21"/>
                <w:szCs w:val="21"/>
                <w:highlight w:val="none"/>
              </w:rPr>
            </w:pPr>
            <w:r>
              <w:rPr>
                <w:rFonts w:hint="eastAsia" w:ascii="仿宋_GB2312" w:hAnsi="仿宋_GB2312" w:eastAsia="仿宋_GB2312" w:cs="仿宋_GB2312"/>
                <w:color w:val="auto"/>
                <w:sz w:val="21"/>
                <w:szCs w:val="21"/>
                <w:highlight w:val="none"/>
              </w:rPr>
              <w:t>（7）制作、运输、安装和保管样品所发生的一切费用由</w:t>
            </w:r>
            <w:r>
              <w:rPr>
                <w:rFonts w:hint="eastAsia" w:ascii="仿宋_GB2312" w:hAnsi="仿宋_GB2312" w:eastAsia="仿宋_GB2312" w:cs="仿宋_GB2312"/>
                <w:color w:val="auto"/>
                <w:sz w:val="21"/>
                <w:szCs w:val="21"/>
                <w:highlight w:val="none"/>
                <w:lang w:val="en-US" w:eastAsia="zh-CN"/>
              </w:rPr>
              <w:t>投标人</w:t>
            </w:r>
            <w:r>
              <w:rPr>
                <w:rFonts w:hint="eastAsia" w:ascii="仿宋_GB2312" w:hAnsi="仿宋_GB2312" w:eastAsia="仿宋_GB2312" w:cs="仿宋_GB2312"/>
                <w:color w:val="auto"/>
                <w:sz w:val="21"/>
                <w:szCs w:val="21"/>
                <w:highlight w:val="none"/>
              </w:rPr>
              <w:t>自理</w:t>
            </w:r>
            <w:r>
              <w:rPr>
                <w:rFonts w:hint="eastAsia" w:ascii="仿宋_GB2312" w:hAnsi="仿宋_GB2312" w:eastAsia="仿宋_GB2312" w:cs="仿宋_GB2312"/>
                <w:color w:val="auto"/>
                <w:kern w:val="0"/>
                <w:sz w:val="21"/>
                <w:szCs w:val="21"/>
                <w:highlight w:val="none"/>
              </w:rPr>
              <w:t>。</w:t>
            </w:r>
          </w:p>
        </w:tc>
      </w:tr>
      <w:tr w14:paraId="0A02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629" w:type="dxa"/>
            <w:vAlign w:val="center"/>
          </w:tcPr>
          <w:p w14:paraId="14FF7109">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2041" w:type="dxa"/>
            <w:vAlign w:val="center"/>
          </w:tcPr>
          <w:p w14:paraId="337B1824">
            <w:pPr>
              <w:adjustRightInd/>
              <w:spacing w:line="440" w:lineRule="exact"/>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
                <w:color w:val="auto"/>
                <w:sz w:val="21"/>
                <w:szCs w:val="21"/>
                <w:highlight w:val="none"/>
              </w:rPr>
              <w:t>方案讲解演示</w:t>
            </w:r>
          </w:p>
        </w:tc>
        <w:tc>
          <w:tcPr>
            <w:tcW w:w="6698" w:type="dxa"/>
            <w:vAlign w:val="center"/>
          </w:tcPr>
          <w:p w14:paraId="62CE8860">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A</w:t>
            </w:r>
            <w:r>
              <w:rPr>
                <w:rFonts w:hint="eastAsia" w:ascii="仿宋_GB2312" w:hAnsi="仿宋_GB2312" w:eastAsia="仿宋_GB2312" w:cs="仿宋_GB2312"/>
                <w:color w:val="auto"/>
                <w:sz w:val="21"/>
                <w:szCs w:val="21"/>
                <w:highlight w:val="none"/>
              </w:rPr>
              <w:t>不组织。</w:t>
            </w:r>
          </w:p>
          <w:p w14:paraId="6C1B9BDC">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rPr>
              <w:t>B组织。</w:t>
            </w:r>
          </w:p>
          <w:p w14:paraId="1687BA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（1）在评标时安排每个符合性审查合格的投标人进行方案讲解演示。每个投标人时间不超过20分钟，讲解次序以</w:t>
            </w:r>
            <w:r>
              <w:rPr>
                <w:rFonts w:hint="eastAsia" w:ascii="仿宋_GB2312" w:hAnsi="仿宋_GB2312" w:eastAsia="仿宋_GB2312" w:cs="仿宋_GB2312"/>
                <w:color w:val="auto"/>
                <w:kern w:val="0"/>
                <w:sz w:val="21"/>
                <w:szCs w:val="21"/>
                <w:highlight w:val="none"/>
                <w:lang w:val="en-US" w:eastAsia="zh-CN"/>
              </w:rPr>
              <w:t>投标</w:t>
            </w:r>
            <w:r>
              <w:rPr>
                <w:rFonts w:hint="eastAsia" w:ascii="仿宋_GB2312" w:hAnsi="仿宋_GB2312" w:eastAsia="仿宋_GB2312" w:cs="仿宋_GB2312"/>
                <w:color w:val="auto"/>
                <w:kern w:val="0"/>
                <w:sz w:val="21"/>
                <w:szCs w:val="21"/>
                <w:highlight w:val="none"/>
              </w:rPr>
              <w:t>文件解密时间先后次序为准。讲解演示结束后按要求解答</w:t>
            </w:r>
            <w:r>
              <w:rPr>
                <w:rFonts w:hint="eastAsia" w:ascii="仿宋_GB2312" w:hAnsi="仿宋_GB2312" w:eastAsia="仿宋_GB2312" w:cs="仿宋_GB2312"/>
                <w:color w:val="auto"/>
                <w:kern w:val="0"/>
                <w:sz w:val="21"/>
                <w:szCs w:val="21"/>
                <w:highlight w:val="none"/>
                <w:lang w:val="en-US" w:eastAsia="zh-CN"/>
              </w:rPr>
              <w:t>评标委员会</w:t>
            </w:r>
            <w:r>
              <w:rPr>
                <w:rFonts w:hint="eastAsia" w:ascii="仿宋_GB2312" w:hAnsi="仿宋_GB2312" w:eastAsia="仿宋_GB2312" w:cs="仿宋_GB2312"/>
                <w:color w:val="auto"/>
                <w:kern w:val="0"/>
                <w:sz w:val="21"/>
                <w:szCs w:val="21"/>
                <w:highlight w:val="none"/>
              </w:rPr>
              <w:t>提问。</w:t>
            </w:r>
          </w:p>
          <w:p w14:paraId="1DA729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（2）方案讲解演示选择方式</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u w:val="single"/>
                <w:lang w:val="en-US" w:eastAsia="zh-CN"/>
              </w:rPr>
              <w:t>/</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w:t>
            </w:r>
          </w:p>
          <w:p w14:paraId="7803B263">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方式一：现场讲解演示。现场讲解地点为</w:t>
            </w:r>
            <w:r>
              <w:rPr>
                <w:rFonts w:hint="eastAsia" w:ascii="仿宋_GB2312" w:hAnsi="仿宋_GB2312" w:eastAsia="仿宋_GB2312" w:cs="仿宋_GB2312"/>
                <w:color w:val="auto"/>
                <w:kern w:val="0"/>
                <w:sz w:val="21"/>
                <w:szCs w:val="21"/>
                <w:highlight w:val="none"/>
                <w:u w:val="single"/>
              </w:rPr>
              <w:t xml:space="preserve"> / </w:t>
            </w:r>
            <w:r>
              <w:rPr>
                <w:rFonts w:hint="eastAsia" w:ascii="仿宋_GB2312" w:hAnsi="仿宋_GB2312" w:eastAsia="仿宋_GB2312" w:cs="仿宋_GB2312"/>
                <w:color w:val="auto"/>
                <w:kern w:val="0"/>
                <w:sz w:val="21"/>
                <w:szCs w:val="21"/>
                <w:highlight w:val="none"/>
              </w:rPr>
              <w:t>，讲解演示所用电脑等设备由</w:t>
            </w:r>
            <w:r>
              <w:rPr>
                <w:rFonts w:hint="eastAsia" w:ascii="仿宋_GB2312" w:hAnsi="仿宋_GB2312" w:eastAsia="仿宋_GB2312" w:cs="仿宋_GB2312"/>
                <w:color w:val="auto"/>
                <w:kern w:val="0"/>
                <w:sz w:val="21"/>
                <w:szCs w:val="21"/>
                <w:highlight w:val="none"/>
                <w:lang w:val="en-US" w:eastAsia="zh-CN"/>
              </w:rPr>
              <w:t>投标人</w:t>
            </w:r>
            <w:r>
              <w:rPr>
                <w:rFonts w:hint="eastAsia" w:ascii="仿宋_GB2312" w:hAnsi="仿宋_GB2312" w:eastAsia="仿宋_GB2312" w:cs="仿宋_GB2312"/>
                <w:color w:val="auto"/>
                <w:kern w:val="0"/>
                <w:sz w:val="21"/>
                <w:szCs w:val="21"/>
                <w:highlight w:val="none"/>
              </w:rPr>
              <w:t>自备。现场讲解演示人员进场时提供讲解人员名单（加盖公章或授权代表签名）及身份证明，否则不得讲解演示。</w:t>
            </w:r>
          </w:p>
          <w:p w14:paraId="2E2C0F3B">
            <w:pPr>
              <w:adjustRightInd/>
              <w:spacing w:line="440" w:lineRule="exact"/>
              <w:ind w:firstLine="420" w:firstLineChars="200"/>
              <w:rPr>
                <w:rFonts w:hint="eastAsia" w:ascii="仿宋_GB2312" w:hAnsi="仿宋_GB2312" w:eastAsia="仿宋_GB2312" w:cs="仿宋_GB2312"/>
                <w:b w:val="0"/>
                <w:bCs w:val="0"/>
                <w:color w:val="auto"/>
                <w:kern w:val="0"/>
                <w:sz w:val="21"/>
                <w:szCs w:val="21"/>
                <w:highlight w:val="none"/>
              </w:rPr>
            </w:pPr>
            <w:r>
              <w:rPr>
                <w:rFonts w:hint="eastAsia" w:ascii="仿宋_GB2312" w:hAnsi="仿宋_GB2312" w:eastAsia="仿宋_GB2312" w:cs="仿宋_GB2312"/>
                <w:b w:val="0"/>
                <w:bCs w:val="0"/>
                <w:color w:val="auto"/>
                <w:kern w:val="0"/>
                <w:sz w:val="21"/>
                <w:szCs w:val="21"/>
                <w:highlight w:val="none"/>
              </w:rPr>
              <w:t>方式</w:t>
            </w:r>
            <w:r>
              <w:rPr>
                <w:rFonts w:hint="eastAsia" w:ascii="仿宋_GB2312" w:hAnsi="仿宋_GB2312" w:eastAsia="仿宋_GB2312" w:cs="仿宋_GB2312"/>
                <w:b w:val="0"/>
                <w:bCs w:val="0"/>
                <w:color w:val="auto"/>
                <w:kern w:val="0"/>
                <w:sz w:val="21"/>
                <w:szCs w:val="21"/>
                <w:highlight w:val="none"/>
                <w:lang w:val="en-US" w:eastAsia="zh-CN"/>
              </w:rPr>
              <w:t>二</w:t>
            </w:r>
            <w:r>
              <w:rPr>
                <w:rFonts w:hint="eastAsia" w:ascii="仿宋_GB2312" w:hAnsi="仿宋_GB2312" w:eastAsia="仿宋_GB2312" w:cs="仿宋_GB2312"/>
                <w:b w:val="0"/>
                <w:bCs w:val="0"/>
                <w:color w:val="auto"/>
                <w:kern w:val="0"/>
                <w:sz w:val="21"/>
                <w:szCs w:val="21"/>
                <w:highlight w:val="none"/>
              </w:rPr>
              <w:t>：投标人录制演示内容（不限于软件小样或软件案例演示），投标人应当确保视频能够打开运行并正常使用（格式：AVI或MP4或rmvb），如遇未递交演示视频的则自动播放下一次序投标人演示视频。本次要求的演示视频限时为20分钟，视频播放时间达到20分钟后，</w:t>
            </w:r>
            <w:r>
              <w:rPr>
                <w:rFonts w:hint="eastAsia" w:ascii="仿宋_GB2312" w:hAnsi="仿宋_GB2312" w:eastAsia="仿宋_GB2312" w:cs="仿宋_GB2312"/>
                <w:b w:val="0"/>
                <w:bCs w:val="0"/>
                <w:color w:val="auto"/>
                <w:kern w:val="0"/>
                <w:sz w:val="21"/>
                <w:szCs w:val="21"/>
                <w:highlight w:val="none"/>
                <w:lang w:val="en-US" w:eastAsia="zh-CN"/>
              </w:rPr>
              <w:t>评标委员会</w:t>
            </w:r>
            <w:r>
              <w:rPr>
                <w:rFonts w:hint="eastAsia" w:ascii="仿宋_GB2312" w:hAnsi="仿宋_GB2312" w:eastAsia="仿宋_GB2312" w:cs="仿宋_GB2312"/>
                <w:b w:val="0"/>
                <w:bCs w:val="0"/>
                <w:color w:val="auto"/>
                <w:kern w:val="0"/>
                <w:sz w:val="21"/>
                <w:szCs w:val="21"/>
                <w:highlight w:val="none"/>
              </w:rPr>
              <w:t>可要求停止，超过时间的内容不做评审。</w:t>
            </w:r>
          </w:p>
          <w:p w14:paraId="579226C5">
            <w:pPr>
              <w:adjustRightInd/>
              <w:spacing w:line="440" w:lineRule="exact"/>
              <w:ind w:firstLine="420" w:firstLineChars="200"/>
              <w:rPr>
                <w:rFonts w:hint="eastAsia" w:ascii="仿宋_GB2312" w:hAnsi="仿宋_GB2312" w:eastAsia="仿宋_GB2312" w:cs="仿宋_GB2312"/>
                <w:b w:val="0"/>
                <w:bCs w:val="0"/>
                <w:color w:val="auto"/>
                <w:kern w:val="0"/>
                <w:sz w:val="21"/>
                <w:szCs w:val="21"/>
                <w:highlight w:val="none"/>
                <w:lang w:eastAsia="zh-CN"/>
              </w:rPr>
            </w:pPr>
            <w:r>
              <w:rPr>
                <w:rFonts w:hint="eastAsia" w:ascii="仿宋_GB2312" w:hAnsi="仿宋_GB2312" w:eastAsia="仿宋_GB2312" w:cs="仿宋_GB2312"/>
                <w:b w:val="0"/>
                <w:bCs w:val="0"/>
                <w:color w:val="auto"/>
                <w:kern w:val="0"/>
                <w:sz w:val="21"/>
                <w:szCs w:val="21"/>
                <w:highlight w:val="none"/>
              </w:rPr>
              <w:t>录制的演示内容需以U盘存储单独密封包装，并在包装上标注投标项目编号、项目名称、投标</w:t>
            </w:r>
            <w:r>
              <w:rPr>
                <w:rFonts w:hint="eastAsia" w:ascii="仿宋_GB2312" w:hAnsi="仿宋_GB2312" w:eastAsia="仿宋_GB2312" w:cs="仿宋_GB2312"/>
                <w:b w:val="0"/>
                <w:bCs w:val="0"/>
                <w:color w:val="auto"/>
                <w:kern w:val="0"/>
                <w:sz w:val="21"/>
                <w:szCs w:val="21"/>
                <w:highlight w:val="none"/>
                <w:lang w:val="en-US" w:eastAsia="zh-CN"/>
              </w:rPr>
              <w:t>人</w:t>
            </w:r>
            <w:r>
              <w:rPr>
                <w:rFonts w:hint="eastAsia" w:ascii="仿宋_GB2312" w:hAnsi="仿宋_GB2312" w:eastAsia="仿宋_GB2312" w:cs="仿宋_GB2312"/>
                <w:b w:val="0"/>
                <w:bCs w:val="0"/>
                <w:color w:val="auto"/>
                <w:kern w:val="0"/>
                <w:sz w:val="21"/>
                <w:szCs w:val="21"/>
                <w:highlight w:val="none"/>
              </w:rPr>
              <w:t>单位名称</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rPr>
              <w:t>递交截止时间及地址同备份电子投标文件递交截止时间及地址</w:t>
            </w:r>
            <w:r>
              <w:rPr>
                <w:rFonts w:hint="eastAsia" w:ascii="仿宋_GB2312" w:hAnsi="仿宋_GB2312" w:eastAsia="仿宋_GB2312" w:cs="仿宋_GB2312"/>
                <w:b w:val="0"/>
                <w:bCs w:val="0"/>
                <w:color w:val="auto"/>
                <w:kern w:val="0"/>
                <w:sz w:val="21"/>
                <w:szCs w:val="21"/>
                <w:highlight w:val="none"/>
                <w:lang w:eastAsia="zh-CN"/>
              </w:rPr>
              <w:t>。</w:t>
            </w:r>
          </w:p>
          <w:p w14:paraId="060CDEB9">
            <w:pPr>
              <w:adjustRightInd/>
              <w:spacing w:line="440" w:lineRule="exact"/>
              <w:ind w:firstLine="420" w:firstLineChars="200"/>
              <w:rPr>
                <w:rFonts w:ascii="仿宋_GB2312" w:hAnsi="仿宋_GB2312" w:eastAsia="仿宋_GB2312" w:cs="仿宋_GB2312"/>
                <w:b/>
                <w:color w:val="auto"/>
                <w:kern w:val="0"/>
                <w:sz w:val="21"/>
                <w:szCs w:val="21"/>
                <w:highlight w:val="none"/>
                <w:lang w:val="zh-CN"/>
              </w:rPr>
            </w:pPr>
            <w:r>
              <w:rPr>
                <w:rFonts w:hint="eastAsia" w:ascii="仿宋_GB2312" w:hAnsi="仿宋_GB2312" w:eastAsia="仿宋_GB2312" w:cs="仿宋_GB2312"/>
                <w:color w:val="auto"/>
                <w:sz w:val="21"/>
                <w:szCs w:val="21"/>
                <w:highlight w:val="none"/>
              </w:rPr>
              <w:t>注：因投标人自身原因导致无法演示或者演示效果不理想的，责任自负。因平台原因导致本项目方案讲解演示环节无法顺利开展，按照《浙江省政府采购项目电子交易管理暂行办法》相关规定执行</w:t>
            </w:r>
            <w:r>
              <w:rPr>
                <w:rFonts w:hint="eastAsia" w:ascii="仿宋_GB2312" w:hAnsi="仿宋_GB2312" w:eastAsia="仿宋_GB2312" w:cs="仿宋_GB2312"/>
                <w:color w:val="auto"/>
                <w:kern w:val="0"/>
                <w:sz w:val="21"/>
                <w:szCs w:val="21"/>
                <w:highlight w:val="none"/>
              </w:rPr>
              <w:t>。</w:t>
            </w:r>
          </w:p>
        </w:tc>
      </w:tr>
      <w:tr w14:paraId="18E8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Merge w:val="restart"/>
            <w:vAlign w:val="center"/>
          </w:tcPr>
          <w:p w14:paraId="3B27D1A0">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w:t>
            </w:r>
          </w:p>
        </w:tc>
        <w:tc>
          <w:tcPr>
            <w:tcW w:w="2041" w:type="dxa"/>
            <w:vMerge w:val="restart"/>
            <w:vAlign w:val="center"/>
          </w:tcPr>
          <w:p w14:paraId="409E46FB">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投标人应当提供的资格、资信证明文件</w:t>
            </w:r>
          </w:p>
        </w:tc>
        <w:tc>
          <w:tcPr>
            <w:tcW w:w="6698" w:type="dxa"/>
            <w:vAlign w:val="center"/>
          </w:tcPr>
          <w:p w14:paraId="05FE35EE">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（1）资格证明文件：见招标文件第二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投标人须知</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第11.1款。</w:t>
            </w:r>
          </w:p>
          <w:p w14:paraId="69283D1E">
            <w:pPr>
              <w:adjustRightInd/>
              <w:spacing w:line="440" w:lineRule="exact"/>
              <w:ind w:firstLine="420" w:firstLineChars="200"/>
              <w:rPr>
                <w:rFonts w:ascii="仿宋_GB2312" w:hAnsi="仿宋_GB2312" w:eastAsia="仿宋_GB2312" w:cs="仿宋_GB2312"/>
                <w:snapToGrid w:val="0"/>
                <w:color w:val="auto"/>
                <w:kern w:val="0"/>
                <w:sz w:val="21"/>
                <w:szCs w:val="21"/>
                <w:highlight w:val="none"/>
              </w:rPr>
            </w:pPr>
            <w:r>
              <w:rPr>
                <w:rFonts w:hint="eastAsia" w:ascii="仿宋_GB2312" w:hAnsi="仿宋_GB2312" w:eastAsia="仿宋_GB2312" w:cs="仿宋_GB2312"/>
                <w:color w:val="auto"/>
                <w:kern w:val="0"/>
                <w:sz w:val="21"/>
                <w:szCs w:val="21"/>
                <w:highlight w:val="none"/>
                <w:lang w:val="zh-CN"/>
              </w:rPr>
              <w:t>投标人未提供有效的资格证明文件的，视为投标人不具备招标文件中规定的资格要求，投标无效。</w:t>
            </w:r>
          </w:p>
        </w:tc>
      </w:tr>
      <w:tr w14:paraId="3C0E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 w:hRule="atLeast"/>
          <w:jc w:val="center"/>
        </w:trPr>
        <w:tc>
          <w:tcPr>
            <w:tcW w:w="629" w:type="dxa"/>
            <w:vMerge w:val="continue"/>
            <w:vAlign w:val="center"/>
          </w:tcPr>
          <w:p w14:paraId="111E25E9">
            <w:pPr>
              <w:adjustRightInd/>
              <w:spacing w:line="440" w:lineRule="exact"/>
              <w:jc w:val="center"/>
              <w:rPr>
                <w:rFonts w:ascii="仿宋_GB2312" w:hAnsi="仿宋_GB2312" w:eastAsia="仿宋_GB2312" w:cs="仿宋_GB2312"/>
                <w:color w:val="auto"/>
                <w:sz w:val="21"/>
                <w:szCs w:val="21"/>
                <w:highlight w:val="none"/>
              </w:rPr>
            </w:pPr>
          </w:p>
        </w:tc>
        <w:tc>
          <w:tcPr>
            <w:tcW w:w="2041" w:type="dxa"/>
            <w:vMerge w:val="continue"/>
            <w:vAlign w:val="center"/>
          </w:tcPr>
          <w:p w14:paraId="3E053D52">
            <w:pPr>
              <w:adjustRightInd/>
              <w:spacing w:line="440" w:lineRule="exact"/>
              <w:jc w:val="center"/>
              <w:rPr>
                <w:rFonts w:ascii="仿宋_GB2312" w:hAnsi="仿宋_GB2312" w:eastAsia="仿宋_GB2312" w:cs="仿宋_GB2312"/>
                <w:b/>
                <w:color w:val="auto"/>
                <w:sz w:val="21"/>
                <w:szCs w:val="21"/>
                <w:highlight w:val="none"/>
              </w:rPr>
            </w:pPr>
          </w:p>
        </w:tc>
        <w:tc>
          <w:tcPr>
            <w:tcW w:w="6698" w:type="dxa"/>
            <w:vAlign w:val="center"/>
          </w:tcPr>
          <w:p w14:paraId="0478E071">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（2）资信证明文件：根据招标文件第四</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“评标办法”提供。</w:t>
            </w:r>
          </w:p>
        </w:tc>
      </w:tr>
      <w:tr w14:paraId="41E0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jc w:val="center"/>
        </w:trPr>
        <w:tc>
          <w:tcPr>
            <w:tcW w:w="629" w:type="dxa"/>
            <w:vAlign w:val="center"/>
          </w:tcPr>
          <w:p w14:paraId="7DD735A7">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w:t>
            </w:r>
          </w:p>
        </w:tc>
        <w:tc>
          <w:tcPr>
            <w:tcW w:w="2041" w:type="dxa"/>
            <w:vAlign w:val="center"/>
          </w:tcPr>
          <w:p w14:paraId="21F20102">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节能产品、环境标志产品</w:t>
            </w:r>
          </w:p>
        </w:tc>
        <w:tc>
          <w:tcPr>
            <w:tcW w:w="6698" w:type="dxa"/>
            <w:vAlign w:val="center"/>
          </w:tcPr>
          <w:p w14:paraId="54D70CEB">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E0C7449">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本项目采购节能产品、环境标志产品要求：</w:t>
            </w:r>
          </w:p>
          <w:p w14:paraId="6F3F5A86">
            <w:pPr>
              <w:adjustRightInd/>
              <w:spacing w:line="440" w:lineRule="exact"/>
              <w:ind w:firstLine="420" w:firstLineChars="200"/>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A无</w:t>
            </w:r>
            <w:r>
              <w:rPr>
                <w:rFonts w:hint="eastAsia" w:ascii="仿宋_GB2312" w:hAnsi="仿宋_GB2312" w:eastAsia="仿宋_GB2312" w:cs="仿宋_GB2312"/>
                <w:color w:val="auto"/>
                <w:kern w:val="0"/>
                <w:sz w:val="21"/>
                <w:szCs w:val="21"/>
                <w:highlight w:val="none"/>
                <w:lang w:eastAsia="zh-CN"/>
              </w:rPr>
              <w:t>；</w:t>
            </w:r>
          </w:p>
          <w:p w14:paraId="2BB43CFD">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rPr>
              <w:t>B政府强制采购节能产品：</w:t>
            </w:r>
            <w:r>
              <w:rPr>
                <w:rFonts w:hint="eastAsia" w:ascii="仿宋_GB2312" w:hAnsi="仿宋_GB2312" w:eastAsia="仿宋_GB2312" w:cs="仿宋_GB2312"/>
                <w:color w:val="auto"/>
                <w:kern w:val="0"/>
                <w:sz w:val="21"/>
                <w:szCs w:val="21"/>
                <w:highlight w:val="none"/>
                <w:u w:val="single"/>
              </w:rPr>
              <w:t xml:space="preserve"> /  </w:t>
            </w:r>
            <w:r>
              <w:rPr>
                <w:rFonts w:hint="eastAsia" w:ascii="仿宋_GB2312" w:hAnsi="仿宋_GB2312" w:eastAsia="仿宋_GB2312" w:cs="仿宋_GB2312"/>
                <w:color w:val="auto"/>
                <w:kern w:val="0"/>
                <w:sz w:val="21"/>
                <w:szCs w:val="21"/>
                <w:highlight w:val="none"/>
              </w:rPr>
              <w:t>；</w:t>
            </w:r>
          </w:p>
          <w:p w14:paraId="50686733">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rPr>
              <w:t>C政府优先采购节能产品：</w:t>
            </w:r>
            <w:r>
              <w:rPr>
                <w:rFonts w:hint="eastAsia" w:ascii="仿宋_GB2312" w:hAnsi="仿宋_GB2312" w:eastAsia="仿宋_GB2312" w:cs="仿宋_GB2312"/>
                <w:color w:val="auto"/>
                <w:kern w:val="0"/>
                <w:sz w:val="21"/>
                <w:szCs w:val="21"/>
                <w:highlight w:val="none"/>
                <w:u w:val="single"/>
              </w:rPr>
              <w:t xml:space="preserve"> /  </w:t>
            </w:r>
            <w:r>
              <w:rPr>
                <w:rFonts w:hint="eastAsia" w:ascii="仿宋_GB2312" w:hAnsi="仿宋_GB2312" w:eastAsia="仿宋_GB2312" w:cs="仿宋_GB2312"/>
                <w:color w:val="auto"/>
                <w:kern w:val="0"/>
                <w:sz w:val="21"/>
                <w:szCs w:val="21"/>
                <w:highlight w:val="none"/>
              </w:rPr>
              <w:t>；</w:t>
            </w:r>
          </w:p>
          <w:p w14:paraId="78967C6D">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0"/>
                <w:sz w:val="21"/>
                <w:szCs w:val="21"/>
                <w:highlight w:val="none"/>
              </w:rPr>
              <w:t>D政府优先采购环境标志产品：</w:t>
            </w:r>
            <w:r>
              <w:rPr>
                <w:rFonts w:hint="eastAsia" w:ascii="仿宋_GB2312" w:hAnsi="仿宋_GB2312" w:eastAsia="仿宋_GB2312" w:cs="仿宋_GB2312"/>
                <w:color w:val="auto"/>
                <w:kern w:val="0"/>
                <w:sz w:val="21"/>
                <w:szCs w:val="21"/>
                <w:highlight w:val="none"/>
                <w:u w:val="single"/>
              </w:rPr>
              <w:t xml:space="preserve"> /  </w:t>
            </w:r>
            <w:r>
              <w:rPr>
                <w:rFonts w:hint="eastAsia" w:ascii="仿宋_GB2312" w:hAnsi="仿宋_GB2312" w:eastAsia="仿宋_GB2312" w:cs="仿宋_GB2312"/>
                <w:color w:val="auto"/>
                <w:kern w:val="0"/>
                <w:sz w:val="21"/>
                <w:szCs w:val="21"/>
                <w:highlight w:val="none"/>
                <w:u w:val="none"/>
                <w:lang w:eastAsia="zh-CN"/>
              </w:rPr>
              <w:t>。</w:t>
            </w:r>
          </w:p>
        </w:tc>
      </w:tr>
      <w:tr w14:paraId="5D75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jc w:val="center"/>
        </w:trPr>
        <w:tc>
          <w:tcPr>
            <w:tcW w:w="629" w:type="dxa"/>
            <w:vAlign w:val="center"/>
          </w:tcPr>
          <w:p w14:paraId="02D8BA4B">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3</w:t>
            </w:r>
          </w:p>
        </w:tc>
        <w:tc>
          <w:tcPr>
            <w:tcW w:w="2041" w:type="dxa"/>
            <w:vAlign w:val="center"/>
          </w:tcPr>
          <w:p w14:paraId="768E1E0B">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报价要求</w:t>
            </w:r>
          </w:p>
        </w:tc>
        <w:tc>
          <w:tcPr>
            <w:tcW w:w="6698" w:type="dxa"/>
            <w:vAlign w:val="center"/>
          </w:tcPr>
          <w:p w14:paraId="2C4DB8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1</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投标文件开标一览表（报价表）是报价的唯一载体，如投标人在政府采购云平台填写的投标报价与投标文件报价文件中开标一览表（报价表）不一致的，以报价文件中开标一览表（报价表）为准。投标文件中价格全部采用人民币报价</w:t>
            </w:r>
            <w:r>
              <w:rPr>
                <w:rFonts w:hint="eastAsia" w:ascii="仿宋_GB2312" w:hAnsi="仿宋_GB2312" w:eastAsia="仿宋_GB2312" w:cs="仿宋_GB2312"/>
                <w:color w:val="auto"/>
                <w:kern w:val="0"/>
                <w:sz w:val="21"/>
                <w:szCs w:val="21"/>
                <w:highlight w:val="none"/>
                <w:lang w:eastAsia="zh-CN"/>
              </w:rPr>
              <w:t>。</w:t>
            </w:r>
          </w:p>
          <w:p w14:paraId="7E6E929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color w:val="auto"/>
                <w:kern w:val="0"/>
                <w:sz w:val="21"/>
                <w:szCs w:val="21"/>
                <w:highlight w:val="none"/>
              </w:rPr>
              <w:t>投标报价应为</w:t>
            </w:r>
            <w:r>
              <w:rPr>
                <w:rFonts w:hint="eastAsia" w:ascii="仿宋_GB2312" w:hAnsi="仿宋_GB2312" w:eastAsia="仿宋_GB2312" w:cs="仿宋_GB2312"/>
                <w:color w:val="auto"/>
                <w:kern w:val="0"/>
                <w:sz w:val="21"/>
                <w:szCs w:val="21"/>
                <w:highlight w:val="none"/>
                <w:lang w:val="en-US" w:eastAsia="zh-CN"/>
              </w:rPr>
              <w:t>投标人按照招标文件要求完成本项目的全部相关费用，包括：投标货物及标准附件、备品备件、专用工具等的出厂价和运至最终目的地的运输费和保险费，安装调试、技术措施、现场已完工程保护、试运行、检验、技术服务、培训、质量保证、售后服务、税费</w:t>
            </w:r>
            <w:r>
              <w:rPr>
                <w:rFonts w:hint="eastAsia" w:ascii="仿宋_GB2312" w:hAnsi="仿宋_GB2312" w:eastAsia="仿宋_GB2312" w:cs="仿宋_GB2312"/>
                <w:color w:val="auto"/>
                <w:kern w:val="0"/>
                <w:sz w:val="21"/>
                <w:szCs w:val="21"/>
                <w:highlight w:val="none"/>
              </w:rPr>
              <w:t>。招标文件未列明，而</w:t>
            </w:r>
            <w:r>
              <w:rPr>
                <w:rFonts w:hint="eastAsia" w:ascii="仿宋_GB2312" w:hAnsi="仿宋_GB2312" w:eastAsia="仿宋_GB2312" w:cs="仿宋_GB2312"/>
                <w:color w:val="auto"/>
                <w:kern w:val="0"/>
                <w:sz w:val="21"/>
                <w:szCs w:val="21"/>
                <w:highlight w:val="none"/>
                <w:lang w:val="en-US" w:eastAsia="zh-CN"/>
              </w:rPr>
              <w:t>投标人</w:t>
            </w:r>
            <w:r>
              <w:rPr>
                <w:rFonts w:hint="eastAsia" w:ascii="仿宋_GB2312" w:hAnsi="仿宋_GB2312" w:eastAsia="仿宋_GB2312" w:cs="仿宋_GB2312"/>
                <w:color w:val="auto"/>
                <w:kern w:val="0"/>
                <w:sz w:val="21"/>
                <w:szCs w:val="21"/>
                <w:highlight w:val="none"/>
              </w:rPr>
              <w:t>认为必需的费用也需列入报价。</w:t>
            </w:r>
          </w:p>
          <w:p w14:paraId="576454B5">
            <w:pPr>
              <w:adjustRightInd/>
              <w:spacing w:line="440" w:lineRule="exact"/>
              <w:ind w:firstLine="422" w:firstLineChars="200"/>
              <w:rPr>
                <w:rFonts w:ascii="仿宋_GB2312" w:hAnsi="仿宋_GB2312" w:eastAsia="仿宋_GB2312" w:cs="仿宋_GB2312"/>
                <w:b/>
                <w:color w:val="auto"/>
                <w:kern w:val="0"/>
                <w:sz w:val="21"/>
                <w:szCs w:val="21"/>
                <w:highlight w:val="none"/>
                <w:lang w:val="zh-CN"/>
              </w:rPr>
            </w:pPr>
            <w:r>
              <w:rPr>
                <w:rFonts w:hint="eastAsia" w:ascii="仿宋_GB2312" w:hAnsi="仿宋_GB2312" w:eastAsia="仿宋_GB2312" w:cs="仿宋_GB2312"/>
                <w:b/>
                <w:color w:val="auto"/>
                <w:kern w:val="0"/>
                <w:sz w:val="21"/>
                <w:szCs w:val="21"/>
                <w:highlight w:val="none"/>
              </w:rPr>
              <w:t>（</w:t>
            </w:r>
            <w:r>
              <w:rPr>
                <w:rFonts w:hint="eastAsia" w:ascii="仿宋_GB2312" w:hAnsi="仿宋_GB2312" w:eastAsia="仿宋_GB2312" w:cs="仿宋_GB2312"/>
                <w:b/>
                <w:color w:val="auto"/>
                <w:kern w:val="0"/>
                <w:sz w:val="21"/>
                <w:szCs w:val="21"/>
                <w:highlight w:val="none"/>
                <w:lang w:val="en-US" w:eastAsia="zh-CN"/>
              </w:rPr>
              <w:t>2</w:t>
            </w:r>
            <w:r>
              <w:rPr>
                <w:rFonts w:hint="eastAsia" w:ascii="仿宋_GB2312" w:hAnsi="仿宋_GB2312" w:eastAsia="仿宋_GB2312" w:cs="仿宋_GB2312"/>
                <w:b/>
                <w:color w:val="auto"/>
                <w:kern w:val="0"/>
                <w:sz w:val="21"/>
                <w:szCs w:val="21"/>
                <w:highlight w:val="none"/>
              </w:rPr>
              <w:t>）</w:t>
            </w:r>
            <w:r>
              <w:rPr>
                <w:rFonts w:hint="eastAsia" w:ascii="仿宋_GB2312" w:hAnsi="仿宋_GB2312" w:eastAsia="仿宋_GB2312" w:cs="仿宋_GB2312"/>
                <w:b/>
                <w:color w:val="auto"/>
                <w:kern w:val="0"/>
                <w:sz w:val="21"/>
                <w:szCs w:val="21"/>
                <w:highlight w:val="none"/>
                <w:lang w:val="zh-CN"/>
              </w:rPr>
              <w:t>投标报价出现下列情形的，投标无效：</w:t>
            </w:r>
          </w:p>
          <w:p w14:paraId="38EF3571">
            <w:pPr>
              <w:adjustRightInd/>
              <w:spacing w:line="440" w:lineRule="exact"/>
              <w:ind w:firstLine="422" w:firstLineChars="200"/>
              <w:rPr>
                <w:rFonts w:ascii="仿宋_GB2312" w:hAnsi="仿宋_GB2312" w:eastAsia="仿宋_GB2312" w:cs="仿宋_GB2312"/>
                <w:b/>
                <w:color w:val="auto"/>
                <w:kern w:val="0"/>
                <w:sz w:val="21"/>
                <w:szCs w:val="21"/>
                <w:highlight w:val="none"/>
                <w:lang w:val="zh-CN"/>
              </w:rPr>
            </w:pPr>
            <w:r>
              <w:rPr>
                <w:rFonts w:hint="eastAsia" w:ascii="仿宋_GB2312" w:hAnsi="仿宋_GB2312" w:eastAsia="仿宋_GB2312" w:cs="仿宋_GB2312"/>
                <w:b/>
                <w:color w:val="auto"/>
                <w:kern w:val="0"/>
                <w:sz w:val="21"/>
                <w:szCs w:val="21"/>
                <w:highlight w:val="none"/>
                <w:lang w:val="en-US" w:eastAsia="zh-CN"/>
              </w:rPr>
              <w:t>①</w:t>
            </w:r>
            <w:r>
              <w:rPr>
                <w:rFonts w:hint="eastAsia" w:ascii="仿宋_GB2312" w:hAnsi="仿宋_GB2312" w:eastAsia="仿宋_GB2312" w:cs="仿宋_GB2312"/>
                <w:b/>
                <w:color w:val="auto"/>
                <w:kern w:val="0"/>
                <w:sz w:val="21"/>
                <w:szCs w:val="21"/>
                <w:highlight w:val="none"/>
                <w:lang w:val="zh-CN"/>
              </w:rPr>
              <w:t>投标文件出现不是唯一的、有选择性投标报价的；</w:t>
            </w:r>
          </w:p>
          <w:p w14:paraId="763529C0">
            <w:pPr>
              <w:adjustRightInd/>
              <w:spacing w:line="440" w:lineRule="exact"/>
              <w:ind w:firstLine="422" w:firstLineChars="200"/>
              <w:rPr>
                <w:rFonts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b/>
                <w:color w:val="auto"/>
                <w:kern w:val="0"/>
                <w:sz w:val="21"/>
                <w:szCs w:val="21"/>
                <w:highlight w:val="none"/>
                <w:lang w:val="en-US" w:eastAsia="zh-CN"/>
              </w:rPr>
              <w:t>②</w:t>
            </w:r>
            <w:r>
              <w:rPr>
                <w:rFonts w:hint="eastAsia" w:ascii="仿宋_GB2312" w:hAnsi="仿宋_GB2312" w:eastAsia="仿宋_GB2312" w:cs="仿宋_GB2312"/>
                <w:b/>
                <w:color w:val="auto"/>
                <w:kern w:val="0"/>
                <w:sz w:val="21"/>
                <w:szCs w:val="21"/>
                <w:highlight w:val="none"/>
                <w:lang w:val="zh-CN"/>
              </w:rPr>
              <w:t>投标报价超过招标文件中规定的预算金额或者最高限价的；</w:t>
            </w:r>
          </w:p>
          <w:p w14:paraId="2FA4F997">
            <w:pPr>
              <w:adjustRightInd/>
              <w:spacing w:line="440" w:lineRule="exact"/>
              <w:ind w:firstLine="422" w:firstLineChars="200"/>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lang w:val="en-US" w:eastAsia="zh-CN"/>
              </w:rPr>
              <w:t>③</w:t>
            </w:r>
            <w:r>
              <w:rPr>
                <w:rFonts w:hint="eastAsia" w:ascii="仿宋_GB2312" w:hAnsi="仿宋_GB2312" w:eastAsia="仿宋_GB2312" w:cs="仿宋_GB2312"/>
                <w:b/>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_GB2312" w:hAnsi="仿宋_GB2312" w:eastAsia="仿宋_GB2312" w:cs="仿宋_GB2312"/>
                <w:b/>
                <w:color w:val="auto"/>
                <w:sz w:val="21"/>
                <w:szCs w:val="21"/>
                <w:highlight w:val="none"/>
              </w:rPr>
              <w:t>；</w:t>
            </w:r>
          </w:p>
          <w:p w14:paraId="4419D478">
            <w:pPr>
              <w:adjustRightInd/>
              <w:spacing w:line="440" w:lineRule="exact"/>
              <w:ind w:firstLine="422"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kern w:val="0"/>
                <w:sz w:val="21"/>
                <w:szCs w:val="21"/>
                <w:highlight w:val="none"/>
                <w:lang w:val="en-US" w:eastAsia="zh-CN"/>
              </w:rPr>
              <w:t>④</w:t>
            </w:r>
            <w:r>
              <w:rPr>
                <w:rFonts w:hint="eastAsia" w:ascii="仿宋_GB2312" w:hAnsi="仿宋_GB2312" w:eastAsia="仿宋_GB2312" w:cs="仿宋_GB2312"/>
                <w:b/>
                <w:color w:val="auto"/>
                <w:kern w:val="0"/>
                <w:sz w:val="21"/>
                <w:szCs w:val="21"/>
                <w:highlight w:val="none"/>
              </w:rPr>
              <w:t>投标人对根据修正原则修正后的报价不确认的</w:t>
            </w:r>
            <w:r>
              <w:rPr>
                <w:rFonts w:hint="eastAsia" w:ascii="仿宋_GB2312" w:hAnsi="仿宋_GB2312" w:eastAsia="仿宋_GB2312" w:cs="仿宋_GB2312"/>
                <w:b/>
                <w:color w:val="auto"/>
                <w:sz w:val="21"/>
                <w:szCs w:val="21"/>
                <w:highlight w:val="none"/>
              </w:rPr>
              <w:t>。</w:t>
            </w:r>
          </w:p>
        </w:tc>
      </w:tr>
      <w:tr w14:paraId="335D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629" w:type="dxa"/>
            <w:vAlign w:val="center"/>
          </w:tcPr>
          <w:p w14:paraId="10B02A28">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4</w:t>
            </w:r>
          </w:p>
        </w:tc>
        <w:tc>
          <w:tcPr>
            <w:tcW w:w="2041" w:type="dxa"/>
            <w:vAlign w:val="center"/>
          </w:tcPr>
          <w:p w14:paraId="7D9BBC17">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中小企业信用融资</w:t>
            </w:r>
          </w:p>
        </w:tc>
        <w:tc>
          <w:tcPr>
            <w:tcW w:w="6698" w:type="dxa"/>
            <w:vAlign w:val="center"/>
          </w:tcPr>
          <w:p w14:paraId="57E50515">
            <w:pPr>
              <w:adjustRightInd/>
              <w:spacing w:line="440" w:lineRule="exact"/>
              <w:ind w:firstLine="42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snapToGrid w:val="0"/>
                <w:color w:val="auto"/>
                <w:kern w:val="28"/>
                <w:sz w:val="21"/>
                <w:szCs w:val="21"/>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12AB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2E60F325">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w:t>
            </w:r>
          </w:p>
        </w:tc>
        <w:tc>
          <w:tcPr>
            <w:tcW w:w="2041" w:type="dxa"/>
            <w:vAlign w:val="center"/>
          </w:tcPr>
          <w:p w14:paraId="181F5E9C">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outlineLvl w:val="9"/>
              <w:rPr>
                <w:rFonts w:hint="default" w:ascii="仿宋_GB2312" w:hAnsi="仿宋_GB2312" w:eastAsia="仿宋_GB2312" w:cs="仿宋_GB2312"/>
                <w:b/>
                <w:color w:val="auto"/>
                <w:sz w:val="21"/>
                <w:szCs w:val="21"/>
                <w:highlight w:val="none"/>
                <w:lang w:val="en-US"/>
              </w:rPr>
            </w:pPr>
            <w:r>
              <w:rPr>
                <w:rFonts w:hint="eastAsia" w:ascii="仿宋_GB2312" w:hAnsi="仿宋_GB2312" w:eastAsia="仿宋_GB2312" w:cs="仿宋_GB2312"/>
                <w:b/>
                <w:color w:val="auto"/>
                <w:sz w:val="21"/>
                <w:szCs w:val="21"/>
                <w:highlight w:val="none"/>
              </w:rPr>
              <w:t>资格审查</w:t>
            </w:r>
          </w:p>
        </w:tc>
        <w:tc>
          <w:tcPr>
            <w:tcW w:w="6698" w:type="dxa"/>
            <w:vAlign w:val="center"/>
          </w:tcPr>
          <w:p w14:paraId="7C2D31BB">
            <w:pPr>
              <w:adjustRightInd/>
              <w:spacing w:line="440" w:lineRule="exact"/>
              <w:ind w:firstLine="420" w:firstLineChars="200"/>
              <w:rPr>
                <w:rFonts w:hint="default" w:ascii="仿宋_GB2312" w:hAnsi="仿宋_GB2312" w:eastAsia="仿宋_GB2312" w:cs="仿宋_GB2312"/>
                <w:snapToGrid w:val="0"/>
                <w:color w:val="auto"/>
                <w:kern w:val="28"/>
                <w:sz w:val="21"/>
                <w:szCs w:val="21"/>
                <w:highlight w:val="none"/>
                <w:lang w:val="en-US"/>
              </w:rPr>
            </w:pPr>
            <w:r>
              <w:rPr>
                <w:rFonts w:hint="eastAsia" w:ascii="仿宋_GB2312" w:hAnsi="仿宋_GB2312" w:eastAsia="仿宋_GB2312" w:cs="仿宋_GB2312"/>
                <w:snapToGrid w:val="0"/>
                <w:color w:val="auto"/>
                <w:kern w:val="28"/>
                <w:sz w:val="21"/>
                <w:szCs w:val="21"/>
                <w:highlight w:val="none"/>
                <w:lang w:val="en-US" w:eastAsia="zh-CN"/>
              </w:rPr>
              <w:t>开标</w:t>
            </w:r>
            <w:r>
              <w:rPr>
                <w:rFonts w:hint="eastAsia" w:ascii="仿宋_GB2312" w:hAnsi="仿宋_GB2312" w:eastAsia="仿宋_GB2312" w:cs="仿宋_GB2312"/>
                <w:snapToGrid w:val="0"/>
                <w:color w:val="auto"/>
                <w:kern w:val="28"/>
                <w:sz w:val="21"/>
                <w:szCs w:val="21"/>
                <w:highlight w:val="none"/>
              </w:rPr>
              <w:t>后</w:t>
            </w:r>
            <w:r>
              <w:rPr>
                <w:rFonts w:hint="eastAsia" w:ascii="仿宋_GB2312" w:hAnsi="仿宋_GB2312" w:eastAsia="仿宋_GB2312" w:cs="仿宋_GB2312"/>
                <w:snapToGrid w:val="0"/>
                <w:color w:val="auto"/>
                <w:kern w:val="28"/>
                <w:sz w:val="21"/>
                <w:szCs w:val="21"/>
                <w:highlight w:val="none"/>
                <w:lang w:eastAsia="zh-CN"/>
              </w:rPr>
              <w:t>，</w:t>
            </w:r>
            <w:r>
              <w:rPr>
                <w:rFonts w:hint="eastAsia" w:ascii="仿宋_GB2312" w:hAnsi="仿宋_GB2312" w:eastAsia="仿宋_GB2312" w:cs="仿宋_GB2312"/>
                <w:snapToGrid w:val="0"/>
                <w:color w:val="auto"/>
                <w:kern w:val="28"/>
                <w:sz w:val="21"/>
                <w:szCs w:val="21"/>
                <w:highlight w:val="none"/>
              </w:rPr>
              <w:t>由采购</w:t>
            </w:r>
            <w:r>
              <w:rPr>
                <w:rFonts w:hint="eastAsia" w:ascii="仿宋_GB2312" w:hAnsi="仿宋_GB2312" w:eastAsia="仿宋_GB2312" w:cs="仿宋_GB2312"/>
                <w:snapToGrid w:val="0"/>
                <w:color w:val="auto"/>
                <w:kern w:val="28"/>
                <w:sz w:val="21"/>
                <w:szCs w:val="21"/>
                <w:highlight w:val="none"/>
                <w:lang w:val="en-US" w:eastAsia="zh-CN"/>
              </w:rPr>
              <w:t>代理机构</w:t>
            </w:r>
            <w:r>
              <w:rPr>
                <w:rFonts w:hint="eastAsia" w:ascii="仿宋_GB2312" w:hAnsi="仿宋_GB2312" w:eastAsia="仿宋_GB2312" w:cs="仿宋_GB2312"/>
                <w:snapToGrid w:val="0"/>
                <w:color w:val="auto"/>
                <w:kern w:val="28"/>
                <w:sz w:val="21"/>
                <w:szCs w:val="21"/>
                <w:highlight w:val="none"/>
              </w:rPr>
              <w:t>对</w:t>
            </w:r>
            <w:r>
              <w:rPr>
                <w:rFonts w:hint="eastAsia" w:ascii="仿宋_GB2312" w:hAnsi="仿宋_GB2312" w:eastAsia="仿宋_GB2312" w:cs="仿宋_GB2312"/>
                <w:snapToGrid w:val="0"/>
                <w:color w:val="auto"/>
                <w:kern w:val="28"/>
                <w:sz w:val="21"/>
                <w:szCs w:val="21"/>
                <w:highlight w:val="none"/>
                <w:lang w:eastAsia="zh-CN"/>
              </w:rPr>
              <w:t>供应商</w:t>
            </w:r>
            <w:r>
              <w:rPr>
                <w:rFonts w:hint="eastAsia" w:ascii="仿宋_GB2312" w:hAnsi="仿宋_GB2312" w:eastAsia="仿宋_GB2312" w:cs="仿宋_GB2312"/>
                <w:snapToGrid w:val="0"/>
                <w:color w:val="auto"/>
                <w:kern w:val="28"/>
                <w:sz w:val="21"/>
                <w:szCs w:val="21"/>
                <w:highlight w:val="none"/>
              </w:rPr>
              <w:t>的资格进行审查。</w:t>
            </w:r>
          </w:p>
        </w:tc>
      </w:tr>
      <w:tr w14:paraId="644C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jc w:val="center"/>
        </w:trPr>
        <w:tc>
          <w:tcPr>
            <w:tcW w:w="629" w:type="dxa"/>
            <w:vAlign w:val="center"/>
          </w:tcPr>
          <w:p w14:paraId="5DFEA36E">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6</w:t>
            </w:r>
          </w:p>
        </w:tc>
        <w:tc>
          <w:tcPr>
            <w:tcW w:w="2041" w:type="dxa"/>
            <w:vAlign w:val="center"/>
          </w:tcPr>
          <w:p w14:paraId="1378FF80">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备份投标文件送达地点和签收人员</w:t>
            </w:r>
          </w:p>
        </w:tc>
        <w:tc>
          <w:tcPr>
            <w:tcW w:w="6698" w:type="dxa"/>
            <w:vAlign w:val="center"/>
          </w:tcPr>
          <w:p w14:paraId="27F2FECA">
            <w:pPr>
              <w:adjustRightInd/>
              <w:spacing w:line="440" w:lineRule="exact"/>
              <w:ind w:firstLine="420" w:firstLineChars="200"/>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投标人若递交以U盘存储的备份投标文件可按照以下要求进行递交：</w:t>
            </w:r>
          </w:p>
          <w:p w14:paraId="52686248">
            <w:pPr>
              <w:adjustRightInd/>
              <w:spacing w:line="440" w:lineRule="exact"/>
              <w:ind w:firstLine="420" w:firstLineChars="200"/>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①采用邮寄方式提交电子备份投标文件，供应商须在投标截止时间前一个工作日前将电子备份投标文件邮寄至指定地点，由招标代理机构工作人员进行签收。各供应商自行考虑邮寄在途时间，邮寄过程中无论何种因素导致备份投标文件未按时递交的后果，均由供应商自行负责。备份投标文件递交时间以招标代理机构实际收到投标文件的时间为准。迟到的电子备份投标文件将被拒收。请各供应商确保密封包装在邮寄过程密封包装完好，并在邮寄包裹上注明项目名称，因邮寄过程的密封破损造成不符合开标要求的，招标（代理）人概不负责。</w:t>
            </w:r>
          </w:p>
          <w:p w14:paraId="661B0707">
            <w:pPr>
              <w:adjustRightInd/>
              <w:spacing w:line="440" w:lineRule="exact"/>
              <w:ind w:firstLine="420" w:firstLineChars="200"/>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电子备份投标文件邮寄地址为：</w:t>
            </w:r>
            <w:r>
              <w:rPr>
                <w:rFonts w:hint="eastAsia" w:ascii="仿宋_GB2312" w:hAnsi="仿宋_GB2312" w:eastAsia="仿宋_GB2312" w:cs="仿宋_GB2312"/>
                <w:snapToGrid w:val="0"/>
                <w:color w:val="auto"/>
                <w:kern w:val="28"/>
                <w:sz w:val="21"/>
                <w:szCs w:val="21"/>
                <w:highlight w:val="none"/>
                <w:u w:val="single"/>
                <w:lang w:val="en-US" w:eastAsia="zh-CN"/>
              </w:rPr>
              <w:t>宁波市海曙区翠柏路89号宁波工程学院公共培训平台C栋8楼</w:t>
            </w:r>
            <w:r>
              <w:rPr>
                <w:rFonts w:hint="eastAsia" w:ascii="仿宋_GB2312" w:hAnsi="仿宋_GB2312" w:eastAsia="仿宋_GB2312" w:cs="仿宋_GB2312"/>
                <w:snapToGrid w:val="0"/>
                <w:color w:val="auto"/>
                <w:kern w:val="28"/>
                <w:sz w:val="21"/>
                <w:szCs w:val="21"/>
                <w:highlight w:val="none"/>
                <w:lang w:val="en-US" w:eastAsia="zh-CN"/>
              </w:rPr>
              <w:t>。</w:t>
            </w:r>
          </w:p>
          <w:p w14:paraId="20BD969F">
            <w:pPr>
              <w:adjustRightInd/>
              <w:spacing w:line="440" w:lineRule="exact"/>
              <w:ind w:firstLine="420" w:firstLineChars="200"/>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收件人：</w:t>
            </w:r>
            <w:r>
              <w:rPr>
                <w:rFonts w:hint="eastAsia" w:ascii="仿宋_GB2312" w:hAnsi="仿宋_GB2312" w:eastAsia="仿宋_GB2312" w:cs="仿宋_GB2312"/>
                <w:snapToGrid w:val="0"/>
                <w:color w:val="auto"/>
                <w:kern w:val="28"/>
                <w:sz w:val="21"/>
                <w:szCs w:val="21"/>
                <w:highlight w:val="none"/>
                <w:u w:val="single"/>
                <w:lang w:val="en-US" w:eastAsia="zh-CN"/>
              </w:rPr>
              <w:t>奚睿</w:t>
            </w:r>
            <w:r>
              <w:rPr>
                <w:rFonts w:hint="eastAsia" w:ascii="仿宋_GB2312" w:hAnsi="仿宋_GB2312" w:eastAsia="仿宋_GB2312" w:cs="仿宋_GB2312"/>
                <w:snapToGrid w:val="0"/>
                <w:color w:val="auto"/>
                <w:kern w:val="28"/>
                <w:sz w:val="21"/>
                <w:szCs w:val="21"/>
                <w:highlight w:val="none"/>
                <w:lang w:val="en-US" w:eastAsia="zh-CN"/>
              </w:rPr>
              <w:t>，联系方式：</w:t>
            </w:r>
            <w:r>
              <w:rPr>
                <w:rFonts w:hint="eastAsia" w:ascii="仿宋_GB2312" w:hAnsi="仿宋_GB2312" w:eastAsia="仿宋_GB2312" w:cs="仿宋_GB2312"/>
                <w:snapToGrid w:val="0"/>
                <w:color w:val="auto"/>
                <w:kern w:val="28"/>
                <w:sz w:val="21"/>
                <w:szCs w:val="21"/>
                <w:highlight w:val="none"/>
                <w:u w:val="single"/>
                <w:lang w:val="en-US" w:eastAsia="zh-CN"/>
              </w:rPr>
              <w:t>18580873658</w:t>
            </w:r>
            <w:r>
              <w:rPr>
                <w:rFonts w:hint="eastAsia" w:ascii="仿宋_GB2312" w:hAnsi="仿宋_GB2312" w:eastAsia="仿宋_GB2312" w:cs="仿宋_GB2312"/>
                <w:snapToGrid w:val="0"/>
                <w:color w:val="auto"/>
                <w:kern w:val="28"/>
                <w:sz w:val="21"/>
                <w:szCs w:val="21"/>
                <w:highlight w:val="none"/>
                <w:lang w:val="en-US" w:eastAsia="zh-CN"/>
              </w:rPr>
              <w:t>。</w:t>
            </w:r>
          </w:p>
          <w:p w14:paraId="35326DAD">
            <w:pPr>
              <w:adjustRightInd/>
              <w:spacing w:line="440" w:lineRule="exact"/>
              <w:ind w:firstLine="420" w:firstLineChars="200"/>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②采用直接递交方式递交备份电子投标文件，在投标当天投标截止时间前将备份投标文件递交至</w:t>
            </w:r>
            <w:r>
              <w:rPr>
                <w:rFonts w:hint="eastAsia" w:ascii="仿宋_GB2312" w:hAnsi="仿宋_GB2312" w:eastAsia="仿宋_GB2312" w:cs="仿宋_GB2312"/>
                <w:snapToGrid w:val="0"/>
                <w:color w:val="auto"/>
                <w:kern w:val="28"/>
                <w:sz w:val="21"/>
                <w:szCs w:val="21"/>
                <w:highlight w:val="none"/>
                <w:u w:val="single"/>
                <w:lang w:val="en-US" w:eastAsia="zh-CN"/>
              </w:rPr>
              <w:t>宁波市北仑区四明山路773号北仑行政大楼B座三楼区政务服务中心交易厅（具体场所安排详见电子指示屏幕）</w:t>
            </w:r>
            <w:r>
              <w:rPr>
                <w:rFonts w:hint="eastAsia" w:ascii="仿宋_GB2312" w:hAnsi="仿宋_GB2312" w:eastAsia="仿宋_GB2312" w:cs="仿宋_GB2312"/>
                <w:snapToGrid w:val="0"/>
                <w:color w:val="auto"/>
                <w:kern w:val="28"/>
                <w:sz w:val="21"/>
                <w:szCs w:val="21"/>
                <w:highlight w:val="none"/>
                <w:lang w:val="en-US" w:eastAsia="zh-CN"/>
              </w:rPr>
              <w:t>】。</w:t>
            </w:r>
          </w:p>
          <w:p w14:paraId="4C0A836E">
            <w:pPr>
              <w:adjustRightInd/>
              <w:spacing w:line="440" w:lineRule="exact"/>
              <w:ind w:firstLine="420" w:firstLineChars="200"/>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③电子备份投标文件的外包装封面格式：</w:t>
            </w:r>
          </w:p>
          <w:tbl>
            <w:tblPr>
              <w:tblStyle w:val="15"/>
              <w:tblW w:w="6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2"/>
            </w:tblGrid>
            <w:tr w14:paraId="794E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6342" w:type="dxa"/>
                </w:tcPr>
                <w:p w14:paraId="1349C92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outlineLvl w:val="9"/>
                    <w:rPr>
                      <w:rFonts w:hint="eastAsia" w:ascii="仿宋_GB2312" w:hAnsi="仿宋_GB2312" w:eastAsia="仿宋_GB2312" w:cs="仿宋_GB2312"/>
                      <w:b/>
                      <w:bCs/>
                      <w:snapToGrid w:val="0"/>
                      <w:color w:val="auto"/>
                      <w:kern w:val="2"/>
                      <w:sz w:val="21"/>
                      <w:szCs w:val="21"/>
                      <w:highlight w:val="none"/>
                      <w:lang w:val="en-US" w:eastAsia="zh-CN" w:bidi="ar-SA"/>
                    </w:rPr>
                  </w:pPr>
                  <w:r>
                    <w:rPr>
                      <w:rFonts w:hint="eastAsia" w:ascii="仿宋_GB2312" w:hAnsi="仿宋_GB2312" w:eastAsia="仿宋_GB2312" w:cs="仿宋_GB2312"/>
                      <w:b/>
                      <w:bCs/>
                      <w:snapToGrid w:val="0"/>
                      <w:color w:val="auto"/>
                      <w:kern w:val="2"/>
                      <w:sz w:val="21"/>
                      <w:szCs w:val="21"/>
                      <w:highlight w:val="none"/>
                      <w:lang w:val="en-US" w:eastAsia="zh-CN" w:bidi="ar-SA"/>
                    </w:rPr>
                    <w:t>电子备份投标文件</w:t>
                  </w:r>
                </w:p>
                <w:p w14:paraId="3172697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ascii="仿宋_GB2312" w:hAnsi="仿宋_GB2312" w:eastAsia="仿宋_GB2312" w:cs="仿宋_GB2312"/>
                      <w:snapToGrid w:val="0"/>
                      <w:color w:val="auto"/>
                      <w:kern w:val="2"/>
                      <w:sz w:val="21"/>
                      <w:szCs w:val="21"/>
                      <w:highlight w:val="none"/>
                      <w:lang w:val="en-US" w:eastAsia="zh-CN" w:bidi="ar-SA"/>
                    </w:rPr>
                  </w:pPr>
                  <w:r>
                    <w:rPr>
                      <w:rFonts w:hint="eastAsia" w:ascii="仿宋_GB2312" w:hAnsi="仿宋_GB2312" w:eastAsia="仿宋_GB2312" w:cs="仿宋_GB2312"/>
                      <w:snapToGrid w:val="0"/>
                      <w:color w:val="auto"/>
                      <w:kern w:val="2"/>
                      <w:sz w:val="21"/>
                      <w:szCs w:val="21"/>
                      <w:highlight w:val="none"/>
                      <w:lang w:val="en-US" w:eastAsia="zh-CN" w:bidi="ar-SA"/>
                    </w:rPr>
                    <w:t>项目名称：</w:t>
                  </w:r>
                  <w:r>
                    <w:rPr>
                      <w:rFonts w:hint="eastAsia" w:ascii="仿宋_GB2312" w:hAnsi="仿宋_GB2312" w:eastAsia="仿宋_GB2312" w:cs="仿宋_GB2312"/>
                      <w:color w:val="auto"/>
                      <w:sz w:val="21"/>
                      <w:szCs w:val="21"/>
                      <w:highlight w:val="none"/>
                      <w:u w:val="single"/>
                    </w:rPr>
                    <w:t xml:space="preserve">           </w:t>
                  </w:r>
                </w:p>
                <w:p w14:paraId="3E609187">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ascii="仿宋_GB2312" w:hAnsi="仿宋_GB2312" w:eastAsia="仿宋_GB2312" w:cs="仿宋_GB2312"/>
                      <w:snapToGrid w:val="0"/>
                      <w:color w:val="auto"/>
                      <w:kern w:val="2"/>
                      <w:sz w:val="21"/>
                      <w:szCs w:val="21"/>
                      <w:highlight w:val="none"/>
                      <w:lang w:val="en-US" w:eastAsia="zh-CN" w:bidi="ar-SA"/>
                    </w:rPr>
                  </w:pPr>
                  <w:r>
                    <w:rPr>
                      <w:rFonts w:hint="eastAsia" w:ascii="仿宋_GB2312" w:hAnsi="仿宋_GB2312" w:eastAsia="仿宋_GB2312" w:cs="仿宋_GB2312"/>
                      <w:snapToGrid w:val="0"/>
                      <w:color w:val="auto"/>
                      <w:kern w:val="2"/>
                      <w:sz w:val="21"/>
                      <w:szCs w:val="21"/>
                      <w:highlight w:val="none"/>
                      <w:lang w:val="en-US" w:eastAsia="zh-CN" w:bidi="ar-SA"/>
                    </w:rPr>
                    <w:t>项目编号：</w:t>
                  </w:r>
                  <w:r>
                    <w:rPr>
                      <w:rFonts w:hint="eastAsia" w:ascii="仿宋_GB2312" w:hAnsi="仿宋_GB2312" w:eastAsia="仿宋_GB2312" w:cs="仿宋_GB2312"/>
                      <w:color w:val="auto"/>
                      <w:sz w:val="21"/>
                      <w:szCs w:val="21"/>
                      <w:highlight w:val="none"/>
                      <w:u w:val="single"/>
                    </w:rPr>
                    <w:t xml:space="preserve">           </w:t>
                  </w:r>
                </w:p>
                <w:p w14:paraId="4D07A60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ascii="仿宋_GB2312" w:hAnsi="仿宋_GB2312" w:eastAsia="仿宋_GB2312" w:cs="仿宋_GB2312"/>
                      <w:snapToGrid w:val="0"/>
                      <w:color w:val="auto"/>
                      <w:kern w:val="2"/>
                      <w:sz w:val="21"/>
                      <w:szCs w:val="21"/>
                      <w:highlight w:val="none"/>
                      <w:lang w:val="en-US" w:eastAsia="zh-CN" w:bidi="ar-SA"/>
                    </w:rPr>
                  </w:pPr>
                  <w:r>
                    <w:rPr>
                      <w:rFonts w:hint="eastAsia" w:ascii="仿宋_GB2312" w:hAnsi="仿宋_GB2312" w:eastAsia="仿宋_GB2312" w:cs="仿宋_GB2312"/>
                      <w:snapToGrid w:val="0"/>
                      <w:color w:val="auto"/>
                      <w:kern w:val="2"/>
                      <w:sz w:val="21"/>
                      <w:szCs w:val="21"/>
                      <w:highlight w:val="none"/>
                      <w:lang w:val="en-US" w:eastAsia="zh-CN" w:bidi="ar-SA"/>
                    </w:rPr>
                    <w:t>供应商名称（加盖公章）：</w:t>
                  </w:r>
                  <w:r>
                    <w:rPr>
                      <w:rFonts w:hint="eastAsia" w:ascii="仿宋_GB2312" w:hAnsi="仿宋_GB2312" w:eastAsia="仿宋_GB2312" w:cs="仿宋_GB2312"/>
                      <w:color w:val="auto"/>
                      <w:sz w:val="21"/>
                      <w:szCs w:val="21"/>
                      <w:highlight w:val="none"/>
                      <w:u w:val="single"/>
                    </w:rPr>
                    <w:t xml:space="preserve">           </w:t>
                  </w:r>
                </w:p>
                <w:p w14:paraId="49E51C9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ascii="仿宋_GB2312" w:hAnsi="仿宋_GB2312" w:eastAsia="仿宋_GB2312" w:cs="仿宋_GB2312"/>
                      <w:snapToGrid w:val="0"/>
                      <w:color w:val="auto"/>
                      <w:kern w:val="2"/>
                      <w:sz w:val="21"/>
                      <w:szCs w:val="21"/>
                      <w:highlight w:val="none"/>
                      <w:lang w:val="en-US" w:eastAsia="zh-CN" w:bidi="ar-SA"/>
                    </w:rPr>
                  </w:pPr>
                  <w:r>
                    <w:rPr>
                      <w:rFonts w:hint="eastAsia" w:ascii="仿宋_GB2312" w:hAnsi="仿宋_GB2312" w:eastAsia="仿宋_GB2312" w:cs="仿宋_GB2312"/>
                      <w:snapToGrid w:val="0"/>
                      <w:color w:val="auto"/>
                      <w:kern w:val="2"/>
                      <w:sz w:val="21"/>
                      <w:szCs w:val="21"/>
                      <w:highlight w:val="none"/>
                      <w:lang w:val="en-US" w:eastAsia="zh-CN" w:bidi="ar-SA"/>
                    </w:rPr>
                    <w:t>供应商地址：</w:t>
                  </w:r>
                  <w:r>
                    <w:rPr>
                      <w:rFonts w:hint="eastAsia" w:ascii="仿宋_GB2312" w:hAnsi="仿宋_GB2312" w:eastAsia="仿宋_GB2312" w:cs="仿宋_GB2312"/>
                      <w:color w:val="auto"/>
                      <w:sz w:val="21"/>
                      <w:szCs w:val="21"/>
                      <w:highlight w:val="none"/>
                      <w:u w:val="single"/>
                    </w:rPr>
                    <w:t xml:space="preserve">           </w:t>
                  </w:r>
                </w:p>
                <w:p w14:paraId="00112FD3">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_GB2312" w:hAnsi="仿宋_GB2312" w:eastAsia="仿宋_GB2312" w:cs="仿宋_GB2312"/>
                      <w:color w:val="auto"/>
                      <w:sz w:val="21"/>
                      <w:szCs w:val="21"/>
                      <w:highlight w:val="none"/>
                      <w:vertAlign w:val="baseline"/>
                      <w:lang w:val="en-US"/>
                    </w:rPr>
                  </w:pP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snapToGrid w:val="0"/>
                      <w:color w:val="auto"/>
                      <w:kern w:val="28"/>
                      <w:sz w:val="21"/>
                      <w:szCs w:val="21"/>
                      <w:highlight w:val="none"/>
                      <w:lang w:val="en-US" w:eastAsia="zh-CN"/>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snapToGrid w:val="0"/>
                      <w:color w:val="auto"/>
                      <w:kern w:val="28"/>
                      <w:sz w:val="21"/>
                      <w:szCs w:val="21"/>
                      <w:highlight w:val="none"/>
                      <w:lang w:val="en-US" w:eastAsia="zh-CN"/>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snapToGrid w:val="0"/>
                      <w:color w:val="auto"/>
                      <w:kern w:val="28"/>
                      <w:sz w:val="21"/>
                      <w:szCs w:val="21"/>
                      <w:highlight w:val="none"/>
                      <w:lang w:val="en-US" w:eastAsia="zh-CN"/>
                    </w:rPr>
                    <w:t>日</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snapToGrid w:val="0"/>
                      <w:color w:val="auto"/>
                      <w:kern w:val="28"/>
                      <w:sz w:val="21"/>
                      <w:szCs w:val="21"/>
                      <w:highlight w:val="none"/>
                      <w:lang w:val="en-US" w:eastAsia="zh-CN"/>
                    </w:rPr>
                    <w:t>时</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snapToGrid w:val="0"/>
                      <w:color w:val="auto"/>
                      <w:kern w:val="28"/>
                      <w:sz w:val="21"/>
                      <w:szCs w:val="21"/>
                      <w:highlight w:val="none"/>
                      <w:lang w:val="en-US" w:eastAsia="zh-CN"/>
                    </w:rPr>
                    <w:t>分（开标时间）前不得启封。</w:t>
                  </w:r>
                </w:p>
              </w:tc>
            </w:tr>
          </w:tbl>
          <w:p w14:paraId="30BCBBCA">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outlineLvl w:val="9"/>
              <w:rPr>
                <w:rFonts w:ascii="仿宋_GB2312" w:hAnsi="仿宋_GB2312" w:eastAsia="仿宋_GB2312" w:cs="仿宋_GB2312"/>
                <w:color w:val="auto"/>
                <w:kern w:val="28"/>
                <w:sz w:val="21"/>
                <w:szCs w:val="21"/>
                <w:highlight w:val="none"/>
              </w:rPr>
            </w:pPr>
            <w:r>
              <w:rPr>
                <w:rFonts w:hint="eastAsia" w:ascii="仿宋_GB2312" w:hAnsi="仿宋_GB2312" w:eastAsia="仿宋_GB2312" w:cs="仿宋_GB2312"/>
                <w:b/>
                <w:bCs/>
                <w:snapToGrid w:val="0"/>
                <w:color w:val="auto"/>
                <w:kern w:val="28"/>
                <w:sz w:val="21"/>
                <w:szCs w:val="21"/>
                <w:highlight w:val="none"/>
              </w:rPr>
              <w:t>采购人、采购代理机构不强制或变相强制投标人提交备份投标文件。</w:t>
            </w:r>
          </w:p>
        </w:tc>
      </w:tr>
      <w:tr w14:paraId="3B4C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5F5A818B">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17</w:t>
            </w:r>
          </w:p>
        </w:tc>
        <w:tc>
          <w:tcPr>
            <w:tcW w:w="2041" w:type="dxa"/>
            <w:vAlign w:val="center"/>
          </w:tcPr>
          <w:p w14:paraId="74374677">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outlineLvl w:val="9"/>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中标候选人数量</w:t>
            </w:r>
          </w:p>
        </w:tc>
        <w:tc>
          <w:tcPr>
            <w:tcW w:w="6698" w:type="dxa"/>
            <w:vAlign w:val="center"/>
          </w:tcPr>
          <w:p w14:paraId="7DF83D8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仿宋_GB2312" w:hAnsi="仿宋_GB2312" w:eastAsia="仿宋_GB2312" w:cs="仿宋_GB2312"/>
                <w:snapToGrid w:val="0"/>
                <w:color w:val="auto"/>
                <w:kern w:val="28"/>
                <w:sz w:val="21"/>
                <w:szCs w:val="21"/>
                <w:highlight w:val="none"/>
              </w:rPr>
            </w:pPr>
            <w:r>
              <w:rPr>
                <w:rFonts w:hint="eastAsia" w:ascii="仿宋_GB2312" w:hAnsi="仿宋_GB2312" w:eastAsia="仿宋_GB2312" w:cs="仿宋_GB2312"/>
                <w:snapToGrid w:val="0"/>
                <w:color w:val="auto"/>
                <w:kern w:val="28"/>
                <w:sz w:val="21"/>
                <w:szCs w:val="21"/>
                <w:highlight w:val="none"/>
              </w:rPr>
              <w:t>本项目推荐的中标候选人数量：</w:t>
            </w:r>
            <w:r>
              <w:rPr>
                <w:rFonts w:hint="eastAsia" w:ascii="仿宋_GB2312" w:hAnsi="仿宋_GB2312" w:eastAsia="仿宋_GB2312" w:cs="仿宋_GB2312"/>
                <w:snapToGrid w:val="0"/>
                <w:color w:val="auto"/>
                <w:kern w:val="28"/>
                <w:sz w:val="21"/>
                <w:szCs w:val="21"/>
                <w:highlight w:val="none"/>
                <w:lang w:val="en-US" w:eastAsia="zh-CN"/>
              </w:rPr>
              <w:t>1名</w:t>
            </w:r>
            <w:r>
              <w:rPr>
                <w:rFonts w:hint="eastAsia" w:ascii="仿宋_GB2312" w:hAnsi="仿宋_GB2312" w:eastAsia="仿宋_GB2312" w:cs="仿宋_GB2312"/>
                <w:snapToGrid w:val="0"/>
                <w:color w:val="auto"/>
                <w:kern w:val="28"/>
                <w:sz w:val="21"/>
                <w:szCs w:val="21"/>
                <w:highlight w:val="none"/>
              </w:rPr>
              <w:t>。</w:t>
            </w:r>
          </w:p>
        </w:tc>
      </w:tr>
      <w:tr w14:paraId="1938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1436639D">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18</w:t>
            </w:r>
          </w:p>
        </w:tc>
        <w:tc>
          <w:tcPr>
            <w:tcW w:w="2041" w:type="dxa"/>
            <w:vAlign w:val="center"/>
          </w:tcPr>
          <w:p w14:paraId="5C958BCC">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outlineLvl w:val="9"/>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纸质投标文件</w:t>
            </w:r>
          </w:p>
        </w:tc>
        <w:tc>
          <w:tcPr>
            <w:tcW w:w="6698" w:type="dxa"/>
            <w:vAlign w:val="center"/>
          </w:tcPr>
          <w:p w14:paraId="24BF479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snapToGrid w:val="0"/>
                <w:color w:val="auto"/>
                <w:kern w:val="28"/>
                <w:sz w:val="21"/>
                <w:szCs w:val="21"/>
                <w:highlight w:val="none"/>
              </w:rPr>
              <w:t>中标</w:t>
            </w:r>
            <w:r>
              <w:rPr>
                <w:rFonts w:hint="eastAsia" w:ascii="仿宋_GB2312" w:hAnsi="仿宋_GB2312" w:eastAsia="仿宋_GB2312" w:cs="仿宋_GB2312"/>
                <w:snapToGrid w:val="0"/>
                <w:color w:val="auto"/>
                <w:kern w:val="28"/>
                <w:sz w:val="21"/>
                <w:szCs w:val="21"/>
                <w:highlight w:val="none"/>
                <w:lang w:val="en-US" w:eastAsia="zh-CN"/>
              </w:rPr>
              <w:t>人</w:t>
            </w:r>
            <w:r>
              <w:rPr>
                <w:rFonts w:hint="eastAsia" w:ascii="仿宋_GB2312" w:hAnsi="仿宋_GB2312" w:eastAsia="仿宋_GB2312" w:cs="仿宋_GB2312"/>
                <w:snapToGrid w:val="0"/>
                <w:color w:val="auto"/>
                <w:kern w:val="28"/>
                <w:sz w:val="21"/>
                <w:szCs w:val="21"/>
                <w:highlight w:val="none"/>
              </w:rPr>
              <w:t>需在领取中标通知书时，提供本项目纸质</w:t>
            </w:r>
            <w:r>
              <w:rPr>
                <w:rFonts w:hint="eastAsia" w:ascii="仿宋_GB2312" w:hAnsi="仿宋_GB2312" w:eastAsia="仿宋_GB2312" w:cs="仿宋_GB2312"/>
                <w:snapToGrid w:val="0"/>
                <w:color w:val="auto"/>
                <w:kern w:val="28"/>
                <w:sz w:val="21"/>
                <w:szCs w:val="21"/>
                <w:highlight w:val="none"/>
                <w:lang w:val="en-US" w:eastAsia="zh-CN"/>
              </w:rPr>
              <w:t>投标</w:t>
            </w:r>
            <w:r>
              <w:rPr>
                <w:rFonts w:hint="eastAsia" w:ascii="仿宋_GB2312" w:hAnsi="仿宋_GB2312" w:eastAsia="仿宋_GB2312" w:cs="仿宋_GB2312"/>
                <w:snapToGrid w:val="0"/>
                <w:color w:val="auto"/>
                <w:kern w:val="28"/>
                <w:sz w:val="21"/>
                <w:szCs w:val="21"/>
                <w:highlight w:val="none"/>
              </w:rPr>
              <w:t>文件</w:t>
            </w:r>
            <w:r>
              <w:rPr>
                <w:rFonts w:hint="eastAsia" w:ascii="仿宋_GB2312" w:hAnsi="仿宋_GB2312" w:eastAsia="仿宋_GB2312" w:cs="仿宋_GB2312"/>
                <w:snapToGrid w:val="0"/>
                <w:color w:val="auto"/>
                <w:kern w:val="28"/>
                <w:sz w:val="21"/>
                <w:szCs w:val="21"/>
                <w:highlight w:val="none"/>
                <w:lang w:eastAsia="zh-CN"/>
              </w:rPr>
              <w:t>，</w:t>
            </w:r>
            <w:r>
              <w:rPr>
                <w:rFonts w:hint="eastAsia" w:ascii="仿宋_GB2312" w:hAnsi="仿宋_GB2312" w:eastAsia="仿宋_GB2312" w:cs="仿宋_GB2312"/>
                <w:snapToGrid w:val="0"/>
                <w:color w:val="auto"/>
                <w:kern w:val="28"/>
                <w:sz w:val="21"/>
                <w:szCs w:val="21"/>
                <w:highlight w:val="none"/>
                <w:lang w:val="en-US" w:eastAsia="zh-CN"/>
              </w:rPr>
              <w:t>具体数量以采购人要求为准</w:t>
            </w:r>
            <w:r>
              <w:rPr>
                <w:rFonts w:hint="eastAsia" w:ascii="仿宋_GB2312" w:hAnsi="仿宋_GB2312" w:eastAsia="仿宋_GB2312" w:cs="仿宋_GB2312"/>
                <w:snapToGrid w:val="0"/>
                <w:color w:val="auto"/>
                <w:kern w:val="28"/>
                <w:sz w:val="21"/>
                <w:szCs w:val="21"/>
                <w:highlight w:val="none"/>
                <w:lang w:eastAsia="zh-CN"/>
              </w:rPr>
              <w:t>。</w:t>
            </w:r>
          </w:p>
        </w:tc>
      </w:tr>
      <w:tr w14:paraId="5A58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41B39AB2">
            <w:pPr>
              <w:adjustRightInd/>
              <w:spacing w:line="44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9</w:t>
            </w:r>
          </w:p>
        </w:tc>
        <w:tc>
          <w:tcPr>
            <w:tcW w:w="2041" w:type="dxa"/>
            <w:vAlign w:val="center"/>
          </w:tcPr>
          <w:p w14:paraId="22973865">
            <w:pPr>
              <w:adjustRightInd/>
              <w:spacing w:line="44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采购</w:t>
            </w:r>
            <w:r>
              <w:rPr>
                <w:rFonts w:hint="eastAsia" w:ascii="仿宋_GB2312" w:hAnsi="仿宋_GB2312" w:eastAsia="仿宋_GB2312" w:cs="仿宋_GB2312"/>
                <w:b/>
                <w:color w:val="auto"/>
                <w:sz w:val="21"/>
                <w:szCs w:val="21"/>
                <w:highlight w:val="none"/>
              </w:rPr>
              <w:t>代理服务费</w:t>
            </w:r>
          </w:p>
          <w:p w14:paraId="13F47366">
            <w:pPr>
              <w:adjustRightInd/>
              <w:spacing w:line="44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收取方式及标准</w:t>
            </w:r>
          </w:p>
        </w:tc>
        <w:tc>
          <w:tcPr>
            <w:tcW w:w="6698" w:type="dxa"/>
            <w:vAlign w:val="center"/>
          </w:tcPr>
          <w:p w14:paraId="4236F127">
            <w:pPr>
              <w:adjustRightInd/>
              <w:spacing w:line="440" w:lineRule="exact"/>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（1）本项目采购代理服务费：根据项目中标金额，参考下表中货物招标标准（按差额定率累进法计算），并下浮20%。</w:t>
            </w:r>
          </w:p>
          <w:tbl>
            <w:tblPr>
              <w:tblStyle w:val="14"/>
              <w:tblW w:w="6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64"/>
              <w:gridCol w:w="1252"/>
              <w:gridCol w:w="1188"/>
              <w:gridCol w:w="1210"/>
            </w:tblGrid>
            <w:tr w14:paraId="0E3D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64" w:type="dxa"/>
                  <w:tcBorders>
                    <w:tl2br w:val="single" w:color="auto" w:sz="4" w:space="0"/>
                  </w:tcBorders>
                  <w:tcMar>
                    <w:top w:w="30" w:type="dxa"/>
                    <w:left w:w="150" w:type="dxa"/>
                    <w:bottom w:w="30" w:type="dxa"/>
                    <w:right w:w="150" w:type="dxa"/>
                  </w:tcMar>
                  <w:vAlign w:val="center"/>
                </w:tcPr>
                <w:p w14:paraId="49DA4379">
                  <w:pPr>
                    <w:keepNext w:val="0"/>
                    <w:keepLines w:val="0"/>
                    <w:pageBreakBefore w:val="0"/>
                    <w:widowControl w:val="0"/>
                    <w:kinsoku/>
                    <w:wordWrap/>
                    <w:overflowPunct/>
                    <w:topLinePunct w:val="0"/>
                    <w:autoSpaceDE/>
                    <w:autoSpaceDN/>
                    <w:bidi w:val="0"/>
                    <w:adjustRightInd w:val="0"/>
                    <w:snapToGrid/>
                    <w:spacing w:line="440" w:lineRule="exact"/>
                    <w:ind w:firstLine="1260" w:firstLineChars="6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服务类型</w:t>
                  </w:r>
                </w:p>
                <w:p w14:paraId="3F9D2D66">
                  <w:pPr>
                    <w:keepNext w:val="0"/>
                    <w:keepLines w:val="0"/>
                    <w:pageBreakBefore w:val="0"/>
                    <w:widowControl w:val="0"/>
                    <w:kinsoku/>
                    <w:wordWrap/>
                    <w:overflowPunct/>
                    <w:topLinePunct w:val="0"/>
                    <w:autoSpaceDE/>
                    <w:autoSpaceDN/>
                    <w:bidi w:val="0"/>
                    <w:adjustRightInd w:val="0"/>
                    <w:snapToGrid/>
                    <w:spacing w:line="440" w:lineRule="exact"/>
                    <w:ind w:firstLine="1050" w:firstLineChars="5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费率</w:t>
                  </w:r>
                </w:p>
                <w:p w14:paraId="46DDE8A0">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中标金额（万元）</w:t>
                  </w:r>
                </w:p>
              </w:tc>
              <w:tc>
                <w:tcPr>
                  <w:tcW w:w="1252" w:type="dxa"/>
                  <w:tcMar>
                    <w:top w:w="30" w:type="dxa"/>
                    <w:left w:w="150" w:type="dxa"/>
                    <w:bottom w:w="30" w:type="dxa"/>
                    <w:right w:w="150" w:type="dxa"/>
                  </w:tcMar>
                  <w:vAlign w:val="center"/>
                </w:tcPr>
                <w:p w14:paraId="2E978933">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货物招标</w:t>
                  </w:r>
                </w:p>
              </w:tc>
              <w:tc>
                <w:tcPr>
                  <w:tcW w:w="1188" w:type="dxa"/>
                  <w:tcMar>
                    <w:top w:w="30" w:type="dxa"/>
                    <w:left w:w="150" w:type="dxa"/>
                    <w:bottom w:w="30" w:type="dxa"/>
                    <w:right w:w="150" w:type="dxa"/>
                  </w:tcMar>
                  <w:vAlign w:val="center"/>
                </w:tcPr>
                <w:p w14:paraId="548F39FE">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服务招标</w:t>
                  </w:r>
                </w:p>
              </w:tc>
              <w:tc>
                <w:tcPr>
                  <w:tcW w:w="1210" w:type="dxa"/>
                  <w:tcMar>
                    <w:top w:w="30" w:type="dxa"/>
                    <w:left w:w="150" w:type="dxa"/>
                    <w:bottom w:w="30" w:type="dxa"/>
                    <w:right w:w="150" w:type="dxa"/>
                  </w:tcMar>
                  <w:vAlign w:val="center"/>
                </w:tcPr>
                <w:p w14:paraId="5B5E0BEF">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工程招标</w:t>
                  </w:r>
                </w:p>
              </w:tc>
            </w:tr>
            <w:tr w14:paraId="03CE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64" w:type="dxa"/>
                  <w:tcMar>
                    <w:top w:w="30" w:type="dxa"/>
                    <w:left w:w="150" w:type="dxa"/>
                    <w:bottom w:w="30" w:type="dxa"/>
                    <w:right w:w="150" w:type="dxa"/>
                  </w:tcMar>
                  <w:vAlign w:val="center"/>
                </w:tcPr>
                <w:p w14:paraId="09713F4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100以下</w:t>
                  </w:r>
                </w:p>
              </w:tc>
              <w:tc>
                <w:tcPr>
                  <w:tcW w:w="1252" w:type="dxa"/>
                  <w:tcMar>
                    <w:top w:w="30" w:type="dxa"/>
                    <w:left w:w="150" w:type="dxa"/>
                    <w:bottom w:w="30" w:type="dxa"/>
                    <w:right w:w="150" w:type="dxa"/>
                  </w:tcMar>
                  <w:vAlign w:val="center"/>
                </w:tcPr>
                <w:p w14:paraId="759F034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188" w:type="dxa"/>
                  <w:tcMar>
                    <w:top w:w="30" w:type="dxa"/>
                    <w:left w:w="150" w:type="dxa"/>
                    <w:bottom w:w="30" w:type="dxa"/>
                    <w:right w:w="150" w:type="dxa"/>
                  </w:tcMar>
                  <w:vAlign w:val="center"/>
                </w:tcPr>
                <w:p w14:paraId="03F18535">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210" w:type="dxa"/>
                  <w:tcMar>
                    <w:top w:w="30" w:type="dxa"/>
                    <w:left w:w="150" w:type="dxa"/>
                    <w:bottom w:w="30" w:type="dxa"/>
                    <w:right w:w="150" w:type="dxa"/>
                  </w:tcMar>
                  <w:vAlign w:val="center"/>
                </w:tcPr>
                <w:p w14:paraId="1C37E96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r>
            <w:tr w14:paraId="28CA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64" w:type="dxa"/>
                  <w:tcMar>
                    <w:top w:w="30" w:type="dxa"/>
                    <w:left w:w="150" w:type="dxa"/>
                    <w:bottom w:w="30" w:type="dxa"/>
                    <w:right w:w="150" w:type="dxa"/>
                  </w:tcMar>
                  <w:vAlign w:val="center"/>
                </w:tcPr>
                <w:p w14:paraId="1AEAE24F">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100-500</w:t>
                  </w:r>
                </w:p>
              </w:tc>
              <w:tc>
                <w:tcPr>
                  <w:tcW w:w="1252" w:type="dxa"/>
                  <w:tcMar>
                    <w:top w:w="30" w:type="dxa"/>
                    <w:left w:w="150" w:type="dxa"/>
                    <w:bottom w:w="30" w:type="dxa"/>
                    <w:right w:w="150" w:type="dxa"/>
                  </w:tcMar>
                  <w:vAlign w:val="center"/>
                </w:tcPr>
                <w:p w14:paraId="31A8B953">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1.1%</w:t>
                  </w:r>
                </w:p>
              </w:tc>
              <w:tc>
                <w:tcPr>
                  <w:tcW w:w="1188" w:type="dxa"/>
                  <w:tcMar>
                    <w:top w:w="30" w:type="dxa"/>
                    <w:left w:w="150" w:type="dxa"/>
                    <w:bottom w:w="30" w:type="dxa"/>
                    <w:right w:w="150" w:type="dxa"/>
                  </w:tcMar>
                  <w:vAlign w:val="center"/>
                </w:tcPr>
                <w:p w14:paraId="0FC940B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w:t>
                  </w:r>
                </w:p>
              </w:tc>
              <w:tc>
                <w:tcPr>
                  <w:tcW w:w="1210" w:type="dxa"/>
                  <w:tcMar>
                    <w:top w:w="30" w:type="dxa"/>
                    <w:left w:w="150" w:type="dxa"/>
                    <w:bottom w:w="30" w:type="dxa"/>
                    <w:right w:w="150" w:type="dxa"/>
                  </w:tcMar>
                  <w:vAlign w:val="center"/>
                </w:tcPr>
                <w:p w14:paraId="3321F539">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w:t>
                  </w:r>
                </w:p>
              </w:tc>
            </w:tr>
            <w:tr w14:paraId="4A3F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64" w:type="dxa"/>
                  <w:tcMar>
                    <w:top w:w="30" w:type="dxa"/>
                    <w:left w:w="150" w:type="dxa"/>
                    <w:bottom w:w="30" w:type="dxa"/>
                    <w:right w:w="150" w:type="dxa"/>
                  </w:tcMar>
                  <w:vAlign w:val="center"/>
                </w:tcPr>
                <w:p w14:paraId="140D925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500-1000</w:t>
                  </w:r>
                </w:p>
              </w:tc>
              <w:tc>
                <w:tcPr>
                  <w:tcW w:w="1252" w:type="dxa"/>
                  <w:tcMar>
                    <w:top w:w="30" w:type="dxa"/>
                    <w:left w:w="150" w:type="dxa"/>
                    <w:bottom w:w="30" w:type="dxa"/>
                    <w:right w:w="150" w:type="dxa"/>
                  </w:tcMar>
                  <w:vAlign w:val="center"/>
                </w:tcPr>
                <w:p w14:paraId="55A2B935">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w:t>
                  </w:r>
                </w:p>
              </w:tc>
              <w:tc>
                <w:tcPr>
                  <w:tcW w:w="1188" w:type="dxa"/>
                  <w:tcMar>
                    <w:top w:w="30" w:type="dxa"/>
                    <w:left w:w="150" w:type="dxa"/>
                    <w:bottom w:w="30" w:type="dxa"/>
                    <w:right w:w="150" w:type="dxa"/>
                  </w:tcMar>
                  <w:vAlign w:val="center"/>
                </w:tcPr>
                <w:p w14:paraId="1BB8B07A">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0.45%</w:t>
                  </w:r>
                </w:p>
              </w:tc>
              <w:tc>
                <w:tcPr>
                  <w:tcW w:w="1210" w:type="dxa"/>
                  <w:tcMar>
                    <w:top w:w="30" w:type="dxa"/>
                    <w:left w:w="150" w:type="dxa"/>
                    <w:bottom w:w="30" w:type="dxa"/>
                    <w:right w:w="150" w:type="dxa"/>
                  </w:tcMar>
                  <w:vAlign w:val="center"/>
                </w:tcPr>
                <w:p w14:paraId="1DE5A1D4">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0.55%</w:t>
                  </w:r>
                </w:p>
              </w:tc>
            </w:tr>
            <w:tr w14:paraId="1C62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64" w:type="dxa"/>
                  <w:tcMar>
                    <w:top w:w="30" w:type="dxa"/>
                    <w:left w:w="150" w:type="dxa"/>
                    <w:bottom w:w="30" w:type="dxa"/>
                    <w:right w:w="150" w:type="dxa"/>
                  </w:tcMar>
                  <w:vAlign w:val="center"/>
                </w:tcPr>
                <w:p w14:paraId="4985C80C">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1000-5000</w:t>
                  </w:r>
                </w:p>
              </w:tc>
              <w:tc>
                <w:tcPr>
                  <w:tcW w:w="1252" w:type="dxa"/>
                  <w:tcMar>
                    <w:top w:w="30" w:type="dxa"/>
                    <w:left w:w="150" w:type="dxa"/>
                    <w:bottom w:w="30" w:type="dxa"/>
                    <w:right w:w="150" w:type="dxa"/>
                  </w:tcMar>
                  <w:vAlign w:val="center"/>
                </w:tcPr>
                <w:p w14:paraId="77321DBB">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0.5%</w:t>
                  </w:r>
                </w:p>
              </w:tc>
              <w:tc>
                <w:tcPr>
                  <w:tcW w:w="1188" w:type="dxa"/>
                  <w:tcMar>
                    <w:top w:w="30" w:type="dxa"/>
                    <w:left w:w="150" w:type="dxa"/>
                    <w:bottom w:w="30" w:type="dxa"/>
                    <w:right w:w="150" w:type="dxa"/>
                  </w:tcMar>
                  <w:vAlign w:val="center"/>
                </w:tcPr>
                <w:p w14:paraId="2599623A">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0.25%</w:t>
                  </w:r>
                </w:p>
              </w:tc>
              <w:tc>
                <w:tcPr>
                  <w:tcW w:w="1210" w:type="dxa"/>
                  <w:tcMar>
                    <w:top w:w="30" w:type="dxa"/>
                    <w:left w:w="150" w:type="dxa"/>
                    <w:bottom w:w="30" w:type="dxa"/>
                    <w:right w:w="150" w:type="dxa"/>
                  </w:tcMar>
                  <w:vAlign w:val="center"/>
                </w:tcPr>
                <w:p w14:paraId="47089195">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0.35%</w:t>
                  </w:r>
                </w:p>
              </w:tc>
            </w:tr>
            <w:tr w14:paraId="0636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64" w:type="dxa"/>
                  <w:tcMar>
                    <w:top w:w="30" w:type="dxa"/>
                    <w:left w:w="150" w:type="dxa"/>
                    <w:bottom w:w="30" w:type="dxa"/>
                    <w:right w:w="150" w:type="dxa"/>
                  </w:tcMar>
                  <w:vAlign w:val="center"/>
                </w:tcPr>
                <w:p w14:paraId="62248BAF">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5000-10000</w:t>
                  </w:r>
                </w:p>
              </w:tc>
              <w:tc>
                <w:tcPr>
                  <w:tcW w:w="1252" w:type="dxa"/>
                  <w:tcMar>
                    <w:top w:w="30" w:type="dxa"/>
                    <w:left w:w="150" w:type="dxa"/>
                    <w:bottom w:w="30" w:type="dxa"/>
                    <w:right w:w="150" w:type="dxa"/>
                  </w:tcMar>
                  <w:vAlign w:val="center"/>
                </w:tcPr>
                <w:p w14:paraId="75507DC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0.25%</w:t>
                  </w:r>
                </w:p>
              </w:tc>
              <w:tc>
                <w:tcPr>
                  <w:tcW w:w="1188" w:type="dxa"/>
                  <w:tcMar>
                    <w:top w:w="30" w:type="dxa"/>
                    <w:left w:w="150" w:type="dxa"/>
                    <w:bottom w:w="30" w:type="dxa"/>
                    <w:right w:w="150" w:type="dxa"/>
                  </w:tcMar>
                  <w:vAlign w:val="center"/>
                </w:tcPr>
                <w:p w14:paraId="6A9F62FF">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0.1%</w:t>
                  </w:r>
                </w:p>
              </w:tc>
              <w:tc>
                <w:tcPr>
                  <w:tcW w:w="1210" w:type="dxa"/>
                  <w:tcMar>
                    <w:top w:w="30" w:type="dxa"/>
                    <w:left w:w="150" w:type="dxa"/>
                    <w:bottom w:w="30" w:type="dxa"/>
                    <w:right w:w="150" w:type="dxa"/>
                  </w:tcMar>
                  <w:vAlign w:val="center"/>
                </w:tcPr>
                <w:p w14:paraId="44AE2BFA">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w:t>
                  </w:r>
                </w:p>
              </w:tc>
            </w:tr>
            <w:tr w14:paraId="55F7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64" w:type="dxa"/>
                  <w:tcMar>
                    <w:top w:w="30" w:type="dxa"/>
                    <w:left w:w="150" w:type="dxa"/>
                    <w:bottom w:w="30" w:type="dxa"/>
                    <w:right w:w="150" w:type="dxa"/>
                  </w:tcMar>
                  <w:vAlign w:val="center"/>
                </w:tcPr>
                <w:p w14:paraId="3240A08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1亿～5亿</w:t>
                  </w:r>
                </w:p>
              </w:tc>
              <w:tc>
                <w:tcPr>
                  <w:tcW w:w="1252" w:type="dxa"/>
                  <w:tcMar>
                    <w:top w:w="30" w:type="dxa"/>
                    <w:left w:w="150" w:type="dxa"/>
                    <w:bottom w:w="30" w:type="dxa"/>
                    <w:right w:w="150" w:type="dxa"/>
                  </w:tcMar>
                  <w:vAlign w:val="center"/>
                </w:tcPr>
                <w:p w14:paraId="768D4217">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w:t>
                  </w:r>
                </w:p>
              </w:tc>
              <w:tc>
                <w:tcPr>
                  <w:tcW w:w="1188" w:type="dxa"/>
                  <w:tcMar>
                    <w:top w:w="30" w:type="dxa"/>
                    <w:left w:w="150" w:type="dxa"/>
                    <w:bottom w:w="30" w:type="dxa"/>
                    <w:right w:w="150" w:type="dxa"/>
                  </w:tcMar>
                  <w:vAlign w:val="center"/>
                </w:tcPr>
                <w:p w14:paraId="706ED435">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w:t>
                  </w:r>
                </w:p>
              </w:tc>
              <w:tc>
                <w:tcPr>
                  <w:tcW w:w="1210" w:type="dxa"/>
                  <w:tcMar>
                    <w:top w:w="30" w:type="dxa"/>
                    <w:left w:w="150" w:type="dxa"/>
                    <w:bottom w:w="30" w:type="dxa"/>
                    <w:right w:w="150" w:type="dxa"/>
                  </w:tcMar>
                  <w:vAlign w:val="center"/>
                </w:tcPr>
                <w:p w14:paraId="37C0C68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w:t>
                  </w:r>
                </w:p>
              </w:tc>
            </w:tr>
          </w:tbl>
          <w:p w14:paraId="3244E6AA">
            <w:pPr>
              <w:adjustRightInd/>
              <w:spacing w:line="440" w:lineRule="exact"/>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（2）采购代理服务费支付：</w:t>
            </w:r>
          </w:p>
          <w:p w14:paraId="4EB279AC">
            <w:pPr>
              <w:adjustRightInd/>
              <w:spacing w:line="440" w:lineRule="exact"/>
              <w:ind w:firstLine="420" w:firstLineChars="200"/>
              <w:rPr>
                <w:rFonts w:hint="eastAsia" w:ascii="仿宋_GB2312" w:hAnsi="仿宋_GB2312" w:eastAsia="仿宋_GB2312" w:cs="仿宋_GB2312"/>
                <w:snapToGrid w:val="0"/>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①由</w:t>
            </w:r>
            <w:r>
              <w:rPr>
                <w:rFonts w:hint="eastAsia" w:ascii="仿宋_GB2312" w:hAnsi="仿宋_GB2312" w:eastAsia="仿宋_GB2312" w:cs="仿宋_GB2312"/>
                <w:snapToGrid w:val="0"/>
                <w:color w:val="auto"/>
                <w:kern w:val="28"/>
                <w:sz w:val="21"/>
                <w:szCs w:val="21"/>
                <w:highlight w:val="none"/>
                <w:u w:val="single"/>
                <w:lang w:val="en-US" w:eastAsia="zh-CN"/>
              </w:rPr>
              <w:t>中标（成交）供应商</w:t>
            </w:r>
            <w:r>
              <w:rPr>
                <w:rFonts w:hint="eastAsia" w:ascii="仿宋_GB2312" w:hAnsi="仿宋_GB2312" w:eastAsia="仿宋_GB2312" w:cs="仿宋_GB2312"/>
                <w:snapToGrid w:val="0"/>
                <w:color w:val="auto"/>
                <w:kern w:val="28"/>
                <w:sz w:val="21"/>
                <w:szCs w:val="21"/>
                <w:highlight w:val="none"/>
                <w:lang w:val="en-US" w:eastAsia="zh-CN"/>
              </w:rPr>
              <w:t>在领取中标（成交）通知书时一次性支付。</w:t>
            </w:r>
          </w:p>
          <w:p w14:paraId="56E30BF6">
            <w:pPr>
              <w:adjustRightInd/>
              <w:spacing w:line="440" w:lineRule="exact"/>
              <w:ind w:firstLine="420" w:firstLineChars="200"/>
              <w:rPr>
                <w:rFonts w:hint="default" w:ascii="仿宋_GB2312" w:hAnsi="仿宋_GB2312" w:eastAsia="仿宋_GB2312" w:cs="仿宋_GB2312"/>
                <w:color w:val="auto"/>
                <w:kern w:val="28"/>
                <w:sz w:val="21"/>
                <w:szCs w:val="21"/>
                <w:highlight w:val="none"/>
                <w:lang w:val="en-US" w:eastAsia="zh-CN"/>
              </w:rPr>
            </w:pPr>
            <w:r>
              <w:rPr>
                <w:rFonts w:hint="eastAsia" w:ascii="仿宋_GB2312" w:hAnsi="仿宋_GB2312" w:eastAsia="仿宋_GB2312" w:cs="仿宋_GB2312"/>
                <w:snapToGrid w:val="0"/>
                <w:color w:val="auto"/>
                <w:kern w:val="28"/>
                <w:sz w:val="21"/>
                <w:szCs w:val="21"/>
                <w:highlight w:val="none"/>
                <w:lang w:val="en-US" w:eastAsia="zh-CN"/>
              </w:rPr>
              <w:t>②采购代理服务费缴纳形式：汇票/支票/电汇/现金。</w:t>
            </w:r>
          </w:p>
        </w:tc>
      </w:tr>
      <w:tr w14:paraId="5A11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29" w:type="dxa"/>
            <w:vAlign w:val="center"/>
          </w:tcPr>
          <w:p w14:paraId="33FD0B6D">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w:t>
            </w:r>
          </w:p>
        </w:tc>
        <w:tc>
          <w:tcPr>
            <w:tcW w:w="2041" w:type="dxa"/>
            <w:vAlign w:val="center"/>
          </w:tcPr>
          <w:p w14:paraId="760592B7">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outlineLvl w:val="9"/>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特别说明</w:t>
            </w:r>
          </w:p>
        </w:tc>
        <w:tc>
          <w:tcPr>
            <w:tcW w:w="6698" w:type="dxa"/>
            <w:vAlign w:val="center"/>
          </w:tcPr>
          <w:p w14:paraId="50898CE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仿宋_GB2312" w:hAnsi="仿宋_GB2312" w:eastAsia="仿宋_GB2312" w:cs="仿宋_GB2312"/>
                <w:color w:val="auto"/>
                <w:kern w:val="28"/>
                <w:sz w:val="21"/>
                <w:szCs w:val="21"/>
                <w:highlight w:val="none"/>
              </w:rPr>
            </w:pPr>
            <w:r>
              <w:rPr>
                <w:rFonts w:hint="eastAsia" w:ascii="仿宋_GB2312" w:hAnsi="仿宋_GB2312" w:eastAsia="仿宋_GB2312" w:cs="仿宋_GB2312"/>
                <w:snapToGrid w:val="0"/>
                <w:color w:val="auto"/>
                <w:kern w:val="28"/>
                <w:sz w:val="21"/>
                <w:szCs w:val="21"/>
                <w:highlight w:val="none"/>
              </w:rPr>
              <w:t>本项目通用总则条款与前附表等专用特别规定有冲突之处，以专用条款（特别规定）为准。</w:t>
            </w:r>
          </w:p>
        </w:tc>
      </w:tr>
    </w:tbl>
    <w:p w14:paraId="22ED9361">
      <w:pPr>
        <w:rPr>
          <w:rFonts w:hint="eastAsia"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br w:type="page"/>
      </w:r>
    </w:p>
    <w:p w14:paraId="6DFA08E0">
      <w:pPr>
        <w:adjustRightInd/>
        <w:spacing w:before="240" w:beforeLines="100" w:line="440" w:lineRule="exact"/>
        <w:jc w:val="center"/>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一、总则</w:t>
      </w:r>
    </w:p>
    <w:p w14:paraId="3DDC3A27">
      <w:pPr>
        <w:adjustRightInd/>
        <w:spacing w:line="440" w:lineRule="exact"/>
        <w:jc w:val="left"/>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1．适用范围</w:t>
      </w:r>
    </w:p>
    <w:p w14:paraId="41854834">
      <w:pPr>
        <w:adjustRightInd/>
        <w:spacing w:line="440" w:lineRule="exact"/>
        <w:ind w:firstLine="420" w:firstLineChars="20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本招标文件适用于该项目的招标、投标、开标、资格审查及信用信息查询、评标、定标、合同、验收等行为（法律、法规另有规定的，从其规定）。</w:t>
      </w:r>
    </w:p>
    <w:p w14:paraId="71B560DE">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2．定义</w:t>
      </w:r>
    </w:p>
    <w:p w14:paraId="1650A4EE">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 “采购人”系指招标公告中载明的本项目的采购人。</w:t>
      </w:r>
    </w:p>
    <w:p w14:paraId="5A316A39">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 “采购代理机构”系指招标公告中载明的本项目的采购代理机构。</w:t>
      </w:r>
    </w:p>
    <w:p w14:paraId="1055B08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 “投标人”系指是指响应招标、参加投标竞争的法人、其他组织或者自然人。</w:t>
      </w:r>
    </w:p>
    <w:p w14:paraId="722BBE9A">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2.4 “负责人”系指法人企业的法定负责人，或其他组织为法律、行政法规规定代表单位行使职权的主要负责人，或自然人本人。</w:t>
      </w:r>
    </w:p>
    <w:p w14:paraId="334C08A3">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 “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w:t>
      </w:r>
    </w:p>
    <w:p w14:paraId="0CD8147C">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2.6 “电子交易平台”是指本项目政府采购活动所依托的政府采购云平台（https</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//www.zcygov.cn/）。</w:t>
      </w:r>
    </w:p>
    <w:p w14:paraId="094B210A">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2.7 “▲”系指实质性要求条款，“</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系指适用本项目的要求，“</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系指不适用本项目的要求。</w:t>
      </w:r>
    </w:p>
    <w:p w14:paraId="6FD2C41B">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3．采购项目需要落实的政府采购政策</w:t>
      </w:r>
    </w:p>
    <w:p w14:paraId="194A1775">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3A35FA3F">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3.2 支持绿色发展</w:t>
      </w:r>
    </w:p>
    <w:p w14:paraId="3B8B621B">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3.2.1 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_GB2312" w:hAnsi="仿宋_GB2312" w:eastAsia="仿宋_GB2312" w:cs="仿宋_GB2312"/>
          <w:b/>
          <w:bCs/>
          <w:color w:val="auto"/>
          <w:sz w:val="21"/>
          <w:szCs w:val="21"/>
          <w:highlight w:val="none"/>
        </w:rPr>
        <w:t>▲采购人拟采购的产品属于政府强制采购的节能产品品目清单范围的，投标人未按招标文件要求提供国家确定的认证机构出具的、处于有效期之内的节能产品认证证书的，投标无效。</w:t>
      </w:r>
    </w:p>
    <w:p w14:paraId="4E2575EB">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3.2.2 政府采购支持绿色建材促进建筑品质提升政策实施范围的</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，采购单位要将绿色建材标准有关要求作为工程招标文件或采购文件以及合同文本的实质性要求，具体性能指标要求参考相关绿色建材政府采购需求标准。</w:t>
      </w:r>
    </w:p>
    <w:p w14:paraId="2C9E0450">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3.2.3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350D301">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 支持中小企业发展</w:t>
      </w:r>
    </w:p>
    <w:p w14:paraId="464F2ABC">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3.3.1 中小企业，是指在中华人民共和国境内依法设立，依据国务院批准的中小企业划分标准确定的中型企业、小型企业和微型企业，但与大企业的负责人为同一人，或者与大企业存在直接控股、管理关系的除外。</w:t>
      </w:r>
    </w:p>
    <w:p w14:paraId="514628C7">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符合中小企业划分标准的个体工商户，在政府采购活动中视同中小企业。</w:t>
      </w:r>
    </w:p>
    <w:p w14:paraId="0FD5CBA5">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3.3.2 在政府采购活动中，投标人提供的服务符合下列情形的，享受中小企业扶持政策：在服务采购项目中，服务由中小企业承接，即提供服务的人员为中小企业依照《中华人民共和国劳动合同法》订立劳动合同的从业人员。</w:t>
      </w:r>
    </w:p>
    <w:p w14:paraId="569716F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以联合体形式参加政府采购活动，联合体各方均为中小企业的，联合体视同中小企业。其中，联合体各方均为小微企业的，联合体视同小微企业。</w:t>
      </w:r>
    </w:p>
    <w:p w14:paraId="0C6D0AC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3.3.3 对于未预留份额专门面向中小企业的</w:t>
      </w:r>
      <w:r>
        <w:rPr>
          <w:rFonts w:hint="eastAsia" w:ascii="仿宋_GB2312" w:hAnsi="仿宋_GB2312" w:eastAsia="仿宋_GB2312" w:cs="仿宋_GB2312"/>
          <w:color w:val="auto"/>
          <w:sz w:val="21"/>
          <w:szCs w:val="21"/>
          <w:highlight w:val="none"/>
          <w:lang w:eastAsia="zh-CN"/>
        </w:rPr>
        <w:t>政府采购货物</w:t>
      </w:r>
      <w:r>
        <w:rPr>
          <w:rFonts w:hint="eastAsia" w:ascii="仿宋_GB2312" w:hAnsi="仿宋_GB2312" w:eastAsia="仿宋_GB2312" w:cs="仿宋_GB2312"/>
          <w:color w:val="auto"/>
          <w:sz w:val="21"/>
          <w:szCs w:val="21"/>
          <w:highlight w:val="none"/>
        </w:rPr>
        <w:t>项目，以及预留份额</w:t>
      </w:r>
      <w:r>
        <w:rPr>
          <w:rFonts w:hint="eastAsia" w:ascii="仿宋_GB2312" w:hAnsi="仿宋_GB2312" w:eastAsia="仿宋_GB2312" w:cs="仿宋_GB2312"/>
          <w:color w:val="auto"/>
          <w:sz w:val="21"/>
          <w:szCs w:val="21"/>
          <w:highlight w:val="none"/>
          <w:lang w:eastAsia="zh-CN"/>
        </w:rPr>
        <w:t>政府采购货物</w:t>
      </w:r>
      <w:r>
        <w:rPr>
          <w:rFonts w:hint="eastAsia" w:ascii="仿宋_GB2312" w:hAnsi="仿宋_GB2312" w:eastAsia="仿宋_GB2312" w:cs="仿宋_GB2312"/>
          <w:color w:val="auto"/>
          <w:sz w:val="21"/>
          <w:szCs w:val="21"/>
          <w:highlight w:val="none"/>
        </w:rPr>
        <w:t>项目中的非预留部分标项，对小型和微型企业的投标报价给予10%的扣除，用扣除后的价格参与评审。接受大中型企业与小微企业组成联合体或者允许大中型企业向一家或者多家小微企业分包的</w:t>
      </w:r>
      <w:r>
        <w:rPr>
          <w:rFonts w:hint="eastAsia" w:ascii="仿宋_GB2312" w:hAnsi="仿宋_GB2312" w:eastAsia="仿宋_GB2312" w:cs="仿宋_GB2312"/>
          <w:color w:val="auto"/>
          <w:sz w:val="21"/>
          <w:szCs w:val="21"/>
          <w:highlight w:val="none"/>
          <w:lang w:eastAsia="zh-CN"/>
        </w:rPr>
        <w:t>政府采购货物</w:t>
      </w:r>
      <w:r>
        <w:rPr>
          <w:rFonts w:hint="eastAsia" w:ascii="仿宋_GB2312" w:hAnsi="仿宋_GB2312" w:eastAsia="仿宋_GB2312" w:cs="仿宋_GB2312"/>
          <w:color w:val="auto"/>
          <w:sz w:val="21"/>
          <w:szCs w:val="21"/>
          <w:highlight w:val="none"/>
        </w:rPr>
        <w:t>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4420C9F5">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3.3.4 符合《关于促进残疾人就业政府采购政策的通知》（财库〔2017〕141号）规定的条件并提供《残疾人福利性单位声明函》（附件1）的残疾人福利性单位视同小型、微型企业；</w:t>
      </w:r>
    </w:p>
    <w:p w14:paraId="0B86EF91">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3.3.5 符合《关于政府采购支持监狱企业发展有关问题的通知》（财库</w:t>
      </w:r>
      <w:r>
        <w:rPr>
          <w:rFonts w:hint="eastAsia" w:ascii="仿宋_GB2312" w:hAnsi="仿宋_GB2312" w:eastAsia="仿宋_GB2312" w:cs="仿宋_GB2312"/>
          <w:color w:val="auto"/>
          <w:sz w:val="21"/>
          <w:szCs w:val="21"/>
          <w:highlight w:val="none"/>
          <w:lang w:eastAsia="zh-CN"/>
        </w:rPr>
        <w:t>〔2014〕</w:t>
      </w:r>
      <w:r>
        <w:rPr>
          <w:rFonts w:hint="eastAsia" w:ascii="仿宋_GB2312" w:hAnsi="仿宋_GB2312" w:eastAsia="仿宋_GB2312" w:cs="仿宋_GB2312"/>
          <w:color w:val="auto"/>
          <w:sz w:val="21"/>
          <w:szCs w:val="21"/>
          <w:highlight w:val="none"/>
        </w:rPr>
        <w:t>68号）规定的监狱企业并提供由省级以上监狱管理局、戒毒管理局（含新疆生产建设兵团）出具的属于监狱企业证明文件的，视同为小型、微型企业。</w:t>
      </w:r>
    </w:p>
    <w:p w14:paraId="14F95F8B">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3.3.6 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B429799">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3.3.7 中小企业享受扶持政策获得政府采购合同的，小微企业不得将合同分包给大中型企业，中型企业不得将合同分包给大型企业。</w:t>
      </w:r>
    </w:p>
    <w:p w14:paraId="64CA0690">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3.4 支持创新发展</w:t>
      </w:r>
    </w:p>
    <w:p w14:paraId="1734355A">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.4.1 采购人优先采购被认定为首台套产品和“制造精品”的自主创新产品。</w:t>
      </w:r>
    </w:p>
    <w:p w14:paraId="192B33F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.4.2 对省级以上主管部门认定的首台套产品，自纳入《省推广应用指导目录》起三年内，以及产品核心技术高于国内领先水平，并具有明晰自主知识产权的“制造精品”产品，自认定之日起2年内参加政府采购活动时，视同已具备相应销售业绩，业绩分值为满分。</w:t>
      </w:r>
    </w:p>
    <w:p w14:paraId="12A8A13F">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3.4.</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 xml:space="preserve"> 采购人应当贯彻落实知识产权保护相关法律法规，应当采购使用正版软件。</w:t>
      </w:r>
    </w:p>
    <w:p w14:paraId="415F653D">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3.5 平等对待内外资企业和符合条件的破产重整企业</w:t>
      </w:r>
    </w:p>
    <w:p w14:paraId="444995C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平等对待内外资企业和符合条件的破产重整企业，切实保障企业公平竞争，平等维护企业的合法利益。</w:t>
      </w:r>
    </w:p>
    <w:p w14:paraId="0A219344">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3.6</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val="zh-CN"/>
        </w:rPr>
        <w:t>支持本国产品</w:t>
      </w:r>
    </w:p>
    <w:p w14:paraId="4E6B273E">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3.6.1</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val="zh-CN"/>
        </w:rPr>
        <w:t>本国产品标准（依据《国务院办公厅关于在政府采购中实施本国产品标准及相关政策的通知》国办发〔2025〕34号）。</w:t>
      </w:r>
    </w:p>
    <w:p w14:paraId="0257DA3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本国产品应当符合以下条件：</w:t>
      </w:r>
    </w:p>
    <w:p w14:paraId="298A8EE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（一）在中国境内生产</w:t>
      </w:r>
    </w:p>
    <w:p w14:paraId="39688E4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11003F1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1．为确保产品在运输或者储存期间保持某种状态而进行的操作；</w:t>
      </w:r>
    </w:p>
    <w:p w14:paraId="1B852E74">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2．为产品运输或者销售进行的包装或者展示；</w:t>
      </w:r>
    </w:p>
    <w:p w14:paraId="70A3A15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3．在产品或者其包装上粘贴或者印刷品牌、标志、标识以及其他用于区别的标记；</w:t>
      </w:r>
    </w:p>
    <w:p w14:paraId="6EA6D21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4．简单的上漆、磨光和分装；</w:t>
      </w:r>
    </w:p>
    <w:p w14:paraId="7FB54AF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5．其他不属于属性改变的情形。</w:t>
      </w:r>
    </w:p>
    <w:p w14:paraId="77EDE38D">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（二）在中国境内生产的组件成本占比达到规定比例</w:t>
      </w:r>
    </w:p>
    <w:p w14:paraId="69F7A7D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产品在中国境内生产的组件成本占比应当达到规定比例，计算公式为：</w:t>
      </w:r>
    </w:p>
    <w:p w14:paraId="2EFBF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drawing>
          <wp:inline distT="0" distB="0" distL="114300" distR="114300">
            <wp:extent cx="4235450" cy="611505"/>
            <wp:effectExtent l="0" t="0" r="12700" b="17145"/>
            <wp:docPr id="5"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W020250930645245947614"/>
                    <pic:cNvPicPr>
                      <a:picLocks noChangeAspect="1"/>
                    </pic:cNvPicPr>
                  </pic:nvPicPr>
                  <pic:blipFill>
                    <a:blip r:embed="rId8"/>
                    <a:stretch>
                      <a:fillRect/>
                    </a:stretch>
                  </pic:blipFill>
                  <pic:spPr>
                    <a:xfrm>
                      <a:off x="0" y="0"/>
                      <a:ext cx="4235450" cy="611505"/>
                    </a:xfrm>
                    <a:prstGeom prst="rect">
                      <a:avLst/>
                    </a:prstGeom>
                    <a:noFill/>
                    <a:ln>
                      <a:noFill/>
                    </a:ln>
                  </pic:spPr>
                </pic:pic>
              </a:graphicData>
            </a:graphic>
          </wp:inline>
        </w:drawing>
      </w:r>
    </w:p>
    <w:p w14:paraId="1850434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DDD80D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（三）特定产品的关键组件、关键工序符合相关要求</w:t>
      </w:r>
    </w:p>
    <w:p w14:paraId="3E3540C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对特定产品，在符合本通知第一条第（一）项和第（二）项条件的基础上，应当符合财政部会同有关行业主管部门确定的其关键组件、关键工序在中国境内生产、完成等要求。</w:t>
      </w:r>
    </w:p>
    <w:p w14:paraId="3566FCA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3.6.2 本国产品标准的适用范围</w:t>
      </w:r>
    </w:p>
    <w:p w14:paraId="6C4D812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13F01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3.6.3 对本国产品的支持政策</w:t>
      </w:r>
    </w:p>
    <w:p w14:paraId="6EAA114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政府采购活动中既有本国产品又有非本国产品参与竞争的，依法对本国产品给予价格评审优惠，对本国产品的报价给予20%的价格扣除，用扣除后的价格参与评审。</w:t>
      </w:r>
    </w:p>
    <w:p w14:paraId="4E54EE8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9F256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3.6.4</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val="zh-CN"/>
        </w:rPr>
        <w:t>有关证明文件</w:t>
      </w:r>
    </w:p>
    <w:p w14:paraId="22EC297D">
      <w:pPr>
        <w:adjustRightInd/>
        <w:spacing w:line="440" w:lineRule="exact"/>
        <w:ind w:firstLine="420" w:firstLineChars="200"/>
        <w:jc w:val="both"/>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color w:val="auto"/>
          <w:sz w:val="21"/>
          <w:szCs w:val="21"/>
          <w:highlight w:val="none"/>
          <w:lang w:val="zh-CN"/>
        </w:rPr>
        <w:t>供应商提供产品符合《国务院办公厅关于在政府采购中实施本国产品标准及相关政策的通知》（国办发〔2025〕34号）本国产品相关规定的，提供《关于符合本国产品标准的声明函》（格式见本采购文件第六部分，以下简称《声明函》）或财政部会同有关部门规定的有关证明文件，该产品视为本国产品。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r>
        <w:rPr>
          <w:rFonts w:hint="eastAsia" w:ascii="仿宋_GB2312" w:hAnsi="仿宋_GB2312" w:eastAsia="仿宋_GB2312" w:cs="仿宋_GB2312"/>
          <w:color w:val="auto"/>
          <w:sz w:val="21"/>
          <w:szCs w:val="21"/>
          <w:highlight w:val="none"/>
          <w:lang w:val="zh-CN"/>
        </w:rPr>
        <w:cr/>
      </w:r>
      <w:r>
        <w:rPr>
          <w:rFonts w:hint="eastAsia" w:ascii="仿宋_GB2312" w:hAnsi="仿宋_GB2312" w:eastAsia="仿宋_GB2312" w:cs="仿宋_GB2312"/>
          <w:b/>
          <w:color w:val="auto"/>
          <w:sz w:val="21"/>
          <w:szCs w:val="21"/>
          <w:highlight w:val="none"/>
        </w:rPr>
        <w:t>4．询问、质疑、投诉</w:t>
      </w:r>
    </w:p>
    <w:p w14:paraId="32210BB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4.1</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在线询问、质疑、投诉。根据《浙江省财政厅关于印发浙江省政府采购询问和质疑实施办法的通知》（浙财采监〔2025〕11号）文件，供应商可以通过浙江省政府采购云平台（以下简称电子交易平台）向采购人、采购代理机构提出询问和质疑。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76808C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w:t>
      </w:r>
      <w:r>
        <w:rPr>
          <w:rFonts w:hint="eastAsia" w:ascii="仿宋_GB2312" w:hAnsi="仿宋_GB2312" w:eastAsia="仿宋_GB2312" w:cs="仿宋_GB2312"/>
          <w:color w:val="auto"/>
          <w:sz w:val="21"/>
          <w:szCs w:val="21"/>
          <w:highlight w:val="none"/>
        </w:rPr>
        <w:t xml:space="preserve">2 </w:t>
      </w:r>
      <w:r>
        <w:rPr>
          <w:rFonts w:hint="eastAsia" w:ascii="仿宋_GB2312" w:hAnsi="仿宋_GB2312" w:eastAsia="仿宋_GB2312" w:cs="仿宋_GB2312"/>
          <w:color w:val="auto"/>
          <w:sz w:val="21"/>
          <w:szCs w:val="21"/>
          <w:highlight w:val="none"/>
          <w:lang w:val="zh-CN"/>
        </w:rPr>
        <w:t>供应商询问</w:t>
      </w:r>
    </w:p>
    <w:p w14:paraId="44A9CFB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供应商对政府采购活动事项有疑问的，可以向采购人、采购代理机构提出询问。采购人、采购代理机构应当及时对供应商依法提出的询问作出明确答复，答复期限最长不得超过三个工作日。但答复的内容不得涉及商业秘密。供应商提出的询问超出采购人对采购代理机构委托授权范围的，采购代理机构应当告知供应商向采购人提出。</w:t>
      </w:r>
    </w:p>
    <w:p w14:paraId="1149046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w:t>
      </w:r>
      <w:r>
        <w:rPr>
          <w:rFonts w:hint="eastAsia" w:ascii="仿宋_GB2312" w:hAnsi="仿宋_GB2312" w:eastAsia="仿宋_GB2312" w:cs="仿宋_GB2312"/>
          <w:color w:val="auto"/>
          <w:sz w:val="21"/>
          <w:szCs w:val="21"/>
          <w:highlight w:val="none"/>
        </w:rPr>
        <w:t xml:space="preserve">3 </w:t>
      </w:r>
      <w:r>
        <w:rPr>
          <w:rFonts w:hint="eastAsia" w:ascii="仿宋_GB2312" w:hAnsi="仿宋_GB2312" w:eastAsia="仿宋_GB2312" w:cs="仿宋_GB2312"/>
          <w:color w:val="auto"/>
          <w:sz w:val="21"/>
          <w:szCs w:val="21"/>
          <w:highlight w:val="none"/>
          <w:lang w:val="zh-CN"/>
        </w:rPr>
        <w:t>供应商质疑</w:t>
      </w:r>
    </w:p>
    <w:p w14:paraId="1160B26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zh-CN"/>
        </w:rPr>
        <w:t>4.</w:t>
      </w:r>
      <w:r>
        <w:rPr>
          <w:rFonts w:hint="eastAsia" w:ascii="仿宋_GB2312" w:hAnsi="仿宋_GB2312" w:eastAsia="仿宋_GB2312" w:cs="仿宋_GB2312"/>
          <w:color w:val="auto"/>
          <w:sz w:val="21"/>
          <w:szCs w:val="21"/>
          <w:highlight w:val="none"/>
        </w:rPr>
        <w:t>3.1 提出质疑的供应商（以下简称质疑供应商）应当是参与所质疑项目采购活动的供应商。潜在供应商已依法获取其可质疑的招标文件的，可以对该文件提出质疑。</w:t>
      </w:r>
    </w:p>
    <w:p w14:paraId="4EC75EE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项目设立、项目预算、采购方式、组织形式、进口产品核准、采购需求调查过程、专门面向中小企业采购、合同履约等不属于可质疑事项。</w:t>
      </w:r>
    </w:p>
    <w:p w14:paraId="6D112EB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zh-CN"/>
        </w:rPr>
        <w:t>4.</w:t>
      </w:r>
      <w:r>
        <w:rPr>
          <w:rFonts w:hint="eastAsia" w:ascii="仿宋_GB2312" w:hAnsi="仿宋_GB2312" w:eastAsia="仿宋_GB2312" w:cs="仿宋_GB2312"/>
          <w:color w:val="auto"/>
          <w:sz w:val="21"/>
          <w:szCs w:val="21"/>
          <w:highlight w:val="none"/>
        </w:rPr>
        <w:t>3.2 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r>
        <w:rPr>
          <w:rFonts w:hint="eastAsia" w:ascii="仿宋_GB2312" w:hAnsi="仿宋_GB2312" w:eastAsia="仿宋_GB2312" w:cs="仿宋_GB2312"/>
          <w:color w:val="auto"/>
          <w:sz w:val="21"/>
          <w:szCs w:val="21"/>
          <w:highlight w:val="none"/>
          <w:lang w:eastAsia="zh-CN"/>
        </w:rPr>
        <w:t>。</w:t>
      </w:r>
    </w:p>
    <w:p w14:paraId="21187DB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 xml:space="preserve">3 </w:t>
      </w:r>
      <w:r>
        <w:rPr>
          <w:rFonts w:hint="eastAsia" w:ascii="仿宋_GB2312" w:hAnsi="仿宋_GB2312" w:eastAsia="仿宋_GB2312" w:cs="仿宋_GB2312"/>
          <w:color w:val="auto"/>
          <w:sz w:val="21"/>
          <w:szCs w:val="21"/>
          <w:highlight w:val="none"/>
          <w:lang w:val="zh-CN"/>
        </w:rPr>
        <w:t>供应商知道或者应知其权益受到损害之日，是指：</w:t>
      </w:r>
    </w:p>
    <w:p w14:paraId="2B3A34D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en-US" w:eastAsia="zh-CN"/>
        </w:rPr>
        <w:t>4.3.3.</w:t>
      </w:r>
      <w:r>
        <w:rPr>
          <w:rFonts w:hint="eastAsia" w:ascii="仿宋_GB2312" w:hAnsi="仿宋_GB2312" w:eastAsia="仿宋_GB2312" w:cs="仿宋_GB2312"/>
          <w:color w:val="auto"/>
          <w:sz w:val="21"/>
          <w:szCs w:val="21"/>
          <w:highlight w:val="none"/>
          <w:lang w:val="zh-CN"/>
        </w:rPr>
        <w:t>1</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val="zh-CN"/>
        </w:rPr>
        <w:t>对可以质疑的采购文件提出质疑的，为获取采购文件之日；获取采购文件时采购公告期限已届满的，为采购公告期限届满之日；</w:t>
      </w:r>
    </w:p>
    <w:p w14:paraId="3655F11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en-US" w:eastAsia="zh-CN"/>
        </w:rPr>
        <w:t>4.3.3.</w:t>
      </w:r>
      <w:r>
        <w:rPr>
          <w:rFonts w:hint="eastAsia" w:ascii="仿宋_GB2312" w:hAnsi="仿宋_GB2312" w:eastAsia="仿宋_GB2312" w:cs="仿宋_GB2312"/>
          <w:color w:val="auto"/>
          <w:sz w:val="21"/>
          <w:szCs w:val="21"/>
          <w:highlight w:val="none"/>
          <w:lang w:val="zh-CN"/>
        </w:rPr>
        <w:t>2</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val="zh-CN"/>
        </w:rPr>
        <w:t>对采购过程中开标、资格审查、符合性审查和评审等环节提出质疑的，为各采购程序环节结束之日；</w:t>
      </w:r>
    </w:p>
    <w:p w14:paraId="7AB9576D">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en-US" w:eastAsia="zh-CN"/>
        </w:rPr>
        <w:t xml:space="preserve">4.3.3.3 </w:t>
      </w:r>
      <w:r>
        <w:rPr>
          <w:rFonts w:hint="eastAsia" w:ascii="仿宋_GB2312" w:hAnsi="仿宋_GB2312" w:eastAsia="仿宋_GB2312" w:cs="仿宋_GB2312"/>
          <w:color w:val="auto"/>
          <w:sz w:val="21"/>
          <w:szCs w:val="21"/>
          <w:highlight w:val="none"/>
          <w:lang w:val="zh-CN"/>
        </w:rPr>
        <w:t>对中标或者成交结果提出质疑的，为中标或者成交结果公告期限届满之日；</w:t>
      </w:r>
    </w:p>
    <w:p w14:paraId="259F887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rPr>
        <w:t>4.</w:t>
      </w:r>
      <w:r>
        <w:rPr>
          <w:rFonts w:hint="eastAsia" w:ascii="仿宋_GB2312" w:hAnsi="仿宋_GB2312" w:eastAsia="仿宋_GB2312" w:cs="仿宋_GB2312"/>
          <w:color w:val="auto"/>
          <w:sz w:val="21"/>
          <w:szCs w:val="21"/>
          <w:highlight w:val="none"/>
          <w:lang w:val="en-US" w:eastAsia="zh-CN"/>
        </w:rPr>
        <w:t xml:space="preserve">3.3.4 </w:t>
      </w:r>
      <w:r>
        <w:rPr>
          <w:rFonts w:hint="eastAsia" w:ascii="仿宋_GB2312" w:hAnsi="仿宋_GB2312" w:eastAsia="仿宋_GB2312" w:cs="仿宋_GB2312"/>
          <w:color w:val="auto"/>
          <w:sz w:val="21"/>
          <w:szCs w:val="21"/>
          <w:highlight w:val="none"/>
          <w:lang w:val="zh-CN"/>
        </w:rPr>
        <w:t>采购文件、采购过程、中标或者成交结果发生澄清、修改、更正的，对经澄清、修改、更正的部分内容提出质疑的，为通知送达供应商之日或者澄清公告、更正公告发布之</w:t>
      </w:r>
      <w:r>
        <w:rPr>
          <w:rFonts w:hint="eastAsia" w:ascii="仿宋_GB2312" w:hAnsi="仿宋_GB2312" w:eastAsia="仿宋_GB2312" w:cs="仿宋_GB2312"/>
          <w:color w:val="auto"/>
          <w:sz w:val="21"/>
          <w:szCs w:val="21"/>
          <w:highlight w:val="none"/>
          <w:lang w:val="en-US" w:eastAsia="zh-CN"/>
        </w:rPr>
        <w:t>日。</w:t>
      </w:r>
    </w:p>
    <w:p w14:paraId="3BACA38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供应商提出质疑应当提交质疑函和必要的证明材料。质疑函应当包括下列内容：</w:t>
      </w:r>
    </w:p>
    <w:p w14:paraId="6F90ED3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zh-CN"/>
        </w:rPr>
        <w:t>.1</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供应商的姓名或者名称、地址、邮编、联系人及联系电话；</w:t>
      </w:r>
    </w:p>
    <w:p w14:paraId="339DE90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zh-CN"/>
        </w:rPr>
        <w:t>.2</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质疑项目的名称、编号；</w:t>
      </w:r>
    </w:p>
    <w:p w14:paraId="7D3A49E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zh-CN"/>
        </w:rPr>
        <w:t>.3</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具体、明确的质疑事项和与质疑事项相关的请求；</w:t>
      </w:r>
    </w:p>
    <w:p w14:paraId="4C902F2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zh-CN"/>
        </w:rPr>
        <w:t>.4</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事实依据；</w:t>
      </w:r>
    </w:p>
    <w:p w14:paraId="112E2BF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zh-CN"/>
        </w:rPr>
        <w:t>.5</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必要的法律依据；</w:t>
      </w:r>
    </w:p>
    <w:p w14:paraId="2D170D3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zh-CN"/>
        </w:rPr>
        <w:t>.6</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提出质疑的日期。</w:t>
      </w:r>
    </w:p>
    <w:p w14:paraId="7672E97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4D7B187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质疑函范本请到浙江政府采购网下载专区下载。</w:t>
      </w:r>
    </w:p>
    <w:p w14:paraId="137B48E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zh-CN"/>
        </w:rPr>
        <w:t xml:space="preserve"> 对同一采购程序环节的质疑，供应商须在法定质疑期内一次性提出。</w:t>
      </w:r>
    </w:p>
    <w:p w14:paraId="38FC664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en-US" w:eastAsia="zh-CN"/>
        </w:rPr>
        <w:t>4.3.6 质疑</w:t>
      </w:r>
      <w:r>
        <w:rPr>
          <w:rFonts w:hint="eastAsia" w:ascii="仿宋_GB2312" w:hAnsi="仿宋_GB2312" w:eastAsia="仿宋_GB2312" w:cs="仿宋_GB2312"/>
          <w:color w:val="auto"/>
          <w:sz w:val="21"/>
          <w:szCs w:val="21"/>
          <w:highlight w:val="none"/>
          <w:lang w:val="zh-CN"/>
        </w:rPr>
        <w:t>供应商通过电子交易平台提交质疑函的，提出质疑日期为质疑函在电子交易平台提交当日。</w:t>
      </w:r>
      <w:r>
        <w:rPr>
          <w:rFonts w:hint="eastAsia" w:ascii="仿宋_GB2312" w:hAnsi="仿宋_GB2312" w:eastAsia="仿宋_GB2312" w:cs="仿宋_GB2312"/>
          <w:color w:val="auto"/>
          <w:sz w:val="21"/>
          <w:szCs w:val="21"/>
          <w:highlight w:val="none"/>
          <w:lang w:val="en-US" w:eastAsia="zh-CN"/>
        </w:rPr>
        <w:t>质疑</w:t>
      </w:r>
      <w:r>
        <w:rPr>
          <w:rFonts w:hint="eastAsia" w:ascii="仿宋_GB2312" w:hAnsi="仿宋_GB2312" w:eastAsia="仿宋_GB2312" w:cs="仿宋_GB2312"/>
          <w:color w:val="auto"/>
          <w:sz w:val="21"/>
          <w:szCs w:val="21"/>
          <w:highlight w:val="none"/>
          <w:lang w:val="zh-CN"/>
        </w:rPr>
        <w:t>供应商通过邮寄提交质疑函的，</w:t>
      </w:r>
      <w:r>
        <w:rPr>
          <w:rFonts w:hint="eastAsia" w:ascii="仿宋_GB2312" w:hAnsi="仿宋_GB2312" w:eastAsia="仿宋_GB2312" w:cs="仿宋_GB2312"/>
          <w:color w:val="auto"/>
          <w:sz w:val="21"/>
          <w:szCs w:val="21"/>
          <w:highlight w:val="none"/>
          <w:lang w:val="en-US" w:eastAsia="zh-CN"/>
        </w:rPr>
        <w:t>质疑</w:t>
      </w:r>
      <w:r>
        <w:rPr>
          <w:rFonts w:hint="eastAsia" w:ascii="仿宋_GB2312" w:hAnsi="仿宋_GB2312" w:eastAsia="仿宋_GB2312" w:cs="仿宋_GB2312"/>
          <w:color w:val="auto"/>
          <w:sz w:val="21"/>
          <w:szCs w:val="21"/>
          <w:highlight w:val="none"/>
          <w:lang w:val="zh-CN"/>
        </w:rPr>
        <w:t>供应商应在质疑期内交邮，并承担邮寄费用。</w:t>
      </w:r>
      <w:r>
        <w:rPr>
          <w:rFonts w:hint="eastAsia" w:ascii="仿宋_GB2312" w:hAnsi="仿宋_GB2312" w:eastAsia="仿宋_GB2312" w:cs="仿宋_GB2312"/>
          <w:color w:val="auto"/>
          <w:sz w:val="21"/>
          <w:szCs w:val="21"/>
          <w:highlight w:val="none"/>
          <w:lang w:val="en-US" w:eastAsia="zh-CN"/>
        </w:rPr>
        <w:t>质疑</w:t>
      </w:r>
      <w:r>
        <w:rPr>
          <w:rFonts w:hint="eastAsia" w:ascii="仿宋_GB2312" w:hAnsi="仿宋_GB2312" w:eastAsia="仿宋_GB2312" w:cs="仿宋_GB2312"/>
          <w:color w:val="auto"/>
          <w:sz w:val="21"/>
          <w:szCs w:val="21"/>
          <w:highlight w:val="none"/>
          <w:lang w:val="zh-CN"/>
        </w:rPr>
        <w:t>供应商现场递交质疑函的，采购人、采购代理机构应向供应商出具签收回执，注明接收日期。</w:t>
      </w:r>
    </w:p>
    <w:p w14:paraId="7B69E7A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 xml:space="preserve">7 </w:t>
      </w:r>
      <w:r>
        <w:rPr>
          <w:rFonts w:hint="eastAsia" w:ascii="仿宋_GB2312" w:hAnsi="仿宋_GB2312" w:eastAsia="仿宋_GB2312" w:cs="仿宋_GB2312"/>
          <w:color w:val="auto"/>
          <w:sz w:val="21"/>
          <w:szCs w:val="21"/>
          <w:highlight w:val="none"/>
          <w:lang w:val="zh-CN"/>
        </w:rPr>
        <w:t>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26AA53C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333D677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 xml:space="preserve">8 </w:t>
      </w:r>
      <w:r>
        <w:rPr>
          <w:rFonts w:hint="eastAsia" w:ascii="仿宋_GB2312" w:hAnsi="仿宋_GB2312" w:eastAsia="仿宋_GB2312" w:cs="仿宋_GB2312"/>
          <w:color w:val="auto"/>
          <w:sz w:val="21"/>
          <w:szCs w:val="21"/>
          <w:highlight w:val="none"/>
          <w:lang w:val="zh-CN"/>
        </w:rPr>
        <w:t>供应商有下列情形之一的，质疑事项不予处理，由采购人、采购代理机构收到质疑函后七个工作日内书面通知质疑供应商：</w:t>
      </w:r>
    </w:p>
    <w:p w14:paraId="5E70923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（1）潜在供应商未提供依法获取采购文件证据材料，对采购文件提出质疑的；</w:t>
      </w:r>
    </w:p>
    <w:p w14:paraId="49CBCDE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（2）供应商未按采购人、采购代理机构要求提供项目设置的特定资格条件证明材料，对特定资格条件以外的采购文件内容提出质疑的；</w:t>
      </w:r>
    </w:p>
    <w:p w14:paraId="15F25AC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（3）未提交投标文件，对采购过程、采购结果提出质疑的；</w:t>
      </w:r>
    </w:p>
    <w:p w14:paraId="6ECE2A3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（4）未通过资格审查，对评审过程、采购结果提出质疑的；</w:t>
      </w:r>
    </w:p>
    <w:p w14:paraId="47E9135D">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（5）未通过符合性审查，对符合性审查后的评审活动、采购结果提出质疑的；</w:t>
      </w:r>
    </w:p>
    <w:p w14:paraId="7825C86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（6）未通过采购文件规定的方式提出质疑的；</w:t>
      </w:r>
    </w:p>
    <w:p w14:paraId="4F5897C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（7）提出质疑时间已超出法定质疑期的；</w:t>
      </w:r>
    </w:p>
    <w:p w14:paraId="2E19506D">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（8）采购文件要求供应商在法定质疑期内一次性提出针对同一采购程序环节质疑，再次提出质疑的；</w:t>
      </w:r>
    </w:p>
    <w:p w14:paraId="62373B3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（9）质疑函未按采购人、采购代理机构要求补充完善签署、盖章、联系方式、提交合法有效的授权委托书的；</w:t>
      </w:r>
    </w:p>
    <w:p w14:paraId="2113994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（10）质疑供应商未按照采购人、采购代理机构要求提供属于潜在供应商或其合法权益受到损害的事实依据的；</w:t>
      </w:r>
    </w:p>
    <w:p w14:paraId="562D87E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（11）以联合体形式参加政府采购活动，联合体成员未共同提出质疑的；</w:t>
      </w:r>
    </w:p>
    <w:p w14:paraId="1C854A9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（12）法律法规或省级以上财政部门规定的其他情形。</w:t>
      </w:r>
    </w:p>
    <w:p w14:paraId="03311FBD">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lang w:val="zh-CN"/>
        </w:rPr>
        <w:t xml:space="preserve"> 采购人或者采购代理机构应当在收到供应商的书面质疑后七个工作日内作出答复，并以书面形式通知质疑供应商和其他与质疑处理结果有利害关系的政府采购当事人，但答复的内容不得涉及商业秘密。质疑答复按照相关规定在浙江政府采购网公告或留存。</w:t>
      </w:r>
    </w:p>
    <w:p w14:paraId="37E45F4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4.3.</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zh-CN"/>
        </w:rPr>
        <w:t xml:space="preserve"> 询问或者质疑事项可能影响采购结果的，采购人应当暂停签订合同，已经签订合同的，应当中止履行合同。</w:t>
      </w:r>
    </w:p>
    <w:p w14:paraId="2F13D81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4.4 供应商投诉</w:t>
      </w:r>
    </w:p>
    <w:p w14:paraId="02A1C38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4.4.1 质疑供应商对采购人、采购代理机构的答复不满意或者采购人、采购代理机构未在规定的时间内作出答复的，可以在答复期满后十五个工作日内向同级政府采购监督管理部门提出投诉。</w:t>
      </w:r>
    </w:p>
    <w:p w14:paraId="55B142E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4.4.2 供应商投诉的事项不得超出已质疑事项的范围，基于质疑答复内容提出的投诉事项除外。</w:t>
      </w:r>
    </w:p>
    <w:p w14:paraId="7398B47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4.4.3 供应商投诉应当有明确的请求和必要的证明材料。</w:t>
      </w:r>
    </w:p>
    <w:p w14:paraId="5A97F50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4.4.4 以联合体形式参加政府采购活动的，其投诉应当由组成联合体的所有供应商共同提出。</w:t>
      </w:r>
    </w:p>
    <w:p w14:paraId="2E9B3FE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投诉书范本请到浙江政府采购网下载专区下载。</w:t>
      </w:r>
    </w:p>
    <w:p w14:paraId="5CF30E39">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p>
    <w:p w14:paraId="6090DE92">
      <w:pPr>
        <w:adjustRightInd/>
        <w:spacing w:line="440" w:lineRule="exact"/>
        <w:jc w:val="center"/>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二、招标文件的构成、澄清、修改</w:t>
      </w:r>
    </w:p>
    <w:p w14:paraId="1C45EB31">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5．招标文件的构成</w:t>
      </w:r>
    </w:p>
    <w:p w14:paraId="5EF48A49">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 招标文件包括下列文件及附件：</w:t>
      </w:r>
    </w:p>
    <w:p w14:paraId="40B8C5D5">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5.1.1 招标公告；</w:t>
      </w:r>
    </w:p>
    <w:p w14:paraId="6259C761">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5.1.2 投标人须知；</w:t>
      </w:r>
    </w:p>
    <w:p w14:paraId="1B2C4FCC">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5.1.3 采购需求；</w:t>
      </w:r>
    </w:p>
    <w:p w14:paraId="6452BE6D">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5.1.4 评标办法；</w:t>
      </w:r>
    </w:p>
    <w:p w14:paraId="29F5590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5.1.5 拟签订的合同文本；</w:t>
      </w:r>
    </w:p>
    <w:p w14:paraId="381A4F6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5.1.6 应提交的有关格式范例。</w:t>
      </w:r>
    </w:p>
    <w:p w14:paraId="7E473841">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5.2 与本项目有关的澄清或者修改的内容为招标文件的组成部分。</w:t>
      </w:r>
    </w:p>
    <w:p w14:paraId="22D8CDBE">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6．招标文件的澄清、修改</w:t>
      </w:r>
    </w:p>
    <w:p w14:paraId="44C6CD4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6.1 已获取招标文件的潜在投标人，若有问题需要澄清，应于投标截止时间前，以书面形式向采购代理机构提出。</w:t>
      </w:r>
    </w:p>
    <w:p w14:paraId="54E7E22F">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E7BA10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rPr>
      </w:pPr>
    </w:p>
    <w:p w14:paraId="1F8474E8">
      <w:pPr>
        <w:adjustRightInd/>
        <w:spacing w:line="440" w:lineRule="exact"/>
        <w:jc w:val="center"/>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三、投标</w:t>
      </w:r>
    </w:p>
    <w:p w14:paraId="68E9A330">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7．招标文件的获取</w:t>
      </w:r>
    </w:p>
    <w:p w14:paraId="216F2DBA">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详见招标公告中获取招标文件的时间期限、地点、方式及招标文件售价。</w:t>
      </w:r>
    </w:p>
    <w:p w14:paraId="17AEA701">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8．开标前答疑会或现场考察</w:t>
      </w:r>
    </w:p>
    <w:p w14:paraId="55CAF591">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采购人组织潜在投标人现场考察或者召开开标前答疑会的，潜在投标人按第二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投标人须知前附表的规定参加现场考察或者开标前答疑会。</w:t>
      </w:r>
    </w:p>
    <w:p w14:paraId="50DCDC06">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9．投标保证金</w:t>
      </w:r>
    </w:p>
    <w:p w14:paraId="3F6A4388">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本项目不需缴纳投标保证金。</w:t>
      </w:r>
    </w:p>
    <w:p w14:paraId="2034E193">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10．投标文件的语言</w:t>
      </w:r>
    </w:p>
    <w:p w14:paraId="7094179D">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投标文件及投标人与采购有关的来往通知、函件和文件均应使用中文。</w:t>
      </w:r>
    </w:p>
    <w:p w14:paraId="4389D41C">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11．投标文件的组成</w:t>
      </w:r>
    </w:p>
    <w:p w14:paraId="3822BC8A">
      <w:pPr>
        <w:adjustRightInd/>
        <w:spacing w:line="440" w:lineRule="exact"/>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11.1 资格文件：</w:t>
      </w:r>
    </w:p>
    <w:p w14:paraId="2B216A69">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11.1.1 具有独立承担民事责任能力的证明材料；</w:t>
      </w:r>
    </w:p>
    <w:p w14:paraId="3750112E">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11.1.2 符合参加政府采购活动应当具备的一般条件的承诺函；</w:t>
      </w:r>
    </w:p>
    <w:p w14:paraId="4B260C6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11.1.3 联合协议</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如有</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w:t>
      </w:r>
    </w:p>
    <w:p w14:paraId="0F452FE9">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11.1.</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 xml:space="preserve"> 落实政府采购政策需满足的资格要求（</w:t>
      </w:r>
      <w:r>
        <w:rPr>
          <w:rFonts w:hint="eastAsia" w:ascii="仿宋_GB2312" w:hAnsi="仿宋_GB2312" w:eastAsia="仿宋_GB2312" w:cs="仿宋_GB2312"/>
          <w:color w:val="auto"/>
          <w:sz w:val="21"/>
          <w:szCs w:val="21"/>
          <w:highlight w:val="none"/>
          <w:lang w:val="en-US" w:eastAsia="zh-CN"/>
        </w:rPr>
        <w:t>如有</w:t>
      </w:r>
      <w:r>
        <w:rPr>
          <w:rFonts w:hint="eastAsia" w:ascii="仿宋_GB2312" w:hAnsi="仿宋_GB2312" w:eastAsia="仿宋_GB2312" w:cs="仿宋_GB2312"/>
          <w:color w:val="auto"/>
          <w:sz w:val="21"/>
          <w:szCs w:val="21"/>
          <w:highlight w:val="none"/>
        </w:rPr>
        <w:t>）；</w:t>
      </w:r>
    </w:p>
    <w:p w14:paraId="6688335F">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11.1.</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 xml:space="preserve"> 本项目的特定资格要求（</w:t>
      </w:r>
      <w:r>
        <w:rPr>
          <w:rFonts w:hint="eastAsia" w:ascii="仿宋_GB2312" w:hAnsi="仿宋_GB2312" w:eastAsia="仿宋_GB2312" w:cs="仿宋_GB2312"/>
          <w:color w:val="auto"/>
          <w:sz w:val="21"/>
          <w:szCs w:val="21"/>
          <w:highlight w:val="none"/>
          <w:lang w:val="en-US" w:eastAsia="zh-CN"/>
        </w:rPr>
        <w:t>如有</w:t>
      </w:r>
      <w:r>
        <w:rPr>
          <w:rFonts w:hint="eastAsia" w:ascii="仿宋_GB2312" w:hAnsi="仿宋_GB2312" w:eastAsia="仿宋_GB2312" w:cs="仿宋_GB2312"/>
          <w:color w:val="auto"/>
          <w:sz w:val="21"/>
          <w:szCs w:val="21"/>
          <w:highlight w:val="none"/>
        </w:rPr>
        <w:t>）。</w:t>
      </w:r>
    </w:p>
    <w:p w14:paraId="7F61AC8D">
      <w:pPr>
        <w:adjustRightInd/>
        <w:spacing w:line="440" w:lineRule="exact"/>
        <w:ind w:firstLine="422" w:firstLineChars="200"/>
        <w:rPr>
          <w:rFonts w:hint="eastAsia" w:ascii="仿宋_GB2312" w:hAnsi="仿宋_GB2312" w:eastAsia="仿宋_GB2312" w:cs="仿宋_GB2312"/>
          <w:b/>
          <w:bCs/>
          <w:color w:val="auto"/>
          <w:sz w:val="21"/>
          <w:szCs w:val="21"/>
          <w:highlight w:val="none"/>
          <w:lang w:val="zh-CN"/>
        </w:rPr>
      </w:pPr>
      <w:r>
        <w:rPr>
          <w:rFonts w:hint="eastAsia" w:ascii="仿宋_GB2312" w:hAnsi="仿宋_GB2312" w:eastAsia="仿宋_GB2312" w:cs="仿宋_GB2312"/>
          <w:b/>
          <w:bCs/>
          <w:color w:val="auto"/>
          <w:sz w:val="21"/>
          <w:szCs w:val="21"/>
          <w:highlight w:val="none"/>
          <w:lang w:val="zh-CN"/>
        </w:rPr>
        <w:t>11.</w:t>
      </w:r>
      <w:r>
        <w:rPr>
          <w:rFonts w:hint="eastAsia" w:ascii="仿宋_GB2312" w:hAnsi="仿宋_GB2312" w:eastAsia="仿宋_GB2312" w:cs="仿宋_GB2312"/>
          <w:b/>
          <w:bCs/>
          <w:color w:val="auto"/>
          <w:sz w:val="21"/>
          <w:szCs w:val="21"/>
          <w:highlight w:val="none"/>
        </w:rPr>
        <w:t>2 商务技术</w:t>
      </w:r>
      <w:r>
        <w:rPr>
          <w:rFonts w:hint="eastAsia" w:ascii="仿宋_GB2312" w:hAnsi="仿宋_GB2312" w:eastAsia="仿宋_GB2312" w:cs="仿宋_GB2312"/>
          <w:b/>
          <w:bCs/>
          <w:color w:val="auto"/>
          <w:sz w:val="21"/>
          <w:szCs w:val="21"/>
          <w:highlight w:val="none"/>
          <w:lang w:val="zh-CN"/>
        </w:rPr>
        <w:t>文件：</w:t>
      </w:r>
    </w:p>
    <w:p w14:paraId="418A8F10">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11.2.1 投标函；</w:t>
      </w:r>
    </w:p>
    <w:p w14:paraId="3DF7C638">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11.2.2 授权委托书或法定代表人（单位负责人、自然人本人）身份证明；</w:t>
      </w:r>
    </w:p>
    <w:p w14:paraId="15F3D347">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11.2.3 符合性审查资料；</w:t>
      </w:r>
    </w:p>
    <w:p w14:paraId="17796FB2">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11.2.4 评标标准相应的商务技术资料；</w:t>
      </w:r>
    </w:p>
    <w:p w14:paraId="72AA66CC">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11.2.5 投标标的清单；</w:t>
      </w:r>
    </w:p>
    <w:p w14:paraId="458B1668">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11.2.6 商务技术偏离表；</w:t>
      </w:r>
    </w:p>
    <w:p w14:paraId="498728D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11.</w:t>
      </w: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color w:val="auto"/>
          <w:sz w:val="21"/>
          <w:szCs w:val="21"/>
          <w:highlight w:val="none"/>
          <w:lang w:val="en-US" w:eastAsia="zh-CN"/>
        </w:rPr>
        <w:t>7</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政府采购供应商廉洁自律承诺书。</w:t>
      </w:r>
    </w:p>
    <w:p w14:paraId="158921AD">
      <w:pPr>
        <w:adjustRightInd/>
        <w:spacing w:line="440" w:lineRule="exact"/>
        <w:ind w:firstLine="422" w:firstLineChars="200"/>
        <w:rPr>
          <w:rFonts w:hint="eastAsia" w:ascii="仿宋_GB2312" w:hAnsi="仿宋_GB2312" w:eastAsia="仿宋_GB2312" w:cs="仿宋_GB2312"/>
          <w:b/>
          <w:bCs/>
          <w:color w:val="auto"/>
          <w:sz w:val="21"/>
          <w:szCs w:val="21"/>
          <w:highlight w:val="none"/>
          <w:lang w:val="zh-CN"/>
        </w:rPr>
      </w:pPr>
      <w:r>
        <w:rPr>
          <w:rFonts w:hint="eastAsia" w:ascii="仿宋_GB2312" w:hAnsi="仿宋_GB2312" w:eastAsia="仿宋_GB2312" w:cs="仿宋_GB2312"/>
          <w:b/>
          <w:bCs/>
          <w:color w:val="auto"/>
          <w:sz w:val="21"/>
          <w:szCs w:val="21"/>
          <w:highlight w:val="none"/>
          <w:lang w:val="zh-CN"/>
        </w:rPr>
        <w:t>11.3</w:t>
      </w:r>
      <w:r>
        <w:rPr>
          <w:rFonts w:hint="eastAsia" w:ascii="仿宋_GB2312" w:hAnsi="仿宋_GB2312" w:eastAsia="仿宋_GB2312" w:cs="仿宋_GB2312"/>
          <w:b/>
          <w:bCs/>
          <w:color w:val="auto"/>
          <w:sz w:val="21"/>
          <w:szCs w:val="21"/>
          <w:highlight w:val="none"/>
        </w:rPr>
        <w:t xml:space="preserve"> </w:t>
      </w:r>
      <w:r>
        <w:rPr>
          <w:rFonts w:hint="eastAsia" w:ascii="仿宋_GB2312" w:hAnsi="仿宋_GB2312" w:eastAsia="仿宋_GB2312" w:cs="仿宋_GB2312"/>
          <w:b/>
          <w:bCs/>
          <w:color w:val="auto"/>
          <w:sz w:val="21"/>
          <w:szCs w:val="21"/>
          <w:highlight w:val="none"/>
          <w:lang w:val="zh-CN"/>
        </w:rPr>
        <w:t>报价文件：</w:t>
      </w:r>
    </w:p>
    <w:p w14:paraId="02E0014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11.3.1 开标一览表（报价表）</w:t>
      </w:r>
      <w:r>
        <w:rPr>
          <w:rFonts w:hint="eastAsia" w:ascii="仿宋_GB2312" w:hAnsi="仿宋_GB2312" w:eastAsia="仿宋_GB2312" w:cs="仿宋_GB2312"/>
          <w:color w:val="auto"/>
          <w:sz w:val="21"/>
          <w:szCs w:val="21"/>
          <w:highlight w:val="none"/>
          <w:lang w:eastAsia="zh-CN"/>
        </w:rPr>
        <w:t>；</w:t>
      </w:r>
    </w:p>
    <w:p w14:paraId="19252E7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11.3.2 中小企业声明函（如有）；</w:t>
      </w:r>
    </w:p>
    <w:p w14:paraId="5E3F767E">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11.3.3 符合本国产品标准的声明函或财政部会同有关部门规定的有关证明文件（如适用）；</w:t>
      </w:r>
    </w:p>
    <w:p w14:paraId="44DC580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11.3.4 关于本国产品成本比例的声明函（如适用）；</w:t>
      </w:r>
    </w:p>
    <w:p w14:paraId="3AA6AAF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11.3.5 投标人针对报价需要说明的其他文件和说明（如有）。</w:t>
      </w:r>
    </w:p>
    <w:p w14:paraId="03A7796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供应商报价出现以下情形的，则该供应商应在项目评审前准备好报价核算、报价明细、报价说明等书面材料，以备评审专家核查，且在报价文件中详细阐述不影响产品质量或者诚信履约的具体原因。若报价文件中未能按上述要求提供的，则评标委员会应当要求其在评标现场合理的时间内提供书面说明，必要时提交相关证明材料；投标人不能证明其报价合理性的，评标委员会应当将其作为无效投标处理：</w:t>
      </w:r>
    </w:p>
    <w:p w14:paraId="1D47ED9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（一）投标（响应）报价低于全部通过符合性审查供应商投标（响应）报价平均值50%的，即投标（响应）报价＜全部通过符合性审查供应商投标（响应）报价平均值×50%；</w:t>
      </w:r>
    </w:p>
    <w:p w14:paraId="7BB4B27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（二）投标（响应）报价低于通过符合性审查的次低报价供应商投标（响应）报价50%的，即投标（响应）报价＜通过符合性审查的次低报价供应商投标（响应）报价×50%；</w:t>
      </w:r>
    </w:p>
    <w:p w14:paraId="1D2DB15E">
      <w:pPr>
        <w:adjustRightInd/>
        <w:spacing w:line="440" w:lineRule="exact"/>
        <w:ind w:firstLine="420" w:firstLineChars="20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（三）投标（响应）报价低于采购项目最高限价50%的，即投标（响应）报价＜采购项目最高限价×50%；</w:t>
      </w:r>
      <w:r>
        <w:rPr>
          <w:rFonts w:hint="eastAsia" w:ascii="仿宋_GB2312" w:hAnsi="仿宋_GB2312" w:eastAsia="仿宋_GB2312" w:cs="仿宋_GB2312"/>
          <w:b/>
          <w:bCs/>
          <w:color w:val="auto"/>
          <w:sz w:val="21"/>
          <w:szCs w:val="21"/>
          <w:highlight w:val="none"/>
          <w:lang w:val="en-US" w:eastAsia="zh-CN"/>
        </w:rPr>
        <w:t>注：属于此项情形的，供应商应当随投标（响应）文件一并提交相关书面说明及必要的证明材料；</w:t>
      </w:r>
    </w:p>
    <w:p w14:paraId="395B668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（四）评审委员会基于专业判断，认为供应商报价过低，有可能影响产品质量或者不能诚信履约的其他情形。</w:t>
      </w:r>
    </w:p>
    <w:p w14:paraId="1B034CD1">
      <w:pPr>
        <w:adjustRightInd/>
        <w:spacing w:line="440" w:lineRule="exact"/>
        <w:ind w:firstLine="422" w:firstLineChars="200"/>
        <w:jc w:val="both"/>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▲投标文件含有采购人不能接受的附加条件的，投标无效；</w:t>
      </w:r>
    </w:p>
    <w:p w14:paraId="45E3A42C">
      <w:pPr>
        <w:adjustRightInd/>
        <w:spacing w:line="440" w:lineRule="exact"/>
        <w:ind w:firstLine="422" w:firstLineChars="200"/>
        <w:jc w:val="both"/>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▲投标人提供虚假材料投标的，投标无效。</w:t>
      </w:r>
    </w:p>
    <w:p w14:paraId="563699F4">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投标人应对投标文件中材料的真实性、合法性负责。投标人可事先在公开官网查询、核对相关证书和报告内容，确保投标（响应）文件资料准确无误。</w:t>
      </w:r>
    </w:p>
    <w:p w14:paraId="48DB967C">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12．投标文件的编制</w:t>
      </w:r>
    </w:p>
    <w:p w14:paraId="24CDBBAA">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zh-CN"/>
        </w:rPr>
        <w:t>12.1</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投标文件分为资格文件、商务技术文件、报价文件三部分。各投标人在编制投标文件时请按照招标文件第六</w:t>
      </w:r>
      <w:r>
        <w:rPr>
          <w:rFonts w:hint="eastAsia" w:ascii="仿宋_GB2312" w:hAnsi="仿宋_GB2312" w:eastAsia="仿宋_GB2312" w:cs="仿宋_GB2312"/>
          <w:color w:val="auto"/>
          <w:sz w:val="21"/>
          <w:szCs w:val="21"/>
          <w:highlight w:val="none"/>
          <w:lang w:val="en-US" w:eastAsia="zh-CN"/>
        </w:rPr>
        <w:t>章“应提交的有关格式范例”</w:t>
      </w:r>
      <w:r>
        <w:rPr>
          <w:rFonts w:hint="eastAsia" w:ascii="仿宋_GB2312" w:hAnsi="仿宋_GB2312" w:eastAsia="仿宋_GB2312" w:cs="仿宋_GB2312"/>
          <w:color w:val="auto"/>
          <w:sz w:val="21"/>
          <w:szCs w:val="21"/>
          <w:highlight w:val="none"/>
          <w:lang w:val="zh-CN"/>
        </w:rPr>
        <w:t>规定的格式进行，混乱的编排导致投标文件被误读或评标委员会查找不到有效文件是投标人的风险。</w:t>
      </w:r>
    </w:p>
    <w:p w14:paraId="0D7545F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12.2</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投标人进行电子投标应安装客户端软件</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zh-CN"/>
        </w:rPr>
        <w:t>“政采云电子交易客户端”，并按照招标文件和电子交易平台的要求编制并加密投标文件。投标人未按规定加密的投标文件，电子交易平台将拒收并提示。</w:t>
      </w:r>
    </w:p>
    <w:p w14:paraId="4E93802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12.3</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使用“政采云电子交易客户端”需要提前申领CA数字证书，申领流程请自行前往“浙江政府采购网-下载专区-电子交易客户端-CA驱动和申领流程”进行查阅。</w:t>
      </w:r>
    </w:p>
    <w:p w14:paraId="068DDB27">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13．投标文件的签署、盖章</w:t>
      </w:r>
    </w:p>
    <w:p w14:paraId="4F057C55">
      <w:pPr>
        <w:adjustRightInd/>
        <w:spacing w:line="440" w:lineRule="exact"/>
        <w:ind w:firstLine="420" w:firstLineChars="200"/>
        <w:jc w:val="both"/>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13.1 投标文件按照招标文件第六</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“应提交的有关格式范例”格式要求进行签署、盖章。</w:t>
      </w:r>
      <w:r>
        <w:rPr>
          <w:rFonts w:hint="eastAsia" w:ascii="仿宋_GB2312" w:hAnsi="仿宋_GB2312" w:eastAsia="仿宋_GB2312" w:cs="仿宋_GB2312"/>
          <w:b/>
          <w:bCs/>
          <w:color w:val="auto"/>
          <w:sz w:val="21"/>
          <w:szCs w:val="21"/>
          <w:highlight w:val="none"/>
        </w:rPr>
        <w:t>▲投标人的投标文件未按照招标文件要求签署、盖章的，其投标无效。</w:t>
      </w:r>
    </w:p>
    <w:p w14:paraId="66E887A4">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13.2 为确保网上操作合法、有效和安全，投标人应当在投标截止时间前完成在“政府采购云平台”的身份认证，确保在电子投标过程中能够对相关数据电文进行加密和使用电子签名。</w:t>
      </w:r>
    </w:p>
    <w:p w14:paraId="2BABEB6A">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13.3 招标文件对投标文件签署、盖章的要求适用于电子签名（个人签名部分可采用手写签字后的扫描件替代电子签名）。</w:t>
      </w:r>
    </w:p>
    <w:p w14:paraId="0B6BDE3B">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14．投标文件的提交、补充、修改、撤回</w:t>
      </w:r>
    </w:p>
    <w:p w14:paraId="1F67E757">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AA7C3AB">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14.2 电子交易平台收到投标文件，将妥善保存并即时向供应商发出确认回执通知。在投标截止时间前，除供应商补充、修改或者撤回投标文件外，任何单位和个人不得解密或提取投标文件。</w:t>
      </w:r>
    </w:p>
    <w:p w14:paraId="59FC02C3">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14.3 采购人、采购代理机构可以视情况延长投标文件提交的截止时间。在上述情况下，采购代理机构与投标人以前在投标截止期方面的全部权利、责任和义务，将适用于延长至新的投标截止期。</w:t>
      </w:r>
    </w:p>
    <w:p w14:paraId="27737350">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15．备份投标文件</w:t>
      </w:r>
    </w:p>
    <w:p w14:paraId="7141C14E">
      <w:pPr>
        <w:adjustRightInd/>
        <w:spacing w:line="440" w:lineRule="exact"/>
        <w:ind w:firstLine="420" w:firstLineChars="200"/>
        <w:jc w:val="both"/>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15.1 投标人在电子交易平台传输递交投标文件后，还可以在投标截止时间前直接提交或者以邮政快递方式递交备份投标文件1份，</w:t>
      </w:r>
      <w:r>
        <w:rPr>
          <w:rFonts w:hint="eastAsia" w:ascii="仿宋_GB2312" w:hAnsi="仿宋_GB2312" w:eastAsia="仿宋_GB2312" w:cs="仿宋_GB2312"/>
          <w:b/>
          <w:bCs/>
          <w:color w:val="auto"/>
          <w:sz w:val="21"/>
          <w:szCs w:val="21"/>
          <w:highlight w:val="none"/>
        </w:rPr>
        <w:t>但采购人、采购代理机构不强制或变相强制投标人提交备份投标文件。</w:t>
      </w:r>
    </w:p>
    <w:p w14:paraId="0F1E1DED">
      <w:pPr>
        <w:adjustRightInd/>
        <w:spacing w:line="440" w:lineRule="exact"/>
        <w:ind w:firstLine="420" w:firstLineChars="200"/>
        <w:jc w:val="both"/>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15.2 备份投标文件须在“政采云投标客户端”制作生成，并储存在U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_GB2312" w:hAnsi="仿宋_GB2312" w:eastAsia="仿宋_GB2312" w:cs="仿宋_GB2312"/>
          <w:b/>
          <w:bCs/>
          <w:color w:val="auto"/>
          <w:sz w:val="21"/>
          <w:szCs w:val="21"/>
          <w:highlight w:val="none"/>
        </w:rPr>
        <w:t>▲不符合上述制作、存储、密封规定的备份投标文件将被视为无效或者被拒绝接收。</w:t>
      </w:r>
    </w:p>
    <w:p w14:paraId="34FF2264">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15.3 直接提交备份投标文件的，投标人应于投标截止时间前在招标公告中载明的开标地点将备份投标文件提交给采购代理机构，采购代理机构将拒绝接受逾期送达的备份投标文件。</w:t>
      </w:r>
    </w:p>
    <w:p w14:paraId="4B98A39B">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15.4 以快递方式递交备份投标文件的，投标人应先将备份投标文件按要求密封和标记，再进行快递包装后邮寄。备份投标文件须在投标截止时间之前送达招标文件第二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投标人须知前附表</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53665809">
      <w:pPr>
        <w:adjustRightInd/>
        <w:spacing w:line="440" w:lineRule="exact"/>
        <w:ind w:firstLine="422" w:firstLineChars="200"/>
        <w:jc w:val="both"/>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15.5 投标人仅提交备份投标文件，未在电子交易平台传输递交投标文件的，投标无效。</w:t>
      </w:r>
    </w:p>
    <w:p w14:paraId="685CC04A">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16．投标文件的无效处理</w:t>
      </w:r>
    </w:p>
    <w:p w14:paraId="3DD41885">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存在招标文件第四</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第</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en-US" w:eastAsia="zh-CN"/>
        </w:rPr>
        <w:t>款</w:t>
      </w:r>
      <w:r>
        <w:rPr>
          <w:rFonts w:hint="eastAsia" w:ascii="仿宋_GB2312" w:hAnsi="仿宋_GB2312" w:eastAsia="仿宋_GB2312" w:cs="仿宋_GB2312"/>
          <w:color w:val="auto"/>
          <w:sz w:val="21"/>
          <w:szCs w:val="21"/>
          <w:highlight w:val="none"/>
        </w:rPr>
        <w:t>规定的情形之一的，投标无效。</w:t>
      </w:r>
    </w:p>
    <w:p w14:paraId="6B190CB9">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17</w:t>
      </w:r>
      <w:r>
        <w:rPr>
          <w:rFonts w:hint="eastAsia" w:ascii="仿宋_GB2312" w:hAnsi="仿宋_GB2312" w:eastAsia="仿宋_GB2312" w:cs="仿宋_GB2312"/>
          <w:b/>
          <w:color w:val="auto"/>
          <w:sz w:val="21"/>
          <w:szCs w:val="21"/>
          <w:highlight w:val="none"/>
        </w:rPr>
        <w:t>．投标有效期</w:t>
      </w:r>
    </w:p>
    <w:p w14:paraId="35EC1151">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17.1 投标有效期为从提交投标文件的截止之日起90天。</w:t>
      </w:r>
      <w:r>
        <w:rPr>
          <w:rFonts w:hint="eastAsia" w:ascii="仿宋_GB2312" w:hAnsi="仿宋_GB2312" w:eastAsia="仿宋_GB2312" w:cs="仿宋_GB2312"/>
          <w:b/>
          <w:bCs/>
          <w:color w:val="auto"/>
          <w:sz w:val="21"/>
          <w:szCs w:val="21"/>
          <w:highlight w:val="none"/>
        </w:rPr>
        <w:t>▲投标人的投标文件中承诺的投标有效期少于招标文件中载明的投标有效期的，投标无效。</w:t>
      </w:r>
    </w:p>
    <w:p w14:paraId="1113274C">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17.2 投标文件合格投递后，自投标截止日期起，在投标有效期内有效。</w:t>
      </w:r>
    </w:p>
    <w:p w14:paraId="51DFB0E0">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17.3 在原定投标有效期满之前，如果出现特殊情况，采购代理机构可以以书面形式通知投标人延长投标有效期。投标人同意延长的，不得要求或被允许修改其投标文件，投标人拒绝延长的，其投标无效。</w:t>
      </w:r>
    </w:p>
    <w:p w14:paraId="43A1B75A">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p>
    <w:p w14:paraId="7001BE64">
      <w:pPr>
        <w:adjustRightInd/>
        <w:spacing w:line="440" w:lineRule="exact"/>
        <w:jc w:val="center"/>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四、开标、资格审查与信用信息查询</w:t>
      </w:r>
    </w:p>
    <w:p w14:paraId="4B55B2D2">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18．开标</w:t>
      </w:r>
    </w:p>
    <w:p w14:paraId="33D57D0E">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18.1 采购代理机构按照招标文件规定的时间通过电子交易平台组织开标，所有投标人均应当准时在线参加。投标人不足3家的，不得开标。</w:t>
      </w:r>
    </w:p>
    <w:p w14:paraId="38FB7A59">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18.2 开标时，电子交易平台按开标时间自动提取所有投标文件。采购代理机构依托电子交易平台发起开始解密指令，投标人按照平台提示和招标文件的规定在半小时内完成在线解密。</w:t>
      </w:r>
    </w:p>
    <w:p w14:paraId="6F096E1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18.2.1</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电子招</w:t>
      </w:r>
      <w:r>
        <w:rPr>
          <w:rFonts w:hint="eastAsia" w:ascii="仿宋_GB2312" w:hAnsi="仿宋_GB2312" w:eastAsia="仿宋_GB2312" w:cs="仿宋_GB2312"/>
          <w:color w:val="auto"/>
          <w:sz w:val="21"/>
          <w:szCs w:val="21"/>
          <w:highlight w:val="none"/>
          <w:lang w:val="en-US" w:eastAsia="zh-CN"/>
        </w:rPr>
        <w:t>标</w:t>
      </w:r>
      <w:r>
        <w:rPr>
          <w:rFonts w:hint="eastAsia" w:ascii="仿宋_GB2312" w:hAnsi="仿宋_GB2312" w:eastAsia="仿宋_GB2312" w:cs="仿宋_GB2312"/>
          <w:color w:val="auto"/>
          <w:sz w:val="21"/>
          <w:szCs w:val="21"/>
          <w:highlight w:val="none"/>
          <w:lang w:eastAsia="zh-CN"/>
        </w:rPr>
        <w:t>投标开标程序：分两阶段开标。</w:t>
      </w:r>
    </w:p>
    <w:p w14:paraId="23BB84D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第一阶段开标（资格文件、商务技术文件）：</w:t>
      </w:r>
    </w:p>
    <w:p w14:paraId="64948EE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①</w:t>
      </w:r>
      <w:r>
        <w:rPr>
          <w:rFonts w:hint="eastAsia" w:ascii="仿宋_GB2312" w:hAnsi="仿宋_GB2312" w:eastAsia="仿宋_GB2312" w:cs="仿宋_GB2312"/>
          <w:color w:val="auto"/>
          <w:sz w:val="21"/>
          <w:szCs w:val="21"/>
          <w:highlight w:val="none"/>
          <w:lang w:eastAsia="zh-CN"/>
        </w:rPr>
        <w:t>开标会议由采购代理机构主持。</w:t>
      </w:r>
      <w:r>
        <w:rPr>
          <w:rFonts w:hint="eastAsia" w:ascii="仿宋_GB2312" w:hAnsi="仿宋_GB2312" w:eastAsia="仿宋_GB2312" w:cs="仿宋_GB2312"/>
          <w:color w:val="auto"/>
          <w:sz w:val="21"/>
          <w:szCs w:val="21"/>
          <w:highlight w:val="none"/>
        </w:rPr>
        <w:t>开标时，电子交易平台按开标时间自动提取所有投标文件。采购代理机构依托电子交易平台发起开始解密指令，投标人按照平台提示和招标文件的规定在半小时内完成在线解密</w:t>
      </w:r>
      <w:r>
        <w:rPr>
          <w:rFonts w:hint="eastAsia" w:ascii="仿宋_GB2312" w:hAnsi="仿宋_GB2312" w:eastAsia="仿宋_GB2312" w:cs="仿宋_GB2312"/>
          <w:color w:val="auto"/>
          <w:sz w:val="21"/>
          <w:szCs w:val="21"/>
          <w:highlight w:val="none"/>
          <w:lang w:eastAsia="zh-CN"/>
        </w:rPr>
        <w:t>；</w:t>
      </w:r>
    </w:p>
    <w:p w14:paraId="71A46A86">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②</w:t>
      </w:r>
      <w:r>
        <w:rPr>
          <w:rFonts w:hint="eastAsia" w:ascii="仿宋_GB2312" w:hAnsi="仿宋_GB2312" w:eastAsia="仿宋_GB2312" w:cs="仿宋_GB2312"/>
          <w:color w:val="auto"/>
          <w:sz w:val="21"/>
          <w:szCs w:val="21"/>
          <w:highlight w:val="none"/>
        </w:rPr>
        <w:t>投标文件未按时解密，投标人提供了备份投标文件的，以备份投标文件作为依据，否则视为投标文件撤回。投标文件已按时解密的，备份投标文件自动失效。</w:t>
      </w:r>
    </w:p>
    <w:p w14:paraId="6B7E1FA3">
      <w:pPr>
        <w:adjustRightInd/>
        <w:spacing w:line="440" w:lineRule="exact"/>
        <w:ind w:firstLine="422" w:firstLineChars="200"/>
        <w:jc w:val="both"/>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③完成在线解密后</w:t>
      </w:r>
      <w:r>
        <w:rPr>
          <w:rFonts w:hint="eastAsia" w:ascii="仿宋_GB2312" w:hAnsi="仿宋_GB2312" w:eastAsia="仿宋_GB2312" w:cs="仿宋_GB2312"/>
          <w:b/>
          <w:bCs/>
          <w:color w:val="auto"/>
          <w:sz w:val="21"/>
          <w:szCs w:val="21"/>
          <w:highlight w:val="none"/>
        </w:rPr>
        <w:t>，供应商应通过邮件形式将经授权代表签署的《政府采购活动现场确认声明书》（格式见</w:t>
      </w:r>
      <w:r>
        <w:rPr>
          <w:rFonts w:hint="eastAsia" w:ascii="仿宋_GB2312" w:hAnsi="仿宋_GB2312" w:eastAsia="仿宋_GB2312" w:cs="仿宋_GB2312"/>
          <w:b/>
          <w:bCs/>
          <w:color w:val="auto"/>
          <w:sz w:val="21"/>
          <w:szCs w:val="21"/>
          <w:highlight w:val="none"/>
          <w:lang w:val="en-US" w:eastAsia="zh-CN"/>
        </w:rPr>
        <w:t>招标文件附件6</w:t>
      </w:r>
      <w:r>
        <w:rPr>
          <w:rFonts w:hint="eastAsia" w:ascii="仿宋_GB2312" w:hAnsi="仿宋_GB2312" w:eastAsia="仿宋_GB2312" w:cs="仿宋_GB2312"/>
          <w:b/>
          <w:bCs/>
          <w:color w:val="auto"/>
          <w:sz w:val="21"/>
          <w:szCs w:val="21"/>
          <w:highlight w:val="none"/>
        </w:rPr>
        <w:t>）扫描件发至</w:t>
      </w:r>
      <w:r>
        <w:rPr>
          <w:rFonts w:hint="eastAsia" w:ascii="仿宋_GB2312" w:hAnsi="仿宋_GB2312" w:eastAsia="仿宋_GB2312" w:cs="仿宋_GB2312"/>
          <w:b/>
          <w:bCs/>
          <w:color w:val="auto"/>
          <w:sz w:val="21"/>
          <w:szCs w:val="21"/>
          <w:highlight w:val="none"/>
          <w:lang w:val="en-US" w:eastAsia="zh-CN"/>
        </w:rPr>
        <w:t>采购</w:t>
      </w:r>
      <w:r>
        <w:rPr>
          <w:rFonts w:hint="eastAsia" w:ascii="仿宋_GB2312" w:hAnsi="仿宋_GB2312" w:eastAsia="仿宋_GB2312" w:cs="仿宋_GB2312"/>
          <w:b/>
          <w:bCs/>
          <w:color w:val="auto"/>
          <w:sz w:val="21"/>
          <w:szCs w:val="21"/>
          <w:highlight w:val="none"/>
        </w:rPr>
        <w:t>代理机构经办人邮箱（邮箱地址：</w:t>
      </w:r>
      <w:r>
        <w:rPr>
          <w:rFonts w:hint="eastAsia" w:ascii="仿宋_GB2312" w:hAnsi="仿宋_GB2312" w:eastAsia="仿宋_GB2312" w:cs="仿宋_GB2312"/>
          <w:b/>
          <w:bCs/>
          <w:color w:val="auto"/>
          <w:sz w:val="21"/>
          <w:szCs w:val="21"/>
          <w:highlight w:val="none"/>
          <w:lang w:val="en-US" w:eastAsia="zh-CN"/>
        </w:rPr>
        <w:t>409689007</w:t>
      </w:r>
      <w:r>
        <w:rPr>
          <w:rFonts w:hint="eastAsia" w:ascii="仿宋_GB2312" w:hAnsi="仿宋_GB2312" w:eastAsia="仿宋_GB2312" w:cs="仿宋_GB2312"/>
          <w:b/>
          <w:bCs/>
          <w:color w:val="auto"/>
          <w:sz w:val="21"/>
          <w:szCs w:val="21"/>
          <w:highlight w:val="none"/>
        </w:rPr>
        <w:t>@qq.com，联系人：</w:t>
      </w:r>
      <w:r>
        <w:rPr>
          <w:rFonts w:hint="eastAsia" w:ascii="仿宋_GB2312" w:hAnsi="仿宋_GB2312" w:eastAsia="仿宋_GB2312" w:cs="仿宋_GB2312"/>
          <w:b/>
          <w:bCs/>
          <w:color w:val="auto"/>
          <w:sz w:val="21"/>
          <w:szCs w:val="21"/>
          <w:highlight w:val="none"/>
          <w:lang w:val="en-US" w:eastAsia="zh-CN"/>
        </w:rPr>
        <w:t>奚睿</w:t>
      </w:r>
      <w:r>
        <w:rPr>
          <w:rFonts w:hint="eastAsia" w:ascii="仿宋_GB2312" w:hAnsi="仿宋_GB2312" w:eastAsia="仿宋_GB2312" w:cs="仿宋_GB2312"/>
          <w:b/>
          <w:bCs/>
          <w:color w:val="auto"/>
          <w:sz w:val="21"/>
          <w:szCs w:val="21"/>
          <w:highlight w:val="none"/>
        </w:rPr>
        <w:t>，电话：</w:t>
      </w:r>
      <w:r>
        <w:rPr>
          <w:rFonts w:hint="eastAsia" w:ascii="仿宋_GB2312" w:hAnsi="仿宋_GB2312" w:eastAsia="仿宋_GB2312" w:cs="仿宋_GB2312"/>
          <w:b/>
          <w:bCs/>
          <w:color w:val="auto"/>
          <w:sz w:val="21"/>
          <w:szCs w:val="21"/>
          <w:highlight w:val="none"/>
          <w:lang w:val="en-US" w:eastAsia="zh-CN"/>
        </w:rPr>
        <w:t>18580873658</w:t>
      </w:r>
      <w:r>
        <w:rPr>
          <w:rFonts w:hint="eastAsia" w:ascii="仿宋_GB2312" w:hAnsi="仿宋_GB2312" w:eastAsia="仿宋_GB2312" w:cs="仿宋_GB2312"/>
          <w:b/>
          <w:bCs/>
          <w:color w:val="auto"/>
          <w:sz w:val="21"/>
          <w:szCs w:val="21"/>
          <w:highlight w:val="none"/>
        </w:rPr>
        <w:t>），未发送视为对开标过程及结果无异议。</w:t>
      </w:r>
    </w:p>
    <w:p w14:paraId="3A628BE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④</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一</w:t>
      </w:r>
      <w:r>
        <w:rPr>
          <w:rFonts w:hint="eastAsia" w:ascii="仿宋_GB2312" w:hAnsi="仿宋_GB2312" w:eastAsia="仿宋_GB2312" w:cs="仿宋_GB2312"/>
          <w:color w:val="auto"/>
          <w:sz w:val="21"/>
          <w:szCs w:val="21"/>
          <w:highlight w:val="none"/>
          <w:lang w:eastAsia="zh-CN"/>
        </w:rPr>
        <w:t>阶段开标</w:t>
      </w:r>
      <w:r>
        <w:rPr>
          <w:rFonts w:hint="eastAsia" w:ascii="仿宋_GB2312" w:hAnsi="仿宋_GB2312" w:eastAsia="仿宋_GB2312" w:cs="仿宋_GB2312"/>
          <w:color w:val="auto"/>
          <w:sz w:val="21"/>
          <w:szCs w:val="21"/>
          <w:highlight w:val="none"/>
          <w:lang w:val="en-US" w:eastAsia="zh-CN"/>
        </w:rPr>
        <w:t>结束。</w:t>
      </w:r>
      <w:r>
        <w:rPr>
          <w:rFonts w:hint="eastAsia" w:ascii="仿宋_GB2312" w:hAnsi="仿宋_GB2312" w:eastAsia="仿宋_GB2312" w:cs="仿宋_GB2312"/>
          <w:color w:val="auto"/>
          <w:sz w:val="21"/>
          <w:szCs w:val="21"/>
          <w:highlight w:val="none"/>
        </w:rPr>
        <w:t>进入</w:t>
      </w:r>
      <w:r>
        <w:rPr>
          <w:rFonts w:hint="eastAsia" w:ascii="仿宋_GB2312" w:hAnsi="仿宋_GB2312" w:eastAsia="仿宋_GB2312" w:cs="仿宋_GB2312"/>
          <w:color w:val="auto"/>
          <w:sz w:val="21"/>
          <w:szCs w:val="21"/>
          <w:highlight w:val="none"/>
          <w:lang w:val="en-US" w:eastAsia="zh-CN"/>
        </w:rPr>
        <w:t>资格审查、商务技术</w:t>
      </w:r>
      <w:r>
        <w:rPr>
          <w:rFonts w:hint="eastAsia" w:ascii="仿宋_GB2312" w:hAnsi="仿宋_GB2312" w:eastAsia="仿宋_GB2312" w:cs="仿宋_GB2312"/>
          <w:color w:val="auto"/>
          <w:sz w:val="21"/>
          <w:szCs w:val="21"/>
          <w:highlight w:val="none"/>
        </w:rPr>
        <w:t>评审流程。</w:t>
      </w:r>
    </w:p>
    <w:p w14:paraId="42CBBC81">
      <w:pPr>
        <w:adjustRightInd/>
        <w:spacing w:line="440" w:lineRule="exact"/>
        <w:ind w:firstLine="420" w:firstLineChars="20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⑤商务技术评审结束后，主持人宣告商务技术评审无效供应商名称及理由，及其他有效供应商的商务和技术得分情况。</w:t>
      </w:r>
    </w:p>
    <w:p w14:paraId="77DC3AB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二</w:t>
      </w:r>
      <w:r>
        <w:rPr>
          <w:rFonts w:hint="eastAsia" w:ascii="仿宋_GB2312" w:hAnsi="仿宋_GB2312" w:eastAsia="仿宋_GB2312" w:cs="仿宋_GB2312"/>
          <w:color w:val="auto"/>
          <w:sz w:val="21"/>
          <w:szCs w:val="21"/>
          <w:highlight w:val="none"/>
          <w:lang w:eastAsia="zh-CN"/>
        </w:rPr>
        <w:t>阶段开标（报价文件）：</w:t>
      </w:r>
    </w:p>
    <w:p w14:paraId="03FAC24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①</w:t>
      </w:r>
      <w:r>
        <w:rPr>
          <w:rFonts w:hint="eastAsia" w:ascii="仿宋_GB2312" w:hAnsi="仿宋_GB2312" w:eastAsia="仿宋_GB2312" w:cs="仿宋_GB2312"/>
          <w:color w:val="auto"/>
          <w:sz w:val="21"/>
          <w:szCs w:val="21"/>
          <w:highlight w:val="none"/>
          <w:lang w:eastAsia="zh-CN"/>
        </w:rPr>
        <w:t>由主持人在线开启</w:t>
      </w:r>
      <w:r>
        <w:rPr>
          <w:rFonts w:hint="eastAsia" w:ascii="仿宋_GB2312" w:hAnsi="仿宋_GB2312" w:eastAsia="仿宋_GB2312" w:cs="仿宋_GB2312"/>
          <w:color w:val="auto"/>
          <w:sz w:val="21"/>
          <w:szCs w:val="21"/>
          <w:highlight w:val="none"/>
          <w:lang w:val="en-US" w:eastAsia="zh-CN"/>
        </w:rPr>
        <w:t>商务技术评审有效供应商的</w:t>
      </w:r>
      <w:r>
        <w:rPr>
          <w:rFonts w:hint="eastAsia" w:ascii="仿宋_GB2312" w:hAnsi="仿宋_GB2312" w:eastAsia="仿宋_GB2312" w:cs="仿宋_GB2312"/>
          <w:color w:val="auto"/>
          <w:sz w:val="21"/>
          <w:szCs w:val="21"/>
          <w:highlight w:val="none"/>
          <w:lang w:eastAsia="zh-CN"/>
        </w:rPr>
        <w:t>报价文件，公布开标（报价）一览表有关内容，</w:t>
      </w:r>
      <w:r>
        <w:rPr>
          <w:rFonts w:hint="eastAsia" w:ascii="仿宋_GB2312" w:hAnsi="仿宋_GB2312" w:eastAsia="仿宋_GB2312" w:cs="仿宋_GB2312"/>
          <w:color w:val="auto"/>
          <w:sz w:val="21"/>
          <w:szCs w:val="21"/>
          <w:highlight w:val="none"/>
          <w:lang w:val="en-US" w:eastAsia="zh-CN"/>
        </w:rPr>
        <w:t>并</w:t>
      </w:r>
      <w:r>
        <w:rPr>
          <w:rFonts w:hint="eastAsia" w:ascii="仿宋_GB2312" w:hAnsi="仿宋_GB2312" w:eastAsia="仿宋_GB2312" w:cs="仿宋_GB2312"/>
          <w:color w:val="auto"/>
          <w:sz w:val="21"/>
          <w:szCs w:val="21"/>
          <w:highlight w:val="none"/>
          <w:lang w:eastAsia="zh-CN"/>
        </w:rPr>
        <w:t>制作开标记录表</w:t>
      </w:r>
      <w:r>
        <w:rPr>
          <w:rFonts w:hint="eastAsia" w:ascii="仿宋_GB2312" w:hAnsi="仿宋_GB2312" w:eastAsia="仿宋_GB2312" w:cs="仿宋_GB2312"/>
          <w:color w:val="auto"/>
          <w:sz w:val="21"/>
          <w:szCs w:val="21"/>
          <w:highlight w:val="none"/>
          <w:lang w:val="en-US" w:eastAsia="zh-CN"/>
        </w:rPr>
        <w:t>。</w:t>
      </w:r>
    </w:p>
    <w:p w14:paraId="718A537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②</w:t>
      </w:r>
      <w:r>
        <w:rPr>
          <w:rFonts w:hint="eastAsia" w:ascii="仿宋_GB2312" w:hAnsi="仿宋_GB2312" w:eastAsia="仿宋_GB2312" w:cs="仿宋_GB2312"/>
          <w:color w:val="auto"/>
          <w:sz w:val="21"/>
          <w:szCs w:val="21"/>
          <w:highlight w:val="none"/>
        </w:rPr>
        <w:t>各供应商代表应当在接到系统通知后30分钟内自行完成在线签字确认，逾期未在线签字确认的视为对开标过程及结果无异议</w:t>
      </w:r>
      <w:r>
        <w:rPr>
          <w:rFonts w:hint="eastAsia" w:ascii="仿宋_GB2312" w:hAnsi="仿宋_GB2312" w:eastAsia="仿宋_GB2312" w:cs="仿宋_GB2312"/>
          <w:color w:val="auto"/>
          <w:sz w:val="21"/>
          <w:szCs w:val="21"/>
          <w:highlight w:val="none"/>
          <w:lang w:val="en-US" w:eastAsia="zh-CN"/>
        </w:rPr>
        <w:t>。</w:t>
      </w:r>
    </w:p>
    <w:p w14:paraId="6660C20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③</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二</w:t>
      </w:r>
      <w:r>
        <w:rPr>
          <w:rFonts w:hint="eastAsia" w:ascii="仿宋_GB2312" w:hAnsi="仿宋_GB2312" w:eastAsia="仿宋_GB2312" w:cs="仿宋_GB2312"/>
          <w:color w:val="auto"/>
          <w:sz w:val="21"/>
          <w:szCs w:val="21"/>
          <w:highlight w:val="none"/>
          <w:lang w:eastAsia="zh-CN"/>
        </w:rPr>
        <w:t>阶段开标会议结束。</w:t>
      </w:r>
      <w:r>
        <w:rPr>
          <w:rFonts w:hint="eastAsia" w:ascii="仿宋_GB2312" w:hAnsi="仿宋_GB2312" w:eastAsia="仿宋_GB2312" w:cs="仿宋_GB2312"/>
          <w:color w:val="auto"/>
          <w:sz w:val="21"/>
          <w:szCs w:val="21"/>
          <w:highlight w:val="none"/>
        </w:rPr>
        <w:t>进入报价评审流程。</w:t>
      </w:r>
    </w:p>
    <w:p w14:paraId="06C42DF5">
      <w:pPr>
        <w:adjustRightInd/>
        <w:spacing w:line="440" w:lineRule="exact"/>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特别说明：电子交易平台如对电子化开标及评审程序有调整的，按调整后的程序操作。</w:t>
      </w:r>
    </w:p>
    <w:p w14:paraId="7313876E">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19．资格审查</w:t>
      </w:r>
    </w:p>
    <w:p w14:paraId="5DF7BD5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19.1 开标后，采购人或采购代理机构依据法律法规和招标文件的规定，对投标人的资格进行审查。</w:t>
      </w:r>
    </w:p>
    <w:p w14:paraId="24378D24">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19.2 投标人未按照招标文件要求提供与资格条件相应的有效资格证明材料的，视为投标人不具备招标文件中规定的资格要求，其投标无效。</w:t>
      </w:r>
    </w:p>
    <w:p w14:paraId="5949325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19.3 对未通过资格审查的投标人，采购人或采购代理机构告知其未通过的原因。</w:t>
      </w:r>
    </w:p>
    <w:p w14:paraId="63F9706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19.4 合格投标人不足3家的，不再评标。</w:t>
      </w:r>
    </w:p>
    <w:p w14:paraId="3D12558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19.5 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6BBE91EE">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20．信用信息查询</w:t>
      </w:r>
    </w:p>
    <w:p w14:paraId="324BCD4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20.1 信用信息查询渠道及截止时间：采购代理机构将在资格审查时通过“信用中国”网站（www.creditchina.gov.cn）、中国政府采购网（www.ccgp.gov.cn）渠道查询投标人的信用记录。</w:t>
      </w:r>
    </w:p>
    <w:p w14:paraId="4B2FA01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20.2 信用信息查询记录和证据留存的具体方式：现场查询的投标人的信用记录、查询结果经确认后将与采购文件一起存档。</w:t>
      </w:r>
    </w:p>
    <w:p w14:paraId="5440559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20.3 信用信息的使用规则：经查询列入失信被执行人名单、重大税收违法案件当事人名单、政府采购严重违法失信行为记录名单的投标人将被拒绝参与政府采购活动。</w:t>
      </w:r>
    </w:p>
    <w:p w14:paraId="49BEC84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20.4 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02CA71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p>
    <w:p w14:paraId="6CD8BDF2">
      <w:pPr>
        <w:adjustRightInd/>
        <w:spacing w:line="440" w:lineRule="exact"/>
        <w:jc w:val="center"/>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五、评标</w:t>
      </w:r>
    </w:p>
    <w:p w14:paraId="10F78139">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21．评标</w:t>
      </w:r>
    </w:p>
    <w:p w14:paraId="501F5F81">
      <w:pPr>
        <w:adjustRightInd/>
        <w:spacing w:line="440" w:lineRule="exact"/>
        <w:ind w:firstLine="420" w:firstLineChars="200"/>
        <w:jc w:val="both"/>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评标委员会将根据招标文件和有关规定，履行评标工作职责，并按照评标办法及评分标准，全面衡量各投标人对招标文件的响应情况。对实质上响应招标文件的投标人，按照评审因素的量化指标排出推荐中标的投标人的先后顺序，并按顺序提出授标建议。除投标人须知前附表另有规定外，推荐中标候选人的数量为3名。</w:t>
      </w:r>
      <w:r>
        <w:rPr>
          <w:rFonts w:hint="eastAsia" w:ascii="仿宋_GB2312" w:hAnsi="仿宋_GB2312" w:eastAsia="仿宋_GB2312" w:cs="仿宋_GB2312"/>
          <w:b/>
          <w:bCs/>
          <w:color w:val="auto"/>
          <w:sz w:val="21"/>
          <w:szCs w:val="21"/>
          <w:highlight w:val="none"/>
          <w:lang w:val="en-US" w:eastAsia="zh-CN"/>
        </w:rPr>
        <w:t>详见招标文件第四章“评标办法”。</w:t>
      </w:r>
    </w:p>
    <w:p w14:paraId="254CDE8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p>
    <w:p w14:paraId="7F4FB2D4">
      <w:pPr>
        <w:adjustRightInd/>
        <w:spacing w:line="440" w:lineRule="exact"/>
        <w:jc w:val="center"/>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六、定标</w:t>
      </w:r>
    </w:p>
    <w:p w14:paraId="6A3DF51D">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22．确定中标供应商</w:t>
      </w:r>
    </w:p>
    <w:p w14:paraId="3751AC0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4B4B1EFC">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23．中标通知与中标结果公告</w:t>
      </w:r>
    </w:p>
    <w:p w14:paraId="56802AF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23.1 自中标人确定之日起2个工作日内，采购代理机构通过电子交易平台向中标人发出中标通知书，同时编制发布采购结果公告。采购代理机构也可以以纸质形式进行中标通知。</w:t>
      </w:r>
    </w:p>
    <w:p w14:paraId="5A35F8E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23.2 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中标公告期限以及评审专家名单、评分汇总及明细。</w:t>
      </w:r>
    </w:p>
    <w:p w14:paraId="5AF7AAD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23.3 中标公告期限为1个工作日。</w:t>
      </w:r>
    </w:p>
    <w:p w14:paraId="45FBC27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23.4 由于中标、成交供应商原因导致重新采购的，应当承担支付代理费和专家评审费等费用在内的赔偿责任。</w:t>
      </w:r>
    </w:p>
    <w:p w14:paraId="5920E3A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p>
    <w:p w14:paraId="2CFBC9BD">
      <w:pPr>
        <w:adjustRightInd/>
        <w:spacing w:line="440" w:lineRule="exact"/>
        <w:jc w:val="center"/>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七、合同授予</w:t>
      </w:r>
    </w:p>
    <w:p w14:paraId="3513C8BD">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24．</w:t>
      </w:r>
      <w:r>
        <w:rPr>
          <w:rFonts w:hint="eastAsia" w:ascii="仿宋_GB2312" w:hAnsi="仿宋_GB2312" w:eastAsia="仿宋_GB2312" w:cs="仿宋_GB2312"/>
          <w:b w:val="0"/>
          <w:bCs/>
          <w:color w:val="auto"/>
          <w:sz w:val="21"/>
          <w:szCs w:val="21"/>
          <w:highlight w:val="none"/>
        </w:rPr>
        <w:t>合同主要条款详见第五</w:t>
      </w:r>
      <w:r>
        <w:rPr>
          <w:rFonts w:hint="eastAsia" w:ascii="仿宋_GB2312" w:hAnsi="仿宋_GB2312" w:eastAsia="仿宋_GB2312" w:cs="仿宋_GB2312"/>
          <w:b w:val="0"/>
          <w:bCs/>
          <w:color w:val="auto"/>
          <w:sz w:val="21"/>
          <w:szCs w:val="21"/>
          <w:highlight w:val="none"/>
          <w:lang w:val="en-US" w:eastAsia="zh-CN"/>
        </w:rPr>
        <w:t>章</w:t>
      </w:r>
      <w:r>
        <w:rPr>
          <w:rFonts w:hint="eastAsia" w:ascii="仿宋_GB2312" w:hAnsi="仿宋_GB2312" w:eastAsia="仿宋_GB2312" w:cs="仿宋_GB2312"/>
          <w:b w:val="0"/>
          <w:bCs/>
          <w:color w:val="auto"/>
          <w:sz w:val="21"/>
          <w:szCs w:val="21"/>
          <w:highlight w:val="none"/>
        </w:rPr>
        <w:t>“拟签订的合同文本”。</w:t>
      </w:r>
    </w:p>
    <w:p w14:paraId="6BFF8551">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25．合同的签订</w:t>
      </w:r>
    </w:p>
    <w:p w14:paraId="4AA3529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25.1 采购人应当自中标通知书发出之日起30日内，按照招标文件和中标人投标文件的规定，与中标人签订书面合同，并在签订之日起2个工作日内将政府采购合同在浙江政府采购网上公告。所签订的合同不得对招标文件确定的事项和中标人投标文件作实质性修改。采购人不得向中标人提出任何不合理的要求作为签订合同的条件。</w:t>
      </w:r>
    </w:p>
    <w:p w14:paraId="09EB75C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zh-CN" w:eastAsia="zh-CN"/>
        </w:rPr>
        <w:t>25.2</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val="zh-CN" w:eastAsia="zh-CN"/>
        </w:rPr>
        <w:t>中标人按规定的日期、时间、地点，由法定代表人或其授权代表与采购人代表签订合同。如中标人为联合体的，由联合体成员各方法定代表人或其授权代表与采购人代表签订合同。</w:t>
      </w:r>
    </w:p>
    <w:p w14:paraId="6160500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25.3 采购人不得向</w:t>
      </w:r>
      <w:r>
        <w:rPr>
          <w:rFonts w:hint="eastAsia" w:ascii="仿宋_GB2312" w:hAnsi="仿宋_GB2312" w:eastAsia="仿宋_GB2312" w:cs="仿宋_GB2312"/>
          <w:color w:val="auto"/>
          <w:sz w:val="21"/>
          <w:szCs w:val="21"/>
          <w:highlight w:val="none"/>
          <w:lang w:val="zh-CN" w:eastAsia="zh-CN"/>
        </w:rPr>
        <w:t>中标人</w:t>
      </w:r>
      <w:r>
        <w:rPr>
          <w:rFonts w:hint="eastAsia" w:ascii="仿宋_GB2312" w:hAnsi="仿宋_GB2312" w:eastAsia="仿宋_GB2312" w:cs="仿宋_GB2312"/>
          <w:color w:val="auto"/>
          <w:sz w:val="21"/>
          <w:szCs w:val="21"/>
          <w:highlight w:val="none"/>
          <w:lang w:val="en-US" w:eastAsia="zh-CN"/>
        </w:rPr>
        <w:t>提出超出采购文件以外的任何要求作为签订合同的条件，不得与</w:t>
      </w:r>
      <w:r>
        <w:rPr>
          <w:rFonts w:hint="eastAsia" w:ascii="仿宋_GB2312" w:hAnsi="仿宋_GB2312" w:eastAsia="仿宋_GB2312" w:cs="仿宋_GB2312"/>
          <w:color w:val="auto"/>
          <w:sz w:val="21"/>
          <w:szCs w:val="21"/>
          <w:highlight w:val="none"/>
          <w:lang w:val="zh-CN" w:eastAsia="zh-CN"/>
        </w:rPr>
        <w:t>中标人</w:t>
      </w:r>
      <w:r>
        <w:rPr>
          <w:rFonts w:hint="eastAsia" w:ascii="仿宋_GB2312" w:hAnsi="仿宋_GB2312" w:eastAsia="仿宋_GB2312" w:cs="仿宋_GB2312"/>
          <w:color w:val="auto"/>
          <w:sz w:val="21"/>
          <w:szCs w:val="21"/>
          <w:highlight w:val="none"/>
          <w:lang w:val="en-US" w:eastAsia="zh-CN"/>
        </w:rPr>
        <w:t>订立背离磋商文件确定的合同文本以及采购标的、规格型号、采购金额、采购数量、技术和服务要求等实质性内容的协议。</w:t>
      </w:r>
    </w:p>
    <w:p w14:paraId="115E4CA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25.4 中标人拒绝与采购人签订合同的，采购人可以按照评审报告推荐的中标候选人名单排序，确定下一中标候选人为中标人，也可以重新开展政府采购活动。</w:t>
      </w:r>
    </w:p>
    <w:p w14:paraId="4E1A3E1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25.5 如签订合同并生效后，供应商无故拒绝或延期，除按照合同条款处理外，列入不良行为记录一次，并给予通报。</w:t>
      </w:r>
    </w:p>
    <w:p w14:paraId="5B332D67">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26．履约保证金</w:t>
      </w:r>
    </w:p>
    <w:p w14:paraId="6333CFA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534BF56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323ADA1">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27．预付款</w:t>
      </w:r>
    </w:p>
    <w:p w14:paraId="244E68B6">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采购单位应当在政府采购合同中约定预付款，对中小企业合同预付款比例原则上不低于合同金额的30%，不高于合同金额的70%；项目分年安排预算的，每年预付款比例不低于项目年度计划支付资金额的30%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工程以及与工程建设有关的货物、服务，采用招标方式采购的，预付款从其相关规定。供应商可登录政采云前台大厅选择金融服务-【保函保险服务】出具预付款保函，具体步骤：选择产品—填写供应商信息—选择中标项目—确认信息—等待保险/保函受理—确认保单—支付保费—成功出单。政采云金融专线400-903-9583。</w:t>
      </w:r>
    </w:p>
    <w:p w14:paraId="255B5A0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p>
    <w:p w14:paraId="1A65E924">
      <w:pPr>
        <w:adjustRightInd/>
        <w:spacing w:line="44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32"/>
          <w:highlight w:val="none"/>
        </w:rPr>
        <w:t>八、电子交易活动的中止</w:t>
      </w:r>
    </w:p>
    <w:p w14:paraId="468CB698">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w:t>
      </w:r>
      <w:r>
        <w:rPr>
          <w:rFonts w:hint="eastAsia" w:ascii="仿宋_GB2312" w:hAnsi="仿宋_GB2312" w:eastAsia="仿宋_GB2312" w:cs="仿宋_GB2312"/>
          <w:b/>
          <w:color w:val="auto"/>
          <w:sz w:val="21"/>
          <w:szCs w:val="21"/>
          <w:highlight w:val="none"/>
          <w:lang w:val="en-US" w:eastAsia="zh-CN"/>
        </w:rPr>
        <w:t>8</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val="0"/>
          <w:bCs/>
          <w:color w:val="auto"/>
          <w:sz w:val="21"/>
          <w:szCs w:val="21"/>
          <w:highlight w:val="none"/>
        </w:rPr>
        <w:t>电子交易活动的中止。采购过程中出现以下情形，导致电子交易平台无法正常运行，或者无法保证电子交易的公平、公正和安全时，采购代理机构可中止电子交易活动：</w:t>
      </w:r>
    </w:p>
    <w:p w14:paraId="7CA4C325">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28.1 电子交易平台发生故障而无法登录访问的；</w:t>
      </w:r>
    </w:p>
    <w:p w14:paraId="244A1080">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28.2 电子交易平台应用或数据库出现错误，不能进行正常操作的；</w:t>
      </w:r>
    </w:p>
    <w:p w14:paraId="0C0E76D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28.3 电子交易平台发现严重安全漏洞，有潜在泄密危险的；</w:t>
      </w:r>
    </w:p>
    <w:p w14:paraId="64EA9F4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28.4 病毒发作导致不能进行正常操作的；</w:t>
      </w:r>
    </w:p>
    <w:p w14:paraId="3E69EE9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28.5 其他无法保证电子交易的公平、公正和安全的情况。</w:t>
      </w:r>
    </w:p>
    <w:p w14:paraId="4DEA92BA">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w:t>
      </w:r>
      <w:r>
        <w:rPr>
          <w:rFonts w:hint="eastAsia" w:ascii="仿宋_GB2312" w:hAnsi="仿宋_GB2312" w:eastAsia="仿宋_GB2312" w:cs="仿宋_GB2312"/>
          <w:b/>
          <w:color w:val="auto"/>
          <w:sz w:val="21"/>
          <w:szCs w:val="21"/>
          <w:highlight w:val="none"/>
          <w:lang w:val="en-US" w:eastAsia="zh-CN"/>
        </w:rPr>
        <w:t>9．</w:t>
      </w:r>
      <w:r>
        <w:rPr>
          <w:rFonts w:hint="eastAsia" w:ascii="仿宋_GB2312" w:hAnsi="仿宋_GB2312" w:eastAsia="仿宋_GB2312" w:cs="仿宋_GB2312"/>
          <w:b w:val="0"/>
          <w:bCs/>
          <w:color w:val="auto"/>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43D2BAD5">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p>
    <w:p w14:paraId="162F06AC">
      <w:pPr>
        <w:adjustRightInd/>
        <w:spacing w:line="440" w:lineRule="exact"/>
        <w:jc w:val="center"/>
        <w:rPr>
          <w:rFonts w:ascii="仿宋_GB2312" w:hAnsi="仿宋_GB2312" w:eastAsia="仿宋_GB2312" w:cs="仿宋_GB2312"/>
          <w:b/>
          <w:color w:val="auto"/>
          <w:sz w:val="32"/>
          <w:highlight w:val="none"/>
        </w:rPr>
      </w:pPr>
      <w:r>
        <w:rPr>
          <w:rFonts w:hint="eastAsia" w:ascii="仿宋_GB2312" w:hAnsi="仿宋_GB2312" w:eastAsia="仿宋_GB2312" w:cs="仿宋_GB2312"/>
          <w:b/>
          <w:color w:val="auto"/>
          <w:sz w:val="32"/>
          <w:highlight w:val="none"/>
        </w:rPr>
        <w:t>九、验收</w:t>
      </w:r>
    </w:p>
    <w:p w14:paraId="405EA413">
      <w:pPr>
        <w:adjustRightInd/>
        <w:spacing w:line="44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30</w:t>
      </w:r>
      <w:r>
        <w:rPr>
          <w:rFonts w:hint="eastAsia" w:ascii="仿宋_GB2312" w:hAnsi="仿宋_GB2312" w:eastAsia="仿宋_GB2312" w:cs="仿宋_GB2312"/>
          <w:b/>
          <w:color w:val="auto"/>
          <w:sz w:val="21"/>
          <w:szCs w:val="21"/>
          <w:highlight w:val="none"/>
        </w:rPr>
        <w:t>．验收</w:t>
      </w:r>
    </w:p>
    <w:p w14:paraId="17B1F44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30.1 按照《中华人民共和国民法典》、《财政部关于进一步加强政府采购需求和履约验收管理的指导意见》（财库〔2016〕205号）、《宁波市财政局关于印发&lt;宁波市政府采购履约验收管理办法&gt;的通知》（甬财采〔2021〕1051号）、《宁波市北仑区财政局关于印发《北仑区政府采购履约验收管理办法》的通知》（仑财采〔2025〕49号）及相关法律法规、规范性文件执行。</w:t>
      </w:r>
    </w:p>
    <w:p w14:paraId="7EF772C3">
      <w:pP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br w:type="page"/>
      </w:r>
    </w:p>
    <w:p w14:paraId="184062C2">
      <w:pPr>
        <w:keepNext w:val="0"/>
        <w:keepLines w:val="0"/>
        <w:pageBreakBefore w:val="0"/>
        <w:widowControl w:val="0"/>
        <w:kinsoku/>
        <w:wordWrap/>
        <w:overflowPunct/>
        <w:topLinePunct w:val="0"/>
        <w:autoSpaceDE/>
        <w:autoSpaceDN/>
        <w:bidi w:val="0"/>
        <w:adjustRightInd w:val="0"/>
        <w:snapToGrid/>
        <w:spacing w:line="640" w:lineRule="exact"/>
        <w:jc w:val="center"/>
        <w:textAlignment w:val="auto"/>
        <w:outlineLvl w:val="0"/>
        <w:rPr>
          <w:rFonts w:hint="eastAsia" w:ascii="仿宋_GB2312" w:hAnsi="仿宋_GB2312" w:eastAsia="仿宋_GB2312" w:cs="仿宋_GB2312"/>
          <w:b/>
          <w:bCs/>
          <w:color w:val="auto"/>
          <w:sz w:val="36"/>
          <w:szCs w:val="36"/>
          <w:highlight w:val="none"/>
          <w:lang w:val="en-US" w:eastAsia="zh-CN"/>
        </w:rPr>
      </w:pPr>
      <w:r>
        <w:rPr>
          <w:rFonts w:hint="eastAsia" w:ascii="仿宋_GB2312" w:hAnsi="仿宋_GB2312" w:eastAsia="仿宋_GB2312" w:cs="仿宋_GB2312"/>
          <w:b/>
          <w:bCs/>
          <w:color w:val="auto"/>
          <w:sz w:val="36"/>
          <w:szCs w:val="36"/>
          <w:highlight w:val="none"/>
        </w:rPr>
        <w:t>第</w:t>
      </w:r>
      <w:r>
        <w:rPr>
          <w:rFonts w:hint="eastAsia" w:ascii="仿宋_GB2312" w:hAnsi="仿宋_GB2312" w:eastAsia="仿宋_GB2312" w:cs="仿宋_GB2312"/>
          <w:b/>
          <w:bCs/>
          <w:color w:val="auto"/>
          <w:sz w:val="36"/>
          <w:szCs w:val="36"/>
          <w:highlight w:val="none"/>
          <w:lang w:val="en-US" w:eastAsia="zh-CN"/>
        </w:rPr>
        <w:t>三章</w:t>
      </w:r>
      <w:r>
        <w:rPr>
          <w:rFonts w:hint="eastAsia" w:ascii="仿宋_GB2312" w:hAnsi="仿宋_GB2312" w:eastAsia="仿宋_GB2312" w:cs="仿宋_GB2312"/>
          <w:b/>
          <w:bCs/>
          <w:color w:val="auto"/>
          <w:sz w:val="36"/>
          <w:szCs w:val="36"/>
          <w:highlight w:val="none"/>
        </w:rPr>
        <w:t xml:space="preserve"> </w:t>
      </w:r>
      <w:r>
        <w:rPr>
          <w:rFonts w:hint="eastAsia" w:ascii="仿宋_GB2312" w:hAnsi="仿宋_GB2312" w:eastAsia="仿宋_GB2312" w:cs="仿宋_GB2312"/>
          <w:b/>
          <w:bCs/>
          <w:color w:val="auto"/>
          <w:sz w:val="36"/>
          <w:szCs w:val="36"/>
          <w:highlight w:val="none"/>
          <w:lang w:val="en-US" w:eastAsia="zh-CN"/>
        </w:rPr>
        <w:t>采购需求</w:t>
      </w:r>
    </w:p>
    <w:p w14:paraId="76DA8B9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outlineLvl w:val="9"/>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前附表</w:t>
      </w:r>
    </w:p>
    <w:tbl>
      <w:tblPr>
        <w:tblStyle w:val="14"/>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861"/>
        <w:gridCol w:w="4809"/>
      </w:tblGrid>
      <w:tr w14:paraId="41F9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44" w:type="dxa"/>
            <w:vAlign w:val="center"/>
          </w:tcPr>
          <w:p w14:paraId="0B4B05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
                <w:color w:val="auto"/>
                <w:sz w:val="21"/>
                <w:szCs w:val="21"/>
                <w:highlight w:val="none"/>
              </w:rPr>
            </w:pPr>
            <w:bookmarkStart w:id="7" w:name="_Toc267211644"/>
            <w:bookmarkStart w:id="8" w:name="_Toc17023"/>
            <w:bookmarkStart w:id="9" w:name="_Toc10523"/>
            <w:bookmarkStart w:id="10" w:name="_Toc20341"/>
            <w:bookmarkStart w:id="11" w:name="_Toc18670"/>
            <w:r>
              <w:rPr>
                <w:rFonts w:hint="eastAsia" w:ascii="仿宋_GB2312" w:hAnsi="仿宋_GB2312" w:eastAsia="仿宋_GB2312" w:cs="仿宋_GB2312"/>
                <w:b/>
                <w:color w:val="auto"/>
                <w:sz w:val="21"/>
                <w:szCs w:val="21"/>
                <w:highlight w:val="none"/>
              </w:rPr>
              <w:t>序号</w:t>
            </w:r>
          </w:p>
        </w:tc>
        <w:tc>
          <w:tcPr>
            <w:tcW w:w="3861" w:type="dxa"/>
            <w:vAlign w:val="center"/>
          </w:tcPr>
          <w:p w14:paraId="50464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项目</w:t>
            </w:r>
          </w:p>
        </w:tc>
        <w:tc>
          <w:tcPr>
            <w:tcW w:w="4809" w:type="dxa"/>
            <w:vAlign w:val="center"/>
          </w:tcPr>
          <w:p w14:paraId="4CF374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采购需求内容</w:t>
            </w:r>
          </w:p>
        </w:tc>
      </w:tr>
      <w:tr w14:paraId="2795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1A174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3861" w:type="dxa"/>
            <w:vAlign w:val="center"/>
          </w:tcPr>
          <w:p w14:paraId="2020F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采购内容</w:t>
            </w:r>
          </w:p>
        </w:tc>
        <w:tc>
          <w:tcPr>
            <w:tcW w:w="4809" w:type="dxa"/>
            <w:vAlign w:val="center"/>
          </w:tcPr>
          <w:p w14:paraId="59BD86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详见本章内容</w:t>
            </w:r>
          </w:p>
        </w:tc>
      </w:tr>
      <w:tr w14:paraId="3DBC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47354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3861" w:type="dxa"/>
            <w:vAlign w:val="center"/>
          </w:tcPr>
          <w:p w14:paraId="6C453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单位及数量</w:t>
            </w:r>
          </w:p>
        </w:tc>
        <w:tc>
          <w:tcPr>
            <w:tcW w:w="4809" w:type="dxa"/>
            <w:vAlign w:val="center"/>
          </w:tcPr>
          <w:p w14:paraId="76080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详见本章内容</w:t>
            </w:r>
          </w:p>
        </w:tc>
      </w:tr>
      <w:tr w14:paraId="760A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644" w:type="dxa"/>
            <w:vAlign w:val="center"/>
          </w:tcPr>
          <w:p w14:paraId="44E93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3861" w:type="dxa"/>
            <w:vAlign w:val="center"/>
          </w:tcPr>
          <w:p w14:paraId="3EDF5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交付或者实施的时间和地点</w:t>
            </w:r>
          </w:p>
        </w:tc>
        <w:tc>
          <w:tcPr>
            <w:tcW w:w="4809" w:type="dxa"/>
            <w:vAlign w:val="center"/>
          </w:tcPr>
          <w:p w14:paraId="1E7AD638">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交货期：详见本章内容</w:t>
            </w:r>
          </w:p>
          <w:p w14:paraId="0A496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2</w:t>
            </w:r>
            <w:r>
              <w:rPr>
                <w:rFonts w:hint="eastAsia" w:ascii="仿宋_GB2312" w:hAnsi="仿宋_GB2312" w:eastAsia="仿宋_GB2312" w:cs="仿宋_GB2312"/>
                <w:color w:val="auto"/>
                <w:kern w:val="2"/>
                <w:sz w:val="21"/>
                <w:szCs w:val="21"/>
                <w:highlight w:val="none"/>
                <w:lang w:eastAsia="zh-CN"/>
              </w:rPr>
              <w:t>）交货</w:t>
            </w:r>
            <w:r>
              <w:rPr>
                <w:rFonts w:hint="eastAsia" w:ascii="仿宋_GB2312" w:hAnsi="仿宋_GB2312" w:eastAsia="仿宋_GB2312" w:cs="仿宋_GB2312"/>
                <w:color w:val="auto"/>
                <w:kern w:val="2"/>
                <w:sz w:val="21"/>
                <w:szCs w:val="21"/>
                <w:highlight w:val="none"/>
              </w:rPr>
              <w:t>地点：详见本章内容</w:t>
            </w:r>
          </w:p>
        </w:tc>
      </w:tr>
      <w:tr w14:paraId="1CB8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4E432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3861" w:type="dxa"/>
            <w:vAlign w:val="center"/>
          </w:tcPr>
          <w:p w14:paraId="17FFA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需实现的功能或者目标</w:t>
            </w:r>
          </w:p>
        </w:tc>
        <w:tc>
          <w:tcPr>
            <w:tcW w:w="4809" w:type="dxa"/>
            <w:vAlign w:val="center"/>
          </w:tcPr>
          <w:p w14:paraId="0AE7A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详见本章内容</w:t>
            </w:r>
          </w:p>
        </w:tc>
      </w:tr>
      <w:tr w14:paraId="172A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0BE08D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3861" w:type="dxa"/>
            <w:vAlign w:val="center"/>
          </w:tcPr>
          <w:p w14:paraId="7D2634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执行的国家相关标准、行业标准、地方标准或者其它标准、规范</w:t>
            </w:r>
          </w:p>
        </w:tc>
        <w:tc>
          <w:tcPr>
            <w:tcW w:w="4809" w:type="dxa"/>
            <w:vAlign w:val="center"/>
          </w:tcPr>
          <w:p w14:paraId="0254F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val="0"/>
                <w:bCs/>
                <w:color w:val="auto"/>
                <w:sz w:val="21"/>
                <w:szCs w:val="21"/>
                <w:highlight w:val="none"/>
              </w:rPr>
              <w:t>符合国家有关法律、法规、规章的规定以及国家现行相关政策的要求</w:t>
            </w:r>
          </w:p>
        </w:tc>
      </w:tr>
      <w:tr w14:paraId="1FFC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04D5DE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3861" w:type="dxa"/>
            <w:vAlign w:val="center"/>
          </w:tcPr>
          <w:p w14:paraId="20617F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技术规格要求</w:t>
            </w:r>
          </w:p>
        </w:tc>
        <w:tc>
          <w:tcPr>
            <w:tcW w:w="4809" w:type="dxa"/>
            <w:vAlign w:val="center"/>
          </w:tcPr>
          <w:p w14:paraId="7257DD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详见本章内容</w:t>
            </w:r>
          </w:p>
        </w:tc>
      </w:tr>
      <w:tr w14:paraId="41EC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5DCCB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3861" w:type="dxa"/>
            <w:vAlign w:val="center"/>
          </w:tcPr>
          <w:p w14:paraId="0BE67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物理特性要求</w:t>
            </w:r>
          </w:p>
        </w:tc>
        <w:tc>
          <w:tcPr>
            <w:tcW w:w="4809" w:type="dxa"/>
            <w:vAlign w:val="center"/>
          </w:tcPr>
          <w:p w14:paraId="6E2DD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详见本章内容</w:t>
            </w:r>
          </w:p>
        </w:tc>
      </w:tr>
      <w:tr w14:paraId="2C87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23C16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3861" w:type="dxa"/>
            <w:vAlign w:val="center"/>
          </w:tcPr>
          <w:p w14:paraId="677E282C">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rPr>
              <w:t>采购标的需满足的质量标准、期限、效率等要求</w:t>
            </w:r>
          </w:p>
        </w:tc>
        <w:tc>
          <w:tcPr>
            <w:tcW w:w="4809" w:type="dxa"/>
            <w:vAlign w:val="center"/>
          </w:tcPr>
          <w:p w14:paraId="6C6A7F4D">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详见本章内容</w:t>
            </w:r>
          </w:p>
        </w:tc>
      </w:tr>
      <w:tr w14:paraId="4633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shd w:val="clear" w:color="auto" w:fill="auto"/>
            <w:vAlign w:val="center"/>
          </w:tcPr>
          <w:p w14:paraId="472F1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w:t>
            </w:r>
          </w:p>
        </w:tc>
        <w:tc>
          <w:tcPr>
            <w:tcW w:w="3861" w:type="dxa"/>
            <w:vAlign w:val="center"/>
          </w:tcPr>
          <w:p w14:paraId="6B90E0B2">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安全要求</w:t>
            </w:r>
          </w:p>
        </w:tc>
        <w:tc>
          <w:tcPr>
            <w:tcW w:w="4809" w:type="dxa"/>
            <w:vAlign w:val="center"/>
          </w:tcPr>
          <w:p w14:paraId="0C75756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合格。必须重视安全生产工作，确保不出安全生产责任事故。</w:t>
            </w:r>
          </w:p>
        </w:tc>
      </w:tr>
      <w:tr w14:paraId="7687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shd w:val="clear" w:color="auto" w:fill="auto"/>
            <w:vAlign w:val="center"/>
          </w:tcPr>
          <w:p w14:paraId="36598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w:t>
            </w:r>
          </w:p>
        </w:tc>
        <w:tc>
          <w:tcPr>
            <w:tcW w:w="3861" w:type="dxa"/>
            <w:vAlign w:val="center"/>
          </w:tcPr>
          <w:p w14:paraId="09F8E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验收标准</w:t>
            </w:r>
          </w:p>
        </w:tc>
        <w:tc>
          <w:tcPr>
            <w:tcW w:w="4809" w:type="dxa"/>
            <w:vAlign w:val="center"/>
          </w:tcPr>
          <w:p w14:paraId="5CDE79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Cs/>
                <w:color w:val="auto"/>
                <w:sz w:val="21"/>
                <w:szCs w:val="21"/>
                <w:highlight w:val="none"/>
              </w:rPr>
              <w:t>按照</w:t>
            </w:r>
            <w:r>
              <w:rPr>
                <w:rFonts w:hint="eastAsia" w:ascii="仿宋_GB2312" w:hAnsi="仿宋_GB2312" w:eastAsia="仿宋_GB2312" w:cs="仿宋_GB2312"/>
                <w:bCs/>
                <w:color w:val="auto"/>
                <w:sz w:val="21"/>
                <w:szCs w:val="21"/>
                <w:highlight w:val="none"/>
                <w:lang w:eastAsia="zh-CN"/>
              </w:rPr>
              <w:t>中标人</w:t>
            </w:r>
            <w:r>
              <w:rPr>
                <w:rFonts w:hint="eastAsia" w:ascii="仿宋_GB2312" w:hAnsi="仿宋_GB2312" w:eastAsia="仿宋_GB2312" w:cs="仿宋_GB2312"/>
                <w:bCs/>
                <w:color w:val="auto"/>
                <w:sz w:val="21"/>
                <w:szCs w:val="21"/>
                <w:highlight w:val="none"/>
              </w:rPr>
              <w:t>提供的</w:t>
            </w:r>
            <w:r>
              <w:rPr>
                <w:rFonts w:hint="eastAsia" w:ascii="仿宋_GB2312" w:hAnsi="仿宋_GB2312" w:eastAsia="仿宋_GB2312" w:cs="仿宋_GB2312"/>
                <w:bCs/>
                <w:color w:val="auto"/>
                <w:sz w:val="21"/>
                <w:szCs w:val="21"/>
                <w:highlight w:val="none"/>
                <w:lang w:eastAsia="zh-CN"/>
              </w:rPr>
              <w:t>投标文件</w:t>
            </w:r>
            <w:r>
              <w:rPr>
                <w:rFonts w:hint="eastAsia" w:ascii="仿宋_GB2312" w:hAnsi="仿宋_GB2312" w:eastAsia="仿宋_GB2312" w:cs="仿宋_GB2312"/>
                <w:bCs/>
                <w:color w:val="auto"/>
                <w:sz w:val="21"/>
                <w:szCs w:val="21"/>
                <w:highlight w:val="none"/>
              </w:rPr>
              <w:t>及</w:t>
            </w:r>
            <w:r>
              <w:rPr>
                <w:rFonts w:hint="eastAsia" w:ascii="仿宋_GB2312" w:hAnsi="仿宋_GB2312" w:eastAsia="仿宋_GB2312" w:cs="仿宋_GB2312"/>
                <w:bCs/>
                <w:color w:val="auto"/>
                <w:sz w:val="21"/>
                <w:szCs w:val="21"/>
                <w:highlight w:val="none"/>
                <w:lang w:eastAsia="zh-CN"/>
              </w:rPr>
              <w:t>中标人</w:t>
            </w:r>
            <w:r>
              <w:rPr>
                <w:rFonts w:hint="eastAsia" w:ascii="仿宋_GB2312" w:hAnsi="仿宋_GB2312" w:eastAsia="仿宋_GB2312" w:cs="仿宋_GB2312"/>
                <w:bCs/>
                <w:color w:val="auto"/>
                <w:sz w:val="21"/>
                <w:szCs w:val="21"/>
                <w:highlight w:val="none"/>
              </w:rPr>
              <w:t>和采购人</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lang w:val="en-US" w:eastAsia="zh-CN"/>
              </w:rPr>
              <w:t>出资人</w:t>
            </w:r>
            <w:r>
              <w:rPr>
                <w:rFonts w:hint="eastAsia" w:ascii="仿宋_GB2312" w:hAnsi="仿宋_GB2312" w:eastAsia="仿宋_GB2312" w:cs="仿宋_GB2312"/>
                <w:bCs/>
                <w:color w:val="auto"/>
                <w:sz w:val="21"/>
                <w:szCs w:val="21"/>
                <w:highlight w:val="none"/>
              </w:rPr>
              <w:t>签订的政府采购合同为标准进行验收</w:t>
            </w:r>
            <w:r>
              <w:rPr>
                <w:rFonts w:hint="eastAsia" w:ascii="仿宋_GB2312" w:hAnsi="仿宋_GB2312" w:eastAsia="仿宋_GB2312" w:cs="仿宋_GB2312"/>
                <w:bCs/>
                <w:color w:val="auto"/>
                <w:sz w:val="21"/>
                <w:szCs w:val="21"/>
                <w:highlight w:val="none"/>
                <w:lang w:eastAsia="zh-CN"/>
              </w:rPr>
              <w:t>。</w:t>
            </w:r>
          </w:p>
        </w:tc>
      </w:tr>
      <w:tr w14:paraId="50B0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shd w:val="clear" w:color="auto" w:fill="auto"/>
            <w:vAlign w:val="center"/>
          </w:tcPr>
          <w:p w14:paraId="12A02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11</w:t>
            </w:r>
          </w:p>
        </w:tc>
        <w:tc>
          <w:tcPr>
            <w:tcW w:w="3861" w:type="dxa"/>
            <w:vAlign w:val="center"/>
          </w:tcPr>
          <w:p w14:paraId="12A150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现场踏勘</w:t>
            </w:r>
          </w:p>
        </w:tc>
        <w:tc>
          <w:tcPr>
            <w:tcW w:w="4809" w:type="dxa"/>
            <w:vAlign w:val="center"/>
          </w:tcPr>
          <w:p w14:paraId="63764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不统一组织。本项目各潜在投标人可自行至项目地点进行现场踏勘以充分了解项目位置、情况及任何其他足以影响本次报价的情况，任何因忽视或误解项目现场实际情况而导致的增加费用、索赔或期限延长申请将不获批准。</w:t>
            </w:r>
          </w:p>
        </w:tc>
      </w:tr>
      <w:tr w14:paraId="7871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shd w:val="clear" w:color="auto" w:fill="auto"/>
            <w:vAlign w:val="center"/>
          </w:tcPr>
          <w:p w14:paraId="01701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12</w:t>
            </w:r>
          </w:p>
        </w:tc>
        <w:tc>
          <w:tcPr>
            <w:tcW w:w="3861" w:type="dxa"/>
            <w:vAlign w:val="center"/>
          </w:tcPr>
          <w:p w14:paraId="44294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演示时间及地点</w:t>
            </w:r>
          </w:p>
        </w:tc>
        <w:tc>
          <w:tcPr>
            <w:tcW w:w="4809" w:type="dxa"/>
            <w:vAlign w:val="center"/>
          </w:tcPr>
          <w:p w14:paraId="16E119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无</w:t>
            </w:r>
          </w:p>
        </w:tc>
      </w:tr>
      <w:tr w14:paraId="2C4F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shd w:val="clear" w:color="auto" w:fill="auto"/>
            <w:vAlign w:val="center"/>
          </w:tcPr>
          <w:p w14:paraId="5D55E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13</w:t>
            </w:r>
          </w:p>
        </w:tc>
        <w:tc>
          <w:tcPr>
            <w:tcW w:w="3861" w:type="dxa"/>
            <w:vAlign w:val="center"/>
          </w:tcPr>
          <w:p w14:paraId="24F66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样品要求</w:t>
            </w:r>
          </w:p>
        </w:tc>
        <w:tc>
          <w:tcPr>
            <w:tcW w:w="4809" w:type="dxa"/>
            <w:vAlign w:val="center"/>
          </w:tcPr>
          <w:p w14:paraId="73293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rPr>
              <w:t>无</w:t>
            </w:r>
          </w:p>
        </w:tc>
      </w:tr>
      <w:tr w14:paraId="7A03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shd w:val="clear" w:color="auto" w:fill="auto"/>
            <w:vAlign w:val="center"/>
          </w:tcPr>
          <w:p w14:paraId="5A0C8A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14</w:t>
            </w:r>
          </w:p>
        </w:tc>
        <w:tc>
          <w:tcPr>
            <w:tcW w:w="3861" w:type="dxa"/>
            <w:vAlign w:val="center"/>
          </w:tcPr>
          <w:p w14:paraId="7F183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本项目的核心产品</w:t>
            </w:r>
          </w:p>
        </w:tc>
        <w:tc>
          <w:tcPr>
            <w:tcW w:w="4809" w:type="dxa"/>
            <w:vAlign w:val="center"/>
          </w:tcPr>
          <w:p w14:paraId="4E76E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左/右声道线阵列音箱组</w:t>
            </w:r>
          </w:p>
        </w:tc>
      </w:tr>
      <w:tr w14:paraId="69EA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5159B2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w:t>
            </w:r>
          </w:p>
        </w:tc>
        <w:tc>
          <w:tcPr>
            <w:tcW w:w="3861" w:type="dxa"/>
            <w:vAlign w:val="center"/>
          </w:tcPr>
          <w:p w14:paraId="7C675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是否允许采购进口产品</w:t>
            </w:r>
          </w:p>
        </w:tc>
        <w:tc>
          <w:tcPr>
            <w:tcW w:w="4809" w:type="dxa"/>
            <w:vAlign w:val="center"/>
          </w:tcPr>
          <w:p w14:paraId="0E6F59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否</w:t>
            </w:r>
          </w:p>
        </w:tc>
      </w:tr>
      <w:tr w14:paraId="010E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2E032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16</w:t>
            </w:r>
          </w:p>
        </w:tc>
        <w:tc>
          <w:tcPr>
            <w:tcW w:w="3861" w:type="dxa"/>
            <w:vAlign w:val="center"/>
          </w:tcPr>
          <w:p w14:paraId="73762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Cs/>
                <w:color w:val="auto"/>
                <w:sz w:val="21"/>
                <w:szCs w:val="21"/>
                <w:highlight w:val="none"/>
              </w:rPr>
              <w:t>知识产权</w:t>
            </w:r>
          </w:p>
        </w:tc>
        <w:tc>
          <w:tcPr>
            <w:tcW w:w="4809" w:type="dxa"/>
            <w:vAlign w:val="center"/>
          </w:tcPr>
          <w:p w14:paraId="0E1DA3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Cs/>
                <w:color w:val="auto"/>
                <w:sz w:val="21"/>
                <w:szCs w:val="21"/>
                <w:highlight w:val="none"/>
              </w:rPr>
              <w:t>本项目知识产权归属</w:t>
            </w:r>
            <w:r>
              <w:rPr>
                <w:rFonts w:hint="eastAsia" w:ascii="仿宋_GB2312" w:hAnsi="仿宋_GB2312" w:eastAsia="仿宋_GB2312" w:cs="仿宋_GB2312"/>
                <w:bCs/>
                <w:color w:val="auto"/>
                <w:sz w:val="21"/>
                <w:szCs w:val="21"/>
                <w:highlight w:val="none"/>
                <w:lang w:val="en-US" w:eastAsia="zh-CN"/>
              </w:rPr>
              <w:t>出资人</w:t>
            </w:r>
            <w:r>
              <w:rPr>
                <w:rFonts w:hint="eastAsia" w:ascii="仿宋_GB2312" w:hAnsi="仿宋_GB2312" w:eastAsia="仿宋_GB2312" w:cs="仿宋_GB2312"/>
                <w:bCs/>
                <w:color w:val="auto"/>
                <w:sz w:val="21"/>
                <w:szCs w:val="21"/>
                <w:highlight w:val="none"/>
              </w:rPr>
              <w:t>所有。</w:t>
            </w:r>
          </w:p>
        </w:tc>
      </w:tr>
      <w:tr w14:paraId="01F7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Align w:val="center"/>
          </w:tcPr>
          <w:p w14:paraId="63CECC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17</w:t>
            </w:r>
          </w:p>
        </w:tc>
        <w:tc>
          <w:tcPr>
            <w:tcW w:w="3861" w:type="dxa"/>
            <w:vAlign w:val="center"/>
          </w:tcPr>
          <w:p w14:paraId="67A250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合同终止</w:t>
            </w:r>
          </w:p>
        </w:tc>
        <w:tc>
          <w:tcPr>
            <w:tcW w:w="4809" w:type="dxa"/>
            <w:vAlign w:val="center"/>
          </w:tcPr>
          <w:p w14:paraId="164BC3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中标人在合同有效期内，不得无理由终止合同，确有特殊情况的，须提前1个月向采购人提出书面申请，经采购人、出资人同意后，方可终止合同。因中标人不能保证工作质量，或发生重大差错事故的，采购人、出资人可有权终止协议，中标人承担全部责任。</w:t>
            </w:r>
          </w:p>
        </w:tc>
      </w:tr>
    </w:tbl>
    <w:p w14:paraId="57A8B924">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▲一、商务要求表</w:t>
      </w:r>
    </w:p>
    <w:tbl>
      <w:tblPr>
        <w:tblStyle w:val="14"/>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7529"/>
      </w:tblGrid>
      <w:tr w14:paraId="3409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99" w:type="dxa"/>
            <w:vAlign w:val="center"/>
          </w:tcPr>
          <w:p w14:paraId="318F08B6">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1、交货期</w:t>
            </w:r>
          </w:p>
        </w:tc>
        <w:tc>
          <w:tcPr>
            <w:tcW w:w="7529" w:type="dxa"/>
            <w:vAlign w:val="center"/>
          </w:tcPr>
          <w:p w14:paraId="200000A2">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接采购人供货通知后</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0日历天内交货</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完成安装调试工作并达到验收条件</w:t>
            </w:r>
            <w:r>
              <w:rPr>
                <w:rFonts w:hint="eastAsia" w:ascii="仿宋_GB2312" w:hAnsi="仿宋_GB2312" w:eastAsia="仿宋_GB2312" w:cs="仿宋_GB2312"/>
                <w:color w:val="auto"/>
                <w:sz w:val="21"/>
                <w:szCs w:val="21"/>
                <w:highlight w:val="none"/>
                <w:lang w:eastAsia="zh-CN"/>
              </w:rPr>
              <w:t>。</w:t>
            </w:r>
          </w:p>
        </w:tc>
      </w:tr>
      <w:tr w14:paraId="53E8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99" w:type="dxa"/>
            <w:vAlign w:val="center"/>
          </w:tcPr>
          <w:p w14:paraId="24F826FD">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2、交货地点</w:t>
            </w:r>
          </w:p>
        </w:tc>
        <w:tc>
          <w:tcPr>
            <w:tcW w:w="7529" w:type="dxa"/>
            <w:vAlign w:val="center"/>
          </w:tcPr>
          <w:p w14:paraId="011E9EDA">
            <w:pPr>
              <w:keepNext w:val="0"/>
              <w:keepLines w:val="0"/>
              <w:pageBreakBefore w:val="0"/>
              <w:kinsoku/>
              <w:wordWrap/>
              <w:overflowPunct/>
              <w:topLinePunct w:val="0"/>
              <w:autoSpaceDE/>
              <w:autoSpaceDN/>
              <w:bidi w:val="0"/>
              <w:adjustRightInd w:val="0"/>
              <w:spacing w:line="440" w:lineRule="exact"/>
              <w:jc w:val="both"/>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采购人指定地点</w:t>
            </w:r>
            <w:r>
              <w:rPr>
                <w:rFonts w:hint="eastAsia" w:ascii="仿宋_GB2312" w:hAnsi="仿宋_GB2312" w:eastAsia="仿宋_GB2312" w:cs="仿宋_GB2312"/>
                <w:color w:val="auto"/>
                <w:sz w:val="21"/>
                <w:szCs w:val="21"/>
                <w:highlight w:val="none"/>
                <w:lang w:val="en-US" w:eastAsia="zh-CN"/>
              </w:rPr>
              <w:t>，新碶综合文化活动中心。</w:t>
            </w:r>
          </w:p>
        </w:tc>
      </w:tr>
      <w:tr w14:paraId="33F8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vAlign w:val="center"/>
          </w:tcPr>
          <w:p w14:paraId="78818A19">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3、付款方式</w:t>
            </w:r>
            <w:r>
              <w:rPr>
                <w:rFonts w:hint="eastAsia" w:ascii="仿宋_GB2312" w:hAnsi="仿宋_GB2312" w:eastAsia="仿宋_GB2312" w:cs="仿宋_GB2312"/>
                <w:b/>
                <w:bCs/>
                <w:color w:val="auto"/>
                <w:sz w:val="21"/>
                <w:szCs w:val="21"/>
                <w:highlight w:val="none"/>
                <w:lang w:val="en-US" w:eastAsia="zh-CN"/>
              </w:rPr>
              <w:t>和条件</w:t>
            </w:r>
          </w:p>
        </w:tc>
        <w:tc>
          <w:tcPr>
            <w:tcW w:w="7529" w:type="dxa"/>
            <w:vAlign w:val="center"/>
          </w:tcPr>
          <w:p w14:paraId="1279B16E">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合同签订生效以及具备实施条件（接到采购人供货通知）</w:t>
            </w:r>
            <w:r>
              <w:rPr>
                <w:rFonts w:hint="eastAsia" w:ascii="仿宋_GB2312" w:hAnsi="仿宋_GB2312" w:eastAsia="仿宋_GB2312" w:cs="仿宋_GB2312"/>
                <w:color w:val="auto"/>
                <w:sz w:val="21"/>
                <w:szCs w:val="21"/>
                <w:highlight w:val="none"/>
                <w:lang w:eastAsia="zh-CN"/>
              </w:rPr>
              <w:t>、采购人收到中标人开具的发票及预付款保函后，出资人支付合同金额的40%作为预付款，预付款保函由银行、保险公司等金融机构出具且与预付款等额；</w:t>
            </w:r>
            <w:r>
              <w:rPr>
                <w:rFonts w:hint="eastAsia" w:ascii="仿宋_GB2312" w:hAnsi="仿宋_GB2312" w:eastAsia="仿宋_GB2312" w:cs="仿宋_GB2312"/>
                <w:color w:val="auto"/>
                <w:sz w:val="21"/>
                <w:szCs w:val="21"/>
                <w:highlight w:val="none"/>
              </w:rPr>
              <w:t>支付合同总额的40%作为预付款。（在签订合同时，中标供应商主动要求降低预付款比例的，按降低后的比例支付预付款）</w:t>
            </w:r>
            <w:r>
              <w:rPr>
                <w:rFonts w:hint="eastAsia" w:ascii="仿宋_GB2312" w:hAnsi="仿宋_GB2312" w:eastAsia="仿宋_GB2312" w:cs="仿宋_GB2312"/>
                <w:color w:val="auto"/>
                <w:sz w:val="21"/>
                <w:szCs w:val="21"/>
                <w:highlight w:val="none"/>
                <w:lang w:eastAsia="zh-CN"/>
              </w:rPr>
              <w:t>；</w:t>
            </w:r>
          </w:p>
          <w:p w14:paraId="679002F4">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货到现场后，中标人及时向采购人提出到货验收申请，验收通过后，出资人向中标人支付合同金额的20%的货款；</w:t>
            </w:r>
          </w:p>
          <w:p w14:paraId="5056DF11">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货物安装、调试完毕后，中标人及时向采购人提出最终验收申请，最终验收通过后，出资人向中标人支付合同余款且退还预付款保函。</w:t>
            </w:r>
          </w:p>
          <w:p w14:paraId="08830240">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（出资人指宁波市北仑区城兴建设管理有限公司）</w:t>
            </w:r>
          </w:p>
        </w:tc>
      </w:tr>
      <w:tr w14:paraId="19F9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vAlign w:val="center"/>
          </w:tcPr>
          <w:p w14:paraId="51A63CC8">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kern w:val="2"/>
                <w:sz w:val="21"/>
                <w:szCs w:val="21"/>
                <w:highlight w:val="none"/>
                <w:lang w:val="en-US" w:eastAsia="zh-CN" w:bidi="ar-SA"/>
              </w:rPr>
              <w:t>、质量标准</w:t>
            </w:r>
          </w:p>
        </w:tc>
        <w:tc>
          <w:tcPr>
            <w:tcW w:w="7529" w:type="dxa"/>
            <w:vAlign w:val="center"/>
          </w:tcPr>
          <w:p w14:paraId="115A54DC">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中标人保证所提供的货物应符合招标文件要求及国家技术规格和质量标准的出厂原装合格产品，一次性验收合格。</w:t>
            </w:r>
          </w:p>
          <w:p w14:paraId="30EDE0A1">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如发生所供的货物与合同不符，采购人有权拒收或退货，由此产生的一切责任和后果由供应商承担，在所供货物交付时，中标人必须向采购人提供说明书、质量保证书、保修卡等必须具备的相关资料和必备附件。</w:t>
            </w:r>
          </w:p>
        </w:tc>
      </w:tr>
      <w:tr w14:paraId="584B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vAlign w:val="center"/>
          </w:tcPr>
          <w:p w14:paraId="6DB380F5">
            <w:pPr>
              <w:keepNext w:val="0"/>
              <w:keepLines w:val="0"/>
              <w:pageBreakBefore w:val="0"/>
              <w:kinsoku/>
              <w:wordWrap/>
              <w:overflowPunct/>
              <w:topLinePunct w:val="0"/>
              <w:autoSpaceDE/>
              <w:autoSpaceDN/>
              <w:bidi w:val="0"/>
              <w:adjustRightInd w:val="0"/>
              <w:spacing w:line="440" w:lineRule="exact"/>
              <w:jc w:val="center"/>
              <w:textAlignment w:val="auto"/>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5、数量变更要求</w:t>
            </w:r>
          </w:p>
        </w:tc>
        <w:tc>
          <w:tcPr>
            <w:tcW w:w="7529" w:type="dxa"/>
            <w:vAlign w:val="center"/>
          </w:tcPr>
          <w:p w14:paraId="6D695FA5">
            <w:pPr>
              <w:keepNext w:val="0"/>
              <w:keepLines w:val="0"/>
              <w:pageBreakBefore w:val="0"/>
              <w:kinsoku/>
              <w:wordWrap/>
              <w:overflowPunct/>
              <w:topLinePunct w:val="0"/>
              <w:autoSpaceDE/>
              <w:autoSpaceDN/>
              <w:bidi w:val="0"/>
              <w:adjustRightInd w:val="0"/>
              <w:spacing w:line="4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供应商应配合采购人因实际情况变化而调整部分定购设备数量的权利，供应商应对设备和服务明细报价，施工设计变更后发生的数量增减，按中标单价不变的前提下进行</w:t>
            </w:r>
            <w:r>
              <w:rPr>
                <w:rFonts w:hint="eastAsia" w:ascii="仿宋_GB2312" w:hAnsi="仿宋_GB2312" w:eastAsia="仿宋_GB2312" w:cs="仿宋_GB2312"/>
                <w:color w:val="auto"/>
                <w:sz w:val="21"/>
                <w:szCs w:val="21"/>
                <w:highlight w:val="none"/>
                <w:lang w:val="en-US" w:eastAsia="zh-CN"/>
              </w:rPr>
              <w:t>数量调整</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各方</w:t>
            </w:r>
            <w:r>
              <w:rPr>
                <w:rFonts w:hint="eastAsia" w:ascii="仿宋_GB2312" w:hAnsi="仿宋_GB2312" w:eastAsia="仿宋_GB2312" w:cs="仿宋_GB2312"/>
                <w:color w:val="auto"/>
                <w:sz w:val="21"/>
                <w:szCs w:val="21"/>
                <w:highlight w:val="none"/>
              </w:rPr>
              <w:t>不得拒绝。</w:t>
            </w:r>
          </w:p>
        </w:tc>
      </w:tr>
      <w:tr w14:paraId="7AE3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799" w:type="dxa"/>
            <w:shd w:val="clear" w:color="auto" w:fill="auto"/>
            <w:vAlign w:val="center"/>
          </w:tcPr>
          <w:p w14:paraId="0D4D0DC0">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4、履约保证金</w:t>
            </w:r>
          </w:p>
        </w:tc>
        <w:tc>
          <w:tcPr>
            <w:tcW w:w="7529" w:type="dxa"/>
            <w:shd w:val="clear" w:color="auto" w:fill="auto"/>
            <w:vAlign w:val="center"/>
          </w:tcPr>
          <w:p w14:paraId="71B5213D">
            <w:pPr>
              <w:adjustRightInd/>
              <w:spacing w:line="440" w:lineRule="exact"/>
              <w:rPr>
                <w:rFonts w:hint="eastAsia" w:ascii="仿宋_GB2312" w:hAnsi="仿宋_GB2312" w:eastAsia="宋体"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无</w:t>
            </w:r>
            <w:r>
              <w:rPr>
                <w:rFonts w:hint="eastAsia" w:ascii="仿宋_GB2312" w:hAnsi="仿宋_GB2312" w:eastAsia="仿宋_GB2312" w:cs="仿宋_GB2312"/>
                <w:color w:val="auto"/>
                <w:sz w:val="21"/>
                <w:szCs w:val="21"/>
                <w:highlight w:val="none"/>
                <w:lang w:eastAsia="zh-CN"/>
              </w:rPr>
              <w:t>。</w:t>
            </w:r>
          </w:p>
        </w:tc>
      </w:tr>
      <w:tr w14:paraId="141A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shd w:val="clear" w:color="auto" w:fill="auto"/>
            <w:vAlign w:val="center"/>
          </w:tcPr>
          <w:p w14:paraId="30DE18FF">
            <w:pPr>
              <w:keepNext w:val="0"/>
              <w:keepLines w:val="0"/>
              <w:pageBreakBefore w:val="0"/>
              <w:kinsoku/>
              <w:wordWrap/>
              <w:overflowPunct/>
              <w:topLinePunct w:val="0"/>
              <w:autoSpaceDE/>
              <w:autoSpaceDN/>
              <w:bidi w:val="0"/>
              <w:adjustRightInd w:val="0"/>
              <w:spacing w:line="440" w:lineRule="exact"/>
              <w:jc w:val="center"/>
              <w:textAlignment w:val="auto"/>
              <w:rPr>
                <w:rFonts w:hint="default"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5、质保期及要求</w:t>
            </w:r>
          </w:p>
        </w:tc>
        <w:tc>
          <w:tcPr>
            <w:tcW w:w="7529" w:type="dxa"/>
            <w:shd w:val="clear" w:color="auto" w:fill="auto"/>
            <w:vAlign w:val="center"/>
          </w:tcPr>
          <w:p w14:paraId="3DCECF86">
            <w:pPr>
              <w:adjustRightInd/>
              <w:spacing w:line="44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质保期为24个月，时间从</w:t>
            </w:r>
            <w:r>
              <w:rPr>
                <w:rFonts w:hint="eastAsia" w:ascii="仿宋_GB2312" w:hAnsi="仿宋_GB2312" w:eastAsia="仿宋_GB2312" w:cs="仿宋_GB2312"/>
                <w:color w:val="auto"/>
                <w:sz w:val="21"/>
                <w:szCs w:val="21"/>
                <w:highlight w:val="none"/>
              </w:rPr>
              <w:t>最终验收</w:t>
            </w:r>
            <w:r>
              <w:rPr>
                <w:rFonts w:hint="eastAsia" w:ascii="仿宋_GB2312" w:hAnsi="仿宋_GB2312" w:eastAsia="仿宋_GB2312" w:cs="仿宋_GB2312"/>
                <w:color w:val="auto"/>
                <w:kern w:val="2"/>
                <w:sz w:val="21"/>
                <w:szCs w:val="21"/>
                <w:highlight w:val="none"/>
                <w:lang w:val="en-US" w:eastAsia="zh-CN" w:bidi="ar-SA"/>
              </w:rPr>
              <w:t>合格之日算起。若中标人提供的产品质保期大于24个月的，则以中标人的质保期为准；若中标人提供的产品质保期小于24个月的，则以24个月为准（由中标人负责）。</w:t>
            </w:r>
          </w:p>
          <w:p w14:paraId="6D51C66D">
            <w:pPr>
              <w:adjustRightInd/>
              <w:spacing w:line="44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在质保期内，中标人须免费负责修理和替换任何由于设备自身的质量问题造成的损坏及故障。</w:t>
            </w:r>
          </w:p>
        </w:tc>
      </w:tr>
      <w:tr w14:paraId="235E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shd w:val="clear" w:color="auto" w:fill="auto"/>
            <w:vAlign w:val="center"/>
          </w:tcPr>
          <w:p w14:paraId="7CB672F7">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5、售后服务要求</w:t>
            </w:r>
          </w:p>
        </w:tc>
        <w:tc>
          <w:tcPr>
            <w:tcW w:w="7529" w:type="dxa"/>
            <w:shd w:val="clear" w:color="auto" w:fill="auto"/>
            <w:vAlign w:val="center"/>
          </w:tcPr>
          <w:p w14:paraId="4A499ECE">
            <w:pPr>
              <w:adjustRightInd/>
              <w:spacing w:line="44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售后服务：中标人应设立固定的售后服务机构，便于采购人购买备件，并在需要时安排技术服务。</w:t>
            </w:r>
          </w:p>
          <w:p w14:paraId="258D993B">
            <w:pPr>
              <w:adjustRightInd/>
              <w:spacing w:line="44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售后服务的响应速度要求：提供24小时热线电话服务，并指定专人负责上门受理调试日常维护及平时协助采购人维护检测等工作。若设备发生故障，维修人员需在接到维修电话后4小时赶到现场，提供不间断的服务直到结束。如果在短时内故障无法修复，则应提供同规格设备代用，维修点需提供足够的备件以适应采购人维修需求。</w:t>
            </w:r>
          </w:p>
        </w:tc>
      </w:tr>
      <w:tr w14:paraId="33FC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vAlign w:val="center"/>
          </w:tcPr>
          <w:p w14:paraId="0269F3B2">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rPr>
              <w:t>、知识产权</w:t>
            </w:r>
          </w:p>
        </w:tc>
        <w:tc>
          <w:tcPr>
            <w:tcW w:w="7529" w:type="dxa"/>
            <w:vAlign w:val="center"/>
          </w:tcPr>
          <w:p w14:paraId="67E29BBF">
            <w:pPr>
              <w:pStyle w:val="2"/>
              <w:keepNext w:val="0"/>
              <w:keepLines w:val="0"/>
              <w:pageBreakBefore w:val="0"/>
              <w:kinsoku/>
              <w:wordWrap/>
              <w:overflowPunct/>
              <w:topLinePunct w:val="0"/>
              <w:autoSpaceDE/>
              <w:autoSpaceDN/>
              <w:bidi w:val="0"/>
              <w:adjustRightInd w:val="0"/>
              <w:spacing w:line="440" w:lineRule="exact"/>
              <w:ind w:firstLine="0"/>
              <w:jc w:val="both"/>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val="0"/>
                <w:bCs/>
                <w:color w:val="auto"/>
                <w:sz w:val="21"/>
                <w:szCs w:val="21"/>
                <w:highlight w:val="none"/>
              </w:rPr>
              <w:t>本项目知识产权归属</w:t>
            </w:r>
            <w:r>
              <w:rPr>
                <w:rFonts w:hint="eastAsia" w:ascii="仿宋_GB2312" w:hAnsi="仿宋_GB2312" w:eastAsia="仿宋_GB2312" w:cs="仿宋_GB2312"/>
                <w:b w:val="0"/>
                <w:bCs/>
                <w:color w:val="auto"/>
                <w:sz w:val="21"/>
                <w:szCs w:val="21"/>
                <w:highlight w:val="none"/>
                <w:lang w:val="en-US" w:eastAsia="zh-CN"/>
              </w:rPr>
              <w:t>出资</w:t>
            </w:r>
            <w:r>
              <w:rPr>
                <w:rFonts w:hint="eastAsia" w:ascii="仿宋_GB2312" w:hAnsi="仿宋_GB2312" w:eastAsia="仿宋_GB2312" w:cs="仿宋_GB2312"/>
                <w:b w:val="0"/>
                <w:bCs/>
                <w:color w:val="auto"/>
                <w:sz w:val="21"/>
                <w:szCs w:val="21"/>
                <w:highlight w:val="none"/>
              </w:rPr>
              <w:t>人所有。</w:t>
            </w:r>
          </w:p>
        </w:tc>
      </w:tr>
      <w:tr w14:paraId="6239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vAlign w:val="center"/>
          </w:tcPr>
          <w:p w14:paraId="7DC8F51A">
            <w:pPr>
              <w:keepNext w:val="0"/>
              <w:keepLines w:val="0"/>
              <w:pageBreakBefore w:val="0"/>
              <w:kinsoku/>
              <w:wordWrap/>
              <w:overflowPunct/>
              <w:topLinePunct w:val="0"/>
              <w:autoSpaceDE/>
              <w:autoSpaceDN/>
              <w:bidi w:val="0"/>
              <w:adjustRightInd w:val="0"/>
              <w:spacing w:line="4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7</w:t>
            </w:r>
            <w:r>
              <w:rPr>
                <w:rFonts w:hint="eastAsia" w:ascii="仿宋_GB2312" w:hAnsi="仿宋_GB2312" w:eastAsia="仿宋_GB2312" w:cs="仿宋_GB2312"/>
                <w:b/>
                <w:bCs/>
                <w:color w:val="auto"/>
                <w:sz w:val="21"/>
                <w:szCs w:val="21"/>
                <w:highlight w:val="none"/>
              </w:rPr>
              <w:t>、合同终止</w:t>
            </w:r>
          </w:p>
        </w:tc>
        <w:tc>
          <w:tcPr>
            <w:tcW w:w="7529" w:type="dxa"/>
            <w:vAlign w:val="center"/>
          </w:tcPr>
          <w:p w14:paraId="01B6B41D">
            <w:pPr>
              <w:pStyle w:val="2"/>
              <w:keepNext w:val="0"/>
              <w:keepLines w:val="0"/>
              <w:pageBreakBefore w:val="0"/>
              <w:kinsoku/>
              <w:wordWrap/>
              <w:overflowPunct/>
              <w:topLinePunct w:val="0"/>
              <w:autoSpaceDE/>
              <w:autoSpaceDN/>
              <w:bidi w:val="0"/>
              <w:adjustRightInd w:val="0"/>
              <w:spacing w:line="440" w:lineRule="exact"/>
              <w:ind w:firstLine="0"/>
              <w:jc w:val="both"/>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中标人在合同有效期内，不得无理由终止合同，确有特殊情况的，须提前1个月向采购人提出书面申请，经采购人</w:t>
            </w:r>
            <w:r>
              <w:rPr>
                <w:rFonts w:hint="eastAsia" w:ascii="仿宋_GB2312" w:hAnsi="仿宋_GB2312" w:eastAsia="仿宋_GB2312" w:cs="仿宋_GB2312"/>
                <w:b w:val="0"/>
                <w:bCs w:val="0"/>
                <w:color w:val="auto"/>
                <w:sz w:val="21"/>
                <w:szCs w:val="21"/>
                <w:highlight w:val="none"/>
                <w:lang w:val="en-US" w:eastAsia="zh-CN"/>
              </w:rPr>
              <w:t>、出资人</w:t>
            </w:r>
            <w:r>
              <w:rPr>
                <w:rFonts w:hint="eastAsia" w:ascii="仿宋_GB2312" w:hAnsi="仿宋_GB2312" w:eastAsia="仿宋_GB2312" w:cs="仿宋_GB2312"/>
                <w:b w:val="0"/>
                <w:bCs/>
                <w:color w:val="auto"/>
                <w:sz w:val="21"/>
                <w:szCs w:val="21"/>
                <w:highlight w:val="none"/>
              </w:rPr>
              <w:t>同意后，方可终止合同。因中标人不能保证工作质量，或发生重大差错事故的，采购人</w:t>
            </w:r>
            <w:r>
              <w:rPr>
                <w:rFonts w:hint="eastAsia" w:ascii="仿宋_GB2312" w:hAnsi="仿宋_GB2312" w:eastAsia="仿宋_GB2312" w:cs="仿宋_GB2312"/>
                <w:b w:val="0"/>
                <w:bCs w:val="0"/>
                <w:color w:val="auto"/>
                <w:sz w:val="21"/>
                <w:szCs w:val="21"/>
                <w:highlight w:val="none"/>
                <w:lang w:val="en-US" w:eastAsia="zh-CN"/>
              </w:rPr>
              <w:t>、出资人</w:t>
            </w:r>
            <w:r>
              <w:rPr>
                <w:rFonts w:hint="eastAsia" w:ascii="仿宋_GB2312" w:hAnsi="仿宋_GB2312" w:eastAsia="仿宋_GB2312" w:cs="仿宋_GB2312"/>
                <w:b w:val="0"/>
                <w:bCs/>
                <w:color w:val="auto"/>
                <w:sz w:val="21"/>
                <w:szCs w:val="21"/>
                <w:highlight w:val="none"/>
              </w:rPr>
              <w:t>可有权终止协议，中标人承担全部责任。</w:t>
            </w:r>
          </w:p>
        </w:tc>
      </w:tr>
    </w:tbl>
    <w:p w14:paraId="6631205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二、采购清单及技术要求</w:t>
      </w:r>
    </w:p>
    <w:p w14:paraId="68415660">
      <w:pPr>
        <w:adjustRightInd/>
        <w:spacing w:line="440" w:lineRule="exact"/>
        <w:jc w:val="center"/>
        <w:rPr>
          <w:rFonts w:hint="eastAsia" w:ascii="仿宋_GB2312" w:hAnsi="仿宋_GB2312" w:eastAsia="仿宋_GB2312" w:cs="仿宋_GB2312"/>
          <w:b/>
          <w:bCs/>
          <w:color w:val="auto"/>
          <w:sz w:val="28"/>
          <w:szCs w:val="28"/>
          <w:highlight w:val="none"/>
          <w:lang w:val="en-US" w:eastAsia="zh-CN"/>
        </w:rPr>
        <w:sectPr>
          <w:footerReference r:id="rId6" w:type="first"/>
          <w:footerReference r:id="rId5" w:type="default"/>
          <w:pgSz w:w="11906" w:h="16838"/>
          <w:pgMar w:top="1417" w:right="1134" w:bottom="1417" w:left="1417" w:header="1304" w:footer="992" w:gutter="0"/>
          <w:pgNumType w:fmt="decimal" w:start="1"/>
          <w:cols w:space="0" w:num="1"/>
          <w:titlePg/>
          <w:rtlGutter w:val="0"/>
          <w:docGrid w:linePitch="312" w:charSpace="0"/>
        </w:sectPr>
      </w:pPr>
    </w:p>
    <w:p w14:paraId="67083F2A">
      <w:pPr>
        <w:adjustRightInd/>
        <w:spacing w:line="44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采购货物清单</w:t>
      </w:r>
    </w:p>
    <w:tbl>
      <w:tblPr>
        <w:tblStyle w:val="15"/>
        <w:tblW w:w="14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89"/>
        <w:gridCol w:w="8255"/>
        <w:gridCol w:w="2077"/>
        <w:gridCol w:w="660"/>
        <w:gridCol w:w="859"/>
      </w:tblGrid>
      <w:tr w14:paraId="4F21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vAlign w:val="center"/>
          </w:tcPr>
          <w:p w14:paraId="09CCBA0F">
            <w:pPr>
              <w:adjustRightInd/>
              <w:spacing w:line="440" w:lineRule="exact"/>
              <w:jc w:val="center"/>
              <w:rPr>
                <w:rFonts w:hint="default"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1789" w:type="dxa"/>
            <w:vAlign w:val="center"/>
          </w:tcPr>
          <w:p w14:paraId="7FFB0D4B">
            <w:pPr>
              <w:adjustRightInd/>
              <w:spacing w:line="440" w:lineRule="exact"/>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设备名称</w:t>
            </w:r>
          </w:p>
        </w:tc>
        <w:tc>
          <w:tcPr>
            <w:tcW w:w="8255" w:type="dxa"/>
            <w:vAlign w:val="center"/>
          </w:tcPr>
          <w:p w14:paraId="5ABB3F7C">
            <w:pPr>
              <w:adjustRightInd/>
              <w:spacing w:line="440" w:lineRule="exact"/>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技术参数</w:t>
            </w:r>
          </w:p>
        </w:tc>
        <w:tc>
          <w:tcPr>
            <w:tcW w:w="2077" w:type="dxa"/>
            <w:vAlign w:val="center"/>
          </w:tcPr>
          <w:p w14:paraId="0792D9BB">
            <w:pPr>
              <w:adjustRightInd/>
              <w:spacing w:line="440" w:lineRule="exact"/>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推荐参考品牌</w:t>
            </w:r>
          </w:p>
        </w:tc>
        <w:tc>
          <w:tcPr>
            <w:tcW w:w="660" w:type="dxa"/>
            <w:vAlign w:val="center"/>
          </w:tcPr>
          <w:p w14:paraId="4CE1E0C8">
            <w:pPr>
              <w:adjustRightInd/>
              <w:spacing w:line="440" w:lineRule="exact"/>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单位</w:t>
            </w:r>
          </w:p>
        </w:tc>
        <w:tc>
          <w:tcPr>
            <w:tcW w:w="859" w:type="dxa"/>
            <w:vAlign w:val="center"/>
          </w:tcPr>
          <w:p w14:paraId="6DE09681">
            <w:pPr>
              <w:adjustRightInd/>
              <w:spacing w:line="440" w:lineRule="exact"/>
              <w:jc w:val="center"/>
              <w:rPr>
                <w:rFonts w:hint="default"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数量</w:t>
            </w:r>
          </w:p>
        </w:tc>
      </w:tr>
      <w:tr w14:paraId="5D2E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vAlign w:val="center"/>
          </w:tcPr>
          <w:p w14:paraId="3AD0CEB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i w:val="0"/>
                <w:iCs w:val="0"/>
                <w:color w:val="auto"/>
                <w:sz w:val="21"/>
                <w:szCs w:val="21"/>
                <w:highlight w:val="none"/>
                <w:vertAlign w:val="baseline"/>
                <w:lang w:val="en-US" w:eastAsia="zh-CN"/>
              </w:rPr>
              <w:t>一、多功能厅音响扩声系统</w:t>
            </w:r>
          </w:p>
        </w:tc>
      </w:tr>
      <w:tr w14:paraId="0F45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10ED1F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789" w:type="dxa"/>
            <w:vAlign w:val="center"/>
          </w:tcPr>
          <w:p w14:paraId="2F4037E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数字调音台</w:t>
            </w:r>
          </w:p>
        </w:tc>
        <w:tc>
          <w:tcPr>
            <w:tcW w:w="8255" w:type="dxa"/>
            <w:vAlign w:val="center"/>
          </w:tcPr>
          <w:p w14:paraId="3BEA9AF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1.不少于25个电动推杆。</w:t>
            </w:r>
          </w:p>
          <w:p w14:paraId="78F2F31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2.台面有不小于7寸彩色触摸屏。</w:t>
            </w:r>
          </w:p>
          <w:p w14:paraId="255710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3.不少于42通道混音能力。</w:t>
            </w:r>
          </w:p>
          <w:p w14:paraId="4A617E7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4.不少于38路模拟信号输入。</w:t>
            </w:r>
          </w:p>
          <w:p w14:paraId="47969E0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5.不少于14路AUX单声道输出。</w:t>
            </w:r>
          </w:p>
          <w:p w14:paraId="1409CE8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6.不少于8路矩阵输出。</w:t>
            </w:r>
          </w:p>
          <w:p w14:paraId="3D2A287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7.不少于12路DCA编组。</w:t>
            </w:r>
          </w:p>
          <w:p w14:paraId="0197BE1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8.带有AES/EBU输出端口。</w:t>
            </w:r>
          </w:p>
          <w:p w14:paraId="5D9DA7D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9.内置不少于4个数字效果器，有独立的效果器母线。</w:t>
            </w:r>
          </w:p>
          <w:p w14:paraId="39181FE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10.外接存储设备不少于16*16路的录音回放。</w:t>
            </w:r>
          </w:p>
          <w:p w14:paraId="6286CC3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11.内置声卡（手机、IPAD、MP3、PC直接播放、录音）。</w:t>
            </w:r>
          </w:p>
          <w:p w14:paraId="779D3AE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12.带有网络接口，可连接接口箱。</w:t>
            </w:r>
          </w:p>
          <w:p w14:paraId="0DA3E14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13.支持Dante版卡。</w:t>
            </w:r>
          </w:p>
          <w:p w14:paraId="68DF31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14.关机参数自动保存，不用担心数据丢失。</w:t>
            </w:r>
          </w:p>
        </w:tc>
        <w:tc>
          <w:tcPr>
            <w:tcW w:w="2077" w:type="dxa"/>
            <w:vAlign w:val="center"/>
          </w:tcPr>
          <w:p w14:paraId="1B38094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vAlign w:val="center"/>
          </w:tcPr>
          <w:p w14:paraId="61D9B6F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2F83717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F45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BF6D58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789" w:type="dxa"/>
            <w:vAlign w:val="center"/>
          </w:tcPr>
          <w:p w14:paraId="395CD60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数字接口箱</w:t>
            </w:r>
          </w:p>
        </w:tc>
        <w:tc>
          <w:tcPr>
            <w:tcW w:w="8255" w:type="dxa"/>
            <w:vAlign w:val="center"/>
          </w:tcPr>
          <w:p w14:paraId="5C806F3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1.数字调音台扩展数字接口箱。</w:t>
            </w:r>
          </w:p>
          <w:p w14:paraId="5EB9DC2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2.≥16路话放输入通道。</w:t>
            </w:r>
          </w:p>
          <w:p w14:paraId="0F07931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3.≥8路平衡XLR输出。</w:t>
            </w:r>
          </w:p>
          <w:p w14:paraId="08874AC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4.与上一项数字调音台同一品牌。</w:t>
            </w:r>
          </w:p>
        </w:tc>
        <w:tc>
          <w:tcPr>
            <w:tcW w:w="2077" w:type="dxa"/>
            <w:vAlign w:val="center"/>
          </w:tcPr>
          <w:p w14:paraId="44681F5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vAlign w:val="center"/>
          </w:tcPr>
          <w:p w14:paraId="5042442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BD3C64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7A5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E8746C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w:t>
            </w:r>
          </w:p>
        </w:tc>
        <w:tc>
          <w:tcPr>
            <w:tcW w:w="1789" w:type="dxa"/>
            <w:vAlign w:val="center"/>
          </w:tcPr>
          <w:p w14:paraId="0272F7D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左/右声道线阵列音箱组</w:t>
            </w:r>
          </w:p>
        </w:tc>
        <w:tc>
          <w:tcPr>
            <w:tcW w:w="8255" w:type="dxa"/>
            <w:vAlign w:val="center"/>
          </w:tcPr>
          <w:p w14:paraId="7AD1243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1.频响范围：55Hz～18kHz（±3dB）或优于。</w:t>
            </w:r>
          </w:p>
          <w:p w14:paraId="051A052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2.灵敏度：高频单元≥112dB，中频单元≥105dB，低频单元≥103dB。</w:t>
            </w:r>
          </w:p>
          <w:p w14:paraId="3C3D55B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3.最大声压级：HF：≥131（连续）/137dB（峰值）。MF：≥126（连续）/132dB（峰值）。LF：≥130（连续）/136dB（峰值）。</w:t>
            </w:r>
          </w:p>
          <w:p w14:paraId="0EFAB23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4.额定功率(AES)：高频单元≥80W，中频单元≥130W，低频单元≥700W。</w:t>
            </w:r>
          </w:p>
          <w:p w14:paraId="2A96555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5.标称阻抗：高音不小于16欧姆，中音不小于16欧姆，低音不小于16欧姆。</w:t>
            </w:r>
          </w:p>
          <w:p w14:paraId="1BC0BBF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6.指向角度(H×V)：不小于90°×10°。</w:t>
            </w:r>
          </w:p>
          <w:p w14:paraId="5E3397D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7.低音单元≥2*10〞单元。中音单元≥8〞单元。高音单元≥1×2.5〞钕磁单元。</w:t>
            </w:r>
          </w:p>
        </w:tc>
        <w:tc>
          <w:tcPr>
            <w:tcW w:w="2077" w:type="dxa"/>
            <w:vAlign w:val="center"/>
          </w:tcPr>
          <w:p w14:paraId="0B61390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vAlign w:val="center"/>
          </w:tcPr>
          <w:p w14:paraId="372D78F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54ACF75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w:t>
            </w:r>
          </w:p>
        </w:tc>
      </w:tr>
      <w:tr w14:paraId="0977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E4F614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c>
          <w:tcPr>
            <w:tcW w:w="1789" w:type="dxa"/>
            <w:vAlign w:val="center"/>
          </w:tcPr>
          <w:p w14:paraId="77503A8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扩扬声器组专用吊架</w:t>
            </w:r>
          </w:p>
        </w:tc>
        <w:tc>
          <w:tcPr>
            <w:tcW w:w="8255" w:type="dxa"/>
            <w:vAlign w:val="center"/>
          </w:tcPr>
          <w:p w14:paraId="2A9656A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配套线阵使用</w:t>
            </w:r>
          </w:p>
        </w:tc>
        <w:tc>
          <w:tcPr>
            <w:tcW w:w="2077" w:type="dxa"/>
            <w:vAlign w:val="center"/>
          </w:tcPr>
          <w:p w14:paraId="43DAD31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vAlign w:val="center"/>
          </w:tcPr>
          <w:p w14:paraId="798FFC8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15C998A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6238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DB2BD4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w:t>
            </w:r>
          </w:p>
        </w:tc>
        <w:tc>
          <w:tcPr>
            <w:tcW w:w="1789" w:type="dxa"/>
            <w:vAlign w:val="center"/>
          </w:tcPr>
          <w:p w14:paraId="5815480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左/右声道线阵列低频音箱</w:t>
            </w:r>
          </w:p>
        </w:tc>
        <w:tc>
          <w:tcPr>
            <w:tcW w:w="8255" w:type="dxa"/>
            <w:vAlign w:val="center"/>
          </w:tcPr>
          <w:p w14:paraId="23358F2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1.频响范围：32Hz～500Hz（±10dB）或优于。</w:t>
            </w:r>
          </w:p>
          <w:p w14:paraId="41E9B0E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2.灵敏度：≥100dB。</w:t>
            </w:r>
          </w:p>
          <w:p w14:paraId="2FE72C0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3.最大声压级：≥130dB（连续）。</w:t>
            </w:r>
          </w:p>
          <w:p w14:paraId="36A554E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4.额定功率：≥1000W//8Ω。</w:t>
            </w:r>
          </w:p>
          <w:p w14:paraId="40C6E8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5.低音单元口径≥18寸超低音单元。</w:t>
            </w:r>
          </w:p>
        </w:tc>
        <w:tc>
          <w:tcPr>
            <w:tcW w:w="2077" w:type="dxa"/>
            <w:vAlign w:val="center"/>
          </w:tcPr>
          <w:p w14:paraId="73F9A4B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vAlign w:val="center"/>
          </w:tcPr>
          <w:p w14:paraId="180266A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17B0270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42E9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0A1C61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w:t>
            </w:r>
          </w:p>
        </w:tc>
        <w:tc>
          <w:tcPr>
            <w:tcW w:w="1789" w:type="dxa"/>
            <w:vAlign w:val="center"/>
          </w:tcPr>
          <w:p w14:paraId="1741EF7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超低频音箱</w:t>
            </w:r>
          </w:p>
        </w:tc>
        <w:tc>
          <w:tcPr>
            <w:tcW w:w="8255" w:type="dxa"/>
            <w:vAlign w:val="center"/>
          </w:tcPr>
          <w:p w14:paraId="5DFAD5F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1.频响范围：35Hz～345Hz或优于。</w:t>
            </w:r>
          </w:p>
          <w:p w14:paraId="18095A6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2.灵敏度（1W/1m）：≥100分贝。</w:t>
            </w:r>
          </w:p>
          <w:p w14:paraId="3BC498A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3.标称阻抗：≥8Ω。</w:t>
            </w:r>
          </w:p>
          <w:p w14:paraId="48DBEDB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4.额定功率（AES）：≥900W。</w:t>
            </w:r>
          </w:p>
          <w:p w14:paraId="138D76F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5.低音单元口径≥18寸超低音单元。</w:t>
            </w:r>
          </w:p>
          <w:p w14:paraId="7CC9FA9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6.最大声压级≥135分贝。</w:t>
            </w:r>
          </w:p>
        </w:tc>
        <w:tc>
          <w:tcPr>
            <w:tcW w:w="2077" w:type="dxa"/>
            <w:shd w:val="clear" w:color="auto" w:fill="auto"/>
            <w:vAlign w:val="center"/>
          </w:tcPr>
          <w:p w14:paraId="4174769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51B25F6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23CA390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5927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83F205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w:t>
            </w:r>
          </w:p>
        </w:tc>
        <w:tc>
          <w:tcPr>
            <w:tcW w:w="1789" w:type="dxa"/>
            <w:vAlign w:val="center"/>
          </w:tcPr>
          <w:p w14:paraId="0B1721F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流动返听音箱</w:t>
            </w:r>
          </w:p>
        </w:tc>
        <w:tc>
          <w:tcPr>
            <w:tcW w:w="8255" w:type="dxa"/>
            <w:vAlign w:val="center"/>
          </w:tcPr>
          <w:p w14:paraId="77BE01E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1.频响范围：60Hz～19kHz（±3dB）或优于。</w:t>
            </w:r>
          </w:p>
          <w:p w14:paraId="1A539F8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2.灵敏度：≥98dB。</w:t>
            </w:r>
          </w:p>
          <w:p w14:paraId="2046C73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3.最大声压级：≥133dB。</w:t>
            </w:r>
          </w:p>
          <w:p w14:paraId="0460E75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4.指向角度(H×V)：不小于90°×60°（可旋转号筒）。</w:t>
            </w:r>
          </w:p>
          <w:p w14:paraId="260CCE7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5.额定功率：≥450W/8Ω。</w:t>
            </w:r>
          </w:p>
          <w:p w14:paraId="2EBFB10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6.低音单元：≥12寸铁磁低音。高音单元：≥1.75寸钕磁高音。</w:t>
            </w:r>
          </w:p>
        </w:tc>
        <w:tc>
          <w:tcPr>
            <w:tcW w:w="2077" w:type="dxa"/>
            <w:shd w:val="clear" w:color="auto" w:fill="auto"/>
            <w:vAlign w:val="center"/>
          </w:tcPr>
          <w:p w14:paraId="6BE166B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02D7EB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32320F6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62F5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687589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w:t>
            </w:r>
          </w:p>
        </w:tc>
        <w:tc>
          <w:tcPr>
            <w:tcW w:w="1789" w:type="dxa"/>
            <w:vAlign w:val="center"/>
          </w:tcPr>
          <w:p w14:paraId="6DF8DA9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流动台唇音箱</w:t>
            </w:r>
          </w:p>
        </w:tc>
        <w:tc>
          <w:tcPr>
            <w:tcW w:w="8255" w:type="dxa"/>
            <w:vAlign w:val="center"/>
          </w:tcPr>
          <w:p w14:paraId="5AADAB7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1.频响范围：60Hz～19kHz（±3dB）或优于。</w:t>
            </w:r>
          </w:p>
          <w:p w14:paraId="6E6B60E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2.灵敏度：≥95dB。</w:t>
            </w:r>
          </w:p>
          <w:p w14:paraId="39E512B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3.最大声压级：≥126dB。</w:t>
            </w:r>
          </w:p>
          <w:p w14:paraId="2B6A317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4.指向角度(H×V)：不小于90°×60°。</w:t>
            </w:r>
          </w:p>
          <w:p w14:paraId="3118E44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5.额定功率：≥200 W。</w:t>
            </w:r>
          </w:p>
          <w:p w14:paraId="13C9AE8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6.低音单元：≥2×5寸，高音单元：≥1×1.4寸。</w:t>
            </w:r>
          </w:p>
        </w:tc>
        <w:tc>
          <w:tcPr>
            <w:tcW w:w="2077" w:type="dxa"/>
            <w:shd w:val="clear" w:color="auto" w:fill="auto"/>
            <w:vAlign w:val="center"/>
          </w:tcPr>
          <w:p w14:paraId="280A777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5FDB09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10F87A9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608E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D4BC4D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w:t>
            </w:r>
          </w:p>
        </w:tc>
        <w:tc>
          <w:tcPr>
            <w:tcW w:w="1789" w:type="dxa"/>
            <w:vAlign w:val="center"/>
          </w:tcPr>
          <w:p w14:paraId="113EEB1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功率放大器</w:t>
            </w:r>
          </w:p>
        </w:tc>
        <w:tc>
          <w:tcPr>
            <w:tcW w:w="8255" w:type="dxa"/>
            <w:vAlign w:val="center"/>
          </w:tcPr>
          <w:p w14:paraId="1D5811B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1.功率：≥650W×4/8Ω；≥1100W×4/4Ω。</w:t>
            </w:r>
          </w:p>
          <w:p w14:paraId="17FF1A9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2.频率响应：20Hz～20kHz或优于。</w:t>
            </w:r>
          </w:p>
          <w:p w14:paraId="6A1595D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3.总谐失真：≤0.1%。</w:t>
            </w:r>
          </w:p>
          <w:p w14:paraId="2F13924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4.串音衰减：≥60dB。</w:t>
            </w:r>
          </w:p>
          <w:p w14:paraId="3C6AD96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5.模拟输入接口：≥2×XLR卡侬插座。数字输入接口：≥2×RJ45。输出接口：≥2×四芯音箱插座。</w:t>
            </w:r>
          </w:p>
          <w:p w14:paraId="11C7506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6.信号备份：具备Dante数字信号与模拟信号自动切换冗余备份。</w:t>
            </w:r>
          </w:p>
          <w:p w14:paraId="2E95CAA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7.DSP处理：≥4进4出，带信号混音、FIR滤波器、相位、输入不少于8段参量均衡、输出不少于5段参量均衡、延时器、压限器功能。</w:t>
            </w:r>
          </w:p>
          <w:p w14:paraId="463F7D5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8.通过控制软件可远程监控温度、电流、工作状态、网络连接状态、显示屏锁状态、开机或待机状态、信号电平指示状态。</w:t>
            </w:r>
          </w:p>
          <w:p w14:paraId="2DDA36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9.功放保护：电源欠压保护、功放输出直流保护、过热保护、温度功率控制、过载功率控制。</w:t>
            </w:r>
          </w:p>
        </w:tc>
        <w:tc>
          <w:tcPr>
            <w:tcW w:w="2077" w:type="dxa"/>
            <w:shd w:val="clear" w:color="auto" w:fill="auto"/>
            <w:vAlign w:val="center"/>
          </w:tcPr>
          <w:p w14:paraId="5B347CF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727ACF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0C49FCA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5D01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6725F7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w:t>
            </w:r>
          </w:p>
        </w:tc>
        <w:tc>
          <w:tcPr>
            <w:tcW w:w="1789" w:type="dxa"/>
            <w:vAlign w:val="center"/>
          </w:tcPr>
          <w:p w14:paraId="3E4B588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功率放大器</w:t>
            </w:r>
          </w:p>
        </w:tc>
        <w:tc>
          <w:tcPr>
            <w:tcW w:w="8255" w:type="dxa"/>
            <w:vAlign w:val="center"/>
          </w:tcPr>
          <w:p w14:paraId="77CF27C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1.功率：≥2000W×4/8Ω；≥3700W×4/4Ω。</w:t>
            </w:r>
          </w:p>
          <w:p w14:paraId="5BB29D9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2.频率响应：20Hz～20kHz或优于。</w:t>
            </w:r>
          </w:p>
          <w:p w14:paraId="47287EE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3.总谐失真：≤0.05%。</w:t>
            </w:r>
          </w:p>
          <w:p w14:paraId="66E2FA6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4.串音衰减：≥60dB。</w:t>
            </w:r>
          </w:p>
          <w:p w14:paraId="493B438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5.模拟输入接口：≥2×XLR卡侬插座。数字输入接口：≥2×RJ45。输出接口：≥2×四芯音箱插座。</w:t>
            </w:r>
          </w:p>
          <w:p w14:paraId="70166D2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6.信号备份：具备Dante数字信号与模拟信号自动切换冗余备份。</w:t>
            </w:r>
          </w:p>
          <w:p w14:paraId="2FB4DB7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7.DSP处理：≥4进4出，带信号混音、FIR滤波器、相位、输入不少于8段参量均衡、输出不少于5段参量均衡、延时器、压限器功能。</w:t>
            </w:r>
          </w:p>
          <w:p w14:paraId="6A66217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8.通过控制软件可远程监控温度、电流、工作状态、网络连接状态、显示屏锁状态、开机或待机状态、信号电平指示状态。</w:t>
            </w:r>
          </w:p>
          <w:p w14:paraId="1115DC9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9.功放保护：电源欠压保护、功放输出直流保护、过热保护、温度功率控制、过载功率控制。</w:t>
            </w:r>
          </w:p>
        </w:tc>
        <w:tc>
          <w:tcPr>
            <w:tcW w:w="2077" w:type="dxa"/>
            <w:shd w:val="clear" w:color="auto" w:fill="auto"/>
            <w:vAlign w:val="center"/>
          </w:tcPr>
          <w:p w14:paraId="37FDAD8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A01F1E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636CE60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4C5A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3D4D15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w:t>
            </w:r>
          </w:p>
        </w:tc>
        <w:tc>
          <w:tcPr>
            <w:tcW w:w="1789" w:type="dxa"/>
            <w:vAlign w:val="center"/>
          </w:tcPr>
          <w:p w14:paraId="33CAA08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功率放大器</w:t>
            </w:r>
          </w:p>
        </w:tc>
        <w:tc>
          <w:tcPr>
            <w:tcW w:w="8255" w:type="dxa"/>
            <w:vAlign w:val="center"/>
          </w:tcPr>
          <w:p w14:paraId="7B500C7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1.功率≥2000W×2/8Ω；≥3400W×2/4Ω。</w:t>
            </w:r>
          </w:p>
          <w:p w14:paraId="60C3D8C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2.频率响应：20Hz～20kHz或优于。</w:t>
            </w:r>
          </w:p>
          <w:p w14:paraId="2552FC7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3.信噪比：≥105dB。</w:t>
            </w:r>
          </w:p>
          <w:p w14:paraId="26957B4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4.模拟输入接口：≥2×XLR卡侬插座。数字输入接口：≥2×RJ45。输出接口：≥2×四芯音箱插座。</w:t>
            </w:r>
          </w:p>
          <w:p w14:paraId="1374A83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5.信号备份：具备Dante数字信号与模拟信号自动切换冗余备份。</w:t>
            </w:r>
          </w:p>
          <w:p w14:paraId="3C6795B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6.DSP处理：≥2进2出，带信号混音、FIR滤波器、相位、输入不少于8段参量均衡、输出不少于5段参量均衡、延时器、压限器功能。</w:t>
            </w:r>
          </w:p>
          <w:p w14:paraId="2B57A14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7.通过控制软件可远程监控温度、电流、工作状态、网络连接状态、显示屏锁状态、开机或待机状态、信号电平指示状态。</w:t>
            </w:r>
          </w:p>
          <w:p w14:paraId="6834DE5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8.功放保护：电源欠压保护、功放输出直流保护、过热保护、温度功率控制、过载功率控制。</w:t>
            </w:r>
          </w:p>
        </w:tc>
        <w:tc>
          <w:tcPr>
            <w:tcW w:w="2077" w:type="dxa"/>
            <w:shd w:val="clear" w:color="auto" w:fill="auto"/>
            <w:vAlign w:val="center"/>
          </w:tcPr>
          <w:p w14:paraId="05AAAEF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F88547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5DDBCE2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8E0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5BB42D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w:t>
            </w:r>
          </w:p>
        </w:tc>
        <w:tc>
          <w:tcPr>
            <w:tcW w:w="1789" w:type="dxa"/>
            <w:vAlign w:val="center"/>
          </w:tcPr>
          <w:p w14:paraId="0784D43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功率放大器（返听）</w:t>
            </w:r>
          </w:p>
        </w:tc>
        <w:tc>
          <w:tcPr>
            <w:tcW w:w="8255" w:type="dxa"/>
            <w:vAlign w:val="center"/>
          </w:tcPr>
          <w:p w14:paraId="1556ED7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1.8Ω立体声功率≥750W×2。4Ω立体声功率≥1050W×2。8Ω桥接功率≥2100W×1。</w:t>
            </w:r>
          </w:p>
          <w:p w14:paraId="6A770CA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2.频率范围：20Hz～20kHz或优于。</w:t>
            </w:r>
          </w:p>
          <w:p w14:paraId="040B93F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3.总谐波失真：≤0.1%。</w:t>
            </w:r>
          </w:p>
          <w:p w14:paraId="3586F14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4.信噪比：≥100dB。</w:t>
            </w:r>
          </w:p>
          <w:p w14:paraId="18834BB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5.阻尼系数：≥200：1。</w:t>
            </w:r>
          </w:p>
        </w:tc>
        <w:tc>
          <w:tcPr>
            <w:tcW w:w="2077" w:type="dxa"/>
            <w:shd w:val="clear" w:color="auto" w:fill="auto"/>
            <w:vAlign w:val="center"/>
          </w:tcPr>
          <w:p w14:paraId="141E33D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6779265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5EC433A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158E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F8A24E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w:t>
            </w:r>
          </w:p>
        </w:tc>
        <w:tc>
          <w:tcPr>
            <w:tcW w:w="1789" w:type="dxa"/>
            <w:vAlign w:val="center"/>
          </w:tcPr>
          <w:p w14:paraId="00B2834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功率放大器（台唇）</w:t>
            </w:r>
          </w:p>
        </w:tc>
        <w:tc>
          <w:tcPr>
            <w:tcW w:w="8255" w:type="dxa"/>
            <w:vAlign w:val="center"/>
          </w:tcPr>
          <w:p w14:paraId="2CAE963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1.8Ω立体声功率≥350W×2，4Ω立体声功率≥480W×2，8Ω桥接功率≥960W×1。</w:t>
            </w:r>
          </w:p>
          <w:p w14:paraId="09318FB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2.频率范围：20Hz～20kHz或优于。</w:t>
            </w:r>
          </w:p>
          <w:p w14:paraId="6F7AB7E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3.总谐波失真：≤0.1%。</w:t>
            </w:r>
          </w:p>
          <w:p w14:paraId="68AAF8C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4.信噪比：≥100dB。</w:t>
            </w:r>
          </w:p>
          <w:p w14:paraId="095AE08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5.阻尼系数：≥150。</w:t>
            </w:r>
          </w:p>
        </w:tc>
        <w:tc>
          <w:tcPr>
            <w:tcW w:w="2077" w:type="dxa"/>
            <w:shd w:val="clear" w:color="auto" w:fill="auto"/>
            <w:vAlign w:val="center"/>
          </w:tcPr>
          <w:p w14:paraId="023B2B3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2ECD48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DD5DDA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0DE5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38B7BA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w:t>
            </w:r>
          </w:p>
        </w:tc>
        <w:tc>
          <w:tcPr>
            <w:tcW w:w="1789" w:type="dxa"/>
            <w:vAlign w:val="center"/>
          </w:tcPr>
          <w:p w14:paraId="5B0B7C8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数字处理器</w:t>
            </w:r>
          </w:p>
        </w:tc>
        <w:tc>
          <w:tcPr>
            <w:tcW w:w="8255" w:type="dxa"/>
            <w:vAlign w:val="center"/>
          </w:tcPr>
          <w:p w14:paraId="4143181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1.输入：≥4路模拟平衡输入，≥2路AES/EBU数字输入。输出：≥8路模拟平衡输出。</w:t>
            </w:r>
          </w:p>
          <w:p w14:paraId="16E1518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2.频率响应：20Hz～20kHz或优于。</w:t>
            </w:r>
          </w:p>
          <w:p w14:paraId="448BAB3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3.输入/输出动态范围：≥120dB(A)。</w:t>
            </w:r>
          </w:p>
          <w:p w14:paraId="104A9BF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4.总谐波失真：≤0.006%。</w:t>
            </w:r>
          </w:p>
          <w:p w14:paraId="5EAA657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5.采样率：≥96kHz。</w:t>
            </w:r>
          </w:p>
          <w:p w14:paraId="52A7D01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6.信噪比：≥118dB。</w:t>
            </w:r>
          </w:p>
          <w:p w14:paraId="3B94F9C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7.A/D.D/A转换：64dit。</w:t>
            </w:r>
          </w:p>
          <w:p w14:paraId="5921CA8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8.均衡：每路输入和输出均有10段PEQ。</w:t>
            </w:r>
          </w:p>
          <w:p w14:paraId="65B53BE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9.滤波：FIR,Bell,High Shelf,Low Shelf,Notch,Allpass,Band Pass,High Pass,Low Pass。延时：每路输入延迟2000ms,每路输出延迟50ms。分频：Butterworth,Bessel,Linkwitz-Riley,12.18.24dB/octave。</w:t>
            </w:r>
          </w:p>
          <w:p w14:paraId="5F40E04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10.控制接口：可远程控制及实时监控多台设备工作状态。</w:t>
            </w:r>
          </w:p>
        </w:tc>
        <w:tc>
          <w:tcPr>
            <w:tcW w:w="2077" w:type="dxa"/>
            <w:shd w:val="clear" w:color="auto" w:fill="auto"/>
            <w:vAlign w:val="center"/>
          </w:tcPr>
          <w:p w14:paraId="749D8C7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E5D54F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607EB53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1FDD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4A9D126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w:t>
            </w:r>
          </w:p>
        </w:tc>
        <w:tc>
          <w:tcPr>
            <w:tcW w:w="1789" w:type="dxa"/>
            <w:vAlign w:val="center"/>
          </w:tcPr>
          <w:p w14:paraId="604B0F2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音频隔离器</w:t>
            </w:r>
          </w:p>
        </w:tc>
        <w:tc>
          <w:tcPr>
            <w:tcW w:w="8255" w:type="dxa"/>
            <w:vAlign w:val="center"/>
          </w:tcPr>
          <w:p w14:paraId="46DE307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1.音频隔离器，输入接口：卡侬和6.35混合接口。输出接口：卡侬和6.35独立接口。</w:t>
            </w:r>
          </w:p>
          <w:p w14:paraId="5BF0B5B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2.两通道物理性隔离，平衡/非平衡之间相互转换。</w:t>
            </w:r>
          </w:p>
          <w:p w14:paraId="361DCE7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3.输入每通道带三档衰减开关，三种接地模式选择开关。</w:t>
            </w:r>
          </w:p>
          <w:p w14:paraId="67CB921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4.隔离外界干扰，隔离不共地产生的电流声，噪声。</w:t>
            </w:r>
          </w:p>
        </w:tc>
        <w:tc>
          <w:tcPr>
            <w:tcW w:w="2077" w:type="dxa"/>
            <w:shd w:val="clear" w:color="auto" w:fill="auto"/>
            <w:vAlign w:val="center"/>
          </w:tcPr>
          <w:p w14:paraId="259A021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63E0C54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3D5FF24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w:t>
            </w:r>
          </w:p>
        </w:tc>
      </w:tr>
      <w:tr w14:paraId="48C0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E03405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w:t>
            </w:r>
          </w:p>
        </w:tc>
        <w:tc>
          <w:tcPr>
            <w:tcW w:w="1789" w:type="dxa"/>
            <w:vAlign w:val="center"/>
          </w:tcPr>
          <w:p w14:paraId="7C33763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有源监听音箱</w:t>
            </w:r>
          </w:p>
        </w:tc>
        <w:tc>
          <w:tcPr>
            <w:tcW w:w="8255" w:type="dxa"/>
            <w:vAlign w:val="center"/>
          </w:tcPr>
          <w:p w14:paraId="37B8ABC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1.频率响应：40Hz～20kHz或优于。</w:t>
            </w:r>
          </w:p>
          <w:p w14:paraId="452AB87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2.额定功率(定阻)：≥70W。</w:t>
            </w:r>
          </w:p>
          <w:p w14:paraId="774760B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3.低频：≥6.5寸。高频：≥1寸。</w:t>
            </w:r>
          </w:p>
          <w:p w14:paraId="6AB42CF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4.输入插座：XLR(卡侬)和RCA。</w:t>
            </w:r>
          </w:p>
        </w:tc>
        <w:tc>
          <w:tcPr>
            <w:tcW w:w="2077" w:type="dxa"/>
            <w:shd w:val="clear" w:color="auto" w:fill="auto"/>
            <w:vAlign w:val="center"/>
          </w:tcPr>
          <w:p w14:paraId="31C047C1">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2EAA173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23D2B5B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1AB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B2CE5E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17</w:t>
            </w:r>
          </w:p>
        </w:tc>
        <w:tc>
          <w:tcPr>
            <w:tcW w:w="1789" w:type="dxa"/>
            <w:vAlign w:val="center"/>
          </w:tcPr>
          <w:p w14:paraId="4C7388A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无线手持话筒（一拖二）</w:t>
            </w:r>
          </w:p>
        </w:tc>
        <w:tc>
          <w:tcPr>
            <w:tcW w:w="8255" w:type="dxa"/>
            <w:vAlign w:val="center"/>
          </w:tcPr>
          <w:p w14:paraId="34119EE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U段双手持双接收无线话筒(心型指向)。</w:t>
            </w:r>
          </w:p>
          <w:p w14:paraId="0810BF5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079173F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6D768C9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3.系统有效工作距离：≥90m。</w:t>
            </w:r>
          </w:p>
          <w:p w14:paraId="0375BD4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738EBFD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4A2BE0C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188550E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7.频响范围：45Hz～18kHz或优于。</w:t>
            </w:r>
          </w:p>
          <w:p w14:paraId="5137B5D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8.频带宽度：≥30MHz。</w:t>
            </w:r>
          </w:p>
          <w:p w14:paraId="78B1F65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9.THD总谐波失真：＜0.7@1kHz%。</w:t>
            </w:r>
          </w:p>
          <w:p w14:paraId="5DAD012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10.信噪比：≥99dB。</w:t>
            </w:r>
          </w:p>
        </w:tc>
        <w:tc>
          <w:tcPr>
            <w:tcW w:w="2077" w:type="dxa"/>
            <w:shd w:val="clear" w:color="auto" w:fill="auto"/>
            <w:vAlign w:val="center"/>
          </w:tcPr>
          <w:p w14:paraId="6C87249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528415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00F1435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2D71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55067A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w:t>
            </w:r>
          </w:p>
        </w:tc>
        <w:tc>
          <w:tcPr>
            <w:tcW w:w="1789" w:type="dxa"/>
            <w:vAlign w:val="center"/>
          </w:tcPr>
          <w:p w14:paraId="3693F68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无线头戴话筒（一拖二）</w:t>
            </w:r>
          </w:p>
        </w:tc>
        <w:tc>
          <w:tcPr>
            <w:tcW w:w="8255" w:type="dxa"/>
            <w:vAlign w:val="center"/>
          </w:tcPr>
          <w:p w14:paraId="33FEE97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U段双头戴双接收无线话筒(心型指向)。</w:t>
            </w:r>
          </w:p>
          <w:p w14:paraId="3BBA93E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50582C2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27605ED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10ABBB5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72A51A6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49224B4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3E27E71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7C93F53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12FA0FA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9.系统总谐波失真：＜5@1KHz%。</w:t>
            </w:r>
          </w:p>
          <w:p w14:paraId="5B0C2FB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10.信噪比：＞50dB。</w:t>
            </w:r>
          </w:p>
        </w:tc>
        <w:tc>
          <w:tcPr>
            <w:tcW w:w="2077" w:type="dxa"/>
            <w:shd w:val="clear" w:color="auto" w:fill="auto"/>
            <w:vAlign w:val="center"/>
          </w:tcPr>
          <w:p w14:paraId="19C8A97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58983AE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29FBE43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018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8EDAD3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19</w:t>
            </w:r>
          </w:p>
        </w:tc>
        <w:tc>
          <w:tcPr>
            <w:tcW w:w="1789" w:type="dxa"/>
            <w:vAlign w:val="center"/>
          </w:tcPr>
          <w:p w14:paraId="17CF671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无线信号分配系统</w:t>
            </w:r>
          </w:p>
        </w:tc>
        <w:tc>
          <w:tcPr>
            <w:tcW w:w="8255" w:type="dxa"/>
            <w:vAlign w:val="center"/>
          </w:tcPr>
          <w:p w14:paraId="59BA0AC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天线分配器：</w:t>
            </w:r>
          </w:p>
          <w:p w14:paraId="362CBCB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1.不少于5组（A\B)天线分配输出。</w:t>
            </w:r>
          </w:p>
          <w:p w14:paraId="06E3225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2.频率范围：470～960MHz或优于。</w:t>
            </w:r>
          </w:p>
          <w:p w14:paraId="0C7B379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3.RF输出增益：≥0dB±1dB。</w:t>
            </w:r>
          </w:p>
          <w:p w14:paraId="2D258FA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4.系统抗阻：≥50Ω。</w:t>
            </w:r>
          </w:p>
          <w:p w14:paraId="3B63F4B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天线放大器：</w:t>
            </w:r>
          </w:p>
          <w:p w14:paraId="06898D5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1.频率范围：470～1000MHz或优于。</w:t>
            </w:r>
          </w:p>
          <w:p w14:paraId="7D92A1F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2.天线增益：≥7.5dBi。</w:t>
            </w:r>
          </w:p>
          <w:p w14:paraId="6D3EC0B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3.内部放大器增益：可调节。</w:t>
            </w:r>
          </w:p>
          <w:p w14:paraId="661DAF9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4.驻波比：＜2:1。</w:t>
            </w:r>
          </w:p>
          <w:p w14:paraId="788C376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5.3dB波速宽：垂直面≥90°，水平面≥120°。</w:t>
            </w:r>
          </w:p>
          <w:p w14:paraId="413B379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6.系统抗阻：≥50Ω。</w:t>
            </w:r>
          </w:p>
        </w:tc>
        <w:tc>
          <w:tcPr>
            <w:tcW w:w="2077" w:type="dxa"/>
            <w:shd w:val="clear" w:color="auto" w:fill="auto"/>
            <w:vAlign w:val="center"/>
          </w:tcPr>
          <w:p w14:paraId="797AA5E1">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2210416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71A9B5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6E6A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5C7E28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20</w:t>
            </w:r>
          </w:p>
        </w:tc>
        <w:tc>
          <w:tcPr>
            <w:tcW w:w="1789" w:type="dxa"/>
            <w:vAlign w:val="center"/>
          </w:tcPr>
          <w:p w14:paraId="5C795EB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天线连接器</w:t>
            </w:r>
          </w:p>
        </w:tc>
        <w:tc>
          <w:tcPr>
            <w:tcW w:w="8255" w:type="dxa"/>
            <w:vAlign w:val="center"/>
          </w:tcPr>
          <w:p w14:paraId="286042D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50欧同轴线 带BNC头。</w:t>
            </w:r>
          </w:p>
        </w:tc>
        <w:tc>
          <w:tcPr>
            <w:tcW w:w="2077" w:type="dxa"/>
            <w:shd w:val="clear" w:color="auto" w:fill="auto"/>
            <w:vAlign w:val="center"/>
          </w:tcPr>
          <w:p w14:paraId="06D6A6A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69BF55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18B6FC8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1779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194B5B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21</w:t>
            </w:r>
          </w:p>
        </w:tc>
        <w:tc>
          <w:tcPr>
            <w:tcW w:w="1789" w:type="dxa"/>
            <w:vAlign w:val="center"/>
          </w:tcPr>
          <w:p w14:paraId="003A75B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通用电容话筒</w:t>
            </w:r>
          </w:p>
        </w:tc>
        <w:tc>
          <w:tcPr>
            <w:tcW w:w="8255" w:type="dxa"/>
            <w:vAlign w:val="center"/>
          </w:tcPr>
          <w:p w14:paraId="2B99D9C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1.指向性：超心形指向性，小振膜电容话筒。</w:t>
            </w:r>
          </w:p>
          <w:p w14:paraId="2852EA5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2.频率响应：40Hz～20kHz或优于。</w:t>
            </w:r>
          </w:p>
          <w:p w14:paraId="6875A33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3.灵敏度：≥-30dBv±3dB（1dB=1V/Pa at 1kHz）。</w:t>
            </w:r>
          </w:p>
          <w:p w14:paraId="5A60FD9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4.信噪比：≥70dB（1KHz at 1Pa）。</w:t>
            </w:r>
          </w:p>
          <w:p w14:paraId="6ED93AA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5.总谐波失真：≤3%(250Hz-630Hz)。</w:t>
            </w:r>
          </w:p>
          <w:p w14:paraId="33CD70D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6.最大承受音压：≥130dB（T.H.D≤1% at 1kHz）。</w:t>
            </w:r>
          </w:p>
          <w:p w14:paraId="7649048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7.额定阻抗：200Ω±20%（at 1kHz）。</w:t>
            </w:r>
          </w:p>
        </w:tc>
        <w:tc>
          <w:tcPr>
            <w:tcW w:w="2077" w:type="dxa"/>
            <w:shd w:val="clear" w:color="auto" w:fill="auto"/>
            <w:vAlign w:val="center"/>
          </w:tcPr>
          <w:p w14:paraId="3471DBF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B7BDB5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4890C79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3BBB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4C3017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22</w:t>
            </w:r>
          </w:p>
        </w:tc>
        <w:tc>
          <w:tcPr>
            <w:tcW w:w="1789" w:type="dxa"/>
            <w:vAlign w:val="center"/>
          </w:tcPr>
          <w:p w14:paraId="7C50C9D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有线鹅颈会议话筒</w:t>
            </w:r>
          </w:p>
        </w:tc>
        <w:tc>
          <w:tcPr>
            <w:tcW w:w="8255" w:type="dxa"/>
            <w:vAlign w:val="center"/>
          </w:tcPr>
          <w:p w14:paraId="78E7758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1.超心型指向鹅颈话筒，拾音角度≥120°。</w:t>
            </w:r>
          </w:p>
          <w:p w14:paraId="127C24B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2.话筒杆带有调节结构。</w:t>
            </w:r>
          </w:p>
          <w:p w14:paraId="25AA50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3.底座有指示开关，提醒发言人员工作状态。</w:t>
            </w:r>
          </w:p>
          <w:p w14:paraId="2D3AA9E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5.采用48V幻象电源供电方式，最佳拾音距离：≥10cm～80cm。</w:t>
            </w:r>
          </w:p>
          <w:p w14:paraId="583D250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6.频率响应：20Hz～20kHz或优于。</w:t>
            </w:r>
          </w:p>
          <w:p w14:paraId="2127F1B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7.自由场灵敏度：≤-30dB。</w:t>
            </w:r>
          </w:p>
          <w:p w14:paraId="36DB57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8.输出抗阻：150Ω±30%（at 1kHz）。</w:t>
            </w:r>
          </w:p>
        </w:tc>
        <w:tc>
          <w:tcPr>
            <w:tcW w:w="2077" w:type="dxa"/>
            <w:shd w:val="clear" w:color="auto" w:fill="auto"/>
            <w:vAlign w:val="center"/>
          </w:tcPr>
          <w:p w14:paraId="7E0E621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9FDA4E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5BCF15C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159E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E4A10F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23</w:t>
            </w:r>
          </w:p>
        </w:tc>
        <w:tc>
          <w:tcPr>
            <w:tcW w:w="1789" w:type="dxa"/>
            <w:vAlign w:val="center"/>
          </w:tcPr>
          <w:p w14:paraId="52ACD4C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立式话筒架</w:t>
            </w:r>
          </w:p>
        </w:tc>
        <w:tc>
          <w:tcPr>
            <w:tcW w:w="8255" w:type="dxa"/>
            <w:vAlign w:val="center"/>
          </w:tcPr>
          <w:p w14:paraId="68BBF1C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立式话筒架。配套。</w:t>
            </w:r>
          </w:p>
        </w:tc>
        <w:tc>
          <w:tcPr>
            <w:tcW w:w="2077" w:type="dxa"/>
            <w:shd w:val="clear" w:color="auto" w:fill="auto"/>
            <w:vAlign w:val="center"/>
          </w:tcPr>
          <w:p w14:paraId="4FB7433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2A92672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61ACD7F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79DB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BC1D53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24</w:t>
            </w:r>
          </w:p>
        </w:tc>
        <w:tc>
          <w:tcPr>
            <w:tcW w:w="1789" w:type="dxa"/>
            <w:vAlign w:val="center"/>
          </w:tcPr>
          <w:p w14:paraId="3FC84AE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电源时序器</w:t>
            </w:r>
          </w:p>
        </w:tc>
        <w:tc>
          <w:tcPr>
            <w:tcW w:w="8255" w:type="dxa"/>
            <w:vAlign w:val="center"/>
          </w:tcPr>
          <w:p w14:paraId="798A651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1.不少于8路电源时序控制器（带数字电压显示表）。</w:t>
            </w:r>
          </w:p>
          <w:p w14:paraId="1A0F09B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2.电源插座：不少于8个16A万用插座，前面板不少于1个16A万用插座。</w:t>
            </w:r>
          </w:p>
          <w:p w14:paraId="3BFB8EE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3.单通道的最大电流不低于16A，总输入电流容量不低于32A。</w:t>
            </w:r>
          </w:p>
          <w:p w14:paraId="6171AC3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4.中控接口：有RS232与RS485两种方式。</w:t>
            </w:r>
          </w:p>
          <w:p w14:paraId="02F2EDE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5.控制软件：具有电脑软件,实现显示控制方式。</w:t>
            </w:r>
          </w:p>
          <w:p w14:paraId="5D6D762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6.通过线控接口,可外接开关对设备进行操作时序的开和关。</w:t>
            </w:r>
          </w:p>
          <w:p w14:paraId="58A37D4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7.通道延时：每个通道延时可设置0-999秒延时。</w:t>
            </w:r>
          </w:p>
          <w:p w14:paraId="1C3DBD9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8.通道互锁功能：可控制投影机电动幕，升降架，电动窗帘等。</w:t>
            </w:r>
          </w:p>
        </w:tc>
        <w:tc>
          <w:tcPr>
            <w:tcW w:w="2077" w:type="dxa"/>
            <w:shd w:val="clear" w:color="auto" w:fill="auto"/>
            <w:vAlign w:val="center"/>
          </w:tcPr>
          <w:p w14:paraId="5C368B4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932072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4F76B63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2A86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F45135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25</w:t>
            </w:r>
          </w:p>
        </w:tc>
        <w:tc>
          <w:tcPr>
            <w:tcW w:w="1789" w:type="dxa"/>
            <w:vAlign w:val="center"/>
          </w:tcPr>
          <w:p w14:paraId="12DB0BE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设备机柜</w:t>
            </w:r>
          </w:p>
        </w:tc>
        <w:tc>
          <w:tcPr>
            <w:tcW w:w="8255" w:type="dxa"/>
            <w:vAlign w:val="center"/>
          </w:tcPr>
          <w:p w14:paraId="7B1FEC9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600*800*2000。</w:t>
            </w:r>
          </w:p>
        </w:tc>
        <w:tc>
          <w:tcPr>
            <w:tcW w:w="2077" w:type="dxa"/>
            <w:vAlign w:val="center"/>
          </w:tcPr>
          <w:p w14:paraId="16B44C6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TOTEN图腾/RITTAL威图/SHIP一舟</w:t>
            </w:r>
          </w:p>
        </w:tc>
        <w:tc>
          <w:tcPr>
            <w:tcW w:w="660" w:type="dxa"/>
            <w:vAlign w:val="center"/>
          </w:tcPr>
          <w:p w14:paraId="3B2959B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3FFC64E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7849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vAlign w:val="center"/>
          </w:tcPr>
          <w:p w14:paraId="0F38093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二、多功能厅LED屏系统</w:t>
            </w:r>
          </w:p>
        </w:tc>
      </w:tr>
      <w:tr w14:paraId="3FDF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D34A9C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26</w:t>
            </w:r>
          </w:p>
        </w:tc>
        <w:tc>
          <w:tcPr>
            <w:tcW w:w="1789" w:type="dxa"/>
            <w:vAlign w:val="center"/>
          </w:tcPr>
          <w:p w14:paraId="6EB743A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LED全彩主屏（10.24mX4.8m）</w:t>
            </w:r>
          </w:p>
        </w:tc>
        <w:tc>
          <w:tcPr>
            <w:tcW w:w="8255" w:type="dxa"/>
            <w:vAlign w:val="center"/>
          </w:tcPr>
          <w:p w14:paraId="5F9D9A5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1.像素构成：1R1G1B（2121 SMD表贴三合一），采用国星、东山精密、晶台等同档次知名封装厂家封装。像素间距：≤2.5mm，像素密度：≥160000点/㎡。刷新率不低于3840Hz。</w:t>
            </w:r>
          </w:p>
          <w:p w14:paraId="2199FE3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2.产品显示尺寸：≥10240MM*4800MM，整屏分辨率≥4096*1920。</w:t>
            </w:r>
          </w:p>
          <w:p w14:paraId="608E3DA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3.采用高强度塑胶套件，模组后盖设计，美化外观，防护性强。一体化无螺丝设计，无需拆卸套件，维修方便。</w:t>
            </w:r>
          </w:p>
        </w:tc>
        <w:tc>
          <w:tcPr>
            <w:tcW w:w="2077" w:type="dxa"/>
            <w:vAlign w:val="center"/>
          </w:tcPr>
          <w:p w14:paraId="3A02837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416D009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0001F42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49.15</w:t>
            </w:r>
          </w:p>
        </w:tc>
      </w:tr>
      <w:tr w14:paraId="4406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5C76A55">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27</w:t>
            </w:r>
          </w:p>
        </w:tc>
        <w:tc>
          <w:tcPr>
            <w:tcW w:w="1789" w:type="dxa"/>
            <w:vAlign w:val="center"/>
          </w:tcPr>
          <w:p w14:paraId="619BAAD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信号接收卡</w:t>
            </w:r>
          </w:p>
        </w:tc>
        <w:tc>
          <w:tcPr>
            <w:tcW w:w="8255" w:type="dxa"/>
            <w:vAlign w:val="center"/>
          </w:tcPr>
          <w:p w14:paraId="6498FF4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单卡最大带载不小于512×384像素，支持32组RGB并行数据，支持色彩管理、18Bit+、逐点亮色度校正、RGB独立Gamma调节、3D等功能</w:t>
            </w:r>
          </w:p>
        </w:tc>
        <w:tc>
          <w:tcPr>
            <w:tcW w:w="2077" w:type="dxa"/>
            <w:vAlign w:val="center"/>
          </w:tcPr>
          <w:p w14:paraId="393AC20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6E13F80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张</w:t>
            </w:r>
          </w:p>
        </w:tc>
        <w:tc>
          <w:tcPr>
            <w:tcW w:w="859" w:type="dxa"/>
            <w:vAlign w:val="center"/>
          </w:tcPr>
          <w:p w14:paraId="250A475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66</w:t>
            </w:r>
          </w:p>
        </w:tc>
      </w:tr>
      <w:tr w14:paraId="00A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DBFA6F0">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28</w:t>
            </w:r>
          </w:p>
        </w:tc>
        <w:tc>
          <w:tcPr>
            <w:tcW w:w="1789" w:type="dxa"/>
            <w:vAlign w:val="center"/>
          </w:tcPr>
          <w:p w14:paraId="2D22C36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视频处理器</w:t>
            </w:r>
          </w:p>
        </w:tc>
        <w:tc>
          <w:tcPr>
            <w:tcW w:w="8255" w:type="dxa"/>
            <w:vAlign w:val="center"/>
          </w:tcPr>
          <w:p w14:paraId="1ABF34A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1.单台具备不少于16路千兆网口输出，带载能力支持1040万像素。</w:t>
            </w:r>
          </w:p>
          <w:p w14:paraId="6E81B34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2.集视频处理、视频控制以及LED屏体配置等功能于一体，具备多种类的视频信号接收能力、4K×2K@60Hz的图像处理能力和发送能力。</w:t>
            </w:r>
          </w:p>
          <w:p w14:paraId="1400A7C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3.HDMI≥5路，1路DP≥1路。支持HDR输出。</w:t>
            </w:r>
          </w:p>
          <w:p w14:paraId="6DE7FD9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4.支持个性化的画质缩放：支持不少于三种画面缩放模式，包括点对点模式、全屏缩放、自定义缩放。</w:t>
            </w:r>
          </w:p>
          <w:p w14:paraId="777A42C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5.支持多窗口显示，不少于6窗口的任意布局，至少包含2路4K窗口+4路2K窗口。</w:t>
            </w:r>
          </w:p>
        </w:tc>
        <w:tc>
          <w:tcPr>
            <w:tcW w:w="2077" w:type="dxa"/>
            <w:vAlign w:val="center"/>
          </w:tcPr>
          <w:p w14:paraId="12D94E0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41C4F20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3721DD9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C5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809304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29</w:t>
            </w:r>
          </w:p>
        </w:tc>
        <w:tc>
          <w:tcPr>
            <w:tcW w:w="1789" w:type="dxa"/>
            <w:vAlign w:val="center"/>
          </w:tcPr>
          <w:p w14:paraId="0AAEFD8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LED屏控制系统</w:t>
            </w:r>
          </w:p>
        </w:tc>
        <w:tc>
          <w:tcPr>
            <w:tcW w:w="8255" w:type="dxa"/>
            <w:vAlign w:val="center"/>
          </w:tcPr>
          <w:p w14:paraId="534E368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1.支持添加多个显示屏，可分别对其进行控制管理。</w:t>
            </w:r>
          </w:p>
          <w:p w14:paraId="6334D36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2.在关于界面中可以查看软件的版本信息和更新日志。</w:t>
            </w:r>
          </w:p>
          <w:p w14:paraId="38AC627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3.通过设置测试画面、显示屏可显示红、绿、蓝、白、黄、青、紫，网格、定位图画面。</w:t>
            </w:r>
          </w:p>
          <w:p w14:paraId="2065CA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4.支持切换软件LED配置工具的界面语言为中文、英文、日本语。</w:t>
            </w:r>
          </w:p>
          <w:p w14:paraId="43C038C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5.检测显示屏LED灯珠的工作状态软件显示点检状态，显示问题点位置。</w:t>
            </w:r>
          </w:p>
          <w:p w14:paraId="068C716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6.支持载入配置、设置输入源、点亮显示屏、显示屏连接设置、冗余备份设置、启用3D设置、工作模式设置、性能参数设置。</w:t>
            </w:r>
          </w:p>
          <w:p w14:paraId="1410AB6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7.支持对发送卡状态、接收卡状态、接收卡温度、监控设备状态湿度、烟雾、风扇、电源、排线、箱门、模组状态进行监控。</w:t>
            </w:r>
          </w:p>
          <w:p w14:paraId="321B644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8.支持联机校正参数设置、获取平均校正系数、管理校正系数、管理双校正系数。</w:t>
            </w:r>
          </w:p>
          <w:p w14:paraId="7E2595C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9.支持通过软件对灯点进行亮度校正及调节。</w:t>
            </w:r>
          </w:p>
          <w:p w14:paraId="6ECF861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10.支持将显示屏注册到云平台的云监控服务，实现远程集中监控显示屏的工作状况。</w:t>
            </w:r>
          </w:p>
        </w:tc>
        <w:tc>
          <w:tcPr>
            <w:tcW w:w="2077" w:type="dxa"/>
            <w:vAlign w:val="center"/>
          </w:tcPr>
          <w:p w14:paraId="7AA1B21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47952F3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964B7B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3C7E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484DC3E">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30</w:t>
            </w:r>
          </w:p>
        </w:tc>
        <w:tc>
          <w:tcPr>
            <w:tcW w:w="1789" w:type="dxa"/>
            <w:vAlign w:val="center"/>
          </w:tcPr>
          <w:p w14:paraId="78915A8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智能电源管理终端</w:t>
            </w:r>
          </w:p>
        </w:tc>
        <w:tc>
          <w:tcPr>
            <w:tcW w:w="8255" w:type="dxa"/>
            <w:vAlign w:val="center"/>
          </w:tcPr>
          <w:p w14:paraId="226E155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≥60KW，采用三相五线制供电，配电系统保证三相平衡，同时具备过流、短路、断路、过压、欠压温度过高等保护措施，以及相应的故障指示装置。具有远程中控控制功能。</w:t>
            </w:r>
          </w:p>
        </w:tc>
        <w:tc>
          <w:tcPr>
            <w:tcW w:w="2077" w:type="dxa"/>
            <w:shd w:val="clear" w:color="auto" w:fill="auto"/>
            <w:vAlign w:val="center"/>
          </w:tcPr>
          <w:p w14:paraId="030CE71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1A44033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845FDE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4A4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shd w:val="clear" w:color="auto" w:fill="auto"/>
            <w:vAlign w:val="center"/>
          </w:tcPr>
          <w:p w14:paraId="7BB1CB9B">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31</w:t>
            </w:r>
          </w:p>
        </w:tc>
        <w:tc>
          <w:tcPr>
            <w:tcW w:w="1789" w:type="dxa"/>
            <w:vAlign w:val="center"/>
          </w:tcPr>
          <w:p w14:paraId="269BCB5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室内红色条屏</w:t>
            </w:r>
          </w:p>
        </w:tc>
        <w:tc>
          <w:tcPr>
            <w:tcW w:w="8255" w:type="dxa"/>
            <w:vAlign w:val="center"/>
          </w:tcPr>
          <w:p w14:paraId="0856A4D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1.像数点间距≤4.75mm 像素密度≥44321Dots/㎡ 。</w:t>
            </w:r>
          </w:p>
          <w:p w14:paraId="6677A1D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2.像素构成 单红，封装 SMD2121。</w:t>
            </w:r>
          </w:p>
          <w:p w14:paraId="78709F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3.灯驱合一 单元板分辨率 不低于64*32=2048Dots。</w:t>
            </w:r>
          </w:p>
          <w:p w14:paraId="6127233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4.尺寸≥14.2m*0.55m</w:t>
            </w:r>
          </w:p>
        </w:tc>
        <w:tc>
          <w:tcPr>
            <w:tcW w:w="2077" w:type="dxa"/>
            <w:vAlign w:val="center"/>
          </w:tcPr>
          <w:p w14:paraId="45D8713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2EA7B3C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7A28BF6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7.81</w:t>
            </w:r>
          </w:p>
        </w:tc>
      </w:tr>
      <w:tr w14:paraId="672D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75B109A">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32</w:t>
            </w:r>
          </w:p>
        </w:tc>
        <w:tc>
          <w:tcPr>
            <w:tcW w:w="1789" w:type="dxa"/>
            <w:vAlign w:val="center"/>
          </w:tcPr>
          <w:p w14:paraId="47F7187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框架</w:t>
            </w:r>
          </w:p>
        </w:tc>
        <w:tc>
          <w:tcPr>
            <w:tcW w:w="8255" w:type="dxa"/>
            <w:vAlign w:val="center"/>
          </w:tcPr>
          <w:p w14:paraId="127A8AC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屏体主(内)框架为235材质的镀锌钢架结构。定制。</w:t>
            </w:r>
          </w:p>
        </w:tc>
        <w:tc>
          <w:tcPr>
            <w:tcW w:w="2077" w:type="dxa"/>
            <w:shd w:val="clear" w:color="auto" w:fill="auto"/>
            <w:vAlign w:val="center"/>
          </w:tcPr>
          <w:p w14:paraId="0D4F8F6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3174C09D">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08A4ADD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56.96</w:t>
            </w:r>
          </w:p>
        </w:tc>
      </w:tr>
      <w:tr w14:paraId="29D7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170E6DC">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33</w:t>
            </w:r>
          </w:p>
        </w:tc>
        <w:tc>
          <w:tcPr>
            <w:tcW w:w="1789" w:type="dxa"/>
            <w:vAlign w:val="center"/>
          </w:tcPr>
          <w:p w14:paraId="2702E33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其他配件</w:t>
            </w:r>
          </w:p>
        </w:tc>
        <w:tc>
          <w:tcPr>
            <w:tcW w:w="8255" w:type="dxa"/>
            <w:vAlign w:val="center"/>
          </w:tcPr>
          <w:p w14:paraId="6887673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配电箱至屏体供电RVV3*2.5平方电源线、接收卡串联六类千兆成品国标纯无氧铜网线，单元模组数据排线等,满足大屏与视频处理器设备之间的链接。</w:t>
            </w:r>
          </w:p>
        </w:tc>
        <w:tc>
          <w:tcPr>
            <w:tcW w:w="2077" w:type="dxa"/>
            <w:vAlign w:val="center"/>
          </w:tcPr>
          <w:p w14:paraId="3FFD681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67CA15D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项</w:t>
            </w:r>
          </w:p>
        </w:tc>
        <w:tc>
          <w:tcPr>
            <w:tcW w:w="859" w:type="dxa"/>
            <w:vAlign w:val="center"/>
          </w:tcPr>
          <w:p w14:paraId="0FDA356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F3F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C52BF11">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34</w:t>
            </w:r>
          </w:p>
        </w:tc>
        <w:tc>
          <w:tcPr>
            <w:tcW w:w="1789" w:type="dxa"/>
            <w:vAlign w:val="center"/>
          </w:tcPr>
          <w:p w14:paraId="1C7C590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HDMI传输器</w:t>
            </w:r>
          </w:p>
        </w:tc>
        <w:tc>
          <w:tcPr>
            <w:tcW w:w="8255" w:type="dxa"/>
            <w:vAlign w:val="center"/>
          </w:tcPr>
          <w:p w14:paraId="490FF5E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不小于100米4K HDMI单网线传输放大器，包括发射端和接收端，单边POC供电。</w:t>
            </w:r>
          </w:p>
        </w:tc>
        <w:tc>
          <w:tcPr>
            <w:tcW w:w="2077" w:type="dxa"/>
            <w:vAlign w:val="center"/>
          </w:tcPr>
          <w:p w14:paraId="61C9389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01E6BC9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72618C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0BF7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AB3689C">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35</w:t>
            </w:r>
          </w:p>
        </w:tc>
        <w:tc>
          <w:tcPr>
            <w:tcW w:w="1789" w:type="dxa"/>
            <w:vAlign w:val="center"/>
          </w:tcPr>
          <w:p w14:paraId="6E9DFCA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网络交换机</w:t>
            </w:r>
          </w:p>
        </w:tc>
        <w:tc>
          <w:tcPr>
            <w:tcW w:w="8255" w:type="dxa"/>
            <w:vAlign w:val="center"/>
          </w:tcPr>
          <w:p w14:paraId="2FA05A3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24口千兆网络交换机</w:t>
            </w:r>
          </w:p>
        </w:tc>
        <w:tc>
          <w:tcPr>
            <w:tcW w:w="2077" w:type="dxa"/>
            <w:vAlign w:val="center"/>
          </w:tcPr>
          <w:p w14:paraId="12FBFF8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锐捷/华为/H3C</w:t>
            </w:r>
          </w:p>
        </w:tc>
        <w:tc>
          <w:tcPr>
            <w:tcW w:w="660" w:type="dxa"/>
            <w:vAlign w:val="center"/>
          </w:tcPr>
          <w:p w14:paraId="365B869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54DBD32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1B0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0F589F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36</w:t>
            </w:r>
          </w:p>
        </w:tc>
        <w:tc>
          <w:tcPr>
            <w:tcW w:w="1789" w:type="dxa"/>
            <w:vAlign w:val="center"/>
          </w:tcPr>
          <w:p w14:paraId="47328F7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会议智能控制平台</w:t>
            </w:r>
          </w:p>
        </w:tc>
        <w:tc>
          <w:tcPr>
            <w:tcW w:w="8255" w:type="dxa"/>
            <w:vAlign w:val="center"/>
          </w:tcPr>
          <w:p w14:paraId="367CB81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同一台设备具备：</w:t>
            </w:r>
          </w:p>
          <w:p w14:paraId="64AC7DF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1．音频接口：内置≥8*8音频处理矩阵，音频处理器支持≥8路模拟音频输入，支持48V幻象电源供电，可接驳任意类型的话筒或音源，≥ 8路模拟音频输出连接有源音箱或功放。</w:t>
            </w:r>
          </w:p>
          <w:p w14:paraId="6228D13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2．支持内置插卡式≥200W*4路D类数字功放模块，每路独立带锁凤凰插输出接口接入音箱。</w:t>
            </w:r>
          </w:p>
          <w:p w14:paraId="0729E37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3．视频矩阵模块：≥4*4 HDMI接口的视频矩阵，每路支持4K@60Hz分辨率、HDMI2.0、EDID管理和可擦写、支持HDCP解析，支持视频矩阵扩展。</w:t>
            </w:r>
          </w:p>
          <w:p w14:paraId="5E49B98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扩展视频编码：≥1路高清HDMI信号输入接口和≥1路LINE音频输入，支持UDP、RTMP、RTSP、HTTP:TS等主流的传输协议的流媒体服务器，可实现对各种网络视频流的实时传输与监视，实现可视化视频控制和视频云直播功能。</w:t>
            </w:r>
          </w:p>
          <w:p w14:paraId="051939C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5．≥1路高清HDMI信号输出，支持网络视频流解码功能。</w:t>
            </w:r>
          </w:p>
          <w:p w14:paraId="27DDF60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6．中控：≥1路局域网数据交换机接口，≥1路WIFI信号外接接口，≥2路USB接口，≥4路RS232/ RS485串口接口，≥4路5A继电器接口，≥4路红外控制接口。</w:t>
            </w:r>
          </w:p>
          <w:p w14:paraId="59D73A7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7．8路可编程电源时序管理输出端口。</w:t>
            </w:r>
          </w:p>
          <w:p w14:paraId="45065ED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8．服务器：（不低于Intel四核，CPU，4G内存，128G固态硬盘），≥8寸触摸显示屏。</w:t>
            </w:r>
          </w:p>
          <w:p w14:paraId="2B1CCDE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9.可内置插卡4进4出Dante网络音频模块，可直接入Dante有源音箱，也可接入各种Dante音箱和Dante话筒。</w:t>
            </w:r>
          </w:p>
          <w:p w14:paraId="636F24F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10.≥1进3出DMX512接口，支持本机软件现场调光、灯光录制、灯光播放、触发功能。</w:t>
            </w:r>
          </w:p>
        </w:tc>
        <w:tc>
          <w:tcPr>
            <w:tcW w:w="2077" w:type="dxa"/>
            <w:vAlign w:val="center"/>
          </w:tcPr>
          <w:p w14:paraId="351C749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Huanghe/C-MARK/T2</w:t>
            </w:r>
          </w:p>
        </w:tc>
        <w:tc>
          <w:tcPr>
            <w:tcW w:w="660" w:type="dxa"/>
            <w:vAlign w:val="center"/>
          </w:tcPr>
          <w:p w14:paraId="246BDC8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28E7AA3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CA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19B8D8D">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37</w:t>
            </w:r>
          </w:p>
        </w:tc>
        <w:tc>
          <w:tcPr>
            <w:tcW w:w="1789" w:type="dxa"/>
            <w:vAlign w:val="center"/>
          </w:tcPr>
          <w:p w14:paraId="6B6DB0A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会议智能控制平台定制软件</w:t>
            </w:r>
          </w:p>
        </w:tc>
        <w:tc>
          <w:tcPr>
            <w:tcW w:w="8255" w:type="dxa"/>
            <w:vAlign w:val="center"/>
          </w:tcPr>
          <w:p w14:paraId="61F5730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1.具备环境检测软件：可对会场的环境温度、湿度、气压、PM2.5、VOC浓度等数据进项监控，并联动现场物联设施（空调、窗帘等）进行现场环境改善。</w:t>
            </w:r>
          </w:p>
          <w:p w14:paraId="62A1F1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设备前面板可自由编辑设置会议模式及切换：会前准备、会议类型（本地介绍/视频会议/培训/观影场景等）、中场休息、会议结束等，模式切换时联动会议音频，视频，会议灯光，物联设施等系统自动对应模式设置。</w:t>
            </w:r>
          </w:p>
          <w:p w14:paraId="7298B28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音频管理软件功能：音视频编码模块，可以自由选择输入1到4路视频输入信号，并呈现在控制端界面内，实现可现化切换。前端用户界面内（非工程师调试软件及额外的APP软件）可实时显示音频系统的推前推后音量电平，实时监测设备是否在线，信号是否正常接入。</w:t>
            </w:r>
          </w:p>
          <w:p w14:paraId="731EE06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通过产品内置的视频管理软件，可对≤4块屏幕任意切换显示，并对任意信号进行实时显示视频播放内容，采集音视频信号、Ｈ265编码进行RTSP／RTMP推流等功能，实现可视化视频控制和视频云直播功能。支持扩展更大的视频矩阵接入。</w:t>
            </w:r>
          </w:p>
          <w:p w14:paraId="75E59F3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5.灯光控制软件功能：内置自主研发的软件调光台，无需制作灯库，不需灯具配接，直接可随时调整舞台灯光效果，即时保存方便使用，可对灯光效果一键保存、预览、调试灯具控制。</w:t>
            </w:r>
          </w:p>
          <w:p w14:paraId="7D9FBEE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6.具备外网接入远程控制功能：设备接入互联网时，可实现远程操作，调试设备。</w:t>
            </w:r>
          </w:p>
          <w:p w14:paraId="533346C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7.支持语音识别，交互式控制Udionet多媒体智慧终端服务器系统相关功能。</w:t>
            </w:r>
          </w:p>
        </w:tc>
        <w:tc>
          <w:tcPr>
            <w:tcW w:w="2077" w:type="dxa"/>
            <w:shd w:val="clear" w:color="auto" w:fill="auto"/>
            <w:vAlign w:val="center"/>
          </w:tcPr>
          <w:p w14:paraId="51F13ED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Huanghe/C-MARK/T2</w:t>
            </w:r>
          </w:p>
        </w:tc>
        <w:tc>
          <w:tcPr>
            <w:tcW w:w="660" w:type="dxa"/>
            <w:shd w:val="clear" w:color="auto" w:fill="auto"/>
            <w:vAlign w:val="center"/>
          </w:tcPr>
          <w:p w14:paraId="0C44F48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ABF4C5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3EC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7EFF4E2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三、平移旋转折叠LED台口屏</w:t>
            </w:r>
          </w:p>
        </w:tc>
      </w:tr>
      <w:tr w14:paraId="6BC3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0EA1561">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38</w:t>
            </w:r>
          </w:p>
        </w:tc>
        <w:tc>
          <w:tcPr>
            <w:tcW w:w="1789" w:type="dxa"/>
            <w:vAlign w:val="center"/>
          </w:tcPr>
          <w:p w14:paraId="3F4BF1D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平移旋转折叠LED台口屏架</w:t>
            </w:r>
          </w:p>
        </w:tc>
        <w:tc>
          <w:tcPr>
            <w:tcW w:w="8255" w:type="dxa"/>
            <w:vAlign w:val="center"/>
          </w:tcPr>
          <w:p w14:paraId="0C78ADD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1.尺寸：匹配LED副屏，定制。</w:t>
            </w:r>
          </w:p>
          <w:p w14:paraId="10D16AD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2.载荷：屏体自重。</w:t>
            </w:r>
          </w:p>
          <w:p w14:paraId="7228208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3.可前后电动平移，速度0.05m/s。</w:t>
            </w:r>
          </w:p>
          <w:p w14:paraId="24FCE95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4.手动旋转，旋转到位后，通过定位装置固定移动屏。</w:t>
            </w:r>
          </w:p>
        </w:tc>
        <w:tc>
          <w:tcPr>
            <w:tcW w:w="2077" w:type="dxa"/>
            <w:vAlign w:val="center"/>
          </w:tcPr>
          <w:p w14:paraId="1D0631F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523AFB8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BC7F59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36BF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F5F2AA9">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39</w:t>
            </w:r>
          </w:p>
        </w:tc>
        <w:tc>
          <w:tcPr>
            <w:tcW w:w="1789" w:type="dxa"/>
            <w:vAlign w:val="center"/>
          </w:tcPr>
          <w:p w14:paraId="49BD24C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副屏LED全彩</w:t>
            </w:r>
          </w:p>
        </w:tc>
        <w:tc>
          <w:tcPr>
            <w:tcW w:w="8255" w:type="dxa"/>
            <w:vAlign w:val="center"/>
          </w:tcPr>
          <w:p w14:paraId="33BA53A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1.像素构成：1R1G1B（2121 SMD表贴三合一），采用国星、东山精密、晶台等同档次知名封装厂家封装。像素间距：≤2.5mm，像素密度：≥160000点/㎡。刷新率不低于3840Hz。</w:t>
            </w:r>
          </w:p>
          <w:p w14:paraId="7ADABCE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2.共2套，单屏显示尺寸：≥3.2m*4.8m，面积≥15.36平方，整屏分辨率≥1280*1920。</w:t>
            </w:r>
          </w:p>
          <w:p w14:paraId="5A28EAC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显示屏必须采用压铸铝整机箱体，禁止模组磁吸钢结构或模组托架安装方式。保证箱体拼接的平整度和密封防尘性。全金属散热、无风扇，无孔，防尘静音设计。模组、电源、控制系统支持热插拔，箱体尺寸≥640mm*480mm，要求整箱体尺寸偏差不能＞2%。</w:t>
            </w:r>
          </w:p>
        </w:tc>
        <w:tc>
          <w:tcPr>
            <w:tcW w:w="2077" w:type="dxa"/>
            <w:vAlign w:val="center"/>
          </w:tcPr>
          <w:p w14:paraId="55068D6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32A3F87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126CC0A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30.72</w:t>
            </w:r>
          </w:p>
        </w:tc>
      </w:tr>
      <w:tr w14:paraId="1D24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7906255">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40</w:t>
            </w:r>
          </w:p>
        </w:tc>
        <w:tc>
          <w:tcPr>
            <w:tcW w:w="1789" w:type="dxa"/>
            <w:vAlign w:val="center"/>
          </w:tcPr>
          <w:p w14:paraId="351A83F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接收卡</w:t>
            </w:r>
          </w:p>
        </w:tc>
        <w:tc>
          <w:tcPr>
            <w:tcW w:w="8255" w:type="dxa"/>
            <w:vAlign w:val="center"/>
          </w:tcPr>
          <w:p w14:paraId="6EED89F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单卡最大带载不小于512×256像素，支持16组RGB并行数据，支持色彩管理、18Bit+、逐点亮色度校正、RGB 独立Gamma 调节、3D等功能。</w:t>
            </w:r>
          </w:p>
        </w:tc>
        <w:tc>
          <w:tcPr>
            <w:tcW w:w="2077" w:type="dxa"/>
            <w:vAlign w:val="center"/>
          </w:tcPr>
          <w:p w14:paraId="53BFC36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vAlign w:val="center"/>
          </w:tcPr>
          <w:p w14:paraId="7C2D844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张</w:t>
            </w:r>
          </w:p>
        </w:tc>
        <w:tc>
          <w:tcPr>
            <w:tcW w:w="859" w:type="dxa"/>
            <w:vAlign w:val="center"/>
          </w:tcPr>
          <w:p w14:paraId="337B77A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104</w:t>
            </w:r>
          </w:p>
        </w:tc>
      </w:tr>
      <w:tr w14:paraId="0250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8D910B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41</w:t>
            </w:r>
          </w:p>
        </w:tc>
        <w:tc>
          <w:tcPr>
            <w:tcW w:w="1789" w:type="dxa"/>
            <w:vAlign w:val="center"/>
          </w:tcPr>
          <w:p w14:paraId="5FCFC5B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箱体</w:t>
            </w:r>
          </w:p>
        </w:tc>
        <w:tc>
          <w:tcPr>
            <w:tcW w:w="8255" w:type="dxa"/>
            <w:vAlign w:val="center"/>
          </w:tcPr>
          <w:p w14:paraId="7F61742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箱体和后盖均为压铸铝材质，均为一致性整体压铸成型，全金属自然散热结构，采用无风扇，防尘，静音设计。箱体尺寸≥640MM*480MM。</w:t>
            </w:r>
          </w:p>
        </w:tc>
        <w:tc>
          <w:tcPr>
            <w:tcW w:w="2077" w:type="dxa"/>
            <w:shd w:val="clear" w:color="auto" w:fill="auto"/>
            <w:vAlign w:val="center"/>
          </w:tcPr>
          <w:p w14:paraId="080E3A5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58BC674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个</w:t>
            </w:r>
          </w:p>
        </w:tc>
        <w:tc>
          <w:tcPr>
            <w:tcW w:w="859" w:type="dxa"/>
            <w:vAlign w:val="center"/>
          </w:tcPr>
          <w:p w14:paraId="0C7154A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100</w:t>
            </w:r>
          </w:p>
        </w:tc>
      </w:tr>
      <w:tr w14:paraId="087C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BC19855">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42</w:t>
            </w:r>
          </w:p>
        </w:tc>
        <w:tc>
          <w:tcPr>
            <w:tcW w:w="1789" w:type="dxa"/>
            <w:vAlign w:val="center"/>
          </w:tcPr>
          <w:p w14:paraId="65CD2C0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媒体服务器</w:t>
            </w:r>
          </w:p>
        </w:tc>
        <w:tc>
          <w:tcPr>
            <w:tcW w:w="8255" w:type="dxa"/>
            <w:vAlign w:val="center"/>
          </w:tcPr>
          <w:p w14:paraId="3E5AF50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1.19英寸标准机架安装，金属结构机箱，外壳防护等级符合GB/T4208-2017中IP20的要求。</w:t>
            </w:r>
          </w:p>
          <w:p w14:paraId="224E064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2.采用X86嵌入式系统架构，内存不低于16G、硬盘不低于500G SSD。</w:t>
            </w:r>
          </w:p>
          <w:p w14:paraId="4C5C884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3.不少于1路MIC IN，1路Line IN，1路Line OUT音频接口，支持接口扩展。</w:t>
            </w:r>
          </w:p>
          <w:p w14:paraId="3872DFB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4.不少于1路DP与2路HDMI输出，拼接同步显示，拼接带载分辨率不低于8192*4320@60Hz。</w:t>
            </w:r>
          </w:p>
          <w:p w14:paraId="142D3DE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5.支持最多3个输出接口的任意拆分重组以及任意角度旋转，实现对不规则显示屏的拼接带载，支持预编辑输出，播放画面编辑和输出分离，可在预览编辑完成后再进行媒体素材的一键输出播放。</w:t>
            </w:r>
          </w:p>
          <w:p w14:paraId="0AC920C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可通过可视化控制平台软件或者中控设备对播放画面进行远程编辑和控制，支持丰富的多媒体素材类型，本地素材库可添加视频文件、图片文件、音频文件、PPT、Word、EXCEL、PDF、可执行程序文件、NDI媒体、字幕功能、采集设备、网页、流媒体、播放合集支持云素材管理，可从云端下载视频文件、图片文件、音频文件，PPT、Word、EXCEL、PDF。</w:t>
            </w:r>
          </w:p>
          <w:p w14:paraId="02D3803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支持将媒体库的媒体添加到节目中，同时支持对节目中任意一个媒体按区域进行画质调节、裁剪、遮罩。支持将软件编辑的素材、节目、输出、媒体属性的内容手动或自动保存到本地文件。支持打开保存的本地文件，能正常恢复软件编辑的素材、节目、输出、媒体属性的内容。软件支持将多个同规格素材同步播放。</w:t>
            </w:r>
          </w:p>
        </w:tc>
        <w:tc>
          <w:tcPr>
            <w:tcW w:w="2077" w:type="dxa"/>
            <w:shd w:val="clear" w:color="auto" w:fill="auto"/>
            <w:vAlign w:val="center"/>
          </w:tcPr>
          <w:p w14:paraId="12813B5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44937DF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33916C7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535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6D991B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43</w:t>
            </w:r>
          </w:p>
        </w:tc>
        <w:tc>
          <w:tcPr>
            <w:tcW w:w="1789" w:type="dxa"/>
            <w:vAlign w:val="center"/>
          </w:tcPr>
          <w:p w14:paraId="480136C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视频控制器</w:t>
            </w:r>
          </w:p>
        </w:tc>
        <w:tc>
          <w:tcPr>
            <w:tcW w:w="8255" w:type="dxa"/>
            <w:vAlign w:val="center"/>
          </w:tcPr>
          <w:p w14:paraId="513F264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1.单台具备不少于16路千兆网口输出，带载能力支持1040万像素。</w:t>
            </w:r>
          </w:p>
          <w:p w14:paraId="71B88B8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2.集视频处理、视频控制以及LED屏体配置等功能于一体，具备多种类的视频信号接收能力、4K×2K@60Hz的图像处理能力和发送能力。</w:t>
            </w:r>
          </w:p>
          <w:p w14:paraId="7690FCD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3.HDMI≥5路，1路DP≥1路。支持HDR输出。</w:t>
            </w:r>
          </w:p>
          <w:p w14:paraId="134AB28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4.支持个性化的画质缩放：支持不少于三种画面缩放模式，包括点对点模式、全屏缩放、自定义缩放。</w:t>
            </w:r>
          </w:p>
          <w:p w14:paraId="67BC617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5.支持多窗口显示，不少于6窗口的任意布局，至少包含2路4K窗口+4路2K窗口。</w:t>
            </w:r>
          </w:p>
          <w:p w14:paraId="3C67A28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6.支持OSD字幕功能，字幕颜色，内容可通过软件自定义编辑。</w:t>
            </w:r>
          </w:p>
          <w:p w14:paraId="6AB08F5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7.支持音频功能，输入接口支持音频伴随输入，输出音频支持随信号切换而切换。</w:t>
            </w:r>
          </w:p>
          <w:p w14:paraId="0804E02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8.支持场景预设功能，可创建不低于10个。</w:t>
            </w:r>
          </w:p>
          <w:p w14:paraId="08F3338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9.支持对输入信号进行分辨率自定义，最大可支持4096*2160@60信号输入，并向下兼容4K*1K,2K等。</w:t>
            </w:r>
          </w:p>
          <w:p w14:paraId="073C708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10.设备前面板应配备LCD显示模块，可直接观察各接口的通讯状态，设备型号，IP地址，屏幕大小及信号源状态等信息，简化系统的控制操作。</w:t>
            </w:r>
          </w:p>
          <w:p w14:paraId="47CE2AA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11.支持配合多功能卡，实现对屏体电源的手动控制，自动控制，以及软件控制。</w:t>
            </w:r>
          </w:p>
        </w:tc>
        <w:tc>
          <w:tcPr>
            <w:tcW w:w="2077" w:type="dxa"/>
            <w:shd w:val="clear" w:color="auto" w:fill="auto"/>
            <w:vAlign w:val="center"/>
          </w:tcPr>
          <w:p w14:paraId="1B8E043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448B36F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4F5992E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8C2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E507D7F">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44</w:t>
            </w:r>
          </w:p>
        </w:tc>
        <w:tc>
          <w:tcPr>
            <w:tcW w:w="1789" w:type="dxa"/>
            <w:vAlign w:val="center"/>
          </w:tcPr>
          <w:p w14:paraId="14A0ACB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LED屏控制系统</w:t>
            </w:r>
          </w:p>
        </w:tc>
        <w:tc>
          <w:tcPr>
            <w:tcW w:w="8255" w:type="dxa"/>
          </w:tcPr>
          <w:p w14:paraId="426F5C7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1.支持添加多个显示屏，分别对其进行控制管理。</w:t>
            </w:r>
          </w:p>
          <w:p w14:paraId="2FAE5B3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2.在关于界面中可以查看软件的版本信息和更新日志。</w:t>
            </w:r>
          </w:p>
          <w:p w14:paraId="5B918E7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3.通过设置测试画面、显示屏可显示红、绿、蓝、白、黄、青、紫，网格、定位图画面。</w:t>
            </w:r>
          </w:p>
          <w:p w14:paraId="4033EB7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4.支持切换软件LED配置工具的界面语言为中文、英文、日本语。</w:t>
            </w:r>
          </w:p>
          <w:p w14:paraId="44EB76D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5.检测显示屏LED灯珠的工作状态软件显示点检状态，显示问题点位置。</w:t>
            </w:r>
          </w:p>
          <w:p w14:paraId="5306088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6.支持载入配置、设置输入源、点亮显示屏、显示屏连接设置、冗余备份设置、启用3D设置、工作模式设置、性能参数设置。</w:t>
            </w:r>
          </w:p>
          <w:p w14:paraId="17A4B80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7.支持对发送卡状态、接收卡状态、接收卡温度、监控设备状态湿度、烟雾、风扇、电源、排线、箱门、模组状态进行监控。</w:t>
            </w:r>
          </w:p>
          <w:p w14:paraId="41CE980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8.支持联机校正参数设置、获取平均校正系数、管理校正系数、管理双校正系数。</w:t>
            </w:r>
          </w:p>
          <w:p w14:paraId="17107A6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9.支持通过软件对灯点进行亮度校正及调节。</w:t>
            </w:r>
          </w:p>
          <w:p w14:paraId="6E252CB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10.支持将显示屏注册到云平台的云监控服务，实现远程集中监控显示屏的工作状况。</w:t>
            </w:r>
          </w:p>
        </w:tc>
        <w:tc>
          <w:tcPr>
            <w:tcW w:w="2077" w:type="dxa"/>
            <w:shd w:val="clear" w:color="auto" w:fill="auto"/>
            <w:vAlign w:val="center"/>
          </w:tcPr>
          <w:p w14:paraId="59FC16A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797EF35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5A5B10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F1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2B7432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45</w:t>
            </w:r>
          </w:p>
        </w:tc>
        <w:tc>
          <w:tcPr>
            <w:tcW w:w="1789" w:type="dxa"/>
            <w:vAlign w:val="center"/>
          </w:tcPr>
          <w:p w14:paraId="38BBB68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配电柜</w:t>
            </w:r>
          </w:p>
        </w:tc>
        <w:tc>
          <w:tcPr>
            <w:tcW w:w="8255" w:type="dxa"/>
          </w:tcPr>
          <w:p w14:paraId="1402DE8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≥30KW，采用三相五线制供电，配电系统保证三相平衡，同时具备过流、短路、断路、过压、欠压温度过高等保护措施，以及相应的故障指示装置。具有远程中控控制功能。</w:t>
            </w:r>
          </w:p>
        </w:tc>
        <w:tc>
          <w:tcPr>
            <w:tcW w:w="2077" w:type="dxa"/>
            <w:shd w:val="clear" w:color="auto" w:fill="auto"/>
            <w:vAlign w:val="center"/>
          </w:tcPr>
          <w:p w14:paraId="37E93A2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279D49F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5BB725E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231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9FA57E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46</w:t>
            </w:r>
          </w:p>
        </w:tc>
        <w:tc>
          <w:tcPr>
            <w:tcW w:w="1789" w:type="dxa"/>
            <w:shd w:val="clear" w:color="auto" w:fill="auto"/>
            <w:vAlign w:val="center"/>
          </w:tcPr>
          <w:p w14:paraId="6968B73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台口屏其他配件</w:t>
            </w:r>
          </w:p>
        </w:tc>
        <w:tc>
          <w:tcPr>
            <w:tcW w:w="8255" w:type="dxa"/>
            <w:shd w:val="clear" w:color="auto" w:fill="auto"/>
            <w:vAlign w:val="center"/>
          </w:tcPr>
          <w:p w14:paraId="3A46890C">
            <w:pPr>
              <w:adjustRightInd/>
              <w:spacing w:line="440" w:lineRule="exact"/>
              <w:jc w:val="both"/>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配电箱至屏体供电RVV3*2.5平方电源线、接收卡串联六类千兆成品国标纯无氧铜网线，单元模组数据排线等,满足大屏与视频处理器设备之间的链接。</w:t>
            </w:r>
          </w:p>
        </w:tc>
        <w:tc>
          <w:tcPr>
            <w:tcW w:w="2077" w:type="dxa"/>
            <w:shd w:val="clear" w:color="auto" w:fill="auto"/>
            <w:vAlign w:val="center"/>
          </w:tcPr>
          <w:p w14:paraId="274C511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利亚德/艾比森/洲明</w:t>
            </w:r>
          </w:p>
        </w:tc>
        <w:tc>
          <w:tcPr>
            <w:tcW w:w="660" w:type="dxa"/>
            <w:shd w:val="clear" w:color="auto" w:fill="auto"/>
            <w:vAlign w:val="center"/>
          </w:tcPr>
          <w:p w14:paraId="73F4F77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w:t>
            </w:r>
          </w:p>
        </w:tc>
        <w:tc>
          <w:tcPr>
            <w:tcW w:w="859" w:type="dxa"/>
            <w:vAlign w:val="center"/>
          </w:tcPr>
          <w:p w14:paraId="0264134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548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6348705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四、多功能活动室(约130m²)音响扩声系统</w:t>
            </w:r>
          </w:p>
        </w:tc>
      </w:tr>
      <w:tr w14:paraId="29B6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A70146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47</w:t>
            </w:r>
          </w:p>
        </w:tc>
        <w:tc>
          <w:tcPr>
            <w:tcW w:w="1789" w:type="dxa"/>
            <w:vAlign w:val="center"/>
          </w:tcPr>
          <w:p w14:paraId="112A426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数字调音台</w:t>
            </w:r>
          </w:p>
        </w:tc>
        <w:tc>
          <w:tcPr>
            <w:tcW w:w="8255" w:type="dxa"/>
          </w:tcPr>
          <w:p w14:paraId="4C45B1D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1.≥12路输入，≥8路Mic/Line，1组立体声，1组USB立体声（U盘播音，蓝牙或PC声卡播放）。</w:t>
            </w:r>
          </w:p>
          <w:p w14:paraId="7D760E1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2.≥10路输出，1组L/ R立体声主输出，4路AUX，1组USB立体声录音或PC声卡录音，1组立体声监听。</w:t>
            </w:r>
          </w:p>
          <w:p w14:paraId="70862E7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3.高级DSP数字信号处理器40bit运算，24bit/48KHz高性能ADC/DAC。</w:t>
            </w:r>
          </w:p>
          <w:p w14:paraId="759F25A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4.Mic/Line输入通道配置：48V幻象电源，极性切换、噪声门、四段参量频率均衡、高通滤波器、低通滤波器。</w:t>
            </w:r>
          </w:p>
          <w:p w14:paraId="7C79367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5.输出通道配置：延时器、不少于四段参量频率均衡、高通滤波器、低通滤波器、压限器。</w:t>
            </w:r>
          </w:p>
          <w:p w14:paraId="7BFE5AF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6.专业效果类型≥5种、独立的场景预设≥6个。</w:t>
            </w:r>
          </w:p>
          <w:p w14:paraId="2E6F6EF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7.≥4.3"TFT液晶电容触摸屏。</w:t>
            </w:r>
          </w:p>
          <w:p w14:paraId="5F901CF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8.≥6个100mm智能伺服电动推子。</w:t>
            </w:r>
          </w:p>
          <w:p w14:paraId="473ABD9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9.具有PC声卡，支持播放和录音同步进行。</w:t>
            </w:r>
          </w:p>
          <w:p w14:paraId="5669DFB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10.具有啸叫抑制功能AFHS，具备动态抑制和陷波抑制，可单独控制。</w:t>
            </w:r>
          </w:p>
          <w:p w14:paraId="55E3556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11.自带提供无线WiFi热点，IOS苹果iPad或安卓平板电脑可无线连接进行远程遥控操作。具有RJ-45网口或RS-485口接受中控设备的遥控指令。</w:t>
            </w:r>
          </w:p>
          <w:p w14:paraId="5BCCBA9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12.总谐波失真：≤0.01%。</w:t>
            </w:r>
          </w:p>
          <w:p w14:paraId="21E1BA0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13.频率响应：20Hz～20kHz或优于。</w:t>
            </w:r>
          </w:p>
          <w:p w14:paraId="745B029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14.信噪比：≥104dB。</w:t>
            </w:r>
          </w:p>
        </w:tc>
        <w:tc>
          <w:tcPr>
            <w:tcW w:w="2077" w:type="dxa"/>
            <w:vAlign w:val="center"/>
          </w:tcPr>
          <w:p w14:paraId="4BBF174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vAlign w:val="center"/>
          </w:tcPr>
          <w:p w14:paraId="07C5809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B8AD82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98F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C06248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48</w:t>
            </w:r>
          </w:p>
        </w:tc>
        <w:tc>
          <w:tcPr>
            <w:tcW w:w="1789" w:type="dxa"/>
            <w:vAlign w:val="center"/>
          </w:tcPr>
          <w:p w14:paraId="07B04B2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全频音箱</w:t>
            </w:r>
          </w:p>
        </w:tc>
        <w:tc>
          <w:tcPr>
            <w:tcW w:w="8255" w:type="dxa"/>
            <w:vAlign w:val="center"/>
          </w:tcPr>
          <w:p w14:paraId="6D9D854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1.低音单元：≥1×15寸铁磁低音。高音单元：≥1×3寸铁磁高音。</w:t>
            </w:r>
          </w:p>
          <w:p w14:paraId="5445A08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2.频率响应：65Hz～20kHz或优于。</w:t>
            </w:r>
          </w:p>
          <w:p w14:paraId="498784E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3.额定功率：≥600W。</w:t>
            </w:r>
          </w:p>
          <w:p w14:paraId="1DA9B98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4.最大声压级(连续/峰值）：≥128dB/136dB。</w:t>
            </w:r>
          </w:p>
          <w:p w14:paraId="272B9B4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5.覆盖角度(H×V)：90º×60º（可旋转号筒）。</w:t>
            </w:r>
          </w:p>
          <w:p w14:paraId="19DA3C6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6.阻抗：8Ω。</w:t>
            </w:r>
          </w:p>
        </w:tc>
        <w:tc>
          <w:tcPr>
            <w:tcW w:w="2077" w:type="dxa"/>
            <w:shd w:val="clear" w:color="auto" w:fill="auto"/>
            <w:vAlign w:val="center"/>
          </w:tcPr>
          <w:p w14:paraId="7F4E9A4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2583CFA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57C21F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3D8C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BDD2505">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49</w:t>
            </w:r>
          </w:p>
        </w:tc>
        <w:tc>
          <w:tcPr>
            <w:tcW w:w="1789" w:type="dxa"/>
            <w:vAlign w:val="center"/>
          </w:tcPr>
          <w:p w14:paraId="28E59C4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音频功率放大器</w:t>
            </w:r>
          </w:p>
        </w:tc>
        <w:tc>
          <w:tcPr>
            <w:tcW w:w="8255" w:type="dxa"/>
            <w:vAlign w:val="center"/>
          </w:tcPr>
          <w:p w14:paraId="0FB2971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1.8Ω立体声功率≥950W×2。4Ω立体声功率≥1350W×2。8Ω桥接功率≥2700W×1。</w:t>
            </w:r>
          </w:p>
          <w:p w14:paraId="0840183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2.频率范围：20Hz～20kHz或优于。</w:t>
            </w:r>
          </w:p>
          <w:p w14:paraId="29E0231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3.总谐波失真：≤0.1%。</w:t>
            </w:r>
          </w:p>
          <w:p w14:paraId="1CD5E17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4.信噪比：≥100dB。</w:t>
            </w:r>
          </w:p>
          <w:p w14:paraId="54B131E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5.阻尼系数：≥220。</w:t>
            </w:r>
          </w:p>
        </w:tc>
        <w:tc>
          <w:tcPr>
            <w:tcW w:w="2077" w:type="dxa"/>
            <w:shd w:val="clear" w:color="auto" w:fill="auto"/>
            <w:vAlign w:val="center"/>
          </w:tcPr>
          <w:p w14:paraId="1B784AF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2087E9C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386E1C3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AC7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0EE9A3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50</w:t>
            </w:r>
          </w:p>
        </w:tc>
        <w:tc>
          <w:tcPr>
            <w:tcW w:w="1789" w:type="dxa"/>
            <w:vAlign w:val="center"/>
          </w:tcPr>
          <w:p w14:paraId="4898905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音频处理器</w:t>
            </w:r>
          </w:p>
        </w:tc>
        <w:tc>
          <w:tcPr>
            <w:tcW w:w="8255" w:type="dxa"/>
            <w:vAlign w:val="center"/>
          </w:tcPr>
          <w:p w14:paraId="7BBC9AA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1.输入/输出：≥2路平衡输入/4路平衡输出。</w:t>
            </w:r>
          </w:p>
          <w:p w14:paraId="1EDEAF5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2.采样率：≥48kHz。</w:t>
            </w:r>
          </w:p>
          <w:p w14:paraId="5A2E212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3.AD&amp;DA转换：≥24bit。</w:t>
            </w:r>
          </w:p>
          <w:p w14:paraId="56FA95C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4.频率响应：20Hz～20kHz或优于。</w:t>
            </w:r>
          </w:p>
          <w:p w14:paraId="36E8D45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5.总谐波失真+噪声：≤0.05%。</w:t>
            </w:r>
          </w:p>
          <w:p w14:paraId="20760EB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6.信噪比：＞92dB。</w:t>
            </w:r>
          </w:p>
          <w:p w14:paraId="762545E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7.参数均衡器：每路输入不少于11段均衡，每路输出不少于7段均衡。</w:t>
            </w:r>
          </w:p>
          <w:p w14:paraId="467816D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8.信号发生器：可选“粉红噪声”、“白噪声”测试信号。</w:t>
            </w:r>
          </w:p>
          <w:p w14:paraId="73F78C9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9.控制接口：≥1个RS485控制接口，≥1个USB接口。</w:t>
            </w:r>
          </w:p>
        </w:tc>
        <w:tc>
          <w:tcPr>
            <w:tcW w:w="2077" w:type="dxa"/>
            <w:shd w:val="clear" w:color="auto" w:fill="auto"/>
            <w:vAlign w:val="center"/>
          </w:tcPr>
          <w:p w14:paraId="222827D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20C243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4B1B84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5F1B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8D2CB6F">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51</w:t>
            </w:r>
          </w:p>
        </w:tc>
        <w:tc>
          <w:tcPr>
            <w:tcW w:w="1789" w:type="dxa"/>
            <w:vAlign w:val="center"/>
          </w:tcPr>
          <w:p w14:paraId="0DB538C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智能音频反馈抑制器</w:t>
            </w:r>
          </w:p>
        </w:tc>
        <w:tc>
          <w:tcPr>
            <w:tcW w:w="8255" w:type="dxa"/>
            <w:vAlign w:val="center"/>
          </w:tcPr>
          <w:p w14:paraId="2FCC881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1.配置≥2寸TFT彩屏。</w:t>
            </w:r>
          </w:p>
          <w:p w14:paraId="4F3B49E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2.支持一键开启自动检测功能。</w:t>
            </w:r>
          </w:p>
          <w:p w14:paraId="2F88E03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3.≥24bit高性能A/D及D/A转换芯片。</w:t>
            </w:r>
          </w:p>
          <w:p w14:paraId="78FBE23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4.≥4个输入通道，每通道带48V幻象电源独立控制开关。</w:t>
            </w:r>
          </w:p>
          <w:p w14:paraId="2DC2280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5.输入通道：≥4路平衡输入XLR和4路非平衡输入TRS，1路RCA接口。</w:t>
            </w:r>
          </w:p>
          <w:p w14:paraId="1CE7507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6.输出通道：≥2路平衡输出XLR，1路RCA。</w:t>
            </w:r>
          </w:p>
          <w:p w14:paraId="4A3857A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7.一键切换啸叫抑制功能打开或关闭。</w:t>
            </w:r>
          </w:p>
          <w:p w14:paraId="20277BE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8.频率响应：20Hz～20KHz或优于。</w:t>
            </w:r>
          </w:p>
          <w:p w14:paraId="57C1DB3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9.总谐波失真：≤0.017%。</w:t>
            </w:r>
          </w:p>
          <w:p w14:paraId="675F5D6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10.信噪比＞106dB。</w:t>
            </w:r>
          </w:p>
        </w:tc>
        <w:tc>
          <w:tcPr>
            <w:tcW w:w="2077" w:type="dxa"/>
            <w:shd w:val="clear" w:color="auto" w:fill="auto"/>
            <w:vAlign w:val="center"/>
          </w:tcPr>
          <w:p w14:paraId="4F0CE22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A9CB36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FE1798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686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BA91794">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52</w:t>
            </w:r>
          </w:p>
        </w:tc>
        <w:tc>
          <w:tcPr>
            <w:tcW w:w="1789" w:type="dxa"/>
            <w:vAlign w:val="center"/>
          </w:tcPr>
          <w:p w14:paraId="47B4022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无线手持话筒（一拖二）</w:t>
            </w:r>
          </w:p>
        </w:tc>
        <w:tc>
          <w:tcPr>
            <w:tcW w:w="8255" w:type="dxa"/>
            <w:vAlign w:val="center"/>
          </w:tcPr>
          <w:p w14:paraId="372D6E6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U段双手持双接收无线话筒(心型指向)。</w:t>
            </w:r>
          </w:p>
          <w:p w14:paraId="1AE49E2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50BD467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3BD4B8D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2AC5E48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76101EB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2A16BD2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63CAE00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2735B93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36BDF14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9.系统失真/THD总谐波失真：＜5%@1kHz。</w:t>
            </w:r>
          </w:p>
          <w:p w14:paraId="60A4AFC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10.信噪比：＞50dB。</w:t>
            </w:r>
          </w:p>
        </w:tc>
        <w:tc>
          <w:tcPr>
            <w:tcW w:w="2077" w:type="dxa"/>
            <w:shd w:val="clear" w:color="auto" w:fill="auto"/>
            <w:vAlign w:val="center"/>
          </w:tcPr>
          <w:p w14:paraId="1404771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D32FDE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D9B620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9EF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E38C26E">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53</w:t>
            </w:r>
          </w:p>
        </w:tc>
        <w:tc>
          <w:tcPr>
            <w:tcW w:w="1789" w:type="dxa"/>
            <w:vAlign w:val="center"/>
          </w:tcPr>
          <w:p w14:paraId="4355AF4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无线鹅颈会议话筒</w:t>
            </w:r>
          </w:p>
        </w:tc>
        <w:tc>
          <w:tcPr>
            <w:tcW w:w="8255" w:type="dxa"/>
            <w:vAlign w:val="center"/>
          </w:tcPr>
          <w:p w14:paraId="344D71A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1.主机采用≥1.8寸TFT显示屏，显示4个通道频道号。</w:t>
            </w:r>
          </w:p>
          <w:p w14:paraId="4314A17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2.内置啸叫抑制功能。内置直通、低切、高切、用户4种均衡模式。</w:t>
            </w:r>
          </w:p>
          <w:p w14:paraId="0E6A268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3.具有≥4组可选频率组。</w:t>
            </w:r>
          </w:p>
          <w:p w14:paraId="2F25205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4.采用动态随机ID。</w:t>
            </w:r>
          </w:p>
          <w:p w14:paraId="756F05E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5.会议单元采用≥2.8寸TFT显示屏。</w:t>
            </w:r>
          </w:p>
          <w:p w14:paraId="541198B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6.会议单元高灵敏度超心形指向电容咪芯，拾音距离远声音清晰。</w:t>
            </w:r>
          </w:p>
          <w:p w14:paraId="5C63472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7．频率范围：640～690MHz或优于，频道数：≥200频道。</w:t>
            </w:r>
          </w:p>
          <w:p w14:paraId="313D4B9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8．频率稳定性：士0.001%。</w:t>
            </w:r>
          </w:p>
          <w:p w14:paraId="6DBD7B4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9．动态范围：＞100dB。</w:t>
            </w:r>
          </w:p>
          <w:p w14:paraId="73E46B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10．总谐波失真：≤3.27%。</w:t>
            </w:r>
          </w:p>
        </w:tc>
        <w:tc>
          <w:tcPr>
            <w:tcW w:w="2077" w:type="dxa"/>
            <w:shd w:val="clear" w:color="auto" w:fill="auto"/>
            <w:vAlign w:val="center"/>
          </w:tcPr>
          <w:p w14:paraId="5190EC5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09CEB55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010A18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69C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30763DC">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54</w:t>
            </w:r>
          </w:p>
        </w:tc>
        <w:tc>
          <w:tcPr>
            <w:tcW w:w="1789" w:type="dxa"/>
            <w:vAlign w:val="center"/>
          </w:tcPr>
          <w:p w14:paraId="25ABC15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电源时序器</w:t>
            </w:r>
          </w:p>
        </w:tc>
        <w:tc>
          <w:tcPr>
            <w:tcW w:w="8255" w:type="dxa"/>
            <w:vAlign w:val="center"/>
          </w:tcPr>
          <w:p w14:paraId="0CDED22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1.不少于8路电源时序控制器（带数字电压显示表）。</w:t>
            </w:r>
          </w:p>
          <w:p w14:paraId="65F44D0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2.电源插座：不少于8个16A万用插座，前面板不少于1个16A万用插座。</w:t>
            </w:r>
          </w:p>
          <w:p w14:paraId="3D8A34E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3.单通道的最大电流不低于16A，总输入电流容量不低于32A。</w:t>
            </w:r>
          </w:p>
          <w:p w14:paraId="2A243F0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4.中控接口：有RS232与RS485两种方式。</w:t>
            </w:r>
          </w:p>
          <w:p w14:paraId="645CB6D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5.控制软件：具有电脑软件，实现显示控制方式。</w:t>
            </w:r>
          </w:p>
          <w:p w14:paraId="20C2EA0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6.通过线控接口，可外接开关对设备进行操作时序的开和关。</w:t>
            </w:r>
          </w:p>
          <w:p w14:paraId="034848F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7.通道延时：每个通道延时可设置0-999秒延时。</w:t>
            </w:r>
          </w:p>
          <w:p w14:paraId="3EBCD4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8.通道互锁功能：可控制投影机电动幕，升降架，电动窗帘等。</w:t>
            </w:r>
          </w:p>
        </w:tc>
        <w:tc>
          <w:tcPr>
            <w:tcW w:w="2077" w:type="dxa"/>
            <w:shd w:val="clear" w:color="auto" w:fill="auto"/>
            <w:vAlign w:val="center"/>
          </w:tcPr>
          <w:p w14:paraId="5CD4D13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BB6EAB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B2E544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592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DC35185">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55</w:t>
            </w:r>
          </w:p>
        </w:tc>
        <w:tc>
          <w:tcPr>
            <w:tcW w:w="1789" w:type="dxa"/>
            <w:vAlign w:val="center"/>
          </w:tcPr>
          <w:p w14:paraId="1CCDE26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设备机柜</w:t>
            </w:r>
          </w:p>
        </w:tc>
        <w:tc>
          <w:tcPr>
            <w:tcW w:w="8255" w:type="dxa"/>
            <w:vAlign w:val="center"/>
          </w:tcPr>
          <w:p w14:paraId="7F39D9F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颜色：黑色。容量：不小于600mm*600mm*22U。前门玻璃后门钢，标柜三块托板，一组风扇，一个8位10A PDU电源。板材厚度不小于0.8mm。</w:t>
            </w:r>
          </w:p>
        </w:tc>
        <w:tc>
          <w:tcPr>
            <w:tcW w:w="2077" w:type="dxa"/>
            <w:vAlign w:val="center"/>
          </w:tcPr>
          <w:p w14:paraId="42030F4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TOTEN图腾/RITTAL威图/SHIP一舟</w:t>
            </w:r>
          </w:p>
        </w:tc>
        <w:tc>
          <w:tcPr>
            <w:tcW w:w="660" w:type="dxa"/>
            <w:vAlign w:val="center"/>
          </w:tcPr>
          <w:p w14:paraId="55407AC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671147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187C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7E5F8BA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五、投影显示系统</w:t>
            </w:r>
          </w:p>
        </w:tc>
      </w:tr>
      <w:tr w14:paraId="5B8D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9FC82BC">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56</w:t>
            </w:r>
          </w:p>
        </w:tc>
        <w:tc>
          <w:tcPr>
            <w:tcW w:w="1789" w:type="dxa"/>
            <w:vAlign w:val="center"/>
          </w:tcPr>
          <w:p w14:paraId="18AD74A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高清投影机</w:t>
            </w:r>
          </w:p>
        </w:tc>
        <w:tc>
          <w:tcPr>
            <w:tcW w:w="8255" w:type="dxa"/>
            <w:vAlign w:val="center"/>
          </w:tcPr>
          <w:p w14:paraId="2AB3848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1.亮度：不低于6300流明。</w:t>
            </w:r>
          </w:p>
          <w:p w14:paraId="19F8A16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2.显示分辨率：不低于1920*1200。</w:t>
            </w:r>
          </w:p>
          <w:p w14:paraId="462FD42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3.光源类型：激光光源。DLP技术。</w:t>
            </w:r>
          </w:p>
          <w:p w14:paraId="326C94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4.动态对比度：≥3,000,000：1。</w:t>
            </w:r>
          </w:p>
          <w:p w14:paraId="5207E9B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5.色域：REC.709。均匀度≥90%。</w:t>
            </w:r>
          </w:p>
          <w:p w14:paraId="72EDA02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6.投射比不小于1.23-1.97：1。</w:t>
            </w:r>
          </w:p>
        </w:tc>
        <w:tc>
          <w:tcPr>
            <w:tcW w:w="2077" w:type="dxa"/>
            <w:vAlign w:val="center"/>
          </w:tcPr>
          <w:p w14:paraId="7378EA8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EPSON/索尼/松下</w:t>
            </w:r>
          </w:p>
        </w:tc>
        <w:tc>
          <w:tcPr>
            <w:tcW w:w="660" w:type="dxa"/>
            <w:vAlign w:val="center"/>
          </w:tcPr>
          <w:p w14:paraId="15516FE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1CE36D0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1CF4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E1628CF">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57</w:t>
            </w:r>
          </w:p>
        </w:tc>
        <w:tc>
          <w:tcPr>
            <w:tcW w:w="1789" w:type="dxa"/>
            <w:vAlign w:val="center"/>
          </w:tcPr>
          <w:p w14:paraId="40F6C3A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专业电动幕布</w:t>
            </w:r>
          </w:p>
        </w:tc>
        <w:tc>
          <w:tcPr>
            <w:tcW w:w="8255" w:type="dxa"/>
            <w:vAlign w:val="center"/>
          </w:tcPr>
          <w:p w14:paraId="6194DBA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120英寸电动投影幕16：9。</w:t>
            </w:r>
          </w:p>
        </w:tc>
        <w:tc>
          <w:tcPr>
            <w:tcW w:w="2077" w:type="dxa"/>
            <w:vAlign w:val="center"/>
          </w:tcPr>
          <w:p w14:paraId="56B2096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红叶/白雪/美视</w:t>
            </w:r>
          </w:p>
        </w:tc>
        <w:tc>
          <w:tcPr>
            <w:tcW w:w="660" w:type="dxa"/>
            <w:vAlign w:val="center"/>
          </w:tcPr>
          <w:p w14:paraId="182D360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C70B1A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BF1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C94AC76">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58</w:t>
            </w:r>
          </w:p>
        </w:tc>
        <w:tc>
          <w:tcPr>
            <w:tcW w:w="1789" w:type="dxa"/>
            <w:vAlign w:val="center"/>
          </w:tcPr>
          <w:p w14:paraId="20AEDF0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高清无线投屏器</w:t>
            </w:r>
          </w:p>
        </w:tc>
        <w:tc>
          <w:tcPr>
            <w:tcW w:w="8255" w:type="dxa"/>
            <w:vAlign w:val="center"/>
          </w:tcPr>
          <w:p w14:paraId="72C88E7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1.嵌入式硬件架构，内置Linux操作系统（非安卓系统）。支持纯软件、手机无线投屏。</w:t>
            </w:r>
          </w:p>
          <w:p w14:paraId="483C94F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2.支持强制适应显示端特殊显示比例（非自适应常规显示比例），支持投屏过程中改变分辨率和显示比例无需重启设备。</w:t>
            </w:r>
          </w:p>
          <w:p w14:paraId="34F907E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3.无线传输频段：2.4GHz或5GHz。</w:t>
            </w:r>
          </w:p>
          <w:p w14:paraId="75FD5CA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4.屏幕旋转：可实现横竖屏转换显示</w:t>
            </w:r>
          </w:p>
          <w:p w14:paraId="406B514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5.支持同一网段下自动搜索多台接收端设备并投屏，支持画面锁定功能。</w:t>
            </w:r>
          </w:p>
          <w:p w14:paraId="5FB4795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6.音频输出：立体声、通过HDMI内嵌音频和3.5mm模拟线路音频输出</w:t>
            </w:r>
          </w:p>
        </w:tc>
        <w:tc>
          <w:tcPr>
            <w:tcW w:w="2077" w:type="dxa"/>
            <w:shd w:val="clear" w:color="auto" w:fill="auto"/>
            <w:vAlign w:val="center"/>
          </w:tcPr>
          <w:p w14:paraId="49A5F7E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EPSON/索尼/松下</w:t>
            </w:r>
          </w:p>
        </w:tc>
        <w:tc>
          <w:tcPr>
            <w:tcW w:w="660" w:type="dxa"/>
            <w:shd w:val="clear" w:color="auto" w:fill="auto"/>
            <w:vAlign w:val="center"/>
          </w:tcPr>
          <w:p w14:paraId="1D71C241">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C8248A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597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9D12C8A">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59</w:t>
            </w:r>
          </w:p>
        </w:tc>
        <w:tc>
          <w:tcPr>
            <w:tcW w:w="1789" w:type="dxa"/>
            <w:vAlign w:val="center"/>
          </w:tcPr>
          <w:p w14:paraId="541D491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投影机吊架</w:t>
            </w:r>
          </w:p>
        </w:tc>
        <w:tc>
          <w:tcPr>
            <w:tcW w:w="8255" w:type="dxa"/>
            <w:vAlign w:val="center"/>
          </w:tcPr>
          <w:p w14:paraId="171BCEF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固定吊架，定制。</w:t>
            </w:r>
          </w:p>
        </w:tc>
        <w:tc>
          <w:tcPr>
            <w:tcW w:w="2077" w:type="dxa"/>
            <w:shd w:val="clear" w:color="auto" w:fill="auto"/>
            <w:vAlign w:val="center"/>
          </w:tcPr>
          <w:p w14:paraId="1C18632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EPSON/索尼/松下</w:t>
            </w:r>
          </w:p>
        </w:tc>
        <w:tc>
          <w:tcPr>
            <w:tcW w:w="660" w:type="dxa"/>
            <w:shd w:val="clear" w:color="auto" w:fill="auto"/>
            <w:vAlign w:val="center"/>
          </w:tcPr>
          <w:p w14:paraId="7D54E2D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shd w:val="clear" w:color="auto" w:fill="auto"/>
            <w:vAlign w:val="center"/>
          </w:tcPr>
          <w:p w14:paraId="3E34C0F3">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w:t>
            </w:r>
          </w:p>
        </w:tc>
      </w:tr>
      <w:tr w14:paraId="6AC9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7A5D31C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六、培训室(约102m²)音响扩声系统</w:t>
            </w:r>
          </w:p>
        </w:tc>
      </w:tr>
      <w:tr w14:paraId="3D84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78A485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60</w:t>
            </w:r>
          </w:p>
        </w:tc>
        <w:tc>
          <w:tcPr>
            <w:tcW w:w="1789" w:type="dxa"/>
            <w:vAlign w:val="center"/>
          </w:tcPr>
          <w:p w14:paraId="4200A28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数字调音台</w:t>
            </w:r>
          </w:p>
        </w:tc>
        <w:tc>
          <w:tcPr>
            <w:tcW w:w="8255" w:type="dxa"/>
            <w:vAlign w:val="center"/>
          </w:tcPr>
          <w:p w14:paraId="7577B04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1.≥12路输入，≥8路Mic/Line，1组立体声，1组USB立体声（U盘播音.蓝牙或PC声卡播放）。</w:t>
            </w:r>
          </w:p>
          <w:p w14:paraId="750431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2.≥10路输出，1组L/ R立体声主输出，4路AUX，1组USB立体声录音或PC声卡录音，1组立体声监听。</w:t>
            </w:r>
          </w:p>
          <w:p w14:paraId="1674CE5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3.高级DSP数字信号处理器40bit运算，24bit/48KHz高性能ADC/DAC。</w:t>
            </w:r>
          </w:p>
          <w:p w14:paraId="272DF0E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4.Mic/Line输入通道配置：48V幻象电源.极性切换、噪声门、四段参量频率均衡、高通滤波器、低通滤波器。</w:t>
            </w:r>
          </w:p>
          <w:p w14:paraId="411514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5.输出通道配置：延时器、不少于四段参量频率均衡、高通滤波器、低通滤波器、压限器。</w:t>
            </w:r>
          </w:p>
          <w:p w14:paraId="732FE06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6.专业效果类型≥5种、独立的场景预设≥6个。</w:t>
            </w:r>
          </w:p>
          <w:p w14:paraId="111D60F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7.≥4.3"TFT液晶电容触摸屏。</w:t>
            </w:r>
          </w:p>
          <w:p w14:paraId="464558C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8.≥6个100mm智能伺服电动推子。</w:t>
            </w:r>
          </w:p>
          <w:p w14:paraId="36E0663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9.具有PC声卡，支持播放和录音同步进行。</w:t>
            </w:r>
          </w:p>
          <w:p w14:paraId="096FD6F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10.具有啸叫抑制功能AFHS，具备动态抑制和陷波抑制，可单独控制。</w:t>
            </w:r>
          </w:p>
          <w:p w14:paraId="1ACE99F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11.自带提供无线WiFi热点，IOS苹果iPad或安卓平板电脑可无线连接进行远程遥控操作。具有RJ-45网口或RS-485口接受中控设备的遥控指令。</w:t>
            </w:r>
          </w:p>
          <w:p w14:paraId="22F2BFB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12.总谐波失真：≤0.01%。</w:t>
            </w:r>
          </w:p>
          <w:p w14:paraId="00440F3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13.频率响应：20Hz～20kHz或优于。</w:t>
            </w:r>
          </w:p>
          <w:p w14:paraId="342A749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14.信噪比：≥104dB。</w:t>
            </w:r>
          </w:p>
        </w:tc>
        <w:tc>
          <w:tcPr>
            <w:tcW w:w="2077" w:type="dxa"/>
            <w:shd w:val="clear" w:color="auto" w:fill="auto"/>
            <w:vAlign w:val="center"/>
          </w:tcPr>
          <w:p w14:paraId="33D7E51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58BA7FC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37974F6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5040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7A11C7C">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61</w:t>
            </w:r>
          </w:p>
        </w:tc>
        <w:tc>
          <w:tcPr>
            <w:tcW w:w="1789" w:type="dxa"/>
            <w:vAlign w:val="center"/>
          </w:tcPr>
          <w:p w14:paraId="3C5FD55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吸顶音箱</w:t>
            </w:r>
          </w:p>
        </w:tc>
        <w:tc>
          <w:tcPr>
            <w:tcW w:w="8255" w:type="dxa"/>
            <w:vAlign w:val="center"/>
          </w:tcPr>
          <w:p w14:paraId="6585FFB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1.频响范围：105Hz～20kHz或优于。</w:t>
            </w:r>
          </w:p>
          <w:p w14:paraId="72D3654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2.灵敏度（1W/1m）：≥90dB。</w:t>
            </w:r>
          </w:p>
          <w:p w14:paraId="7C11ED7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3.额定功率（AES）：≥80W/8Ω。</w:t>
            </w:r>
          </w:p>
          <w:p w14:paraId="4234F6C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4.低音单元口径≥8寸。高音≥20mm号角高音。</w:t>
            </w:r>
          </w:p>
          <w:p w14:paraId="42576D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5.连续最大声压级≥109分贝，峰值最大声压级≥115分贝。</w:t>
            </w:r>
          </w:p>
        </w:tc>
        <w:tc>
          <w:tcPr>
            <w:tcW w:w="2077" w:type="dxa"/>
            <w:shd w:val="clear" w:color="auto" w:fill="auto"/>
            <w:vAlign w:val="center"/>
          </w:tcPr>
          <w:p w14:paraId="1058E40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0473BE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7E0570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w:t>
            </w:r>
          </w:p>
        </w:tc>
      </w:tr>
      <w:tr w14:paraId="18C3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F80DD53">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62</w:t>
            </w:r>
          </w:p>
        </w:tc>
        <w:tc>
          <w:tcPr>
            <w:tcW w:w="1789" w:type="dxa"/>
            <w:vAlign w:val="center"/>
          </w:tcPr>
          <w:p w14:paraId="17A775B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音频功率放大器</w:t>
            </w:r>
          </w:p>
        </w:tc>
        <w:tc>
          <w:tcPr>
            <w:tcW w:w="8255" w:type="dxa"/>
            <w:vAlign w:val="center"/>
          </w:tcPr>
          <w:p w14:paraId="3C4CB5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1.8Ω立体声功率≥350W×2，4Ω立体声功率≥480W×2，8Ω桥接功率≥960W×1。</w:t>
            </w:r>
          </w:p>
          <w:p w14:paraId="799B94C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2.频率范围：20Hz～20kHz或优于。</w:t>
            </w:r>
          </w:p>
          <w:p w14:paraId="6C97DDB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3.总谐波失真：≤0.1%。</w:t>
            </w:r>
          </w:p>
          <w:p w14:paraId="7576024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4.信噪比：≥100dB。</w:t>
            </w:r>
          </w:p>
          <w:p w14:paraId="1A2E6C7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5.阻尼系数：≥150。</w:t>
            </w:r>
          </w:p>
        </w:tc>
        <w:tc>
          <w:tcPr>
            <w:tcW w:w="2077" w:type="dxa"/>
            <w:shd w:val="clear" w:color="auto" w:fill="auto"/>
            <w:vAlign w:val="center"/>
          </w:tcPr>
          <w:p w14:paraId="78F3EF0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226833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14056B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6838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0464655">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63</w:t>
            </w:r>
          </w:p>
        </w:tc>
        <w:tc>
          <w:tcPr>
            <w:tcW w:w="1789" w:type="dxa"/>
            <w:vAlign w:val="center"/>
          </w:tcPr>
          <w:p w14:paraId="179793D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音频处理器</w:t>
            </w:r>
          </w:p>
        </w:tc>
        <w:tc>
          <w:tcPr>
            <w:tcW w:w="8255" w:type="dxa"/>
            <w:vAlign w:val="center"/>
          </w:tcPr>
          <w:p w14:paraId="34C2654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1.输入/输出：≥2路平衡输入/4路平衡输出。</w:t>
            </w:r>
          </w:p>
          <w:p w14:paraId="14505EA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2.采样率：≥48kHz。</w:t>
            </w:r>
          </w:p>
          <w:p w14:paraId="6510B97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3.AD&amp;DA转换：≥24bit。</w:t>
            </w:r>
          </w:p>
          <w:p w14:paraId="0679F3E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4.频率响应：20Hz～20kHz或优于。</w:t>
            </w:r>
          </w:p>
          <w:p w14:paraId="0CDD73E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5.总谐波失真+噪声：≤0.05%。</w:t>
            </w:r>
          </w:p>
          <w:p w14:paraId="5AE3032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6.信噪比：＞92dB。</w:t>
            </w:r>
          </w:p>
          <w:p w14:paraId="185E851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7.参数均衡器：每路输入不少于11段均衡，每路输出不少于7段均衡。</w:t>
            </w:r>
          </w:p>
          <w:p w14:paraId="7FA08C3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8.信号发生器：可选“粉红噪声”、“白噪声”测试信号。</w:t>
            </w:r>
          </w:p>
          <w:p w14:paraId="2D96884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9.控制接口：≥1个RS485控制接口，≥1个USB接口。</w:t>
            </w:r>
          </w:p>
        </w:tc>
        <w:tc>
          <w:tcPr>
            <w:tcW w:w="2077" w:type="dxa"/>
            <w:shd w:val="clear" w:color="auto" w:fill="auto"/>
            <w:vAlign w:val="center"/>
          </w:tcPr>
          <w:p w14:paraId="0C14D32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424F2B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5B71EE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18C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51A980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64</w:t>
            </w:r>
          </w:p>
        </w:tc>
        <w:tc>
          <w:tcPr>
            <w:tcW w:w="1789" w:type="dxa"/>
            <w:vAlign w:val="center"/>
          </w:tcPr>
          <w:p w14:paraId="7F91C15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智能音频反馈抑制器</w:t>
            </w:r>
          </w:p>
        </w:tc>
        <w:tc>
          <w:tcPr>
            <w:tcW w:w="8255" w:type="dxa"/>
            <w:vAlign w:val="center"/>
          </w:tcPr>
          <w:p w14:paraId="617ABB6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1.配置≥2寸TFT彩屏。</w:t>
            </w:r>
          </w:p>
          <w:p w14:paraId="166DB15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2.支持一键开启自动检测功能。</w:t>
            </w:r>
          </w:p>
          <w:p w14:paraId="4F4C110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3.≥24bit高性能A/D及D/A转换芯片。</w:t>
            </w:r>
          </w:p>
          <w:p w14:paraId="44A3F3B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4.≥4个输入通道，每通道带48V幻象电源独立控制开关。</w:t>
            </w:r>
          </w:p>
          <w:p w14:paraId="78072B3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5.输入通道：≥4路平衡输入XLR和4路非平衡输入TRS，1路RCA接口。</w:t>
            </w:r>
          </w:p>
          <w:p w14:paraId="3A675EA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6.输出通道：≥2路平衡输出XLR，1路RCA。</w:t>
            </w:r>
          </w:p>
          <w:p w14:paraId="26BA3A7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7.一键切换啸叫抑制功能打开或关闭。</w:t>
            </w:r>
          </w:p>
          <w:p w14:paraId="455E5D3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8.频率响应：20Hz～20KHz或优于。</w:t>
            </w:r>
          </w:p>
          <w:p w14:paraId="534D0AA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9.总谐波失真：≤0.017%。</w:t>
            </w:r>
          </w:p>
          <w:p w14:paraId="64566D1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10.信噪比&gt;106dB。</w:t>
            </w:r>
          </w:p>
        </w:tc>
        <w:tc>
          <w:tcPr>
            <w:tcW w:w="2077" w:type="dxa"/>
            <w:shd w:val="clear" w:color="auto" w:fill="auto"/>
            <w:vAlign w:val="center"/>
          </w:tcPr>
          <w:p w14:paraId="418B0DD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454336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1792429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CA6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74D965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65</w:t>
            </w:r>
          </w:p>
        </w:tc>
        <w:tc>
          <w:tcPr>
            <w:tcW w:w="1789" w:type="dxa"/>
            <w:vAlign w:val="center"/>
          </w:tcPr>
          <w:p w14:paraId="485FFCD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无线手持话筒（一拖二）</w:t>
            </w:r>
          </w:p>
        </w:tc>
        <w:tc>
          <w:tcPr>
            <w:tcW w:w="8255" w:type="dxa"/>
            <w:vAlign w:val="center"/>
          </w:tcPr>
          <w:p w14:paraId="3B32D99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U段双手持双接收无线话筒(心型指向)。</w:t>
            </w:r>
          </w:p>
          <w:p w14:paraId="42FE4DB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0FF4D20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6F3AADA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07F4811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4E5B507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22F47D7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2E1FDED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5BD98F4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1D82D4B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9.系统失真/THD总谐波失真：＜5%@1kHz。</w:t>
            </w:r>
          </w:p>
          <w:p w14:paraId="14AAA31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10.信噪比：＞50dB。</w:t>
            </w:r>
          </w:p>
        </w:tc>
        <w:tc>
          <w:tcPr>
            <w:tcW w:w="2077" w:type="dxa"/>
            <w:shd w:val="clear" w:color="auto" w:fill="auto"/>
            <w:vAlign w:val="center"/>
          </w:tcPr>
          <w:p w14:paraId="5024B9D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DBF1A2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656D36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51EB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36E960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66</w:t>
            </w:r>
          </w:p>
        </w:tc>
        <w:tc>
          <w:tcPr>
            <w:tcW w:w="1789" w:type="dxa"/>
            <w:vAlign w:val="center"/>
          </w:tcPr>
          <w:p w14:paraId="4DBDA4A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无线鹅颈会议话筒</w:t>
            </w:r>
          </w:p>
        </w:tc>
        <w:tc>
          <w:tcPr>
            <w:tcW w:w="8255" w:type="dxa"/>
            <w:vAlign w:val="center"/>
          </w:tcPr>
          <w:p w14:paraId="7285A75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U段双手持双接收无线话筒(心型指向)。</w:t>
            </w:r>
          </w:p>
          <w:p w14:paraId="3A9438B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012B288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3A3E990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5320737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0292955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5E63901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6EB64F9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3A22D51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7E9660E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9.系统失真/THD总谐波失真：＜5%@1kHz。</w:t>
            </w:r>
          </w:p>
          <w:p w14:paraId="5E5F26B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10.信噪比：＞51dB。</w:t>
            </w:r>
          </w:p>
        </w:tc>
        <w:tc>
          <w:tcPr>
            <w:tcW w:w="2077" w:type="dxa"/>
            <w:shd w:val="clear" w:color="auto" w:fill="auto"/>
            <w:vAlign w:val="center"/>
          </w:tcPr>
          <w:p w14:paraId="589369F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04E55ED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019559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EA3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B1F90D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67</w:t>
            </w:r>
          </w:p>
        </w:tc>
        <w:tc>
          <w:tcPr>
            <w:tcW w:w="1789" w:type="dxa"/>
            <w:vAlign w:val="center"/>
          </w:tcPr>
          <w:p w14:paraId="738C005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电源时序器</w:t>
            </w:r>
          </w:p>
        </w:tc>
        <w:tc>
          <w:tcPr>
            <w:tcW w:w="8255" w:type="dxa"/>
            <w:vAlign w:val="center"/>
          </w:tcPr>
          <w:p w14:paraId="209338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1.不少于8路电源时序控制器（带数字电压显示表）。</w:t>
            </w:r>
          </w:p>
          <w:p w14:paraId="02EB267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2.电源插座：不少于8个16A万用插座，前面板不少于1个16A万用插座。</w:t>
            </w:r>
          </w:p>
          <w:p w14:paraId="77F3D8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3.单通道的最大电流不低于16A，总输入电流容量不低于32A。</w:t>
            </w:r>
          </w:p>
          <w:p w14:paraId="4579BB2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4.中控接口：有RS232与RS485两种方式。</w:t>
            </w:r>
          </w:p>
          <w:p w14:paraId="15C25D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5.控制软件：具有电脑软件，实现显示控制方式。</w:t>
            </w:r>
          </w:p>
          <w:p w14:paraId="4EE8E86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6.通过线控接口，可外接开关对设备进行操作时序的开和关。</w:t>
            </w:r>
          </w:p>
          <w:p w14:paraId="7FF4E3D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7.通道延时：每个通道延时可设置0-999秒延时。</w:t>
            </w:r>
          </w:p>
          <w:p w14:paraId="76AE5B5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8.通道互锁功能：可控制投影机电动幕，升降架，电动窗帘等。</w:t>
            </w:r>
          </w:p>
        </w:tc>
        <w:tc>
          <w:tcPr>
            <w:tcW w:w="2077" w:type="dxa"/>
            <w:shd w:val="clear" w:color="auto" w:fill="auto"/>
            <w:vAlign w:val="center"/>
          </w:tcPr>
          <w:p w14:paraId="5286C1B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BEA013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78D69E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343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96E394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68</w:t>
            </w:r>
          </w:p>
        </w:tc>
        <w:tc>
          <w:tcPr>
            <w:tcW w:w="1789" w:type="dxa"/>
            <w:vAlign w:val="center"/>
          </w:tcPr>
          <w:p w14:paraId="39B375B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设备机柜</w:t>
            </w:r>
          </w:p>
        </w:tc>
        <w:tc>
          <w:tcPr>
            <w:tcW w:w="8255" w:type="dxa"/>
            <w:vAlign w:val="center"/>
          </w:tcPr>
          <w:p w14:paraId="69D64CD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颜色：黑色。容量：不小于600mm*600mm*18U。前门玻璃后门钢，标柜三块托板，一组风扇，一个8位10A PDU电源。板材厚度不小于0.8mm。</w:t>
            </w:r>
          </w:p>
        </w:tc>
        <w:tc>
          <w:tcPr>
            <w:tcW w:w="2077" w:type="dxa"/>
            <w:vAlign w:val="center"/>
          </w:tcPr>
          <w:p w14:paraId="6AE6AFF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TOTEN图腾/RITTAL威图/SHIP一舟</w:t>
            </w:r>
          </w:p>
        </w:tc>
        <w:tc>
          <w:tcPr>
            <w:tcW w:w="660" w:type="dxa"/>
            <w:vAlign w:val="center"/>
          </w:tcPr>
          <w:p w14:paraId="3305A8A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B8CFB4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D5E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6F3BB4A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七、培训室(约102m²)视频显示系统</w:t>
            </w:r>
          </w:p>
        </w:tc>
      </w:tr>
      <w:tr w14:paraId="7FAA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D96FFF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69</w:t>
            </w:r>
          </w:p>
        </w:tc>
        <w:tc>
          <w:tcPr>
            <w:tcW w:w="1789" w:type="dxa"/>
            <w:vAlign w:val="center"/>
          </w:tcPr>
          <w:p w14:paraId="37A86F3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无线传屏</w:t>
            </w:r>
          </w:p>
        </w:tc>
        <w:tc>
          <w:tcPr>
            <w:tcW w:w="8255" w:type="dxa"/>
            <w:vAlign w:val="center"/>
          </w:tcPr>
          <w:p w14:paraId="745DFA9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配置安装：免配置，免安装。接口：USB。支持系统类型：Windows7/8/10/11。</w:t>
            </w:r>
          </w:p>
        </w:tc>
        <w:tc>
          <w:tcPr>
            <w:tcW w:w="2077" w:type="dxa"/>
            <w:vAlign w:val="center"/>
          </w:tcPr>
          <w:p w14:paraId="1660210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51B3417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9F25A7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72E4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D3F7ED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70</w:t>
            </w:r>
          </w:p>
        </w:tc>
        <w:tc>
          <w:tcPr>
            <w:tcW w:w="1789" w:type="dxa"/>
            <w:vAlign w:val="center"/>
          </w:tcPr>
          <w:p w14:paraId="449FD51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高清混合矩阵主机</w:t>
            </w:r>
          </w:p>
        </w:tc>
        <w:tc>
          <w:tcPr>
            <w:tcW w:w="8255" w:type="dxa"/>
            <w:vAlign w:val="center"/>
          </w:tcPr>
          <w:p w14:paraId="7BA23C0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1.不少于12路平衡式话筒\线路输入，12路平衡式音频输出。</w:t>
            </w:r>
          </w:p>
          <w:p w14:paraId="6A1CE0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2.内置USB声卡，连接电脑可实现音频信号的传输，支持录播和远程会议。</w:t>
            </w:r>
          </w:p>
          <w:p w14:paraId="079E15B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3.支持AFC(反馈抑制) AEC回声消除、ANS(噪声抑制)、AGC(自动増益)、自动混音等处理模块。</w:t>
            </w:r>
          </w:p>
          <w:p w14:paraId="511E195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4.每通道拥有独立的自适应反馈抑制，自动发现反馈点，并自动抑制。</w:t>
            </w:r>
          </w:p>
          <w:p w14:paraId="7DE16C4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5.处理器芯片采用ADI架构，不低于40bit DSP浮点运算引擎，提供自由配制软件架构。</w:t>
            </w:r>
          </w:p>
          <w:p w14:paraId="62F6CC0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6.不少于4个HDMI输入和4个HDMI输出。</w:t>
            </w:r>
          </w:p>
          <w:p w14:paraId="0150B97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7.兼容HDMI2.0、HDCP2.2、HDCP1.4和DVI1.0。</w:t>
            </w:r>
          </w:p>
          <w:p w14:paraId="1B83B77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8.视频分辨率达到4K2K@60Hz YCbCr 4:4:4 。</w:t>
            </w:r>
          </w:p>
          <w:p w14:paraId="1946751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9.智能EDID管理，包括AUTO、COPY和STD、ARC功能。</w:t>
            </w:r>
          </w:p>
          <w:p w14:paraId="74A3F1A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10.不少于4路RS-232，4路RS-485可独立设置波特率。</w:t>
            </w:r>
          </w:p>
          <w:p w14:paraId="55E9C6E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11.提供音视频频终端用户作界面，实现多台设备集中控制，可通过本机的RS232、RS485控制接口能控制不同波特率的投影、幕布、灯光、窗帘、电源时序器等第三方设备。</w:t>
            </w:r>
          </w:p>
          <w:p w14:paraId="1EA284C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12.四通道功放，300W，600W的功放模组可选，最大功率不超过1800W。</w:t>
            </w:r>
          </w:p>
          <w:p w14:paraId="60BB5B2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13.前面板带支持高清触摸显示屏，可对视频、中控、音频等功能模块控制管理，具备信号状态的实时监测。</w:t>
            </w:r>
          </w:p>
          <w:p w14:paraId="507B5C4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14.多种控制方式，可通过网页、手机、平板、按键面板、触摸面板等方式管理。</w:t>
            </w:r>
          </w:p>
        </w:tc>
        <w:tc>
          <w:tcPr>
            <w:tcW w:w="2077" w:type="dxa"/>
            <w:vAlign w:val="center"/>
          </w:tcPr>
          <w:p w14:paraId="4AAFDCA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avtronsys艾维创/AVCiT魅视/zenwin哲闻</w:t>
            </w:r>
          </w:p>
        </w:tc>
        <w:tc>
          <w:tcPr>
            <w:tcW w:w="660" w:type="dxa"/>
            <w:vAlign w:val="center"/>
          </w:tcPr>
          <w:p w14:paraId="2259C7D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BF57BF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D7B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5CEA2F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71</w:t>
            </w:r>
          </w:p>
        </w:tc>
        <w:tc>
          <w:tcPr>
            <w:tcW w:w="1789" w:type="dxa"/>
            <w:vAlign w:val="center"/>
          </w:tcPr>
          <w:p w14:paraId="5A85768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墙面控制面板</w:t>
            </w:r>
          </w:p>
        </w:tc>
        <w:tc>
          <w:tcPr>
            <w:tcW w:w="8255" w:type="dxa"/>
            <w:vAlign w:val="center"/>
          </w:tcPr>
          <w:p w14:paraId="0725366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1.不小于4.0寸触控面板。</w:t>
            </w:r>
          </w:p>
          <w:p w14:paraId="65E10F1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2.分辨率不低于480*480。</w:t>
            </w:r>
          </w:p>
          <w:p w14:paraId="1F5690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3.安装方向支持0、90、180、和270度旋转安装显示。</w:t>
            </w:r>
          </w:p>
        </w:tc>
        <w:tc>
          <w:tcPr>
            <w:tcW w:w="2077" w:type="dxa"/>
            <w:vAlign w:val="center"/>
          </w:tcPr>
          <w:p w14:paraId="6A756C8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avtronsys艾维创/AVCiT魅视/zenwin哲闻</w:t>
            </w:r>
          </w:p>
        </w:tc>
        <w:tc>
          <w:tcPr>
            <w:tcW w:w="660" w:type="dxa"/>
            <w:vAlign w:val="center"/>
          </w:tcPr>
          <w:p w14:paraId="643A0C3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484309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4B3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30A4418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八、排练厅(约308m²)音响扩声系统</w:t>
            </w:r>
          </w:p>
        </w:tc>
      </w:tr>
      <w:tr w14:paraId="7442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D101CE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72</w:t>
            </w:r>
          </w:p>
        </w:tc>
        <w:tc>
          <w:tcPr>
            <w:tcW w:w="1789" w:type="dxa"/>
            <w:vAlign w:val="center"/>
          </w:tcPr>
          <w:p w14:paraId="0071D3D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数字调音台</w:t>
            </w:r>
          </w:p>
        </w:tc>
        <w:tc>
          <w:tcPr>
            <w:tcW w:w="8255" w:type="dxa"/>
            <w:vAlign w:val="center"/>
          </w:tcPr>
          <w:p w14:paraId="1D2F394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1.≥12路输入，≥8路Mic/Line，1组立体声，1组USB立体声（U盘播音.蓝牙或PC声卡播放）。</w:t>
            </w:r>
          </w:p>
          <w:p w14:paraId="0C00A6C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2.≥10路输出，1组L/R立体声主输出，4路AUX，1组USB立体声录音或PC声卡录音，1组立体声监听。</w:t>
            </w:r>
          </w:p>
          <w:p w14:paraId="2E32CFC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3.高级DSP数字信号处理器40bit运算，24bit/48KHz高性能ADC/DAC。</w:t>
            </w:r>
          </w:p>
          <w:p w14:paraId="48FBD00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4.Mic/Line输入通道配置：48V幻象电源，极性切换、噪声门、四段参量频率均衡、高通滤波器、低通滤波器。</w:t>
            </w:r>
          </w:p>
          <w:p w14:paraId="4C132C9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5.输出通道配置：延时器、不少于四段参量频率均衡、高通滤波器、低通滤波器、压限器。</w:t>
            </w:r>
          </w:p>
          <w:p w14:paraId="58C1681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6.专业效果类型≥5种、独立的场景预设≥6个。</w:t>
            </w:r>
          </w:p>
          <w:p w14:paraId="295870B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7.≥4.3"TFT液晶电容触摸屏。</w:t>
            </w:r>
          </w:p>
          <w:p w14:paraId="2AF48DB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8.≥6个100mm智能伺服电动推子。</w:t>
            </w:r>
          </w:p>
          <w:p w14:paraId="74C9DE8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9.具有PC声卡，支持播放和录音同步进行。</w:t>
            </w:r>
          </w:p>
          <w:p w14:paraId="6502AE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10.具有啸叫抑制功能AFHS，具备动态抑制和陷波抑制，可单独控制。</w:t>
            </w:r>
          </w:p>
          <w:p w14:paraId="3C744FE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11.自带提供无线WiFi热点，IOS苹果iPad或安卓平板电脑可无线连接进行远程遥控操作。具有RJ-45网口或RS-485口接受中控设备的遥控指令。</w:t>
            </w:r>
          </w:p>
          <w:p w14:paraId="76180C9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12.总谐波失真：≤0.01%。</w:t>
            </w:r>
          </w:p>
          <w:p w14:paraId="7DE0E2D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13.频率响应：20Hz～20kHz或优于。</w:t>
            </w:r>
          </w:p>
          <w:p w14:paraId="4B94140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14.信噪比：≥104dB。</w:t>
            </w:r>
          </w:p>
        </w:tc>
        <w:tc>
          <w:tcPr>
            <w:tcW w:w="2077" w:type="dxa"/>
            <w:vAlign w:val="center"/>
          </w:tcPr>
          <w:p w14:paraId="57BA8F0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vAlign w:val="center"/>
          </w:tcPr>
          <w:p w14:paraId="1C49583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42FA7D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095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D463EB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73</w:t>
            </w:r>
          </w:p>
        </w:tc>
        <w:tc>
          <w:tcPr>
            <w:tcW w:w="1789" w:type="dxa"/>
            <w:vAlign w:val="center"/>
          </w:tcPr>
          <w:p w14:paraId="03459A7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全频音箱</w:t>
            </w:r>
          </w:p>
        </w:tc>
        <w:tc>
          <w:tcPr>
            <w:tcW w:w="8255" w:type="dxa"/>
            <w:vAlign w:val="center"/>
          </w:tcPr>
          <w:p w14:paraId="74AD9F7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1.频响范围：60Hz～19kHz（±3dB）或优于。</w:t>
            </w:r>
          </w:p>
          <w:p w14:paraId="5C1D0C1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2.灵敏度：≥98dB。</w:t>
            </w:r>
          </w:p>
          <w:p w14:paraId="01CFA9F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3.最大声压级：≥133dB。</w:t>
            </w:r>
          </w:p>
          <w:p w14:paraId="426C760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4.指向角度(H×V)：不小于90°×60°（可旋转号筒）。</w:t>
            </w:r>
          </w:p>
          <w:p w14:paraId="1D4BF8D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5.额定功率：≥450W/8Ω。</w:t>
            </w:r>
          </w:p>
          <w:p w14:paraId="1A1D293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6.低音单元：≥12寸铁磁低音。高音单元：≥1.75寸钕磁高音。</w:t>
            </w:r>
          </w:p>
        </w:tc>
        <w:tc>
          <w:tcPr>
            <w:tcW w:w="2077" w:type="dxa"/>
            <w:shd w:val="clear" w:color="auto" w:fill="auto"/>
            <w:vAlign w:val="center"/>
          </w:tcPr>
          <w:p w14:paraId="0138F26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5973D0F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2036DD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37EF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3A43F2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74</w:t>
            </w:r>
          </w:p>
        </w:tc>
        <w:tc>
          <w:tcPr>
            <w:tcW w:w="1789" w:type="dxa"/>
            <w:vAlign w:val="center"/>
          </w:tcPr>
          <w:p w14:paraId="7CE20B1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音频功率放大器</w:t>
            </w:r>
          </w:p>
        </w:tc>
        <w:tc>
          <w:tcPr>
            <w:tcW w:w="8255" w:type="dxa"/>
            <w:vAlign w:val="center"/>
          </w:tcPr>
          <w:p w14:paraId="7FF8B39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1.8Ω立体声功率≥750W×2。4Ω立体声功率≥1050W×2。8Ω桥接功率≥2100W×1。</w:t>
            </w:r>
          </w:p>
          <w:p w14:paraId="18ED2D3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2.频率范围：20Hz～20kHz或优于。</w:t>
            </w:r>
          </w:p>
          <w:p w14:paraId="59E9BBF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3.总谐波失真：≤0.1%。</w:t>
            </w:r>
          </w:p>
          <w:p w14:paraId="05F5996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4.信噪比：≥100dB。</w:t>
            </w:r>
          </w:p>
          <w:p w14:paraId="7E0CEE6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5.阻尼系数：≥200：1。</w:t>
            </w:r>
          </w:p>
        </w:tc>
        <w:tc>
          <w:tcPr>
            <w:tcW w:w="2077" w:type="dxa"/>
            <w:shd w:val="clear" w:color="auto" w:fill="auto"/>
            <w:vAlign w:val="center"/>
          </w:tcPr>
          <w:p w14:paraId="073D3A4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017242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E84389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5740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011402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75</w:t>
            </w:r>
          </w:p>
        </w:tc>
        <w:tc>
          <w:tcPr>
            <w:tcW w:w="1789" w:type="dxa"/>
            <w:vAlign w:val="center"/>
          </w:tcPr>
          <w:p w14:paraId="58C0848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音频处理器</w:t>
            </w:r>
          </w:p>
        </w:tc>
        <w:tc>
          <w:tcPr>
            <w:tcW w:w="8255" w:type="dxa"/>
            <w:vAlign w:val="center"/>
          </w:tcPr>
          <w:p w14:paraId="77D989E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1.输入/输出：≥2路平衡输入/4路平衡输出。</w:t>
            </w:r>
          </w:p>
          <w:p w14:paraId="13C0C6D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2.采样率：≥48kHz。</w:t>
            </w:r>
          </w:p>
          <w:p w14:paraId="570911C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3.AD&amp;DA转换：≥24bit。</w:t>
            </w:r>
          </w:p>
          <w:p w14:paraId="5A7A15D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4.频率响应：20Hz～20kHz或优于。</w:t>
            </w:r>
          </w:p>
          <w:p w14:paraId="2579764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5.总谐波失真+噪声：≤0.05%。</w:t>
            </w:r>
          </w:p>
          <w:p w14:paraId="47681EA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6.信噪比：＞92dB。</w:t>
            </w:r>
          </w:p>
          <w:p w14:paraId="4644FF5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7.参数均衡器：每路输入不少于11段均衡，每路输出不少于7段均衡。</w:t>
            </w:r>
          </w:p>
          <w:p w14:paraId="6E48B4A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8.信号发生器：可选“粉红噪声”、“白噪声”测试信号。</w:t>
            </w:r>
          </w:p>
          <w:p w14:paraId="744B806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9.控制接口：≥1个RS485控制接口，≥1个USB接口。</w:t>
            </w:r>
          </w:p>
        </w:tc>
        <w:tc>
          <w:tcPr>
            <w:tcW w:w="2077" w:type="dxa"/>
            <w:shd w:val="clear" w:color="auto" w:fill="auto"/>
            <w:vAlign w:val="center"/>
          </w:tcPr>
          <w:p w14:paraId="41AC5A6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D9F61F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ECD517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20C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6206D3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76</w:t>
            </w:r>
          </w:p>
        </w:tc>
        <w:tc>
          <w:tcPr>
            <w:tcW w:w="1789" w:type="dxa"/>
            <w:vAlign w:val="center"/>
          </w:tcPr>
          <w:p w14:paraId="72482FA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无线手持话筒（一拖二）</w:t>
            </w:r>
          </w:p>
        </w:tc>
        <w:tc>
          <w:tcPr>
            <w:tcW w:w="8255" w:type="dxa"/>
            <w:vAlign w:val="center"/>
          </w:tcPr>
          <w:p w14:paraId="2541183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U段双手持双接收无线话筒(心型指向)。</w:t>
            </w:r>
          </w:p>
          <w:p w14:paraId="61EDD14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551C399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7047DB8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6FF70C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691EA66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0E96A26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7E5D61B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619C9D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0660CAD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9.系统总谐波失真：＜5@1KHz%。</w:t>
            </w:r>
          </w:p>
          <w:p w14:paraId="641D904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10.信噪比：＞50dB。</w:t>
            </w:r>
          </w:p>
        </w:tc>
        <w:tc>
          <w:tcPr>
            <w:tcW w:w="2077" w:type="dxa"/>
            <w:shd w:val="clear" w:color="auto" w:fill="auto"/>
            <w:vAlign w:val="center"/>
          </w:tcPr>
          <w:p w14:paraId="686DA94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5AF4528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8BA248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D05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E54043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77</w:t>
            </w:r>
          </w:p>
        </w:tc>
        <w:tc>
          <w:tcPr>
            <w:tcW w:w="1789" w:type="dxa"/>
            <w:vAlign w:val="center"/>
          </w:tcPr>
          <w:p w14:paraId="51D8A00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无线头戴话筒（一拖二）</w:t>
            </w:r>
          </w:p>
        </w:tc>
        <w:tc>
          <w:tcPr>
            <w:tcW w:w="8255" w:type="dxa"/>
            <w:vAlign w:val="center"/>
          </w:tcPr>
          <w:p w14:paraId="176E0A7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U段双头戴双接收无线话筒(心型指向)。</w:t>
            </w:r>
          </w:p>
          <w:p w14:paraId="56F9D3E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69276D3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7FBD333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18DC644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226B406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698485C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525312E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26A06B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7A13770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9.系统总谐波失真：＜5@1KHz%。</w:t>
            </w:r>
          </w:p>
          <w:p w14:paraId="7B13009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10.信噪比：＞50dB。</w:t>
            </w:r>
          </w:p>
        </w:tc>
        <w:tc>
          <w:tcPr>
            <w:tcW w:w="2077" w:type="dxa"/>
            <w:shd w:val="clear" w:color="auto" w:fill="auto"/>
            <w:vAlign w:val="center"/>
          </w:tcPr>
          <w:p w14:paraId="74E3DBE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53E4A69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01ADE0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15E2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0EBE2B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78</w:t>
            </w:r>
          </w:p>
        </w:tc>
        <w:tc>
          <w:tcPr>
            <w:tcW w:w="1789" w:type="dxa"/>
            <w:vAlign w:val="center"/>
          </w:tcPr>
          <w:p w14:paraId="42E0B07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DVD</w:t>
            </w:r>
          </w:p>
        </w:tc>
        <w:tc>
          <w:tcPr>
            <w:tcW w:w="8255" w:type="dxa"/>
            <w:vAlign w:val="center"/>
          </w:tcPr>
          <w:p w14:paraId="104ACAB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蓝光DVD。视频输出端口：复合视频，HDMI。功能：HDMI高清支持，USB接口支持，同轴接口，网络口支持。</w:t>
            </w:r>
          </w:p>
        </w:tc>
        <w:tc>
          <w:tcPr>
            <w:tcW w:w="2077" w:type="dxa"/>
            <w:vAlign w:val="center"/>
          </w:tcPr>
          <w:p w14:paraId="5D42429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08023E3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36C5F3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514A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A275E9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79</w:t>
            </w:r>
          </w:p>
        </w:tc>
        <w:tc>
          <w:tcPr>
            <w:tcW w:w="1789" w:type="dxa"/>
            <w:vAlign w:val="center"/>
          </w:tcPr>
          <w:p w14:paraId="68638A8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电源时序器</w:t>
            </w:r>
          </w:p>
        </w:tc>
        <w:tc>
          <w:tcPr>
            <w:tcW w:w="8255" w:type="dxa"/>
            <w:vAlign w:val="center"/>
          </w:tcPr>
          <w:p w14:paraId="6379EB5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1.不少于8路电源时序控制器（带数字电压显示表）。</w:t>
            </w:r>
          </w:p>
          <w:p w14:paraId="1B6E04F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2.电源插座：不少于8个16A万用插座，前面板不少于1个16A万用插座。</w:t>
            </w:r>
          </w:p>
          <w:p w14:paraId="459D95F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3.单通道的最大电流不低于16A，总输入电流容量不低于32A。</w:t>
            </w:r>
          </w:p>
          <w:p w14:paraId="4407BF6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4.中控接口：有RS232与RS485两种方式。</w:t>
            </w:r>
          </w:p>
          <w:p w14:paraId="78394D9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5.控制软件：具有电脑软件，实现显示控制方式。</w:t>
            </w:r>
          </w:p>
          <w:p w14:paraId="54467B8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6.通道延时：每个通道延时可设置0-999秒延时。</w:t>
            </w:r>
          </w:p>
          <w:p w14:paraId="2D16F75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7.通道互锁功能：可控制投影机电动幕，升降架，电动窗帘等。</w:t>
            </w:r>
          </w:p>
        </w:tc>
        <w:tc>
          <w:tcPr>
            <w:tcW w:w="2077" w:type="dxa"/>
            <w:shd w:val="clear" w:color="auto" w:fill="auto"/>
            <w:vAlign w:val="center"/>
          </w:tcPr>
          <w:p w14:paraId="5C53E02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047A29B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3BF1A78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E2C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83BF26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80</w:t>
            </w:r>
          </w:p>
        </w:tc>
        <w:tc>
          <w:tcPr>
            <w:tcW w:w="1789" w:type="dxa"/>
            <w:vAlign w:val="center"/>
          </w:tcPr>
          <w:p w14:paraId="6C74BA7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设备机柜</w:t>
            </w:r>
          </w:p>
        </w:tc>
        <w:tc>
          <w:tcPr>
            <w:tcW w:w="8255" w:type="dxa"/>
            <w:vAlign w:val="center"/>
          </w:tcPr>
          <w:p w14:paraId="0EE7D57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颜色：黑色。容量：不小于600mm*600mm*22U。前门玻璃后门钢，标柜三块托板，一组风扇，一个8位10A PDU电源。板材厚度不小于0.8mm。</w:t>
            </w:r>
          </w:p>
        </w:tc>
        <w:tc>
          <w:tcPr>
            <w:tcW w:w="2077" w:type="dxa"/>
            <w:vAlign w:val="center"/>
          </w:tcPr>
          <w:p w14:paraId="5A3D78C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TOTEN图腾/RITTAL威图/SHIP一舟</w:t>
            </w:r>
          </w:p>
        </w:tc>
        <w:tc>
          <w:tcPr>
            <w:tcW w:w="660" w:type="dxa"/>
            <w:vAlign w:val="center"/>
          </w:tcPr>
          <w:p w14:paraId="37E24CC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C4BAD8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4C9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339638B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九、排练厅视频显示系统</w:t>
            </w:r>
          </w:p>
        </w:tc>
      </w:tr>
      <w:tr w14:paraId="6699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8DC8FF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81</w:t>
            </w:r>
          </w:p>
        </w:tc>
        <w:tc>
          <w:tcPr>
            <w:tcW w:w="1789" w:type="dxa"/>
            <w:vAlign w:val="center"/>
          </w:tcPr>
          <w:p w14:paraId="7B11C31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HDMI分配器</w:t>
            </w:r>
          </w:p>
        </w:tc>
        <w:tc>
          <w:tcPr>
            <w:tcW w:w="8255" w:type="dxa"/>
            <w:vAlign w:val="center"/>
          </w:tcPr>
          <w:p w14:paraId="5F2F5C1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HDMI一分四。</w:t>
            </w:r>
          </w:p>
        </w:tc>
        <w:tc>
          <w:tcPr>
            <w:tcW w:w="2077" w:type="dxa"/>
            <w:vAlign w:val="center"/>
          </w:tcPr>
          <w:p w14:paraId="1539E71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2551215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B33261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1161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525A3C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82</w:t>
            </w:r>
          </w:p>
        </w:tc>
        <w:tc>
          <w:tcPr>
            <w:tcW w:w="1789" w:type="dxa"/>
            <w:vAlign w:val="center"/>
          </w:tcPr>
          <w:p w14:paraId="395848D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电视机吊架</w:t>
            </w:r>
          </w:p>
        </w:tc>
        <w:tc>
          <w:tcPr>
            <w:tcW w:w="8255" w:type="dxa"/>
            <w:vAlign w:val="center"/>
          </w:tcPr>
          <w:p w14:paraId="2842D2C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75寸吊架，双杆加粗吊架（1米-1.6米）高度调节。</w:t>
            </w:r>
          </w:p>
        </w:tc>
        <w:tc>
          <w:tcPr>
            <w:tcW w:w="2077" w:type="dxa"/>
            <w:shd w:val="clear" w:color="auto" w:fill="auto"/>
            <w:vAlign w:val="center"/>
          </w:tcPr>
          <w:p w14:paraId="1B95787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75F3B68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5C368D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w:t>
            </w:r>
          </w:p>
        </w:tc>
      </w:tr>
      <w:tr w14:paraId="0233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9F8D38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83</w:t>
            </w:r>
          </w:p>
        </w:tc>
        <w:tc>
          <w:tcPr>
            <w:tcW w:w="1789" w:type="dxa"/>
            <w:vAlign w:val="center"/>
          </w:tcPr>
          <w:p w14:paraId="37F791A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HDMI传输器</w:t>
            </w:r>
          </w:p>
        </w:tc>
        <w:tc>
          <w:tcPr>
            <w:tcW w:w="8255" w:type="dxa"/>
            <w:vAlign w:val="center"/>
          </w:tcPr>
          <w:p w14:paraId="409EB7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不小于100米4K HDMI单网线传输放大器，包括发射端和接收端，单边POC供电。</w:t>
            </w:r>
          </w:p>
        </w:tc>
        <w:tc>
          <w:tcPr>
            <w:tcW w:w="2077" w:type="dxa"/>
            <w:shd w:val="clear" w:color="auto" w:fill="auto"/>
            <w:vAlign w:val="center"/>
          </w:tcPr>
          <w:p w14:paraId="668BDAF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30B2826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5C922C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7577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65E4BC6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十、文化交流室系统</w:t>
            </w:r>
          </w:p>
        </w:tc>
      </w:tr>
      <w:tr w14:paraId="21C8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337F49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84</w:t>
            </w:r>
          </w:p>
        </w:tc>
        <w:tc>
          <w:tcPr>
            <w:tcW w:w="1789" w:type="dxa"/>
            <w:vAlign w:val="center"/>
          </w:tcPr>
          <w:p w14:paraId="0A4AE94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数字调音台</w:t>
            </w:r>
          </w:p>
        </w:tc>
        <w:tc>
          <w:tcPr>
            <w:tcW w:w="8255" w:type="dxa"/>
            <w:vAlign w:val="center"/>
          </w:tcPr>
          <w:p w14:paraId="13C7226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1.≥12路输入，≥8路Mic/Line，1组立体声，1组USB立体声（U盘播音.蓝牙或PC声卡播放）。</w:t>
            </w:r>
          </w:p>
          <w:p w14:paraId="0E6A0AE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2.≥10路输出，1组L/R立体声主输出，4路AUX，1组USB立体声录音或PC声卡录音，1组立体声监听。</w:t>
            </w:r>
          </w:p>
          <w:p w14:paraId="221DD58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3.高级DSP数字信号处理器40bit运算，24bit/48KHz高性能ADC/DAC。</w:t>
            </w:r>
          </w:p>
          <w:p w14:paraId="264663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4.Mic/Line输入通道配置：48V幻象电源.极性切换、噪声门、四段参量频率均衡、高通滤波器、低通滤波器。</w:t>
            </w:r>
          </w:p>
          <w:p w14:paraId="2B704EE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5.输出通道配置：延时器、不少于四段参量频率均衡、高通滤波器、低通滤波器、压限器。</w:t>
            </w:r>
          </w:p>
          <w:p w14:paraId="0354F58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6.专业效果类型≥5种、独立的场景预设≥6个。</w:t>
            </w:r>
          </w:p>
          <w:p w14:paraId="43FCB49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7.≥4.3"TFT液晶电容触摸屏。</w:t>
            </w:r>
          </w:p>
          <w:p w14:paraId="0223043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8.≥6个100mm智能伺服电动推子。</w:t>
            </w:r>
          </w:p>
          <w:p w14:paraId="049FCDF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9.具有PC声卡，支持播放和录音同步进行。</w:t>
            </w:r>
          </w:p>
          <w:p w14:paraId="33F26BB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10.具有啸叫抑制功能AFHS，具备动态抑制和陷波抑制，可单独控制。</w:t>
            </w:r>
          </w:p>
          <w:p w14:paraId="20A851A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11.自带提供无线WiFi热点，IOS苹果iPad或安卓平板电脑可无线连接进行远程遥控操作。具有RJ-45网口或RS-485口接受中控设备的遥控指令。</w:t>
            </w:r>
          </w:p>
          <w:p w14:paraId="0CDBF21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12.总谐波失真：≤0.01%。</w:t>
            </w:r>
          </w:p>
          <w:p w14:paraId="7C7C445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13.频率响应：20Hz～20kHz或优于。</w:t>
            </w:r>
          </w:p>
          <w:p w14:paraId="0ACEB34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14.信噪比：≥104dB。</w:t>
            </w:r>
          </w:p>
        </w:tc>
        <w:tc>
          <w:tcPr>
            <w:tcW w:w="2077" w:type="dxa"/>
            <w:shd w:val="clear" w:color="auto" w:fill="auto"/>
            <w:vAlign w:val="center"/>
          </w:tcPr>
          <w:p w14:paraId="55893B3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F42DD7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ACB140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6CA5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5D0942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85</w:t>
            </w:r>
          </w:p>
        </w:tc>
        <w:tc>
          <w:tcPr>
            <w:tcW w:w="1789" w:type="dxa"/>
            <w:vAlign w:val="center"/>
          </w:tcPr>
          <w:p w14:paraId="12B2191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超薄组合式线阵列音箱</w:t>
            </w:r>
          </w:p>
        </w:tc>
        <w:tc>
          <w:tcPr>
            <w:tcW w:w="8255" w:type="dxa"/>
            <w:vAlign w:val="center"/>
          </w:tcPr>
          <w:p w14:paraId="623B858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1.频响：90Hz～18kHz（+/-3dB）或优于。</w:t>
            </w:r>
          </w:p>
          <w:p w14:paraId="6B89F27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2.额定功率：≥120W。</w:t>
            </w:r>
          </w:p>
          <w:p w14:paraId="27C4F67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3.灵敏度：≥91dB。最大输出声压：≥118dB（峰值）。</w:t>
            </w:r>
          </w:p>
          <w:p w14:paraId="67F7E3C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4.辐射角度：≥100度X 30度。</w:t>
            </w:r>
          </w:p>
          <w:p w14:paraId="2BA1D7A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5.单元：≥3.5寸全频单元*4。</w:t>
            </w:r>
          </w:p>
          <w:p w14:paraId="31DB0AF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6.箱体机构：前倒相阵列。</w:t>
            </w:r>
          </w:p>
          <w:p w14:paraId="5023AEF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7.考虑装修效果，音箱厚度不大于65mm。</w:t>
            </w:r>
          </w:p>
        </w:tc>
        <w:tc>
          <w:tcPr>
            <w:tcW w:w="2077" w:type="dxa"/>
            <w:shd w:val="clear" w:color="auto" w:fill="auto"/>
            <w:vAlign w:val="center"/>
          </w:tcPr>
          <w:p w14:paraId="0ADD55F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6DD88B5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EF3F46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715E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BB116B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86</w:t>
            </w:r>
          </w:p>
        </w:tc>
        <w:tc>
          <w:tcPr>
            <w:tcW w:w="1789" w:type="dxa"/>
            <w:vAlign w:val="center"/>
          </w:tcPr>
          <w:p w14:paraId="0D3123B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智能功放</w:t>
            </w:r>
          </w:p>
        </w:tc>
        <w:tc>
          <w:tcPr>
            <w:tcW w:w="8255" w:type="dxa"/>
            <w:vAlign w:val="center"/>
          </w:tcPr>
          <w:p w14:paraId="7934304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1.额定功率：不低于2x350W/8欧。2x450W/4欧(双通道)，不低于1x900W/8欧(桥接)，不低于1*900W/100V（定压）。</w:t>
            </w:r>
          </w:p>
          <w:p w14:paraId="1C567C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2.频率响应：20Hz～20kHz或优于。</w:t>
            </w:r>
          </w:p>
          <w:p w14:paraId="486FB98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3.信噪比：≥100dB。</w:t>
            </w:r>
          </w:p>
          <w:p w14:paraId="4200680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4.DSP芯片组：ADI Sharc浮点处理芯片组，检测功能：实时检测输如电平、输出电压、电流、负载阻抗、输出功率、工作温度等。处理功能：增益控制、输入信号优先与备份、矩阵信号分配、共享式96个IIR可编辑滤波器、1024阶FIR滤波器、4段动态EQ，延时、5种不同形式的限幅器，可多重编组控制、工作日志功能、异常异常状态自动推送。</w:t>
            </w:r>
          </w:p>
          <w:p w14:paraId="0F261BB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5.控制：LAN、RS485、USB，网卡支持POE及联供电，整机自动诊断功能、可多重编组控制、工作日志功能、异常状态自动推送功能，自组网功能。</w:t>
            </w:r>
          </w:p>
        </w:tc>
        <w:tc>
          <w:tcPr>
            <w:tcW w:w="2077" w:type="dxa"/>
            <w:shd w:val="clear" w:color="auto" w:fill="auto"/>
            <w:vAlign w:val="center"/>
          </w:tcPr>
          <w:p w14:paraId="6D411BA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E25059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2CD3DC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B15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F41F97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87</w:t>
            </w:r>
          </w:p>
        </w:tc>
        <w:tc>
          <w:tcPr>
            <w:tcW w:w="1789" w:type="dxa"/>
            <w:vAlign w:val="center"/>
          </w:tcPr>
          <w:p w14:paraId="6DFDBEA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智能音频反馈抑制器</w:t>
            </w:r>
          </w:p>
        </w:tc>
        <w:tc>
          <w:tcPr>
            <w:tcW w:w="8255" w:type="dxa"/>
            <w:vAlign w:val="center"/>
          </w:tcPr>
          <w:p w14:paraId="30F94F1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1.配置≥2寸TFT彩屏。</w:t>
            </w:r>
          </w:p>
          <w:p w14:paraId="102811B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2.支持一键开启自动检测功能。</w:t>
            </w:r>
          </w:p>
          <w:p w14:paraId="04DC7BC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3.≥24bit高性能A/D及D/A转换芯片。</w:t>
            </w:r>
          </w:p>
          <w:p w14:paraId="127EFE5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4.≥4个输入通道，每通道带48V幻象电源独立控制开关。</w:t>
            </w:r>
          </w:p>
          <w:p w14:paraId="4A7B14F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5.输入通道：≥4路平衡输入XLR和4路非平衡输入TRS，1路RCA接口。</w:t>
            </w:r>
          </w:p>
          <w:p w14:paraId="05DE6F3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6.输出通道：≥2路平衡输出XLR，1路RCA。</w:t>
            </w:r>
          </w:p>
          <w:p w14:paraId="2862490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7.一键切换啸叫抑制功能打开或关闭。</w:t>
            </w:r>
          </w:p>
          <w:p w14:paraId="736FC09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8.频率响应：20～20KH或优于。</w:t>
            </w:r>
          </w:p>
          <w:p w14:paraId="738C731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9.总谐波失真：≤0.017%。</w:t>
            </w:r>
          </w:p>
          <w:p w14:paraId="79E0CB9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10.信噪比＞106dB。</w:t>
            </w:r>
          </w:p>
        </w:tc>
        <w:tc>
          <w:tcPr>
            <w:tcW w:w="2077" w:type="dxa"/>
            <w:shd w:val="clear" w:color="auto" w:fill="auto"/>
            <w:vAlign w:val="center"/>
          </w:tcPr>
          <w:p w14:paraId="04A50A2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37C3FB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D78E54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61D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8AB9E0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88</w:t>
            </w:r>
          </w:p>
        </w:tc>
        <w:tc>
          <w:tcPr>
            <w:tcW w:w="1789" w:type="dxa"/>
            <w:vAlign w:val="center"/>
          </w:tcPr>
          <w:p w14:paraId="4508FB3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无线手持话筒（一拖二）</w:t>
            </w:r>
          </w:p>
        </w:tc>
        <w:tc>
          <w:tcPr>
            <w:tcW w:w="8255" w:type="dxa"/>
            <w:vAlign w:val="center"/>
          </w:tcPr>
          <w:p w14:paraId="517944E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U段双手持双接收无线话筒(心型指向)。</w:t>
            </w:r>
          </w:p>
          <w:p w14:paraId="73D7170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19EAF0A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5EE1B04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69DE814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737A1F4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78C7E4B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2EAE5CA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33C7822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2F1CEC5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9.系统失真/THD总谐波失真：＜5%@1kHz。</w:t>
            </w:r>
          </w:p>
          <w:p w14:paraId="6629044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10.信噪比：＞50dB。</w:t>
            </w:r>
          </w:p>
        </w:tc>
        <w:tc>
          <w:tcPr>
            <w:tcW w:w="2077" w:type="dxa"/>
            <w:shd w:val="clear" w:color="auto" w:fill="auto"/>
            <w:vAlign w:val="center"/>
          </w:tcPr>
          <w:p w14:paraId="5471B8A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2D48CB2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AE7CA7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052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9AEC24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89</w:t>
            </w:r>
          </w:p>
        </w:tc>
        <w:tc>
          <w:tcPr>
            <w:tcW w:w="1789" w:type="dxa"/>
            <w:vAlign w:val="center"/>
          </w:tcPr>
          <w:p w14:paraId="6BC4293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无线鹅颈会议话筒</w:t>
            </w:r>
          </w:p>
        </w:tc>
        <w:tc>
          <w:tcPr>
            <w:tcW w:w="8255" w:type="dxa"/>
            <w:vAlign w:val="center"/>
          </w:tcPr>
          <w:p w14:paraId="749B26A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1.主机采用≥1.8寸TFT显示屏，显示4个通道频道号。</w:t>
            </w:r>
          </w:p>
          <w:p w14:paraId="7D9C0C7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2.内置啸叫抑制功能。内置直通、低切、高切、用户4种均衡模式。</w:t>
            </w:r>
          </w:p>
          <w:p w14:paraId="4F533AE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3.具有≥4组可选频率组。</w:t>
            </w:r>
          </w:p>
          <w:p w14:paraId="79E16B7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4.采用动态随机ID。</w:t>
            </w:r>
          </w:p>
          <w:p w14:paraId="27FC139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5.会议单元采用≥2.8寸TFT显示屏。</w:t>
            </w:r>
          </w:p>
          <w:p w14:paraId="583A352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6.会议单元高灵敏度超心形指向电容咪芯，拾音距离远声音清晰。</w:t>
            </w:r>
          </w:p>
          <w:p w14:paraId="2BF327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7.频率范围：640～690MHz或优于，频道数：≥200频道。</w:t>
            </w:r>
          </w:p>
          <w:p w14:paraId="5BC617B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8.频率稳定性：士0.001%。</w:t>
            </w:r>
          </w:p>
          <w:p w14:paraId="1821602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9.动态范围：＞100dB。</w:t>
            </w:r>
          </w:p>
          <w:p w14:paraId="4E48E1E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10.总谐波失真：≤3.27%。</w:t>
            </w:r>
          </w:p>
        </w:tc>
        <w:tc>
          <w:tcPr>
            <w:tcW w:w="2077" w:type="dxa"/>
            <w:shd w:val="clear" w:color="auto" w:fill="auto"/>
            <w:vAlign w:val="center"/>
          </w:tcPr>
          <w:p w14:paraId="555CB24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7DAFC6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B73364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3CBF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4C1307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90</w:t>
            </w:r>
          </w:p>
        </w:tc>
        <w:tc>
          <w:tcPr>
            <w:tcW w:w="1789" w:type="dxa"/>
            <w:vAlign w:val="center"/>
          </w:tcPr>
          <w:p w14:paraId="1FF58FB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电源时序器</w:t>
            </w:r>
          </w:p>
        </w:tc>
        <w:tc>
          <w:tcPr>
            <w:tcW w:w="8255" w:type="dxa"/>
            <w:vAlign w:val="center"/>
          </w:tcPr>
          <w:p w14:paraId="5DEBA95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1.不少于8路电源时序控制器（带数字电压显示表）。</w:t>
            </w:r>
          </w:p>
          <w:p w14:paraId="332A0F8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2.电源插座：不少于8个16A万用插座，前面板不少于1个16A万用插座。</w:t>
            </w:r>
          </w:p>
          <w:p w14:paraId="4FBCF4D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3.单通道的最大电流不低于16A，总输入电流容量不低于32A。</w:t>
            </w:r>
          </w:p>
          <w:p w14:paraId="72538B2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4.中控接口：有RS232与RS485两种方式。</w:t>
            </w:r>
          </w:p>
          <w:p w14:paraId="785FD48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5.控制软件：具有电脑软件,实现显示控制方式。</w:t>
            </w:r>
          </w:p>
          <w:p w14:paraId="002EA66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6.通道延时：每个通道延时可设置0-999秒延时。</w:t>
            </w:r>
          </w:p>
          <w:p w14:paraId="1190B92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7.通道互锁功能：可控制投影机电动幕，升降架，电动窗帘等。</w:t>
            </w:r>
          </w:p>
        </w:tc>
        <w:tc>
          <w:tcPr>
            <w:tcW w:w="2077" w:type="dxa"/>
            <w:shd w:val="clear" w:color="auto" w:fill="auto"/>
            <w:vAlign w:val="center"/>
          </w:tcPr>
          <w:p w14:paraId="3AE7D2F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68C94A9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A3E69B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EC9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81DCE8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91</w:t>
            </w:r>
          </w:p>
        </w:tc>
        <w:tc>
          <w:tcPr>
            <w:tcW w:w="1789" w:type="dxa"/>
            <w:vAlign w:val="center"/>
          </w:tcPr>
          <w:p w14:paraId="39B2305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设备机柜</w:t>
            </w:r>
          </w:p>
        </w:tc>
        <w:tc>
          <w:tcPr>
            <w:tcW w:w="8255" w:type="dxa"/>
            <w:vAlign w:val="center"/>
          </w:tcPr>
          <w:p w14:paraId="19A3830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颜色：黑色。容量：不小于600mm*600mm*18U。前门玻璃后门钢，标柜三块托板，一组风扇，一个8位10A PDU电源。板材厚度不小于0.8mm。</w:t>
            </w:r>
          </w:p>
        </w:tc>
        <w:tc>
          <w:tcPr>
            <w:tcW w:w="2077" w:type="dxa"/>
            <w:vAlign w:val="center"/>
          </w:tcPr>
          <w:p w14:paraId="5A92BCC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TOTEN图腾/RITTAL威图/SHIP一舟</w:t>
            </w:r>
          </w:p>
        </w:tc>
        <w:tc>
          <w:tcPr>
            <w:tcW w:w="660" w:type="dxa"/>
            <w:vAlign w:val="center"/>
          </w:tcPr>
          <w:p w14:paraId="737229C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30A737B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5DF7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4C0928F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十一、视频显示系统</w:t>
            </w:r>
          </w:p>
        </w:tc>
      </w:tr>
      <w:tr w14:paraId="774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2699E3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92</w:t>
            </w:r>
          </w:p>
        </w:tc>
        <w:tc>
          <w:tcPr>
            <w:tcW w:w="1789" w:type="dxa"/>
            <w:vAlign w:val="center"/>
          </w:tcPr>
          <w:p w14:paraId="05DAA20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无线传屏</w:t>
            </w:r>
          </w:p>
        </w:tc>
        <w:tc>
          <w:tcPr>
            <w:tcW w:w="8255" w:type="dxa"/>
            <w:vAlign w:val="center"/>
          </w:tcPr>
          <w:p w14:paraId="731F090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配置安装：免配置，免安装。接口：USB。支持系统类型：Windows7/8/10/11。</w:t>
            </w:r>
          </w:p>
        </w:tc>
        <w:tc>
          <w:tcPr>
            <w:tcW w:w="2077" w:type="dxa"/>
            <w:vAlign w:val="center"/>
          </w:tcPr>
          <w:p w14:paraId="20DAA1E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2420B12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3D7E5E4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5DC8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000040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93</w:t>
            </w:r>
          </w:p>
        </w:tc>
        <w:tc>
          <w:tcPr>
            <w:tcW w:w="1789" w:type="dxa"/>
            <w:vAlign w:val="center"/>
          </w:tcPr>
          <w:p w14:paraId="06CC931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高清混合矩阵主机</w:t>
            </w:r>
          </w:p>
        </w:tc>
        <w:tc>
          <w:tcPr>
            <w:tcW w:w="8255" w:type="dxa"/>
            <w:vAlign w:val="center"/>
          </w:tcPr>
          <w:p w14:paraId="2F36254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1.不少于12路平衡式话筒\线路输入，12路平衡式音频输出。</w:t>
            </w:r>
          </w:p>
          <w:p w14:paraId="4531B34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2.内置USB声卡，连接电脑可实现音频信号的传输，支持录播和远程会议。</w:t>
            </w:r>
          </w:p>
          <w:p w14:paraId="4AFBD0C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3.支持AFC(反馈抑制) AEC回声消除、ANS(噪声抑制)、AGC(自动増益)、自动混音等处理模块。</w:t>
            </w:r>
          </w:p>
          <w:p w14:paraId="66A6F4A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4.每通道拥有独立的自适应反馈抑制，自动发现反馈点，并自动抑制。</w:t>
            </w:r>
          </w:p>
          <w:p w14:paraId="6A52185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5.处理器芯片采用ADI架构，不低于40bit DSP浮点运算引擎，提供自由配制软件架构。</w:t>
            </w:r>
          </w:p>
          <w:p w14:paraId="6C6491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6.不少于4个HDMI输入和4个HDMI输出。</w:t>
            </w:r>
          </w:p>
          <w:p w14:paraId="3A20287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7.兼容HDMI2.0、HDCP2.2、HDCP1.4和DVI1.0。</w:t>
            </w:r>
          </w:p>
          <w:p w14:paraId="5655A21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8.视频分辨率达到4K2K@60Hz YCbCr 4:4:4 。</w:t>
            </w:r>
          </w:p>
          <w:p w14:paraId="253E529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9.智能EDID管理，包括AUTO、COPY和STD、ARC功能。</w:t>
            </w:r>
          </w:p>
          <w:p w14:paraId="2B54346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10.不少于4路RS-232，4路RS-485可独立设置波特率。</w:t>
            </w:r>
          </w:p>
          <w:p w14:paraId="39D4D0C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11.提供音视频频终端用户作界面，实现多台设备集中控制，可通过本机的RS232、RS485控制接口能控制不同波特率的投影、幕布、灯光、窗帘、电源时序器等第三方设备。</w:t>
            </w:r>
          </w:p>
          <w:p w14:paraId="6E7CB41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12.四通道功放，300W，600W的功放模组可选，最大功率不超过1800W。</w:t>
            </w:r>
          </w:p>
          <w:p w14:paraId="573783A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13.前面板带支持高清触摸显示屏，可对视频、中控、音频等功能模块控制管理，具备信号状态的实时监测。</w:t>
            </w:r>
          </w:p>
          <w:p w14:paraId="2E3D1E6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14.多种控制方式，可通过网页、手机、平板、按键面板、触摸面板等方式管理。</w:t>
            </w:r>
          </w:p>
        </w:tc>
        <w:tc>
          <w:tcPr>
            <w:tcW w:w="2077" w:type="dxa"/>
            <w:vAlign w:val="center"/>
          </w:tcPr>
          <w:p w14:paraId="4C366AC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avtronsys艾维创/AVCiT魅视/zenwin哲闻</w:t>
            </w:r>
          </w:p>
        </w:tc>
        <w:tc>
          <w:tcPr>
            <w:tcW w:w="660" w:type="dxa"/>
            <w:vAlign w:val="center"/>
          </w:tcPr>
          <w:p w14:paraId="6082E79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374483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17E9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AFF700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94</w:t>
            </w:r>
          </w:p>
        </w:tc>
        <w:tc>
          <w:tcPr>
            <w:tcW w:w="1789" w:type="dxa"/>
            <w:vAlign w:val="center"/>
          </w:tcPr>
          <w:p w14:paraId="7626225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墙面控制面板</w:t>
            </w:r>
          </w:p>
        </w:tc>
        <w:tc>
          <w:tcPr>
            <w:tcW w:w="8255" w:type="dxa"/>
            <w:vAlign w:val="center"/>
          </w:tcPr>
          <w:p w14:paraId="4DE7FC7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1.不小于4.0寸触控面板。</w:t>
            </w:r>
          </w:p>
          <w:p w14:paraId="7C8E5E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2.分辨率不低于480*480。</w:t>
            </w:r>
          </w:p>
          <w:p w14:paraId="7636665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3.安装方向 支持0、90、180、和270度旋转安装显示。</w:t>
            </w:r>
          </w:p>
        </w:tc>
        <w:tc>
          <w:tcPr>
            <w:tcW w:w="2077" w:type="dxa"/>
            <w:vAlign w:val="center"/>
          </w:tcPr>
          <w:p w14:paraId="5948ED3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avtronsys艾维创/AVCiT魅视/zenwin哲闻</w:t>
            </w:r>
          </w:p>
        </w:tc>
        <w:tc>
          <w:tcPr>
            <w:tcW w:w="660" w:type="dxa"/>
            <w:vAlign w:val="center"/>
          </w:tcPr>
          <w:p w14:paraId="2093C2C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7EE8E0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4E5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755E3C9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十二、流动音响系统</w:t>
            </w:r>
          </w:p>
        </w:tc>
      </w:tr>
      <w:tr w14:paraId="0DEA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9C3BA3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95</w:t>
            </w:r>
          </w:p>
        </w:tc>
        <w:tc>
          <w:tcPr>
            <w:tcW w:w="1789" w:type="dxa"/>
            <w:vAlign w:val="center"/>
          </w:tcPr>
          <w:p w14:paraId="326BC16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数字调音台</w:t>
            </w:r>
          </w:p>
        </w:tc>
        <w:tc>
          <w:tcPr>
            <w:tcW w:w="8255" w:type="dxa"/>
            <w:vAlign w:val="center"/>
          </w:tcPr>
          <w:p w14:paraId="1E401FE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1.不少于17个电动推杆。</w:t>
            </w:r>
          </w:p>
          <w:p w14:paraId="395273C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2.台面有不小于7寸彩色触摸屏。</w:t>
            </w:r>
          </w:p>
          <w:p w14:paraId="76351CB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3.不少于16路MIC/Line输入，3组立体声输入。</w:t>
            </w:r>
          </w:p>
          <w:p w14:paraId="69C9753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4.不少于18路信号输出。</w:t>
            </w:r>
          </w:p>
          <w:p w14:paraId="03B8EB5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5.不少于8路DCA编组。</w:t>
            </w:r>
          </w:p>
          <w:p w14:paraId="02A2043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6.内置不少于2个立体声数字效果器。</w:t>
            </w:r>
          </w:p>
          <w:p w14:paraId="76C5EC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7.带有网络接口，可连接接口箱。</w:t>
            </w:r>
          </w:p>
        </w:tc>
        <w:tc>
          <w:tcPr>
            <w:tcW w:w="2077" w:type="dxa"/>
            <w:shd w:val="clear" w:color="auto" w:fill="auto"/>
            <w:vAlign w:val="center"/>
          </w:tcPr>
          <w:p w14:paraId="5FCDC37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C85EF6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4780AC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629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373960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96</w:t>
            </w:r>
          </w:p>
        </w:tc>
        <w:tc>
          <w:tcPr>
            <w:tcW w:w="1789" w:type="dxa"/>
            <w:vAlign w:val="center"/>
          </w:tcPr>
          <w:p w14:paraId="64A31ED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线阵列音箱</w:t>
            </w:r>
          </w:p>
        </w:tc>
        <w:tc>
          <w:tcPr>
            <w:tcW w:w="8255" w:type="dxa"/>
            <w:vAlign w:val="center"/>
          </w:tcPr>
          <w:p w14:paraId="2B19520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1.低音单元口径≥4*5寸单元。高音单元音圈尺寸≥1.4寸。</w:t>
            </w:r>
          </w:p>
          <w:p w14:paraId="1C15D5B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2.频响范围：90Hz～18kHz（±3dB）或优于。</w:t>
            </w:r>
          </w:p>
          <w:p w14:paraId="1EEC2C3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3.灵敏度（1W/1m）：高频单元≥106dB，低频单元≥97dB。</w:t>
            </w:r>
          </w:p>
          <w:p w14:paraId="2C7A742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4.额定功率（AES）：高频单元≥50W/16Ω，低频单元≥250W/8Ω</w:t>
            </w:r>
          </w:p>
          <w:p w14:paraId="3A3B92A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5.连续最大声压级：高频≥122dB，低频≥120dB。峰值最大声压级：高频≥128dB，低频≥126dB。</w:t>
            </w:r>
          </w:p>
          <w:p w14:paraId="0045B51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6.覆盖角：水平≥100度，垂直≥10度。</w:t>
            </w:r>
          </w:p>
        </w:tc>
        <w:tc>
          <w:tcPr>
            <w:tcW w:w="2077" w:type="dxa"/>
            <w:shd w:val="clear" w:color="auto" w:fill="auto"/>
            <w:vAlign w:val="center"/>
          </w:tcPr>
          <w:p w14:paraId="62729A2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02FB910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F48A14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w:t>
            </w:r>
          </w:p>
        </w:tc>
      </w:tr>
      <w:tr w14:paraId="5424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AF0B27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97</w:t>
            </w:r>
          </w:p>
        </w:tc>
        <w:tc>
          <w:tcPr>
            <w:tcW w:w="1789" w:type="dxa"/>
            <w:vAlign w:val="center"/>
          </w:tcPr>
          <w:p w14:paraId="67AD659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超低频线阵音箱</w:t>
            </w:r>
          </w:p>
        </w:tc>
        <w:tc>
          <w:tcPr>
            <w:tcW w:w="8255" w:type="dxa"/>
            <w:vAlign w:val="center"/>
          </w:tcPr>
          <w:p w14:paraId="1AB74EB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1.频率响应：50Hz～800Hz(±3dB)或优于。</w:t>
            </w:r>
          </w:p>
          <w:p w14:paraId="77AF9CF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2.灵敏度(1W/1m)：≥99.6dB。</w:t>
            </w:r>
          </w:p>
          <w:p w14:paraId="4F8FC9E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3.标称阻抗：8Ω。</w:t>
            </w:r>
          </w:p>
          <w:p w14:paraId="5204739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4.额定功率(AES)：≥450W。</w:t>
            </w:r>
          </w:p>
          <w:p w14:paraId="10249F9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5.低音单元：≥15寸钕磁低音单元。</w:t>
            </w:r>
          </w:p>
          <w:p w14:paraId="47ADB05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6.最大声压级(连续/峰值)：≥122.8dB/131.2dB。</w:t>
            </w:r>
          </w:p>
        </w:tc>
        <w:tc>
          <w:tcPr>
            <w:tcW w:w="2077" w:type="dxa"/>
            <w:shd w:val="clear" w:color="auto" w:fill="auto"/>
            <w:vAlign w:val="center"/>
          </w:tcPr>
          <w:p w14:paraId="20DC58C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404E5B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shd w:val="clear" w:color="auto" w:fill="auto"/>
            <w:vAlign w:val="center"/>
          </w:tcPr>
          <w:p w14:paraId="3A3A8D53">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w:t>
            </w:r>
          </w:p>
        </w:tc>
      </w:tr>
      <w:tr w14:paraId="6D2D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39D630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98</w:t>
            </w:r>
          </w:p>
        </w:tc>
        <w:tc>
          <w:tcPr>
            <w:tcW w:w="1789" w:type="dxa"/>
            <w:vAlign w:val="center"/>
          </w:tcPr>
          <w:p w14:paraId="34837D8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有源超低频音箱</w:t>
            </w:r>
          </w:p>
        </w:tc>
        <w:tc>
          <w:tcPr>
            <w:tcW w:w="8255" w:type="dxa"/>
            <w:vAlign w:val="center"/>
          </w:tcPr>
          <w:p w14:paraId="4B00659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1.频率响应：50Hz～800Hz(±3dB)或优于。</w:t>
            </w:r>
          </w:p>
          <w:p w14:paraId="172CACB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2.灵敏度(1W/1m)：≥99.6dB。</w:t>
            </w:r>
          </w:p>
          <w:p w14:paraId="2DFD7A8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3.标称阻抗：8Ω。</w:t>
            </w:r>
          </w:p>
          <w:p w14:paraId="4AB4B91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4.额定功率(AES)：≥450W/8Ω。</w:t>
            </w:r>
          </w:p>
          <w:p w14:paraId="3C41C28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5.低音单元：≥15寸钕磁低音单元。</w:t>
            </w:r>
          </w:p>
          <w:p w14:paraId="0B00F99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6.最大声压级(连续/峰值)：≥122.8dB/131.2dB。</w:t>
            </w:r>
          </w:p>
          <w:p w14:paraId="0530E16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7.设备接口:≥2个Neutrik XLR信号输入接口。≥2个Neutrik XLR信号输出接口。≥2个RJ45网络控制接口。≥1个Neutrik Powercon输入接口。≥1个Neutrik Powercon级联输出接口。≥3个Neutrik NL4MP输出接口。</w:t>
            </w:r>
          </w:p>
          <w:p w14:paraId="0B9B090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8.DSP模块：</w:t>
            </w:r>
          </w:p>
          <w:p w14:paraId="583CC52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（1）放大器模块：四通道D类。（2）输出功率：≥4×810W@4Ω。（3）增益：≥27.6dB。（4）信噪比S/N：≥120dBV(A)。</w:t>
            </w:r>
          </w:p>
        </w:tc>
        <w:tc>
          <w:tcPr>
            <w:tcW w:w="2077" w:type="dxa"/>
            <w:shd w:val="clear" w:color="auto" w:fill="auto"/>
            <w:vAlign w:val="center"/>
          </w:tcPr>
          <w:p w14:paraId="2BEAD8D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DADE92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B508E6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2E83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8BC7CC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99</w:t>
            </w:r>
          </w:p>
        </w:tc>
        <w:tc>
          <w:tcPr>
            <w:tcW w:w="1789" w:type="dxa"/>
            <w:vAlign w:val="center"/>
          </w:tcPr>
          <w:p w14:paraId="5947713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阵列支架</w:t>
            </w:r>
          </w:p>
        </w:tc>
        <w:tc>
          <w:tcPr>
            <w:tcW w:w="8255" w:type="dxa"/>
            <w:vAlign w:val="center"/>
          </w:tcPr>
          <w:p w14:paraId="6E1EB1A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配套阵列支架</w:t>
            </w:r>
          </w:p>
        </w:tc>
        <w:tc>
          <w:tcPr>
            <w:tcW w:w="2077" w:type="dxa"/>
            <w:shd w:val="clear" w:color="auto" w:fill="auto"/>
            <w:vAlign w:val="center"/>
          </w:tcPr>
          <w:p w14:paraId="406F865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C77077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884363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54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2075ED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100</w:t>
            </w:r>
          </w:p>
        </w:tc>
        <w:tc>
          <w:tcPr>
            <w:tcW w:w="1789" w:type="dxa"/>
            <w:vAlign w:val="center"/>
          </w:tcPr>
          <w:p w14:paraId="0011AD0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无线手持话筒（一拖二）</w:t>
            </w:r>
          </w:p>
        </w:tc>
        <w:tc>
          <w:tcPr>
            <w:tcW w:w="8255" w:type="dxa"/>
            <w:vAlign w:val="center"/>
          </w:tcPr>
          <w:p w14:paraId="6B60CB9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U段双手持双接收无线话筒(心型指向)。</w:t>
            </w:r>
          </w:p>
          <w:p w14:paraId="463F9F6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40105E6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60B3518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3.系统有效工作距离：≥90m。</w:t>
            </w:r>
          </w:p>
          <w:p w14:paraId="71CAD04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6655166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28166D5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4E8B890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7.频响范围：45Hz～18kHz或优于。</w:t>
            </w:r>
          </w:p>
          <w:p w14:paraId="2945B52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8.频带宽度：≥30MHz。</w:t>
            </w:r>
          </w:p>
          <w:p w14:paraId="1FBF603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9.THD总谐波失真：＜0.7@1kHz%。</w:t>
            </w:r>
          </w:p>
          <w:p w14:paraId="43D168B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10.信噪比：≥99dB。</w:t>
            </w:r>
          </w:p>
        </w:tc>
        <w:tc>
          <w:tcPr>
            <w:tcW w:w="2077" w:type="dxa"/>
            <w:shd w:val="clear" w:color="auto" w:fill="auto"/>
            <w:vAlign w:val="center"/>
          </w:tcPr>
          <w:p w14:paraId="386689D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11F0F571">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4449AA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3F6A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381B1A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101</w:t>
            </w:r>
          </w:p>
        </w:tc>
        <w:tc>
          <w:tcPr>
            <w:tcW w:w="1789" w:type="dxa"/>
            <w:vAlign w:val="center"/>
          </w:tcPr>
          <w:p w14:paraId="0EF2546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无线领夹话筒（一拖二）</w:t>
            </w:r>
          </w:p>
        </w:tc>
        <w:tc>
          <w:tcPr>
            <w:tcW w:w="8255" w:type="dxa"/>
            <w:vAlign w:val="center"/>
          </w:tcPr>
          <w:p w14:paraId="51BFDC1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U段双领夹双接收无线话筒(心型指向)。</w:t>
            </w:r>
          </w:p>
          <w:p w14:paraId="4F084AF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1.射频载波范围(UHF)：640～690MHz。</w:t>
            </w:r>
          </w:p>
          <w:p w14:paraId="252076A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2.振荡方式：PLL锁相环合成。</w:t>
            </w:r>
          </w:p>
          <w:p w14:paraId="7C87C73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3.工作距离：≥90M。</w:t>
            </w:r>
          </w:p>
          <w:p w14:paraId="637D804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4.搜频设置：内置传输频率搜索功能。</w:t>
            </w:r>
          </w:p>
          <w:p w14:paraId="34C02A2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5.制式：FM调频。</w:t>
            </w:r>
          </w:p>
          <w:p w14:paraId="5753438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6.预设通道：≥32。</w:t>
            </w:r>
          </w:p>
          <w:p w14:paraId="573075C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7.频响范围：100Hz～10kHz或优于。</w:t>
            </w:r>
          </w:p>
          <w:p w14:paraId="2BBB8A3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8.频带宽度：120MHz或优于。</w:t>
            </w:r>
          </w:p>
          <w:p w14:paraId="1A8CC70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9.系统失真/THD总谐波失真：＜5%@1kHz。</w:t>
            </w:r>
          </w:p>
          <w:p w14:paraId="1CA38E1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10.信噪比：＞50dB。</w:t>
            </w:r>
          </w:p>
        </w:tc>
        <w:tc>
          <w:tcPr>
            <w:tcW w:w="2077" w:type="dxa"/>
            <w:shd w:val="clear" w:color="auto" w:fill="auto"/>
            <w:vAlign w:val="center"/>
          </w:tcPr>
          <w:p w14:paraId="524E802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7E29138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18D2977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1346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E86AAC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102</w:t>
            </w:r>
          </w:p>
        </w:tc>
        <w:tc>
          <w:tcPr>
            <w:tcW w:w="1789" w:type="dxa"/>
            <w:vAlign w:val="center"/>
          </w:tcPr>
          <w:p w14:paraId="129B67D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无线信号分配系统</w:t>
            </w:r>
          </w:p>
        </w:tc>
        <w:tc>
          <w:tcPr>
            <w:tcW w:w="8255" w:type="dxa"/>
            <w:vAlign w:val="center"/>
          </w:tcPr>
          <w:p w14:paraId="5A64E7F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天线分配器：</w:t>
            </w:r>
          </w:p>
          <w:p w14:paraId="2186736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1.不少于5组（A\B)天线分配输出。</w:t>
            </w:r>
          </w:p>
          <w:p w14:paraId="3CB02BF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2.频率范围：470～960MHz或优于。</w:t>
            </w:r>
          </w:p>
          <w:p w14:paraId="64223B6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3.RF输出增益：≥0dB±1dB。</w:t>
            </w:r>
          </w:p>
          <w:p w14:paraId="0DFF17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4.系统抗阻：≥50Ω。</w:t>
            </w:r>
          </w:p>
          <w:p w14:paraId="149A316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天线放大器：</w:t>
            </w:r>
          </w:p>
          <w:p w14:paraId="4B61AC3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1.频率范围：470～1000MHz或优于。</w:t>
            </w:r>
          </w:p>
          <w:p w14:paraId="763F31A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2.天线增益：≥7.5dBi。</w:t>
            </w:r>
          </w:p>
          <w:p w14:paraId="1D48A86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3.内部放大器增益：可调节。</w:t>
            </w:r>
          </w:p>
          <w:p w14:paraId="671259A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4.驻波比：＜2:1。</w:t>
            </w:r>
          </w:p>
          <w:p w14:paraId="2A3FCFA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5.3dB波速宽：垂直面≥90°，水平面≥120°。</w:t>
            </w:r>
          </w:p>
          <w:p w14:paraId="5B697C8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6.系统抗阻：≥50Ω。</w:t>
            </w:r>
          </w:p>
        </w:tc>
        <w:tc>
          <w:tcPr>
            <w:tcW w:w="2077" w:type="dxa"/>
            <w:shd w:val="clear" w:color="auto" w:fill="auto"/>
            <w:vAlign w:val="center"/>
          </w:tcPr>
          <w:p w14:paraId="3B05551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3EF7C52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4344627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575B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F9273E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103</w:t>
            </w:r>
          </w:p>
        </w:tc>
        <w:tc>
          <w:tcPr>
            <w:tcW w:w="1789" w:type="dxa"/>
            <w:vAlign w:val="center"/>
          </w:tcPr>
          <w:p w14:paraId="2D2F239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电源时序器</w:t>
            </w:r>
          </w:p>
        </w:tc>
        <w:tc>
          <w:tcPr>
            <w:tcW w:w="8255" w:type="dxa"/>
            <w:vAlign w:val="center"/>
          </w:tcPr>
          <w:p w14:paraId="6BD0C8C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1.不少于8路电源时序控制器（带数字电压显示表）。</w:t>
            </w:r>
          </w:p>
          <w:p w14:paraId="565506E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2.电源插座：不少于8个16A万用插座，前面板不少于1个16A万用插座。</w:t>
            </w:r>
          </w:p>
          <w:p w14:paraId="478C91F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3.单通道的最大电流不低于16A，总输入电流容量不低于32A。</w:t>
            </w:r>
          </w:p>
          <w:p w14:paraId="0851C70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4.中控接口：有RS232与RS485两种方式。</w:t>
            </w:r>
          </w:p>
          <w:p w14:paraId="786E030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5.控制软件：具有电脑软件，实现显示控制方式。</w:t>
            </w:r>
          </w:p>
          <w:p w14:paraId="3914459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6.通道延时：每个通道延时可设置0-999秒延时。</w:t>
            </w:r>
          </w:p>
          <w:p w14:paraId="50CF0EA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7.通道互锁功能：可控制投影机电动幕，升降架，电动窗帘等。</w:t>
            </w:r>
          </w:p>
        </w:tc>
        <w:tc>
          <w:tcPr>
            <w:tcW w:w="2077" w:type="dxa"/>
            <w:shd w:val="clear" w:color="auto" w:fill="auto"/>
            <w:vAlign w:val="center"/>
          </w:tcPr>
          <w:p w14:paraId="7168109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迪斯/音王/锐丰</w:t>
            </w:r>
          </w:p>
        </w:tc>
        <w:tc>
          <w:tcPr>
            <w:tcW w:w="660" w:type="dxa"/>
            <w:shd w:val="clear" w:color="auto" w:fill="auto"/>
            <w:vAlign w:val="center"/>
          </w:tcPr>
          <w:p w14:paraId="49FD08F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53E4AC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2C13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2BCE7E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104</w:t>
            </w:r>
          </w:p>
        </w:tc>
        <w:tc>
          <w:tcPr>
            <w:tcW w:w="1789" w:type="dxa"/>
            <w:vAlign w:val="center"/>
          </w:tcPr>
          <w:p w14:paraId="059336F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调音台航空箱</w:t>
            </w:r>
          </w:p>
        </w:tc>
        <w:tc>
          <w:tcPr>
            <w:tcW w:w="8255" w:type="dxa"/>
            <w:vAlign w:val="center"/>
          </w:tcPr>
          <w:p w14:paraId="0EB9AB22">
            <w:pPr>
              <w:adjustRightInd/>
              <w:spacing w:line="440" w:lineRule="exact"/>
              <w:jc w:val="both"/>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满足工程要求。</w:t>
            </w:r>
          </w:p>
        </w:tc>
        <w:tc>
          <w:tcPr>
            <w:tcW w:w="2077" w:type="dxa"/>
            <w:vAlign w:val="center"/>
          </w:tcPr>
          <w:p w14:paraId="452F65D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16A0C58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14B277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3BCF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1C24F7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105</w:t>
            </w:r>
          </w:p>
        </w:tc>
        <w:tc>
          <w:tcPr>
            <w:tcW w:w="1789" w:type="dxa"/>
            <w:vAlign w:val="center"/>
          </w:tcPr>
          <w:p w14:paraId="218840F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无线话筒航空机箱</w:t>
            </w:r>
          </w:p>
        </w:tc>
        <w:tc>
          <w:tcPr>
            <w:tcW w:w="8255" w:type="dxa"/>
            <w:vAlign w:val="center"/>
          </w:tcPr>
          <w:p w14:paraId="4B1AE1F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满足工程要求。</w:t>
            </w:r>
          </w:p>
        </w:tc>
        <w:tc>
          <w:tcPr>
            <w:tcW w:w="2077" w:type="dxa"/>
            <w:vAlign w:val="center"/>
          </w:tcPr>
          <w:p w14:paraId="3C2F2BC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6D90F51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BAEDE6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572A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84B685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106</w:t>
            </w:r>
          </w:p>
        </w:tc>
        <w:tc>
          <w:tcPr>
            <w:tcW w:w="1789" w:type="dxa"/>
            <w:vAlign w:val="center"/>
          </w:tcPr>
          <w:p w14:paraId="4257CF6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线阵音箱航空箱</w:t>
            </w:r>
          </w:p>
        </w:tc>
        <w:tc>
          <w:tcPr>
            <w:tcW w:w="8255" w:type="dxa"/>
            <w:vAlign w:val="center"/>
          </w:tcPr>
          <w:p w14:paraId="769CBF2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满足工程要求。</w:t>
            </w:r>
          </w:p>
        </w:tc>
        <w:tc>
          <w:tcPr>
            <w:tcW w:w="2077" w:type="dxa"/>
            <w:vAlign w:val="center"/>
          </w:tcPr>
          <w:p w14:paraId="09D4284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67C408D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333762B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4E09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1E1580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107</w:t>
            </w:r>
          </w:p>
        </w:tc>
        <w:tc>
          <w:tcPr>
            <w:tcW w:w="1789" w:type="dxa"/>
            <w:vAlign w:val="center"/>
          </w:tcPr>
          <w:p w14:paraId="774A1D0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超低音箱航空箱</w:t>
            </w:r>
          </w:p>
        </w:tc>
        <w:tc>
          <w:tcPr>
            <w:tcW w:w="8255" w:type="dxa"/>
            <w:vAlign w:val="center"/>
          </w:tcPr>
          <w:p w14:paraId="5CC39C1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满足工程要求。</w:t>
            </w:r>
          </w:p>
        </w:tc>
        <w:tc>
          <w:tcPr>
            <w:tcW w:w="2077" w:type="dxa"/>
            <w:vAlign w:val="center"/>
          </w:tcPr>
          <w:p w14:paraId="4C31399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3282AE5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031F983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0001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7AAB4E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108</w:t>
            </w:r>
          </w:p>
        </w:tc>
        <w:tc>
          <w:tcPr>
            <w:tcW w:w="1789" w:type="dxa"/>
            <w:vAlign w:val="center"/>
          </w:tcPr>
          <w:p w14:paraId="50AEF04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线材航空箱</w:t>
            </w:r>
          </w:p>
        </w:tc>
        <w:tc>
          <w:tcPr>
            <w:tcW w:w="8255" w:type="dxa"/>
            <w:vAlign w:val="center"/>
          </w:tcPr>
          <w:p w14:paraId="2A7B0A3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满足工程要求。</w:t>
            </w:r>
          </w:p>
        </w:tc>
        <w:tc>
          <w:tcPr>
            <w:tcW w:w="2077" w:type="dxa"/>
            <w:vAlign w:val="center"/>
          </w:tcPr>
          <w:p w14:paraId="4A601AA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25C2221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71A0A5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5564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A3B414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109</w:t>
            </w:r>
          </w:p>
        </w:tc>
        <w:tc>
          <w:tcPr>
            <w:tcW w:w="1789" w:type="dxa"/>
            <w:vAlign w:val="center"/>
          </w:tcPr>
          <w:p w14:paraId="5678C7D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带屏蔽成品卡侬线</w:t>
            </w:r>
          </w:p>
        </w:tc>
        <w:tc>
          <w:tcPr>
            <w:tcW w:w="8255" w:type="dxa"/>
            <w:vAlign w:val="center"/>
          </w:tcPr>
          <w:p w14:paraId="7AD96B6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规格：含卡侬公母插头</w:t>
            </w:r>
          </w:p>
          <w:p w14:paraId="368E095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敷设方式：管内穿线</w:t>
            </w:r>
          </w:p>
        </w:tc>
        <w:tc>
          <w:tcPr>
            <w:tcW w:w="2077" w:type="dxa"/>
            <w:vAlign w:val="center"/>
          </w:tcPr>
          <w:p w14:paraId="1E86133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1DDFBBC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7492E7D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48</w:t>
            </w:r>
          </w:p>
        </w:tc>
      </w:tr>
      <w:tr w14:paraId="4F73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ECFAF7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110</w:t>
            </w:r>
          </w:p>
        </w:tc>
        <w:tc>
          <w:tcPr>
            <w:tcW w:w="1789" w:type="dxa"/>
            <w:vAlign w:val="center"/>
          </w:tcPr>
          <w:p w14:paraId="58C809C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音箱线</w:t>
            </w:r>
          </w:p>
        </w:tc>
        <w:tc>
          <w:tcPr>
            <w:tcW w:w="8255" w:type="dxa"/>
            <w:vAlign w:val="center"/>
          </w:tcPr>
          <w:p w14:paraId="559CC36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规格：音箱插头</w:t>
            </w:r>
          </w:p>
          <w:p w14:paraId="5F3C496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敷设方式：管内穿线</w:t>
            </w:r>
          </w:p>
        </w:tc>
        <w:tc>
          <w:tcPr>
            <w:tcW w:w="2077" w:type="dxa"/>
            <w:vAlign w:val="center"/>
          </w:tcPr>
          <w:p w14:paraId="38E3C59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7546D20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5EEA99A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w:t>
            </w:r>
          </w:p>
        </w:tc>
      </w:tr>
      <w:tr w14:paraId="7AF3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23F0F79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十三、多功能厅(213座)舞台灯光系统</w:t>
            </w:r>
          </w:p>
        </w:tc>
      </w:tr>
      <w:tr w14:paraId="6C1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7F2DAB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111</w:t>
            </w:r>
          </w:p>
        </w:tc>
        <w:tc>
          <w:tcPr>
            <w:tcW w:w="1789" w:type="dxa"/>
            <w:vAlign w:val="center"/>
          </w:tcPr>
          <w:p w14:paraId="5C95889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电脑灯控台</w:t>
            </w:r>
          </w:p>
        </w:tc>
        <w:tc>
          <w:tcPr>
            <w:tcW w:w="8255" w:type="dxa"/>
            <w:vAlign w:val="center"/>
          </w:tcPr>
          <w:p w14:paraId="5087D5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≥6个DMX输出，1个DMX输入，连接扩展器，最高可支持131072个通道参数。</w:t>
            </w:r>
          </w:p>
          <w:p w14:paraId="6CB64B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≥内置2个全视角15.4英寸触摸屏+1个9英寸高亮度触摸屏，屏幕可以电动升降调节角度。</w:t>
            </w:r>
          </w:p>
          <w:p w14:paraId="386A47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≥15个进口高精密推杆（60mm）。</w:t>
            </w:r>
          </w:p>
          <w:p w14:paraId="104E7E7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≥2个AB场进口高精密推杆(100mm)。</w:t>
            </w:r>
          </w:p>
          <w:p w14:paraId="145E03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≥1个主控进口高精密推杆。</w:t>
            </w:r>
          </w:p>
          <w:p w14:paraId="79ACE7D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≥6个带PUSH功能编码器。</w:t>
            </w:r>
          </w:p>
          <w:p w14:paraId="2B5002F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≥1个高灵敏轨迹球，1个调光轮。</w:t>
            </w:r>
          </w:p>
          <w:p w14:paraId="64F3A6A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≥1个千兆以太网口，支持MANET，ARTNET，ETC。</w:t>
            </w:r>
          </w:p>
          <w:p w14:paraId="446539E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NET2,PATHPORT,SCAN,SHOWNET,KINET1信号。</w:t>
            </w:r>
          </w:p>
          <w:p w14:paraId="2BC53DB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≥5个USB2.0口&gt;独立可调黄色背光按键,内置键盘和抽屉。</w:t>
            </w:r>
          </w:p>
          <w:p w14:paraId="05BA0AF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≥MIDI输入输出接口，LTC/SMPTE时间码，RDM功能。</w:t>
            </w:r>
          </w:p>
          <w:p w14:paraId="0722121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≥工业主板，内置固态硬盘，G5420CPU，8G内存，内置GEFORCE独立显卡。</w:t>
            </w:r>
          </w:p>
          <w:p w14:paraId="0B7BFA1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支持手持式远程控制。</w:t>
            </w:r>
          </w:p>
          <w:p w14:paraId="1662EEA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支持舞台3D效果模拟，实时现场模拟。</w:t>
            </w:r>
          </w:p>
        </w:tc>
        <w:tc>
          <w:tcPr>
            <w:tcW w:w="2077" w:type="dxa"/>
            <w:vAlign w:val="center"/>
          </w:tcPr>
          <w:p w14:paraId="63ACF47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vAlign w:val="center"/>
          </w:tcPr>
          <w:p w14:paraId="27929F0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0D58DC4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3509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E6107E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112</w:t>
            </w:r>
          </w:p>
        </w:tc>
        <w:tc>
          <w:tcPr>
            <w:tcW w:w="1789" w:type="dxa"/>
            <w:vAlign w:val="center"/>
          </w:tcPr>
          <w:p w14:paraId="3ED1397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19度定焦成像灯（含光源）</w:t>
            </w:r>
          </w:p>
        </w:tc>
        <w:tc>
          <w:tcPr>
            <w:tcW w:w="8255" w:type="dxa"/>
            <w:vAlign w:val="center"/>
          </w:tcPr>
          <w:p w14:paraId="1795359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1.额定功率：≥350W。</w:t>
            </w:r>
          </w:p>
          <w:p w14:paraId="4515325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2.光源功率：≥300W冷/暖白LED模组。</w:t>
            </w:r>
          </w:p>
          <w:p w14:paraId="679AD36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3.需通过无蓝光危害检测，视网膜蓝光危害等级达到RG1级。</w:t>
            </w:r>
          </w:p>
          <w:p w14:paraId="1A16DDF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4.光学系统：光斑均匀,光斑边缘可调整清晰或柔光效果。</w:t>
            </w:r>
          </w:p>
          <w:p w14:paraId="7635E5C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5.色温系统：3200K/4000K/5600K。</w:t>
            </w:r>
          </w:p>
          <w:p w14:paraId="620937F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6.显色指数：CRI≥90超高亮度。</w:t>
            </w:r>
          </w:p>
          <w:p w14:paraId="5FAEAFE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7.光学透镜：10°透镜。</w:t>
            </w:r>
          </w:p>
          <w:p w14:paraId="432929A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8.散热系统：强力静音散热风扇多叶片拉铝，对流传热灯体外壳散热。</w:t>
            </w:r>
          </w:p>
          <w:p w14:paraId="73482AA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9.调光系统：0-255，0%-100%线性调光。</w:t>
            </w:r>
          </w:p>
          <w:p w14:paraId="2495863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10.光学材料：菲涅尔透镜，内置不少于四个遮光片。</w:t>
            </w:r>
          </w:p>
          <w:p w14:paraId="7B97639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11.手动调焦：清晰度应可调，无杂色及阴影。</w:t>
            </w:r>
          </w:p>
          <w:p w14:paraId="550DA68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12.保护系统：绝缘电阻、电气强度试验和泄漏电流需满足“GB 7000.217-2008、GB 7000.1－2015”要求。</w:t>
            </w:r>
          </w:p>
        </w:tc>
        <w:tc>
          <w:tcPr>
            <w:tcW w:w="2077" w:type="dxa"/>
            <w:shd w:val="clear" w:color="auto" w:fill="auto"/>
            <w:vAlign w:val="center"/>
          </w:tcPr>
          <w:p w14:paraId="5939332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2F4C1C0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37FC408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r>
      <w:tr w14:paraId="614F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69DD6F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113</w:t>
            </w:r>
          </w:p>
        </w:tc>
        <w:tc>
          <w:tcPr>
            <w:tcW w:w="1789" w:type="dxa"/>
            <w:vAlign w:val="center"/>
          </w:tcPr>
          <w:p w14:paraId="3E1F449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10度定焦成像灯（含光源）</w:t>
            </w:r>
          </w:p>
        </w:tc>
        <w:tc>
          <w:tcPr>
            <w:tcW w:w="8255" w:type="dxa"/>
            <w:vAlign w:val="center"/>
          </w:tcPr>
          <w:p w14:paraId="699C8D9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1.额定功率：≥350W。</w:t>
            </w:r>
          </w:p>
          <w:p w14:paraId="2EB768C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2.光源功率：≥300W冷/暖白LED模组。</w:t>
            </w:r>
          </w:p>
          <w:p w14:paraId="26E0E4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3.需通过无蓝光危害检测，视网膜蓝光危害等级达到RG1级。</w:t>
            </w:r>
          </w:p>
          <w:p w14:paraId="0E0F971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4.灯珠寿命：不小于50000小时。</w:t>
            </w:r>
          </w:p>
          <w:p w14:paraId="0D18832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5.光学系统：光斑均匀,光斑边缘可调整清晰或柔光效果。</w:t>
            </w:r>
          </w:p>
          <w:p w14:paraId="6C6E82D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6.色温系统：3200K/4000K/5600K。</w:t>
            </w:r>
          </w:p>
          <w:p w14:paraId="6D48924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7.显色指数：CRI≥90超高亮度。</w:t>
            </w:r>
          </w:p>
          <w:p w14:paraId="21F7F4E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8.光学透镜：10°透镜。</w:t>
            </w:r>
          </w:p>
          <w:p w14:paraId="42B3717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9.散热系统：强力静音散热风扇多叶片拉铝，对流传热灯体外壳散热。</w:t>
            </w:r>
          </w:p>
          <w:p w14:paraId="3A09F74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10.调光系统：0-255，0%-100%线性调光。</w:t>
            </w:r>
          </w:p>
          <w:p w14:paraId="4F49C4D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11.光学材料：菲涅尔透镜，内置不少于四个遮光片。</w:t>
            </w:r>
          </w:p>
          <w:p w14:paraId="55E462B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12.手动调焦：清晰度应可调，无杂色及阴影。</w:t>
            </w:r>
          </w:p>
          <w:p w14:paraId="1F9B1B6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13.保护系统：绝缘电阻、电气强度试验和泄漏电流需满足“GB 7000.217-2008、GB 7000.1－2015”要求。</w:t>
            </w:r>
          </w:p>
        </w:tc>
        <w:tc>
          <w:tcPr>
            <w:tcW w:w="2077" w:type="dxa"/>
            <w:shd w:val="clear" w:color="auto" w:fill="auto"/>
            <w:vAlign w:val="center"/>
          </w:tcPr>
          <w:p w14:paraId="2E997E6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6D6C6B6D">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A26CDE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w:t>
            </w:r>
          </w:p>
        </w:tc>
      </w:tr>
      <w:tr w14:paraId="342C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357AA5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114</w:t>
            </w:r>
          </w:p>
        </w:tc>
        <w:tc>
          <w:tcPr>
            <w:tcW w:w="1789" w:type="dxa"/>
            <w:vAlign w:val="center"/>
          </w:tcPr>
          <w:p w14:paraId="253036B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螺纹聚光灯（含光源）</w:t>
            </w:r>
          </w:p>
        </w:tc>
        <w:tc>
          <w:tcPr>
            <w:tcW w:w="8255" w:type="dxa"/>
            <w:vAlign w:val="center"/>
          </w:tcPr>
          <w:p w14:paraId="3E77138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1.光源功率：≥300W冷/暖白LED模组。</w:t>
            </w:r>
          </w:p>
          <w:p w14:paraId="28A616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2.需通过无蓝光危害检测，视网膜蓝光危害等级达到RG1级。</w:t>
            </w:r>
          </w:p>
          <w:p w14:paraId="20CA583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3.灯珠寿命：不小于50000小时。</w:t>
            </w:r>
          </w:p>
          <w:p w14:paraId="73F799B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4.额定功率：≥350W。</w:t>
            </w:r>
          </w:p>
          <w:p w14:paraId="44DBD53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5.色温系统：3000K/4500K/5700K。</w:t>
            </w:r>
          </w:p>
          <w:p w14:paraId="6BBF55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6.保护系统：绝缘电阻、电气强度试验和泄漏电流需满足“GB 7000.217-2008、GB 7000.1－2015”要求。</w:t>
            </w:r>
          </w:p>
          <w:p w14:paraId="2C5BB79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7.显色指数：≥90。</w:t>
            </w:r>
          </w:p>
          <w:p w14:paraId="2AEB235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8.散热系统：强力散热风扇多叶片拉铝，对流传热灯体外壳散热。</w:t>
            </w:r>
          </w:p>
          <w:p w14:paraId="1948689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9.调光系统：0-255，0%-100%线性调光。</w:t>
            </w:r>
          </w:p>
          <w:p w14:paraId="55E17A6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10.光学材料：收光套镜+玻璃螺纹聚光镜。</w:t>
            </w:r>
          </w:p>
          <w:p w14:paraId="11C6767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11.光学角度：15°-50°手动调焦。</w:t>
            </w:r>
          </w:p>
          <w:p w14:paraId="1E9E038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12.控制模式：国际标准DMX512信号、自走、主从。</w:t>
            </w:r>
          </w:p>
        </w:tc>
        <w:tc>
          <w:tcPr>
            <w:tcW w:w="2077" w:type="dxa"/>
            <w:shd w:val="clear" w:color="auto" w:fill="auto"/>
            <w:vAlign w:val="center"/>
          </w:tcPr>
          <w:p w14:paraId="470EADA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12C3966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35F927D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w:t>
            </w:r>
          </w:p>
        </w:tc>
      </w:tr>
      <w:tr w14:paraId="4D14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DFBF8B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115</w:t>
            </w:r>
          </w:p>
        </w:tc>
        <w:tc>
          <w:tcPr>
            <w:tcW w:w="1789" w:type="dxa"/>
            <w:vAlign w:val="center"/>
          </w:tcPr>
          <w:p w14:paraId="6913114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染色灯（含光源）</w:t>
            </w:r>
          </w:p>
        </w:tc>
        <w:tc>
          <w:tcPr>
            <w:tcW w:w="8255" w:type="dxa"/>
            <w:vAlign w:val="center"/>
          </w:tcPr>
          <w:p w14:paraId="6F576DF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1.光源：不少于54颗3WRGBW（R:12颗G:12颗B:12颗W:18颗）。</w:t>
            </w:r>
          </w:p>
          <w:p w14:paraId="0BD2F7B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2.光源系统通过无蓝光危害检测。</w:t>
            </w:r>
          </w:p>
          <w:p w14:paraId="7D4D764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3.具有RGBW混色功能，3200K－7200K色温调节。</w:t>
            </w:r>
          </w:p>
          <w:p w14:paraId="2778FFC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4.额定功率：≥180W。</w:t>
            </w:r>
          </w:p>
          <w:p w14:paraId="3E0DCFD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5.光照角度：25°。</w:t>
            </w:r>
          </w:p>
          <w:p w14:paraId="7DFAE1A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6.控制协议：标准DMX512协议，带双向RDM协议。</w:t>
            </w:r>
          </w:p>
          <w:p w14:paraId="57991A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7.频闪：1-25次每秒高速电子频闪效果。</w:t>
            </w:r>
          </w:p>
          <w:p w14:paraId="0E32BBA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8.调光：64位系统，0～100%精细调光功能，在摄像、照相机下无闪烁，无抖动。</w:t>
            </w:r>
          </w:p>
          <w:p w14:paraId="6D9E33D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9.防护等级：IP65。</w:t>
            </w:r>
          </w:p>
          <w:p w14:paraId="164FD3D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10.功能：RGBW混色/颜色叠加/频闪/调光/自走/高达1670万种颜色变化,有颜色流水功能，速度快慢可调。</w:t>
            </w:r>
          </w:p>
          <w:p w14:paraId="18ABE3B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11.保护系统：绝缘电阻、电气强度试验和泄漏电流需满足“GB 7000.217-2008、GB 7000.1－2015”要求。</w:t>
            </w:r>
          </w:p>
        </w:tc>
        <w:tc>
          <w:tcPr>
            <w:tcW w:w="2077" w:type="dxa"/>
            <w:shd w:val="clear" w:color="auto" w:fill="auto"/>
            <w:vAlign w:val="center"/>
          </w:tcPr>
          <w:p w14:paraId="134871E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5D64620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5C6163A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48</w:t>
            </w:r>
          </w:p>
        </w:tc>
      </w:tr>
      <w:tr w14:paraId="598A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2BA7E2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116</w:t>
            </w:r>
          </w:p>
        </w:tc>
        <w:tc>
          <w:tcPr>
            <w:tcW w:w="1789" w:type="dxa"/>
            <w:vAlign w:val="center"/>
          </w:tcPr>
          <w:p w14:paraId="3557AFD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双色温平板会议灯（含光源）</w:t>
            </w:r>
          </w:p>
        </w:tc>
        <w:tc>
          <w:tcPr>
            <w:tcW w:w="8255" w:type="dxa"/>
            <w:vAlign w:val="center"/>
          </w:tcPr>
          <w:p w14:paraId="2C9B60D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1.输入功率：≥300W。</w:t>
            </w:r>
          </w:p>
          <w:p w14:paraId="3119097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2.功率因数PF≥0.98。</w:t>
            </w:r>
          </w:p>
          <w:p w14:paraId="11DB643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3.色温系统：具备3000K/4000K/5800K可选。</w:t>
            </w:r>
          </w:p>
          <w:p w14:paraId="4162292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4.光源系统：不少于600颗0.5W进口LED节能发光芯片。</w:t>
            </w:r>
          </w:p>
          <w:p w14:paraId="198FEDA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5.光源寿命：不小于6-10万小时。</w:t>
            </w:r>
          </w:p>
          <w:p w14:paraId="42CC888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6.调光系统：0-255，0%-100%线性调光。</w:t>
            </w:r>
          </w:p>
          <w:p w14:paraId="47D7FE1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7.控制协议：DMX512控制，带RDM，手动控制，主从模式，自走模式，具有控台正常控制自走永久同步功能。</w:t>
            </w:r>
          </w:p>
          <w:p w14:paraId="3A21284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8.显色指数：≥97，TLCI≥95。</w:t>
            </w:r>
          </w:p>
          <w:p w14:paraId="144A339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9.光源视网膜蓝光危害等级≤RG0。</w:t>
            </w:r>
          </w:p>
          <w:p w14:paraId="1B9E90A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10.调光系统：具有防闪烁控制系统，频闪波动频率f＞3125Hz时，波动深度无限制，满足高清摄影机拍摄要求。</w:t>
            </w:r>
          </w:p>
          <w:p w14:paraId="324041A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11.出光角度：不小于120度，有不少于4种调光曲线，调光频率需500Hz-25000Hz可选。</w:t>
            </w:r>
          </w:p>
          <w:p w14:paraId="34D429C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12.冷却系统：自然风冷散热。航空铝型材纵置散热器表面导热图层，灯具内置NTC温度控测功能，当LED工作过热时，降低LED的输出功率。</w:t>
            </w:r>
          </w:p>
          <w:p w14:paraId="745A7AD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13.保护系统：绝缘电阻、电气强度试验和泄漏电流需满足“GB 7000.217-2008、GB 7000.1－2015”要求。</w:t>
            </w:r>
          </w:p>
        </w:tc>
        <w:tc>
          <w:tcPr>
            <w:tcW w:w="2077" w:type="dxa"/>
            <w:shd w:val="clear" w:color="auto" w:fill="auto"/>
            <w:vAlign w:val="center"/>
          </w:tcPr>
          <w:p w14:paraId="77C93B5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6B26E73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67AD56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w:t>
            </w:r>
          </w:p>
        </w:tc>
      </w:tr>
      <w:tr w14:paraId="5162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4922C7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117</w:t>
            </w:r>
          </w:p>
        </w:tc>
        <w:tc>
          <w:tcPr>
            <w:tcW w:w="1789" w:type="dxa"/>
            <w:vAlign w:val="center"/>
          </w:tcPr>
          <w:p w14:paraId="28B8802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电脑切割灯（含光源）</w:t>
            </w:r>
          </w:p>
        </w:tc>
        <w:tc>
          <w:tcPr>
            <w:tcW w:w="8255" w:type="dxa"/>
            <w:vAlign w:val="center"/>
          </w:tcPr>
          <w:p w14:paraId="2DA6046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1.额定功率：≥850W。</w:t>
            </w:r>
          </w:p>
          <w:p w14:paraId="58EEC79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2.光源：≥700W LED模组。</w:t>
            </w:r>
          </w:p>
          <w:p w14:paraId="466866F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3.色温：6800K。</w:t>
            </w:r>
          </w:p>
          <w:p w14:paraId="1A04B60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4.显色指数：标准模式Ra&gt;70,高显模式Ra&gt;90。</w:t>
            </w:r>
          </w:p>
          <w:p w14:paraId="63AC5A7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5.光通量：≥24000LM。</w:t>
            </w:r>
          </w:p>
          <w:p w14:paraId="24E6B48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6.信号接口：三芯卡侬座。</w:t>
            </w:r>
          </w:p>
          <w:p w14:paraId="60F18EC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7.控制方式：DMX512、RDM、自走、主从、声控。</w:t>
            </w:r>
          </w:p>
          <w:p w14:paraId="7B2506B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8.通道模式：≥34个国际标准DMX512通道。</w:t>
            </w:r>
          </w:p>
          <w:p w14:paraId="54689EC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9.显示系统：不小于2.8英寸触摸液晶显示屏，中英文显示，180度旋转。</w:t>
            </w:r>
          </w:p>
          <w:p w14:paraId="6613523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10.混色系统：具备CMY混色系统。</w:t>
            </w:r>
          </w:p>
          <w:p w14:paraId="69FCA4D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11.色温调节：具备CTO色温系统，2500-7000K线性调节。</w:t>
            </w:r>
          </w:p>
          <w:p w14:paraId="0911042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12.效果盘：不少于1个动感效果盘。</w:t>
            </w:r>
          </w:p>
          <w:p w14:paraId="50F5C43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13.旋转图案：≥6个图案片(可插拔)+白圆。</w:t>
            </w:r>
          </w:p>
          <w:p w14:paraId="55C00B4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14.固定图案：≥6个图案+白光。</w:t>
            </w:r>
          </w:p>
          <w:p w14:paraId="2CB2714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15.固定颜色：≥5个颜色+白光。</w:t>
            </w:r>
          </w:p>
          <w:p w14:paraId="2302562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16.棱镜系统：不少于一个独立三棱镜。</w:t>
            </w:r>
          </w:p>
          <w:p w14:paraId="0A64C84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17.切割系统：不少于4个独立切割片，每片可单独闭光，可旋转90°。</w:t>
            </w:r>
          </w:p>
          <w:p w14:paraId="3771D64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18.雾化系统：0-100%线性雾化。</w:t>
            </w:r>
          </w:p>
          <w:p w14:paraId="5F9900D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19.调焦：4.7°-42°线性变焦。</w:t>
            </w:r>
          </w:p>
          <w:p w14:paraId="342AFA9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20.调光系统：0-100%线性调节。</w:t>
            </w:r>
          </w:p>
          <w:p w14:paraId="5A74B55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21.频闪系统：频率最高25Hz，并可选择随机频闪及脉冲频闪。</w:t>
            </w:r>
          </w:p>
          <w:p w14:paraId="187F47C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22.水平扫描：540°(16bit精度扫描)；垂直扫描：270°(16bi精度扫描)。</w:t>
            </w:r>
          </w:p>
          <w:p w14:paraId="197C492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23.保护系统：绝缘电阻、电气强度试验和泄漏电流需满足“GB 7000.217-2008、GB 7000.1－2015”要求。</w:t>
            </w:r>
          </w:p>
        </w:tc>
        <w:tc>
          <w:tcPr>
            <w:tcW w:w="2077" w:type="dxa"/>
            <w:shd w:val="clear" w:color="auto" w:fill="auto"/>
            <w:vAlign w:val="center"/>
          </w:tcPr>
          <w:p w14:paraId="76BAF31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0F2087B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0048E17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w:t>
            </w:r>
          </w:p>
        </w:tc>
      </w:tr>
      <w:tr w14:paraId="6467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2290A9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118</w:t>
            </w:r>
          </w:p>
        </w:tc>
        <w:tc>
          <w:tcPr>
            <w:tcW w:w="1789" w:type="dxa"/>
            <w:vAlign w:val="center"/>
          </w:tcPr>
          <w:p w14:paraId="0D9E28E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三合一电脑灯（含光源）</w:t>
            </w:r>
          </w:p>
        </w:tc>
        <w:tc>
          <w:tcPr>
            <w:tcW w:w="8255" w:type="dxa"/>
            <w:vAlign w:val="center"/>
          </w:tcPr>
          <w:p w14:paraId="7E6BB2E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1.流明照度：5米不小于120000LM。</w:t>
            </w:r>
          </w:p>
          <w:p w14:paraId="5045540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2.额定功率：不小于460W。</w:t>
            </w:r>
          </w:p>
          <w:p w14:paraId="1743596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3.水平扫描：540度(16位精密扫描)电子纠错。</w:t>
            </w:r>
          </w:p>
          <w:p w14:paraId="36A04D9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4.垂直扫描：270度(16位精密扫描)电子纠错。</w:t>
            </w:r>
          </w:p>
          <w:p w14:paraId="1CA73B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5.调光系统：0-100%线性调节。</w:t>
            </w:r>
          </w:p>
          <w:p w14:paraId="1711925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6.聚焦系统：从4米到50米线性调节。</w:t>
            </w:r>
          </w:p>
          <w:p w14:paraId="708D16C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7.雾化系统：不少于1个独立雾化效果，光斑柔和自然。</w:t>
            </w:r>
          </w:p>
          <w:p w14:paraId="32C1BAA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8.放大角度：4-35度。</w:t>
            </w:r>
          </w:p>
          <w:p w14:paraId="5DFF839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9.高速频闪：0-30次/秒，调速频闪效果可调。</w:t>
            </w:r>
          </w:p>
          <w:p w14:paraId="318CD1B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10.颜色：不少于8个颜色+白光。</w:t>
            </w:r>
          </w:p>
          <w:p w14:paraId="7E2FFEF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11.调色系统：线性CMY+CTO调色系统。</w:t>
            </w:r>
          </w:p>
          <w:p w14:paraId="27A73CA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12.固定图案：不少于12个固定图案+白光。</w:t>
            </w:r>
          </w:p>
          <w:p w14:paraId="24C7AE7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13.旋转图案：不少于7个玻璃图案+白光，每个玻璃图案可独立正反转。</w:t>
            </w:r>
          </w:p>
          <w:p w14:paraId="04EEA4C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14.棱镜系统：不少于一个8棱镜+1个3棱镜，每个棱镜可独立正反向。</w:t>
            </w:r>
          </w:p>
          <w:p w14:paraId="4995352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15.保护系统：绝缘电阻、电气强度试验和泄漏电流需满足“GB 7000.217-2008、GB 7000.1－2015”要求。</w:t>
            </w:r>
          </w:p>
        </w:tc>
        <w:tc>
          <w:tcPr>
            <w:tcW w:w="2077" w:type="dxa"/>
            <w:shd w:val="clear" w:color="auto" w:fill="auto"/>
            <w:vAlign w:val="center"/>
          </w:tcPr>
          <w:p w14:paraId="10E46B6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56F275D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20BFD2D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w:t>
            </w:r>
          </w:p>
        </w:tc>
      </w:tr>
      <w:tr w14:paraId="017E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E57038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119</w:t>
            </w:r>
          </w:p>
        </w:tc>
        <w:tc>
          <w:tcPr>
            <w:tcW w:w="1789" w:type="dxa"/>
            <w:vAlign w:val="center"/>
          </w:tcPr>
          <w:p w14:paraId="5B53D58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LED追光灯（含光源）</w:t>
            </w:r>
          </w:p>
        </w:tc>
        <w:tc>
          <w:tcPr>
            <w:tcW w:w="8255" w:type="dxa"/>
            <w:vAlign w:val="center"/>
          </w:tcPr>
          <w:p w14:paraId="6F5C429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1.功率：≥800W。</w:t>
            </w:r>
          </w:p>
          <w:p w14:paraId="548FC4B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2.色温：3200K/4500K/6500K。</w:t>
            </w:r>
          </w:p>
          <w:p w14:paraId="01E7662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3.光源：LED600W灯珠 进口芯片寿命需达50000小时。</w:t>
            </w:r>
          </w:p>
          <w:p w14:paraId="3DF1A59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4.颜色：不少于五色＋白光（红橙黄绿蓝白）。</w:t>
            </w:r>
          </w:p>
          <w:p w14:paraId="21DBE59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5.光圈：推杆应能调节光圈大小，清晰度手动调节。</w:t>
            </w:r>
          </w:p>
          <w:p w14:paraId="35AF637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6.频闪：1-11次/秒。</w:t>
            </w:r>
          </w:p>
          <w:p w14:paraId="385FC58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7.投射距离：可调焦，可以调远近以及清晰度 10-50米/10-120米。</w:t>
            </w:r>
          </w:p>
          <w:p w14:paraId="580F42E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8.散热系统：铝片散热。</w:t>
            </w:r>
          </w:p>
          <w:p w14:paraId="55A4C94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9.保护系统：绝缘电阻、电气强度试验和泄漏电流需满足“GB 7000.217-2008、GB 7000.1－2015”要求。</w:t>
            </w:r>
          </w:p>
        </w:tc>
        <w:tc>
          <w:tcPr>
            <w:tcW w:w="2077" w:type="dxa"/>
            <w:shd w:val="clear" w:color="auto" w:fill="auto"/>
            <w:vAlign w:val="center"/>
          </w:tcPr>
          <w:p w14:paraId="76203DF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6F2CD41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4B6BDD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7AAB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32A575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120</w:t>
            </w:r>
          </w:p>
        </w:tc>
        <w:tc>
          <w:tcPr>
            <w:tcW w:w="1789" w:type="dxa"/>
            <w:vAlign w:val="center"/>
          </w:tcPr>
          <w:p w14:paraId="5EE82BC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双雾机</w:t>
            </w:r>
          </w:p>
        </w:tc>
        <w:tc>
          <w:tcPr>
            <w:tcW w:w="8255" w:type="dxa"/>
            <w:vAlign w:val="center"/>
          </w:tcPr>
          <w:p w14:paraId="6D149FF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1.额定功率：≥500W。</w:t>
            </w:r>
          </w:p>
          <w:p w14:paraId="47A7F20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2.喷烟总量：≥3000cu.ft/分钟。</w:t>
            </w:r>
          </w:p>
          <w:p w14:paraId="1CDED98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3.油瓶容量：≥5L。</w:t>
            </w:r>
          </w:p>
          <w:p w14:paraId="73FD90F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4.无需预热，支持长时间连续喷烟。</w:t>
            </w:r>
          </w:p>
          <w:p w14:paraId="140AF7E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5.需含控制器、液晶定时控制器。</w:t>
            </w:r>
          </w:p>
          <w:p w14:paraId="5DE40DD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6.DMX512(单通道控制喷烟)。</w:t>
            </w:r>
          </w:p>
        </w:tc>
        <w:tc>
          <w:tcPr>
            <w:tcW w:w="2077" w:type="dxa"/>
            <w:shd w:val="clear" w:color="auto" w:fill="auto"/>
            <w:vAlign w:val="center"/>
          </w:tcPr>
          <w:p w14:paraId="48E97F9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58A8247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1D89962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6CA9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AB60F6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121</w:t>
            </w:r>
          </w:p>
        </w:tc>
        <w:tc>
          <w:tcPr>
            <w:tcW w:w="1789" w:type="dxa"/>
            <w:vAlign w:val="center"/>
          </w:tcPr>
          <w:p w14:paraId="5A6721E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8路信号放大器</w:t>
            </w:r>
          </w:p>
        </w:tc>
        <w:tc>
          <w:tcPr>
            <w:tcW w:w="8255" w:type="dxa"/>
            <w:vAlign w:val="center"/>
          </w:tcPr>
          <w:p w14:paraId="3EF0E83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一进八出</w:t>
            </w:r>
          </w:p>
        </w:tc>
        <w:tc>
          <w:tcPr>
            <w:tcW w:w="2077" w:type="dxa"/>
            <w:shd w:val="clear" w:color="auto" w:fill="auto"/>
            <w:vAlign w:val="center"/>
          </w:tcPr>
          <w:p w14:paraId="48F97F6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759C643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65FDD55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w:t>
            </w:r>
          </w:p>
        </w:tc>
      </w:tr>
      <w:tr w14:paraId="106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582489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122</w:t>
            </w:r>
          </w:p>
        </w:tc>
        <w:tc>
          <w:tcPr>
            <w:tcW w:w="1789" w:type="dxa"/>
            <w:vAlign w:val="center"/>
          </w:tcPr>
          <w:p w14:paraId="691222E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直通柜/箱</w:t>
            </w:r>
          </w:p>
        </w:tc>
        <w:tc>
          <w:tcPr>
            <w:tcW w:w="8255" w:type="dxa"/>
            <w:vAlign w:val="center"/>
          </w:tcPr>
          <w:p w14:paraId="55F7D25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1.输入电流：自锁式交错零火的400A犀牛插。</w:t>
            </w:r>
          </w:p>
          <w:p w14:paraId="7046C85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2.显示：具备三相A.B.C直读式独立液晶电流、电压表显示，无需切换即可实时监测各项数据。</w:t>
            </w:r>
          </w:p>
          <w:p w14:paraId="6C04482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3.输出：不少于48路40A胶木输出,每路输出带指示灯显示。</w:t>
            </w:r>
          </w:p>
          <w:p w14:paraId="3AFD021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4.控制系统：总控采用250A总空开。每路独立分空开C20A，具备过载，短路双重保护。</w:t>
            </w:r>
          </w:p>
        </w:tc>
        <w:tc>
          <w:tcPr>
            <w:tcW w:w="2077" w:type="dxa"/>
            <w:shd w:val="clear" w:color="auto" w:fill="auto"/>
            <w:vAlign w:val="center"/>
          </w:tcPr>
          <w:p w14:paraId="2E79381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42BB264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个</w:t>
            </w:r>
          </w:p>
        </w:tc>
        <w:tc>
          <w:tcPr>
            <w:tcW w:w="859" w:type="dxa"/>
            <w:vAlign w:val="center"/>
          </w:tcPr>
          <w:p w14:paraId="4BF4239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374E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5ABE87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123</w:t>
            </w:r>
          </w:p>
        </w:tc>
        <w:tc>
          <w:tcPr>
            <w:tcW w:w="1789" w:type="dxa"/>
            <w:vAlign w:val="center"/>
          </w:tcPr>
          <w:p w14:paraId="3D351A0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灯光其他配件</w:t>
            </w:r>
          </w:p>
        </w:tc>
        <w:tc>
          <w:tcPr>
            <w:tcW w:w="8255" w:type="dxa"/>
            <w:vAlign w:val="center"/>
          </w:tcPr>
          <w:p w14:paraId="495271F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类别：灯光接口箱盒、接插件等，满足工程要求</w:t>
            </w:r>
          </w:p>
        </w:tc>
        <w:tc>
          <w:tcPr>
            <w:tcW w:w="2077" w:type="dxa"/>
            <w:shd w:val="clear" w:color="auto" w:fill="auto"/>
            <w:vAlign w:val="center"/>
          </w:tcPr>
          <w:p w14:paraId="5715EE7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331C337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项</w:t>
            </w:r>
          </w:p>
        </w:tc>
        <w:tc>
          <w:tcPr>
            <w:tcW w:w="859" w:type="dxa"/>
            <w:vAlign w:val="center"/>
          </w:tcPr>
          <w:p w14:paraId="3EB77E0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A8E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6CCDB77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十四、流动灯光系统</w:t>
            </w:r>
          </w:p>
        </w:tc>
      </w:tr>
      <w:tr w14:paraId="1B0D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7EE272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124</w:t>
            </w:r>
          </w:p>
        </w:tc>
        <w:tc>
          <w:tcPr>
            <w:tcW w:w="1789" w:type="dxa"/>
            <w:vAlign w:val="center"/>
          </w:tcPr>
          <w:p w14:paraId="1364BBE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电脑灯光控制台</w:t>
            </w:r>
          </w:p>
        </w:tc>
        <w:tc>
          <w:tcPr>
            <w:tcW w:w="8255" w:type="dxa"/>
            <w:vAlign w:val="center"/>
          </w:tcPr>
          <w:p w14:paraId="37D041F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1.DMX512/1990标准，最大不少于1024个DMX控制通道，两路光电隔离信号输出。</w:t>
            </w:r>
          </w:p>
          <w:p w14:paraId="6FEEC80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2.最大控制不少于96台电脑灯或96路调光。</w:t>
            </w:r>
          </w:p>
          <w:p w14:paraId="371D1B0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3.新增Art-net,内置模拟器功能。</w:t>
            </w:r>
          </w:p>
          <w:p w14:paraId="54637BB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4.新增RDM双向输出,可在控台设置灯的地址码。</w:t>
            </w:r>
          </w:p>
          <w:p w14:paraId="68A9CF7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5.使用珍珠灯库（R20格式灯库），且控台上可自行编写灯库。</w:t>
            </w:r>
          </w:p>
          <w:p w14:paraId="6F76BB4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6.带背光的LCD显示屏，首创的中英文显示可切换界面。面板中英文可选。</w:t>
            </w:r>
          </w:p>
          <w:p w14:paraId="11F589B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7.内置图形轨迹发生器，有不少于135个内置图形。</w:t>
            </w:r>
          </w:p>
          <w:p w14:paraId="2E255D0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8.图形参数（如：振幅、速度、间隔、波浪、方向）均可独立设置，更方便快捷的做出想要的造型和场景。</w:t>
            </w:r>
          </w:p>
          <w:p w14:paraId="4B33D6F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9.每个场景可保存图形数量不少于5个。同时可运行图形数量不少于10个。</w:t>
            </w:r>
          </w:p>
          <w:p w14:paraId="54345BD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10.可储存不少于60个素材。</w:t>
            </w:r>
          </w:p>
          <w:p w14:paraId="720B54C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11.可储存不少于60个重演场景，用于储存多步场景和单步场景。每个多步场景最多可储存不少于600个单步。</w:t>
            </w:r>
          </w:p>
          <w:p w14:paraId="7F2FC22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12.可同时输出和运行10个重演场景。</w:t>
            </w:r>
          </w:p>
          <w:p w14:paraId="610711A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13.带不少于10根集控推杆。按键点控和推杆集控兼容。</w:t>
            </w:r>
          </w:p>
          <w:p w14:paraId="3125A4A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14.支持重新配节地址码、垂直水平交换、通道输出反向等功能。</w:t>
            </w:r>
          </w:p>
          <w:p w14:paraId="46998C9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15.关机或者突发断电等情况数据可记忆保持。</w:t>
            </w:r>
          </w:p>
          <w:p w14:paraId="1CB3207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16.支持远程软件升级。</w:t>
            </w:r>
          </w:p>
        </w:tc>
        <w:tc>
          <w:tcPr>
            <w:tcW w:w="2077" w:type="dxa"/>
            <w:shd w:val="clear" w:color="auto" w:fill="auto"/>
            <w:vAlign w:val="center"/>
          </w:tcPr>
          <w:p w14:paraId="401FC1F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6146BB3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9748AD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16A5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A05DE4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125</w:t>
            </w:r>
          </w:p>
        </w:tc>
        <w:tc>
          <w:tcPr>
            <w:tcW w:w="1789" w:type="dxa"/>
            <w:vAlign w:val="center"/>
          </w:tcPr>
          <w:p w14:paraId="5DEE547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四眼面光灯（含光源）</w:t>
            </w:r>
          </w:p>
        </w:tc>
        <w:tc>
          <w:tcPr>
            <w:tcW w:w="8255" w:type="dxa"/>
            <w:vAlign w:val="center"/>
          </w:tcPr>
          <w:p w14:paraId="5847CC3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1.额定功率：≥200W。</w:t>
            </w:r>
          </w:p>
          <w:p w14:paraId="33BC500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2.光束角度：标准25度。</w:t>
            </w:r>
          </w:p>
          <w:p w14:paraId="37D6EA5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3.光源功率：不少于四颗超亮LED单颗60W(四颗灯珠同时有3200色温和5600色。温)摄影无频闪，无眩光。</w:t>
            </w:r>
          </w:p>
          <w:p w14:paraId="3C60595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4.色温系统：具备3200K-8500K色温系统线性调节、独立高速频闪。</w:t>
            </w:r>
          </w:p>
          <w:p w14:paraId="3918659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5.散热方式：散热片加智能低噪音风机散热。</w:t>
            </w:r>
          </w:p>
          <w:p w14:paraId="40A6D20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6.温度监控：需内置温度保护传感器。</w:t>
            </w:r>
          </w:p>
          <w:p w14:paraId="48748A1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7.控制模式：灯具内置宏功能。DMX有线/无线信号可选/手动模式，自走，主附机控制，支持RDM协议。</w:t>
            </w:r>
          </w:p>
          <w:p w14:paraId="267CBC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8.防护等级：IP65。</w:t>
            </w:r>
          </w:p>
          <w:p w14:paraId="6F2DED8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9.保护系统：绝缘电阻、电气强度试验和泄漏电流需满足“GB 7000.217-2008、GB 7000.1－2015”要求。</w:t>
            </w:r>
          </w:p>
        </w:tc>
        <w:tc>
          <w:tcPr>
            <w:tcW w:w="2077" w:type="dxa"/>
            <w:shd w:val="clear" w:color="auto" w:fill="auto"/>
            <w:vAlign w:val="center"/>
          </w:tcPr>
          <w:p w14:paraId="16392D33">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59972FDA">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750F964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26</w:t>
            </w:r>
          </w:p>
        </w:tc>
      </w:tr>
      <w:tr w14:paraId="62BF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D73A06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126</w:t>
            </w:r>
          </w:p>
        </w:tc>
        <w:tc>
          <w:tcPr>
            <w:tcW w:w="1789" w:type="dxa"/>
            <w:vAlign w:val="center"/>
          </w:tcPr>
          <w:p w14:paraId="44B39B1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全彩LED染色灯（含光源）</w:t>
            </w:r>
          </w:p>
        </w:tc>
        <w:tc>
          <w:tcPr>
            <w:tcW w:w="8255" w:type="dxa"/>
            <w:vAlign w:val="center"/>
          </w:tcPr>
          <w:p w14:paraId="76F678B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1.光源：不少于54颗3WRGBW（R:12颗G:12颗B:12颗W:18颗）。</w:t>
            </w:r>
          </w:p>
          <w:p w14:paraId="6BD8C64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2.光源系统通过无蓝光危害检测。</w:t>
            </w:r>
          </w:p>
          <w:p w14:paraId="7901D7B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3.具有RGBW混色功能，3200K－7200K色温调节。</w:t>
            </w:r>
          </w:p>
          <w:p w14:paraId="3634926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4.额定功率：≥180W。</w:t>
            </w:r>
          </w:p>
          <w:p w14:paraId="7B7C5A2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5.光照角度：25°。</w:t>
            </w:r>
          </w:p>
          <w:p w14:paraId="4F7829A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6.控制协议：标准DMX512协议，带双向RDM协议。</w:t>
            </w:r>
          </w:p>
          <w:p w14:paraId="455C8DC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7.频闪：1-25次每秒高速电子频闪效果。</w:t>
            </w:r>
          </w:p>
          <w:p w14:paraId="3EF0AAE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8.调光：64位系统，0～100%精细调光功能，在摄像、照相机下无闪烁，无抖动。</w:t>
            </w:r>
          </w:p>
          <w:p w14:paraId="28525E7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9.防护等级：IP65。</w:t>
            </w:r>
          </w:p>
          <w:p w14:paraId="276028F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10.功能：RGBW混色/颜色叠加/频闪/调光/自走/高达1670万种颜色变化,有颜色流水功能，速度快慢可调。</w:t>
            </w:r>
          </w:p>
          <w:p w14:paraId="42A51A3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11.保护系统：绝缘电阻、电气强度试验和泄漏电流需满足“GB 7000.217-2008、GB 7000.1－2015”要求。</w:t>
            </w:r>
          </w:p>
        </w:tc>
        <w:tc>
          <w:tcPr>
            <w:tcW w:w="2077" w:type="dxa"/>
            <w:shd w:val="clear" w:color="auto" w:fill="auto"/>
            <w:vAlign w:val="center"/>
          </w:tcPr>
          <w:p w14:paraId="39EBF26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6576AA7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01C95F1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24</w:t>
            </w:r>
          </w:p>
        </w:tc>
      </w:tr>
      <w:tr w14:paraId="0F8F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1757C3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127</w:t>
            </w:r>
          </w:p>
        </w:tc>
        <w:tc>
          <w:tcPr>
            <w:tcW w:w="1789" w:type="dxa"/>
            <w:vAlign w:val="center"/>
          </w:tcPr>
          <w:p w14:paraId="4EB26A6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信号放大器</w:t>
            </w:r>
          </w:p>
        </w:tc>
        <w:tc>
          <w:tcPr>
            <w:tcW w:w="8255" w:type="dxa"/>
            <w:vAlign w:val="center"/>
          </w:tcPr>
          <w:p w14:paraId="48D0553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一进八出</w:t>
            </w:r>
          </w:p>
        </w:tc>
        <w:tc>
          <w:tcPr>
            <w:tcW w:w="2077" w:type="dxa"/>
            <w:shd w:val="clear" w:color="auto" w:fill="auto"/>
            <w:vAlign w:val="center"/>
          </w:tcPr>
          <w:p w14:paraId="1251FF4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010068B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0A1568F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01EB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0F6E87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128</w:t>
            </w:r>
          </w:p>
        </w:tc>
        <w:tc>
          <w:tcPr>
            <w:tcW w:w="1789" w:type="dxa"/>
            <w:vAlign w:val="center"/>
          </w:tcPr>
          <w:p w14:paraId="35F2DE2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全数字直通箱</w:t>
            </w:r>
          </w:p>
        </w:tc>
        <w:tc>
          <w:tcPr>
            <w:tcW w:w="8255" w:type="dxa"/>
            <w:vAlign w:val="center"/>
          </w:tcPr>
          <w:p w14:paraId="1E3E083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1.供电：三相AC380V±10％，频率50Hz±5％。</w:t>
            </w:r>
          </w:p>
          <w:p w14:paraId="6D52745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2.额定功率：≥12路×4KW。可适用于任何负载。</w:t>
            </w:r>
          </w:p>
          <w:p w14:paraId="271D8A8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3.过载与短路双重保护高分断空气开关。</w:t>
            </w:r>
          </w:p>
          <w:p w14:paraId="700CE5C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4.不少于12路40A胶木插输出。</w:t>
            </w:r>
          </w:p>
          <w:p w14:paraId="176BD08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5.内置不少于12个继电器带远程控制，继电器采用高品质铜镀镍材质瞬间触发。</w:t>
            </w:r>
          </w:p>
          <w:p w14:paraId="3B97989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6.带国际DMX512信号协议、Art-net灯光网络协议、智能控制定制协议三种控制模式。</w:t>
            </w:r>
          </w:p>
          <w:p w14:paraId="25820A8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7.可通过配套的智能控制系统，单独电控界面实时控制。</w:t>
            </w:r>
          </w:p>
          <w:p w14:paraId="6BC630A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8.可独立设置每一路通电时初始的通断状态模式。</w:t>
            </w:r>
          </w:p>
          <w:p w14:paraId="33D2448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9.模式选择：A开机执行、B延时执行、C立即执行三种模式。</w:t>
            </w:r>
          </w:p>
        </w:tc>
        <w:tc>
          <w:tcPr>
            <w:tcW w:w="2077" w:type="dxa"/>
            <w:shd w:val="clear" w:color="auto" w:fill="auto"/>
            <w:vAlign w:val="center"/>
          </w:tcPr>
          <w:p w14:paraId="397AC36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铭瀚/光汇/东蒙</w:t>
            </w:r>
          </w:p>
        </w:tc>
        <w:tc>
          <w:tcPr>
            <w:tcW w:w="660" w:type="dxa"/>
            <w:shd w:val="clear" w:color="auto" w:fill="auto"/>
            <w:vAlign w:val="center"/>
          </w:tcPr>
          <w:p w14:paraId="62E0472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台</w:t>
            </w:r>
          </w:p>
        </w:tc>
        <w:tc>
          <w:tcPr>
            <w:tcW w:w="859" w:type="dxa"/>
            <w:vAlign w:val="center"/>
          </w:tcPr>
          <w:p w14:paraId="431A26E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r>
      <w:tr w14:paraId="25B4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628899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129</w:t>
            </w:r>
          </w:p>
        </w:tc>
        <w:tc>
          <w:tcPr>
            <w:tcW w:w="1789" w:type="dxa"/>
            <w:vAlign w:val="center"/>
          </w:tcPr>
          <w:p w14:paraId="5B203DD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螺丝式四方架</w:t>
            </w:r>
          </w:p>
        </w:tc>
        <w:tc>
          <w:tcPr>
            <w:tcW w:w="8255" w:type="dxa"/>
            <w:vAlign w:val="center"/>
          </w:tcPr>
          <w:p w14:paraId="621F86F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类别：1.材质：国标铝合金。2.规格：400*400。3.相应桁架接头，满足工程要求。</w:t>
            </w:r>
          </w:p>
        </w:tc>
        <w:tc>
          <w:tcPr>
            <w:tcW w:w="2077" w:type="dxa"/>
            <w:shd w:val="clear" w:color="auto" w:fill="auto"/>
            <w:vAlign w:val="center"/>
          </w:tcPr>
          <w:p w14:paraId="0D891F3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366DEDD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380CB1F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66</w:t>
            </w:r>
          </w:p>
        </w:tc>
      </w:tr>
      <w:tr w14:paraId="6E24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DACE64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130</w:t>
            </w:r>
          </w:p>
        </w:tc>
        <w:tc>
          <w:tcPr>
            <w:tcW w:w="1789" w:type="dxa"/>
            <w:vAlign w:val="center"/>
          </w:tcPr>
          <w:p w14:paraId="470B85C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流动灯光系统其他配件</w:t>
            </w:r>
          </w:p>
        </w:tc>
        <w:tc>
          <w:tcPr>
            <w:tcW w:w="8255" w:type="dxa"/>
            <w:vAlign w:val="center"/>
          </w:tcPr>
          <w:p w14:paraId="321EDE2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类别：国标尺寸对应相应桁架铁板底座、灯光接插件，满足工程要求。</w:t>
            </w:r>
          </w:p>
        </w:tc>
        <w:tc>
          <w:tcPr>
            <w:tcW w:w="2077" w:type="dxa"/>
            <w:shd w:val="clear" w:color="auto" w:fill="auto"/>
            <w:vAlign w:val="center"/>
          </w:tcPr>
          <w:p w14:paraId="28297D9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4E74F09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项</w:t>
            </w:r>
          </w:p>
        </w:tc>
        <w:tc>
          <w:tcPr>
            <w:tcW w:w="859" w:type="dxa"/>
            <w:vAlign w:val="center"/>
          </w:tcPr>
          <w:p w14:paraId="7F26800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432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0E53C28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十五、多功能厅舞台机械(幕布)系统</w:t>
            </w:r>
          </w:p>
        </w:tc>
      </w:tr>
      <w:tr w14:paraId="324C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470B82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131</w:t>
            </w:r>
          </w:p>
        </w:tc>
        <w:tc>
          <w:tcPr>
            <w:tcW w:w="1789" w:type="dxa"/>
            <w:vAlign w:val="center"/>
          </w:tcPr>
          <w:p w14:paraId="37F9245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对开二幕机</w:t>
            </w:r>
          </w:p>
        </w:tc>
        <w:tc>
          <w:tcPr>
            <w:tcW w:w="8255" w:type="dxa"/>
            <w:vAlign w:val="center"/>
          </w:tcPr>
          <w:p w14:paraId="550FDBE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1.对开幕机。</w:t>
            </w:r>
          </w:p>
          <w:p w14:paraId="5D08E87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2.对开速度：0.4m/s。</w:t>
            </w:r>
          </w:p>
          <w:p w14:paraId="65B1994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3.电机功率：0.75kW。</w:t>
            </w:r>
          </w:p>
          <w:p w14:paraId="48C22A3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4.载荷：幕布重。</w:t>
            </w:r>
          </w:p>
          <w:p w14:paraId="46AFD7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5.拉力（牵引力）：800N。</w:t>
            </w:r>
          </w:p>
          <w:p w14:paraId="2B0C5F7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6.安全措施：具有开闭限位开关。</w:t>
            </w:r>
          </w:p>
          <w:p w14:paraId="37B8425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7.设备为成套设备，包含导轨、牵引装置、滑车挂钩、限位开关等配件。</w:t>
            </w:r>
          </w:p>
        </w:tc>
        <w:tc>
          <w:tcPr>
            <w:tcW w:w="2077" w:type="dxa"/>
            <w:vAlign w:val="center"/>
          </w:tcPr>
          <w:p w14:paraId="2780ABE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vAlign w:val="center"/>
          </w:tcPr>
          <w:p w14:paraId="6B12822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7BFCE4F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0E31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AD3B3C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132</w:t>
            </w:r>
          </w:p>
        </w:tc>
        <w:tc>
          <w:tcPr>
            <w:tcW w:w="1789" w:type="dxa"/>
            <w:vAlign w:val="center"/>
          </w:tcPr>
          <w:p w14:paraId="0444C4D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轨道式链式吊机</w:t>
            </w:r>
          </w:p>
        </w:tc>
        <w:tc>
          <w:tcPr>
            <w:tcW w:w="8255" w:type="dxa"/>
            <w:vAlign w:val="center"/>
          </w:tcPr>
          <w:p w14:paraId="2B0041F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1.速度：升降≥4m/min，平移手动。</w:t>
            </w:r>
          </w:p>
          <w:p w14:paraId="5682397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2.载荷：5kN。</w:t>
            </w:r>
          </w:p>
          <w:p w14:paraId="2D57F7A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3.行程：升降7m，平移按实际。</w:t>
            </w:r>
          </w:p>
          <w:p w14:paraId="555E16B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4.传动形式：升降电动环链，平移手动。</w:t>
            </w:r>
          </w:p>
          <w:p w14:paraId="0AA862D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5.包含移动横梁及行走轮，可沿横纵两个方向灵活移动，单个吊重不小于5kN。</w:t>
            </w:r>
          </w:p>
        </w:tc>
        <w:tc>
          <w:tcPr>
            <w:tcW w:w="2077" w:type="dxa"/>
            <w:shd w:val="clear" w:color="auto" w:fill="auto"/>
            <w:vAlign w:val="center"/>
          </w:tcPr>
          <w:p w14:paraId="0703075D">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7979E7A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8F108E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w:t>
            </w:r>
          </w:p>
        </w:tc>
      </w:tr>
      <w:tr w14:paraId="68CA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35BD4F6">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133</w:t>
            </w:r>
          </w:p>
        </w:tc>
        <w:tc>
          <w:tcPr>
            <w:tcW w:w="1789" w:type="dxa"/>
            <w:vAlign w:val="center"/>
          </w:tcPr>
          <w:p w14:paraId="2A5F37C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可拆卸灯光杆</w:t>
            </w:r>
          </w:p>
        </w:tc>
        <w:tc>
          <w:tcPr>
            <w:tcW w:w="8255" w:type="dxa"/>
            <w:vAlign w:val="center"/>
          </w:tcPr>
          <w:p w14:paraId="24D17B6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1.φ48mm圆管定制挂灯杆，两端带灵活管夹，可快速拆卸和固定。</w:t>
            </w:r>
          </w:p>
          <w:p w14:paraId="6810B46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2.吊挂载荷：每件灯杆≤1kN。</w:t>
            </w:r>
          </w:p>
        </w:tc>
        <w:tc>
          <w:tcPr>
            <w:tcW w:w="2077" w:type="dxa"/>
            <w:shd w:val="clear" w:color="auto" w:fill="auto"/>
            <w:vAlign w:val="center"/>
          </w:tcPr>
          <w:p w14:paraId="2D341431">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3A5D738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58BC3C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w:t>
            </w:r>
          </w:p>
        </w:tc>
      </w:tr>
      <w:tr w14:paraId="223B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795BD3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134</w:t>
            </w:r>
          </w:p>
        </w:tc>
        <w:tc>
          <w:tcPr>
            <w:tcW w:w="1789" w:type="dxa"/>
            <w:vAlign w:val="center"/>
          </w:tcPr>
          <w:p w14:paraId="2C89252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灯光TRUSS架</w:t>
            </w:r>
          </w:p>
        </w:tc>
        <w:tc>
          <w:tcPr>
            <w:tcW w:w="8255" w:type="dxa"/>
            <w:vAlign w:val="center"/>
          </w:tcPr>
          <w:p w14:paraId="23FC718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铝合金三角TRUSS架，截面尺寸300mm*300mm*300mm，单元长度2m，可灵活拼接组合成需要的长度，配套连接附件。</w:t>
            </w:r>
          </w:p>
        </w:tc>
        <w:tc>
          <w:tcPr>
            <w:tcW w:w="2077" w:type="dxa"/>
            <w:shd w:val="clear" w:color="auto" w:fill="auto"/>
            <w:vAlign w:val="center"/>
          </w:tcPr>
          <w:p w14:paraId="6C8D998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4B50C43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米</w:t>
            </w:r>
          </w:p>
        </w:tc>
        <w:tc>
          <w:tcPr>
            <w:tcW w:w="859" w:type="dxa"/>
            <w:vAlign w:val="center"/>
          </w:tcPr>
          <w:p w14:paraId="7CB224A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50</w:t>
            </w:r>
          </w:p>
        </w:tc>
      </w:tr>
      <w:tr w14:paraId="4D7F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C06BEE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135</w:t>
            </w:r>
          </w:p>
        </w:tc>
        <w:tc>
          <w:tcPr>
            <w:tcW w:w="1789" w:type="dxa"/>
            <w:vAlign w:val="center"/>
          </w:tcPr>
          <w:p w14:paraId="6123994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电气控制系统</w:t>
            </w:r>
          </w:p>
        </w:tc>
        <w:tc>
          <w:tcPr>
            <w:tcW w:w="8255" w:type="dxa"/>
            <w:vAlign w:val="center"/>
          </w:tcPr>
          <w:p w14:paraId="50EEF8A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1.系统配置1套操作台。</w:t>
            </w:r>
          </w:p>
          <w:p w14:paraId="3A8A2E0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2.控制采用PLC控制，系统具备预选择、运动参数设定、设备编组、场景运行、手动介入等功能，并可对舞台机械的驱动装置和现场传感器等实施运动控制、状态监视，设有紧急停止按钮。</w:t>
            </w:r>
          </w:p>
        </w:tc>
        <w:tc>
          <w:tcPr>
            <w:tcW w:w="2077" w:type="dxa"/>
            <w:shd w:val="clear" w:color="auto" w:fill="auto"/>
            <w:vAlign w:val="center"/>
          </w:tcPr>
          <w:p w14:paraId="6B3C85E1">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1EA1E84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50C9D8D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4CCB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E162DD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136</w:t>
            </w:r>
          </w:p>
        </w:tc>
        <w:tc>
          <w:tcPr>
            <w:tcW w:w="1789" w:type="dxa"/>
            <w:vAlign w:val="center"/>
          </w:tcPr>
          <w:p w14:paraId="073ABE8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前檐幕</w:t>
            </w:r>
          </w:p>
        </w:tc>
        <w:tc>
          <w:tcPr>
            <w:tcW w:w="8255" w:type="dxa"/>
            <w:vAlign w:val="center"/>
          </w:tcPr>
          <w:p w14:paraId="1D859CB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1.尺寸：15m*1.5m*3摺*1块。</w:t>
            </w:r>
          </w:p>
          <w:p w14:paraId="00C5DA9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2.材质：金丝绒。</w:t>
            </w:r>
          </w:p>
          <w:p w14:paraId="4C47BC4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3.克重：250克/平米。</w:t>
            </w:r>
          </w:p>
          <w:p w14:paraId="71F8E6A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4.颜色：待定。</w:t>
            </w:r>
          </w:p>
          <w:p w14:paraId="66FB8DE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5.阻燃等级：B1。</w:t>
            </w:r>
          </w:p>
        </w:tc>
        <w:tc>
          <w:tcPr>
            <w:tcW w:w="2077" w:type="dxa"/>
            <w:shd w:val="clear" w:color="auto" w:fill="auto"/>
            <w:vAlign w:val="center"/>
          </w:tcPr>
          <w:p w14:paraId="1684195E">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33BEB1E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05A3AB6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67.5</w:t>
            </w:r>
          </w:p>
        </w:tc>
      </w:tr>
      <w:tr w14:paraId="1DF9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0468B3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137</w:t>
            </w:r>
          </w:p>
        </w:tc>
        <w:tc>
          <w:tcPr>
            <w:tcW w:w="1789" w:type="dxa"/>
            <w:vAlign w:val="center"/>
          </w:tcPr>
          <w:p w14:paraId="6505748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前檐幕衬里</w:t>
            </w:r>
          </w:p>
        </w:tc>
        <w:tc>
          <w:tcPr>
            <w:tcW w:w="8255" w:type="dxa"/>
            <w:vAlign w:val="center"/>
          </w:tcPr>
          <w:p w14:paraId="2E6D5D9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1.尺寸：15m*1.5m*1摺*1块。</w:t>
            </w:r>
          </w:p>
          <w:p w14:paraId="723F0F6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2.材质：富春纺。</w:t>
            </w:r>
          </w:p>
          <w:p w14:paraId="70C4031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3.克重：120克/平米。</w:t>
            </w:r>
          </w:p>
          <w:p w14:paraId="36CA05D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4.颜色：待定。</w:t>
            </w:r>
          </w:p>
          <w:p w14:paraId="2D28E1E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5.阻燃等级：B1。</w:t>
            </w:r>
          </w:p>
        </w:tc>
        <w:tc>
          <w:tcPr>
            <w:tcW w:w="2077" w:type="dxa"/>
            <w:shd w:val="clear" w:color="auto" w:fill="auto"/>
            <w:vAlign w:val="center"/>
          </w:tcPr>
          <w:p w14:paraId="44F29D8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10B0AA8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667B4F3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22.5</w:t>
            </w:r>
          </w:p>
        </w:tc>
      </w:tr>
      <w:tr w14:paraId="24CB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05CD68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138</w:t>
            </w:r>
          </w:p>
        </w:tc>
        <w:tc>
          <w:tcPr>
            <w:tcW w:w="1789" w:type="dxa"/>
            <w:vAlign w:val="center"/>
          </w:tcPr>
          <w:p w14:paraId="7178C6A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檐幕</w:t>
            </w:r>
          </w:p>
        </w:tc>
        <w:tc>
          <w:tcPr>
            <w:tcW w:w="8255" w:type="dxa"/>
            <w:vAlign w:val="center"/>
          </w:tcPr>
          <w:p w14:paraId="736ABC6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1.尺寸：17m*2m*3摺*2块。</w:t>
            </w:r>
          </w:p>
          <w:p w14:paraId="49011E0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2.材质：金丝绒。</w:t>
            </w:r>
          </w:p>
          <w:p w14:paraId="2D05E4C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3.克重：250克/平米。</w:t>
            </w:r>
          </w:p>
          <w:p w14:paraId="3101BEC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4.颜色：待定。</w:t>
            </w:r>
          </w:p>
          <w:p w14:paraId="0E0CE35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5.阻燃等级：B1。</w:t>
            </w:r>
          </w:p>
        </w:tc>
        <w:tc>
          <w:tcPr>
            <w:tcW w:w="2077" w:type="dxa"/>
            <w:shd w:val="clear" w:color="auto" w:fill="auto"/>
            <w:vAlign w:val="center"/>
          </w:tcPr>
          <w:p w14:paraId="74536F4D">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11987C94">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m</w:t>
            </w:r>
          </w:p>
        </w:tc>
        <w:tc>
          <w:tcPr>
            <w:tcW w:w="859" w:type="dxa"/>
            <w:vAlign w:val="center"/>
          </w:tcPr>
          <w:p w14:paraId="06DBDC3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204</w:t>
            </w:r>
          </w:p>
        </w:tc>
      </w:tr>
      <w:tr w14:paraId="61DF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D5B838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139</w:t>
            </w:r>
          </w:p>
        </w:tc>
        <w:tc>
          <w:tcPr>
            <w:tcW w:w="1789" w:type="dxa"/>
            <w:vAlign w:val="center"/>
          </w:tcPr>
          <w:p w14:paraId="22A9AD6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边幕</w:t>
            </w:r>
          </w:p>
        </w:tc>
        <w:tc>
          <w:tcPr>
            <w:tcW w:w="8255" w:type="dxa"/>
            <w:vAlign w:val="center"/>
          </w:tcPr>
          <w:p w14:paraId="480A56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1.尺寸：2.5m*6.4m*3摺*4块。</w:t>
            </w:r>
          </w:p>
          <w:p w14:paraId="4DDD235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2.材质：金丝绒。</w:t>
            </w:r>
          </w:p>
          <w:p w14:paraId="7E98F01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3.克重：250克/平米。</w:t>
            </w:r>
          </w:p>
          <w:p w14:paraId="75028C8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4.颜色：待定。</w:t>
            </w:r>
          </w:p>
          <w:p w14:paraId="454AE75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5.阻燃等级：B1。</w:t>
            </w:r>
          </w:p>
        </w:tc>
        <w:tc>
          <w:tcPr>
            <w:tcW w:w="2077" w:type="dxa"/>
            <w:shd w:val="clear" w:color="auto" w:fill="auto"/>
            <w:vAlign w:val="center"/>
          </w:tcPr>
          <w:p w14:paraId="25FC503C">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3B9E09F6">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662C512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192</w:t>
            </w:r>
          </w:p>
        </w:tc>
      </w:tr>
      <w:tr w14:paraId="7F0F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154013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140</w:t>
            </w:r>
          </w:p>
        </w:tc>
        <w:tc>
          <w:tcPr>
            <w:tcW w:w="1789" w:type="dxa"/>
            <w:vAlign w:val="center"/>
          </w:tcPr>
          <w:p w14:paraId="1701A15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二幕</w:t>
            </w:r>
          </w:p>
        </w:tc>
        <w:tc>
          <w:tcPr>
            <w:tcW w:w="8255" w:type="dxa"/>
            <w:vAlign w:val="center"/>
          </w:tcPr>
          <w:p w14:paraId="6913710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1.尺寸：9m*6m*3摺*2块。</w:t>
            </w:r>
          </w:p>
          <w:p w14:paraId="3D8CF80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2.材质：金丝绒。</w:t>
            </w:r>
          </w:p>
          <w:p w14:paraId="09EB25B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3.克重：250克/平米。</w:t>
            </w:r>
          </w:p>
          <w:p w14:paraId="3B9E8B2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4.颜色：待定。</w:t>
            </w:r>
          </w:p>
          <w:p w14:paraId="0A641A2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5.阻燃等级：B1。</w:t>
            </w:r>
          </w:p>
        </w:tc>
        <w:tc>
          <w:tcPr>
            <w:tcW w:w="2077" w:type="dxa"/>
            <w:shd w:val="clear" w:color="auto" w:fill="auto"/>
            <w:vAlign w:val="center"/>
          </w:tcPr>
          <w:p w14:paraId="03397569">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2FE141BD">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1627763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324</w:t>
            </w:r>
          </w:p>
        </w:tc>
      </w:tr>
      <w:tr w14:paraId="4A96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9DFC82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141</w:t>
            </w:r>
          </w:p>
        </w:tc>
        <w:tc>
          <w:tcPr>
            <w:tcW w:w="1789" w:type="dxa"/>
            <w:vAlign w:val="center"/>
          </w:tcPr>
          <w:p w14:paraId="130B223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无影网</w:t>
            </w:r>
          </w:p>
        </w:tc>
        <w:tc>
          <w:tcPr>
            <w:tcW w:w="8255" w:type="dxa"/>
            <w:vAlign w:val="center"/>
          </w:tcPr>
          <w:p w14:paraId="4A4DCD3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1.最大可承受点载荷 = 250Kg (作用于1m×1m区域)；</w:t>
            </w:r>
          </w:p>
          <w:p w14:paraId="2DB634D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2.最大可承受分布载荷，均匀分布于张紧网面，取值如下：</w:t>
            </w:r>
          </w:p>
          <w:p w14:paraId="4C8B4F7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 xml:space="preserve"> (1.44m*1.44m≤单元网面规格≤2.44m*2.44m时，本值取450kg，</w:t>
            </w:r>
          </w:p>
          <w:p w14:paraId="61C9225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 xml:space="preserve"> 1m*1m≤单元网面规格≤1.44m*1.44m时，本值取300kg，</w:t>
            </w:r>
          </w:p>
          <w:p w14:paraId="73AEE6C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 xml:space="preserve"> 单元网面规格≤1m*1m，本值取250kg)，集中荷载不得超过第1条限值；</w:t>
            </w:r>
          </w:p>
          <w:p w14:paraId="4187332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3.结构：C型截面外框 + 内部 SHS 方形钢管压缩构件；</w:t>
            </w:r>
          </w:p>
          <w:p w14:paraId="42CEC40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4.表面处理：氟碳喷涂 RAL 9005 (30%光泽度)；</w:t>
            </w:r>
          </w:p>
          <w:p w14:paraId="407B13E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5.线缆网格：60mm×60mm；</w:t>
            </w:r>
          </w:p>
          <w:p w14:paraId="6794C60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6.钢丝绳规格：3mm 7×19黑色；</w:t>
            </w:r>
          </w:p>
          <w:p w14:paraId="1708F8D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7.含无影网单元安装扣件及紧固件；</w:t>
            </w:r>
          </w:p>
        </w:tc>
        <w:tc>
          <w:tcPr>
            <w:tcW w:w="2077" w:type="dxa"/>
            <w:shd w:val="clear" w:color="auto" w:fill="auto"/>
            <w:vAlign w:val="center"/>
          </w:tcPr>
          <w:p w14:paraId="6D37B208">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2023E3E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w:t>
            </w:r>
          </w:p>
        </w:tc>
        <w:tc>
          <w:tcPr>
            <w:tcW w:w="859" w:type="dxa"/>
            <w:vAlign w:val="center"/>
          </w:tcPr>
          <w:p w14:paraId="20F4130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144</w:t>
            </w:r>
          </w:p>
        </w:tc>
      </w:tr>
      <w:tr w14:paraId="36FB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8E8B86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142</w:t>
            </w:r>
          </w:p>
        </w:tc>
        <w:tc>
          <w:tcPr>
            <w:tcW w:w="1789" w:type="dxa"/>
            <w:vAlign w:val="center"/>
          </w:tcPr>
          <w:p w14:paraId="2C48A67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拼装舞台</w:t>
            </w:r>
          </w:p>
        </w:tc>
        <w:tc>
          <w:tcPr>
            <w:tcW w:w="8255" w:type="dxa"/>
            <w:vAlign w:val="center"/>
          </w:tcPr>
          <w:p w14:paraId="7702DD8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1.尺寸：约2m×1m，可灵活快速拼装和拆卸。</w:t>
            </w:r>
          </w:p>
          <w:p w14:paraId="672C271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2.载荷：≥4kN/m2。</w:t>
            </w:r>
          </w:p>
          <w:p w14:paraId="2B11B3C6">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3.类型：手动拼装。</w:t>
            </w:r>
          </w:p>
          <w:p w14:paraId="2C61B5F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4.包含2套固定台阶踏步。</w:t>
            </w:r>
          </w:p>
        </w:tc>
        <w:tc>
          <w:tcPr>
            <w:tcW w:w="2077" w:type="dxa"/>
            <w:shd w:val="clear" w:color="auto" w:fill="auto"/>
            <w:vAlign w:val="center"/>
          </w:tcPr>
          <w:p w14:paraId="4A5E73B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3FE37815">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286D589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38</w:t>
            </w:r>
          </w:p>
        </w:tc>
      </w:tr>
      <w:tr w14:paraId="770B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5F1666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143</w:t>
            </w:r>
          </w:p>
        </w:tc>
        <w:tc>
          <w:tcPr>
            <w:tcW w:w="1789" w:type="dxa"/>
            <w:vAlign w:val="center"/>
          </w:tcPr>
          <w:p w14:paraId="5739699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多功能厅舞台机械(幕布)系统其他相关配件</w:t>
            </w:r>
          </w:p>
        </w:tc>
        <w:tc>
          <w:tcPr>
            <w:tcW w:w="8255" w:type="dxa"/>
            <w:vAlign w:val="center"/>
          </w:tcPr>
          <w:p w14:paraId="4ECA8D7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满足工程要求。</w:t>
            </w:r>
          </w:p>
        </w:tc>
        <w:tc>
          <w:tcPr>
            <w:tcW w:w="2077" w:type="dxa"/>
            <w:shd w:val="clear" w:color="auto" w:fill="auto"/>
            <w:vAlign w:val="center"/>
          </w:tcPr>
          <w:p w14:paraId="4100CF6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春宇/工大舞台/大丰</w:t>
            </w:r>
          </w:p>
        </w:tc>
        <w:tc>
          <w:tcPr>
            <w:tcW w:w="660" w:type="dxa"/>
            <w:shd w:val="clear" w:color="auto" w:fill="auto"/>
            <w:vAlign w:val="center"/>
          </w:tcPr>
          <w:p w14:paraId="5BF1CC94">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w:t>
            </w:r>
          </w:p>
        </w:tc>
        <w:tc>
          <w:tcPr>
            <w:tcW w:w="859" w:type="dxa"/>
            <w:vAlign w:val="center"/>
          </w:tcPr>
          <w:p w14:paraId="3FA38CE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r>
      <w:tr w14:paraId="785D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4524CEF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十六、金属结构工程（钢网架及附属结构）</w:t>
            </w:r>
          </w:p>
        </w:tc>
      </w:tr>
      <w:tr w14:paraId="5A2A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9D49D8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144</w:t>
            </w:r>
          </w:p>
        </w:tc>
        <w:tc>
          <w:tcPr>
            <w:tcW w:w="1789" w:type="dxa"/>
            <w:vAlign w:val="center"/>
          </w:tcPr>
          <w:p w14:paraId="03321B4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钢梁</w:t>
            </w:r>
          </w:p>
        </w:tc>
        <w:tc>
          <w:tcPr>
            <w:tcW w:w="8255" w:type="dxa"/>
            <w:vAlign w:val="center"/>
          </w:tcPr>
          <w:p w14:paraId="6F856D4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1.主钢梁类型：热轧H型钢梁HN200*100*5.5*8，链式吊机轨道梁类型：HM150*100*6*9</w:t>
            </w:r>
          </w:p>
          <w:p w14:paraId="49232AA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2.钢材品种、规格：Q235B</w:t>
            </w:r>
          </w:p>
          <w:p w14:paraId="0426019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3.表面油漆处理：除锈后表面环氧富锌漆一遍</w:t>
            </w:r>
          </w:p>
          <w:p w14:paraId="230E15A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4.安装高度：根据图纸要求综合考虑，结算不因吊装高度调整费用</w:t>
            </w:r>
          </w:p>
          <w:p w14:paraId="30EEBB2B">
            <w:pPr>
              <w:adjustRightInd/>
              <w:spacing w:line="440" w:lineRule="exact"/>
              <w:jc w:val="both"/>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5.除锈等级：Sa2.5级</w:t>
            </w:r>
          </w:p>
        </w:tc>
        <w:tc>
          <w:tcPr>
            <w:tcW w:w="2077" w:type="dxa"/>
            <w:vAlign w:val="center"/>
          </w:tcPr>
          <w:p w14:paraId="1BE42D9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69897029">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t</w:t>
            </w:r>
          </w:p>
        </w:tc>
        <w:tc>
          <w:tcPr>
            <w:tcW w:w="859" w:type="dxa"/>
            <w:shd w:val="clear" w:color="auto" w:fill="auto"/>
            <w:vAlign w:val="center"/>
          </w:tcPr>
          <w:p w14:paraId="2E518B68">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4.848</w:t>
            </w:r>
          </w:p>
        </w:tc>
      </w:tr>
      <w:tr w14:paraId="020F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E5729B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145</w:t>
            </w:r>
          </w:p>
        </w:tc>
        <w:tc>
          <w:tcPr>
            <w:tcW w:w="1789" w:type="dxa"/>
            <w:vAlign w:val="center"/>
          </w:tcPr>
          <w:p w14:paraId="641D19E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钢梁</w:t>
            </w:r>
          </w:p>
        </w:tc>
        <w:tc>
          <w:tcPr>
            <w:tcW w:w="8255" w:type="dxa"/>
            <w:vAlign w:val="center"/>
          </w:tcPr>
          <w:p w14:paraId="6B7504A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1.梁类型：热轧方钢管梁100*100*4</w:t>
            </w:r>
          </w:p>
          <w:p w14:paraId="7D10B93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2.钢材品种、规格：Q235B</w:t>
            </w:r>
          </w:p>
          <w:p w14:paraId="76EB562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3.表面油漆处理：除锈后表面环氧富锌漆一遍</w:t>
            </w:r>
          </w:p>
          <w:p w14:paraId="2B7D2E2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4.安装高度：根据图纸要求综合考虑，结算不因吊装高度调整费用</w:t>
            </w:r>
          </w:p>
          <w:p w14:paraId="68EF70E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5.除锈等级：Sa2.5级</w:t>
            </w:r>
          </w:p>
        </w:tc>
        <w:tc>
          <w:tcPr>
            <w:tcW w:w="2077" w:type="dxa"/>
            <w:shd w:val="clear" w:color="auto" w:fill="auto"/>
            <w:vAlign w:val="center"/>
          </w:tcPr>
          <w:p w14:paraId="4B00E78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56AEBCE4">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t</w:t>
            </w:r>
          </w:p>
        </w:tc>
        <w:tc>
          <w:tcPr>
            <w:tcW w:w="859" w:type="dxa"/>
            <w:vAlign w:val="center"/>
          </w:tcPr>
          <w:p w14:paraId="5DD531B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2.854</w:t>
            </w:r>
          </w:p>
        </w:tc>
      </w:tr>
      <w:tr w14:paraId="2FF2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749481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146</w:t>
            </w:r>
          </w:p>
        </w:tc>
        <w:tc>
          <w:tcPr>
            <w:tcW w:w="1789" w:type="dxa"/>
            <w:vAlign w:val="center"/>
          </w:tcPr>
          <w:p w14:paraId="7176E9B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零星钢构件</w:t>
            </w:r>
          </w:p>
        </w:tc>
        <w:tc>
          <w:tcPr>
            <w:tcW w:w="8255" w:type="dxa"/>
            <w:vAlign w:val="center"/>
          </w:tcPr>
          <w:p w14:paraId="371C55D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1.构件类型：热轧不等边角钢70*45*4</w:t>
            </w:r>
          </w:p>
          <w:p w14:paraId="184C47A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2.钢材品种、规格：Q235B</w:t>
            </w:r>
          </w:p>
          <w:p w14:paraId="2E0729B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3.表面油漆处理：除锈后表面环氧富锌漆一遍</w:t>
            </w:r>
          </w:p>
          <w:p w14:paraId="06EFF0B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4.安装高度：根据图纸要求综合考虑，结算不因吊装高度调整费用</w:t>
            </w:r>
          </w:p>
          <w:p w14:paraId="67999FD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5.除锈等级：Sa2.5级</w:t>
            </w:r>
          </w:p>
        </w:tc>
        <w:tc>
          <w:tcPr>
            <w:tcW w:w="2077" w:type="dxa"/>
            <w:shd w:val="clear" w:color="auto" w:fill="auto"/>
            <w:vAlign w:val="center"/>
          </w:tcPr>
          <w:p w14:paraId="6DF76B82">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544EA68B">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t</w:t>
            </w:r>
          </w:p>
        </w:tc>
        <w:tc>
          <w:tcPr>
            <w:tcW w:w="859" w:type="dxa"/>
            <w:shd w:val="clear" w:color="auto" w:fill="auto"/>
            <w:vAlign w:val="center"/>
          </w:tcPr>
          <w:p w14:paraId="66608119">
            <w:pPr>
              <w:adjustRightInd/>
              <w:spacing w:line="440" w:lineRule="exact"/>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0.6</w:t>
            </w:r>
          </w:p>
        </w:tc>
      </w:tr>
      <w:tr w14:paraId="3EA8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45" w:type="dxa"/>
            <w:shd w:val="clear" w:color="auto" w:fill="auto"/>
            <w:vAlign w:val="center"/>
          </w:tcPr>
          <w:p w14:paraId="391664D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147</w:t>
            </w:r>
          </w:p>
        </w:tc>
        <w:tc>
          <w:tcPr>
            <w:tcW w:w="1789" w:type="dxa"/>
            <w:vAlign w:val="center"/>
          </w:tcPr>
          <w:p w14:paraId="0BE9245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零星钢构件</w:t>
            </w:r>
          </w:p>
        </w:tc>
        <w:tc>
          <w:tcPr>
            <w:tcW w:w="8255" w:type="dxa"/>
            <w:vAlign w:val="center"/>
          </w:tcPr>
          <w:p w14:paraId="08DFE71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1.构件类型：热轧槽钢10#</w:t>
            </w:r>
          </w:p>
          <w:p w14:paraId="645311D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2.钢材品种、规格：Q235B</w:t>
            </w:r>
          </w:p>
          <w:p w14:paraId="7ECC941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3.表面油漆处理：除锈后表面环氧富锌漆一遍</w:t>
            </w:r>
          </w:p>
          <w:p w14:paraId="1C70CCD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4.安装高度：根据图纸要求综合考虑，结算不因吊装高度调整费用</w:t>
            </w:r>
          </w:p>
          <w:p w14:paraId="061FB0B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5.除锈等级：Sa2.5级</w:t>
            </w:r>
          </w:p>
        </w:tc>
        <w:tc>
          <w:tcPr>
            <w:tcW w:w="2077" w:type="dxa"/>
            <w:shd w:val="clear" w:color="auto" w:fill="auto"/>
            <w:vAlign w:val="center"/>
          </w:tcPr>
          <w:p w14:paraId="0385DEAF">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shd w:val="clear" w:color="auto" w:fill="auto"/>
            <w:vAlign w:val="center"/>
          </w:tcPr>
          <w:p w14:paraId="66E3D6A7">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t</w:t>
            </w:r>
          </w:p>
        </w:tc>
        <w:tc>
          <w:tcPr>
            <w:tcW w:w="859" w:type="dxa"/>
            <w:shd w:val="clear" w:color="auto" w:fill="auto"/>
            <w:vAlign w:val="center"/>
          </w:tcPr>
          <w:p w14:paraId="6C31C190">
            <w:pPr>
              <w:adjustRightInd/>
              <w:spacing w:line="440" w:lineRule="exact"/>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0.161</w:t>
            </w:r>
          </w:p>
        </w:tc>
      </w:tr>
      <w:tr w14:paraId="2302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6619CC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148</w:t>
            </w:r>
          </w:p>
        </w:tc>
        <w:tc>
          <w:tcPr>
            <w:tcW w:w="1789" w:type="dxa"/>
            <w:vAlign w:val="center"/>
          </w:tcPr>
          <w:p w14:paraId="168C693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金属网栏</w:t>
            </w:r>
          </w:p>
        </w:tc>
        <w:tc>
          <w:tcPr>
            <w:tcW w:w="8255" w:type="dxa"/>
            <w:vAlign w:val="center"/>
          </w:tcPr>
          <w:p w14:paraId="36B4348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辅助操作平台：4厚钢板网（30mm*80mm）</w:t>
            </w:r>
          </w:p>
        </w:tc>
        <w:tc>
          <w:tcPr>
            <w:tcW w:w="2077" w:type="dxa"/>
            <w:vAlign w:val="center"/>
          </w:tcPr>
          <w:p w14:paraId="613EAE5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5AD0145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m2</w:t>
            </w:r>
          </w:p>
        </w:tc>
        <w:tc>
          <w:tcPr>
            <w:tcW w:w="859" w:type="dxa"/>
            <w:vAlign w:val="center"/>
          </w:tcPr>
          <w:p w14:paraId="310922A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62.4</w:t>
            </w:r>
          </w:p>
        </w:tc>
      </w:tr>
      <w:tr w14:paraId="0B69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shd w:val="clear" w:color="auto" w:fill="auto"/>
            <w:vAlign w:val="center"/>
          </w:tcPr>
          <w:p w14:paraId="52086C71">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149</w:t>
            </w:r>
          </w:p>
        </w:tc>
        <w:tc>
          <w:tcPr>
            <w:tcW w:w="1789" w:type="dxa"/>
            <w:vAlign w:val="center"/>
          </w:tcPr>
          <w:p w14:paraId="6277F46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钢支撑、钢拉条</w:t>
            </w:r>
          </w:p>
        </w:tc>
        <w:tc>
          <w:tcPr>
            <w:tcW w:w="8255" w:type="dxa"/>
            <w:vAlign w:val="center"/>
          </w:tcPr>
          <w:p w14:paraId="42E740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1.柱类型：圆钢管支撑Φ50X4</w:t>
            </w:r>
          </w:p>
          <w:p w14:paraId="1F2EA3E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2.钢材品种、规格：Q235B</w:t>
            </w:r>
          </w:p>
          <w:p w14:paraId="5686038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3.表面油漆处理：除锈后表面环氧富锌漆一遍</w:t>
            </w:r>
          </w:p>
          <w:p w14:paraId="6FAD67A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4.安装高度：根据图纸要求综合考虑，结算不因吊装高度调整费用</w:t>
            </w:r>
          </w:p>
          <w:p w14:paraId="258FE0C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5.除锈等级：Sa2.5级</w:t>
            </w:r>
          </w:p>
        </w:tc>
        <w:tc>
          <w:tcPr>
            <w:tcW w:w="2077" w:type="dxa"/>
            <w:vAlign w:val="center"/>
          </w:tcPr>
          <w:p w14:paraId="51F69B1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7807FAF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t</w:t>
            </w:r>
          </w:p>
        </w:tc>
        <w:tc>
          <w:tcPr>
            <w:tcW w:w="859" w:type="dxa"/>
            <w:vAlign w:val="center"/>
          </w:tcPr>
          <w:p w14:paraId="0A144F5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0.797</w:t>
            </w:r>
          </w:p>
        </w:tc>
      </w:tr>
      <w:tr w14:paraId="3CEF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5A90D7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150</w:t>
            </w:r>
          </w:p>
        </w:tc>
        <w:tc>
          <w:tcPr>
            <w:tcW w:w="1789" w:type="dxa"/>
            <w:vAlign w:val="center"/>
          </w:tcPr>
          <w:p w14:paraId="731BDC2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高强螺栓</w:t>
            </w:r>
          </w:p>
        </w:tc>
        <w:tc>
          <w:tcPr>
            <w:tcW w:w="8255" w:type="dxa"/>
            <w:vAlign w:val="center"/>
          </w:tcPr>
          <w:p w14:paraId="1E5BF62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1.规格、型号：M20</w:t>
            </w:r>
          </w:p>
          <w:p w14:paraId="37D4C64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2.强度性能等级：10.9级摩擦型连接高强螺栓</w:t>
            </w:r>
          </w:p>
        </w:tc>
        <w:tc>
          <w:tcPr>
            <w:tcW w:w="2077" w:type="dxa"/>
            <w:vAlign w:val="center"/>
          </w:tcPr>
          <w:p w14:paraId="416685D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7E78DE4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套</w:t>
            </w:r>
          </w:p>
        </w:tc>
        <w:tc>
          <w:tcPr>
            <w:tcW w:w="859" w:type="dxa"/>
            <w:vAlign w:val="center"/>
          </w:tcPr>
          <w:p w14:paraId="6D9AE1A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72</w:t>
            </w:r>
          </w:p>
        </w:tc>
      </w:tr>
      <w:tr w14:paraId="4E23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31630D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151</w:t>
            </w:r>
          </w:p>
        </w:tc>
        <w:tc>
          <w:tcPr>
            <w:tcW w:w="1789" w:type="dxa"/>
            <w:vAlign w:val="center"/>
          </w:tcPr>
          <w:p w14:paraId="4824D5B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预埋铁件</w:t>
            </w:r>
          </w:p>
        </w:tc>
        <w:tc>
          <w:tcPr>
            <w:tcW w:w="8255" w:type="dxa"/>
            <w:vAlign w:val="center"/>
          </w:tcPr>
          <w:p w14:paraId="2F1B1D6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1.构件类型：后置埋件300*200*16</w:t>
            </w:r>
          </w:p>
          <w:p w14:paraId="0C8A183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2.钢材品种、规格：Q235B</w:t>
            </w:r>
          </w:p>
          <w:p w14:paraId="234A2B3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3.表面油漆处理：除锈后表面环氧富锌漆一遍</w:t>
            </w:r>
          </w:p>
          <w:p w14:paraId="40F2D12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4.安装高度：根据图纸要求综合考虑，结算不因吊装高度调整费用</w:t>
            </w:r>
          </w:p>
          <w:p w14:paraId="625843F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5.除锈等级：Sa2.5级</w:t>
            </w:r>
          </w:p>
        </w:tc>
        <w:tc>
          <w:tcPr>
            <w:tcW w:w="2077" w:type="dxa"/>
            <w:vAlign w:val="center"/>
          </w:tcPr>
          <w:p w14:paraId="449D513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540176B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个</w:t>
            </w:r>
          </w:p>
        </w:tc>
        <w:tc>
          <w:tcPr>
            <w:tcW w:w="859" w:type="dxa"/>
            <w:vAlign w:val="center"/>
          </w:tcPr>
          <w:p w14:paraId="6B35AE4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29</w:t>
            </w:r>
          </w:p>
        </w:tc>
      </w:tr>
      <w:tr w14:paraId="4CA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D25452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152</w:t>
            </w:r>
          </w:p>
        </w:tc>
        <w:tc>
          <w:tcPr>
            <w:tcW w:w="1789" w:type="dxa"/>
            <w:vAlign w:val="center"/>
          </w:tcPr>
          <w:p w14:paraId="225EFA0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化学螺栓</w:t>
            </w:r>
          </w:p>
        </w:tc>
        <w:tc>
          <w:tcPr>
            <w:tcW w:w="8255" w:type="dxa"/>
            <w:vAlign w:val="center"/>
          </w:tcPr>
          <w:p w14:paraId="4F0DBF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1.构件类型：化学锚栓</w:t>
            </w:r>
          </w:p>
          <w:p w14:paraId="708342D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2.规格、型号：M16</w:t>
            </w:r>
          </w:p>
          <w:p w14:paraId="78F5398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3.埋设深度：190mm</w:t>
            </w:r>
          </w:p>
        </w:tc>
        <w:tc>
          <w:tcPr>
            <w:tcW w:w="2077" w:type="dxa"/>
            <w:vAlign w:val="center"/>
          </w:tcPr>
          <w:p w14:paraId="084D49C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005B082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个</w:t>
            </w:r>
          </w:p>
        </w:tc>
        <w:tc>
          <w:tcPr>
            <w:tcW w:w="859" w:type="dxa"/>
            <w:vAlign w:val="center"/>
          </w:tcPr>
          <w:p w14:paraId="3E5641D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116</w:t>
            </w:r>
          </w:p>
        </w:tc>
      </w:tr>
      <w:tr w14:paraId="17AC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F6FEBD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153</w:t>
            </w:r>
          </w:p>
        </w:tc>
        <w:tc>
          <w:tcPr>
            <w:tcW w:w="1789" w:type="dxa"/>
            <w:vAlign w:val="center"/>
          </w:tcPr>
          <w:p w14:paraId="4BDF979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金属面油漆</w:t>
            </w:r>
          </w:p>
        </w:tc>
        <w:tc>
          <w:tcPr>
            <w:tcW w:w="8255" w:type="dxa"/>
            <w:vAlign w:val="center"/>
          </w:tcPr>
          <w:p w14:paraId="5461596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1.油漆品种、刷漆遍数：聚氨酯面漆一遍</w:t>
            </w:r>
          </w:p>
        </w:tc>
        <w:tc>
          <w:tcPr>
            <w:tcW w:w="2077" w:type="dxa"/>
            <w:vAlign w:val="center"/>
          </w:tcPr>
          <w:p w14:paraId="22E74C8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033AC90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m2</w:t>
            </w:r>
          </w:p>
        </w:tc>
        <w:tc>
          <w:tcPr>
            <w:tcW w:w="859" w:type="dxa"/>
            <w:vAlign w:val="center"/>
          </w:tcPr>
          <w:p w14:paraId="13700BC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341.85</w:t>
            </w:r>
          </w:p>
        </w:tc>
      </w:tr>
      <w:tr w14:paraId="05B4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5" w:type="dxa"/>
            <w:gridSpan w:val="6"/>
            <w:shd w:val="clear" w:color="auto" w:fill="auto"/>
            <w:vAlign w:val="center"/>
          </w:tcPr>
          <w:p w14:paraId="6B7C95C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十七、综合管线系统</w:t>
            </w:r>
          </w:p>
        </w:tc>
      </w:tr>
      <w:tr w14:paraId="5DEB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B12AB0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154</w:t>
            </w:r>
          </w:p>
        </w:tc>
        <w:tc>
          <w:tcPr>
            <w:tcW w:w="1789" w:type="dxa"/>
            <w:vAlign w:val="center"/>
          </w:tcPr>
          <w:p w14:paraId="688117B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槽式热镀锌板金属桥架</w:t>
            </w:r>
          </w:p>
        </w:tc>
        <w:tc>
          <w:tcPr>
            <w:tcW w:w="8255" w:type="dxa"/>
            <w:vAlign w:val="center"/>
          </w:tcPr>
          <w:p w14:paraId="63ACF9F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1.规格：100*75*δ1.0</w:t>
            </w:r>
          </w:p>
          <w:p w14:paraId="74D2E6F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2.其他：含桥架盖板、盖板扣锁、桥架连接片、连接螺栓、接地等</w:t>
            </w:r>
          </w:p>
        </w:tc>
        <w:tc>
          <w:tcPr>
            <w:tcW w:w="2077" w:type="dxa"/>
            <w:vAlign w:val="center"/>
          </w:tcPr>
          <w:p w14:paraId="4703074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3F9B401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191BE2C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20.96</w:t>
            </w:r>
          </w:p>
        </w:tc>
      </w:tr>
      <w:tr w14:paraId="527F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E73E8A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155</w:t>
            </w:r>
          </w:p>
        </w:tc>
        <w:tc>
          <w:tcPr>
            <w:tcW w:w="1789" w:type="dxa"/>
            <w:vAlign w:val="center"/>
          </w:tcPr>
          <w:p w14:paraId="5D2EA9A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槽式热镀锌板金属桥架</w:t>
            </w:r>
          </w:p>
        </w:tc>
        <w:tc>
          <w:tcPr>
            <w:tcW w:w="8255" w:type="dxa"/>
            <w:vAlign w:val="center"/>
          </w:tcPr>
          <w:p w14:paraId="735F230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1.规格：200*100*δ1.2</w:t>
            </w:r>
          </w:p>
          <w:p w14:paraId="6180798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2.其他：含桥架盖板、盖板扣锁、桥架连接片、连接螺栓、接地等</w:t>
            </w:r>
          </w:p>
        </w:tc>
        <w:tc>
          <w:tcPr>
            <w:tcW w:w="2077" w:type="dxa"/>
            <w:vAlign w:val="center"/>
          </w:tcPr>
          <w:p w14:paraId="2320729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7B041E0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65F4507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20.96</w:t>
            </w:r>
          </w:p>
        </w:tc>
      </w:tr>
      <w:tr w14:paraId="0B22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82FDC9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156</w:t>
            </w:r>
          </w:p>
        </w:tc>
        <w:tc>
          <w:tcPr>
            <w:tcW w:w="1789" w:type="dxa"/>
            <w:vAlign w:val="center"/>
          </w:tcPr>
          <w:p w14:paraId="503A7BA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槽式热镀锌板金属桥架</w:t>
            </w:r>
          </w:p>
        </w:tc>
        <w:tc>
          <w:tcPr>
            <w:tcW w:w="8255" w:type="dxa"/>
            <w:vAlign w:val="center"/>
          </w:tcPr>
          <w:p w14:paraId="3E2D739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1.规格：250*100*δ1.2</w:t>
            </w:r>
          </w:p>
          <w:p w14:paraId="03FD4AD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2.其他：含桥架盖板、盖板扣锁、桥架连接片、连接螺栓、接地等</w:t>
            </w:r>
          </w:p>
        </w:tc>
        <w:tc>
          <w:tcPr>
            <w:tcW w:w="2077" w:type="dxa"/>
            <w:vAlign w:val="center"/>
          </w:tcPr>
          <w:p w14:paraId="25EA7BF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18E4E91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7F5D3E4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62.64</w:t>
            </w:r>
          </w:p>
        </w:tc>
      </w:tr>
      <w:tr w14:paraId="1504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766353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157</w:t>
            </w:r>
          </w:p>
        </w:tc>
        <w:tc>
          <w:tcPr>
            <w:tcW w:w="1789" w:type="dxa"/>
            <w:vAlign w:val="center"/>
          </w:tcPr>
          <w:p w14:paraId="6799D53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铁构件</w:t>
            </w:r>
          </w:p>
        </w:tc>
        <w:tc>
          <w:tcPr>
            <w:tcW w:w="8255" w:type="dxa"/>
            <w:vAlign w:val="center"/>
          </w:tcPr>
          <w:p w14:paraId="7C23E2E5">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桥架支撑架安装。满足工程要求。</w:t>
            </w:r>
          </w:p>
        </w:tc>
        <w:tc>
          <w:tcPr>
            <w:tcW w:w="2077" w:type="dxa"/>
            <w:vAlign w:val="center"/>
          </w:tcPr>
          <w:p w14:paraId="0194F48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6919C25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kg</w:t>
            </w:r>
          </w:p>
        </w:tc>
        <w:tc>
          <w:tcPr>
            <w:tcW w:w="859" w:type="dxa"/>
            <w:vAlign w:val="center"/>
          </w:tcPr>
          <w:p w14:paraId="538A850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180</w:t>
            </w:r>
          </w:p>
        </w:tc>
      </w:tr>
      <w:tr w14:paraId="5A55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AD1755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158</w:t>
            </w:r>
          </w:p>
        </w:tc>
        <w:tc>
          <w:tcPr>
            <w:tcW w:w="1789" w:type="dxa"/>
            <w:vAlign w:val="center"/>
          </w:tcPr>
          <w:p w14:paraId="0817BF9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金属结构刷油</w:t>
            </w:r>
          </w:p>
        </w:tc>
        <w:tc>
          <w:tcPr>
            <w:tcW w:w="8255" w:type="dxa"/>
            <w:vAlign w:val="center"/>
          </w:tcPr>
          <w:p w14:paraId="57F1495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支架除锈刷红丹防锈漆两遍，调和漆两遍。</w:t>
            </w:r>
          </w:p>
        </w:tc>
        <w:tc>
          <w:tcPr>
            <w:tcW w:w="2077" w:type="dxa"/>
            <w:vAlign w:val="center"/>
          </w:tcPr>
          <w:p w14:paraId="6F96094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5CAD66E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kg</w:t>
            </w:r>
          </w:p>
        </w:tc>
        <w:tc>
          <w:tcPr>
            <w:tcW w:w="859" w:type="dxa"/>
            <w:vAlign w:val="center"/>
          </w:tcPr>
          <w:p w14:paraId="1676C46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180</w:t>
            </w:r>
          </w:p>
        </w:tc>
      </w:tr>
      <w:tr w14:paraId="2EBF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53D11E8">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159</w:t>
            </w:r>
          </w:p>
        </w:tc>
        <w:tc>
          <w:tcPr>
            <w:tcW w:w="1789" w:type="dxa"/>
            <w:vAlign w:val="center"/>
          </w:tcPr>
          <w:p w14:paraId="7EA7CD0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铜芯电力电缆</w:t>
            </w:r>
          </w:p>
        </w:tc>
        <w:tc>
          <w:tcPr>
            <w:tcW w:w="8255" w:type="dxa"/>
            <w:vAlign w:val="center"/>
          </w:tcPr>
          <w:p w14:paraId="668B97D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1.型号、规格：EYJY-2*2.5；</w:t>
            </w:r>
          </w:p>
          <w:p w14:paraId="1313D11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2.敷设方式或部分：桥架或管内；</w:t>
            </w:r>
          </w:p>
          <w:p w14:paraId="789E8E0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3.电压等级（kv）：1kv以下；</w:t>
            </w:r>
          </w:p>
        </w:tc>
        <w:tc>
          <w:tcPr>
            <w:tcW w:w="2077" w:type="dxa"/>
            <w:vAlign w:val="center"/>
          </w:tcPr>
          <w:p w14:paraId="6A38589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3E7F48A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4A1A2F8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740</w:t>
            </w:r>
          </w:p>
        </w:tc>
      </w:tr>
      <w:tr w14:paraId="43E2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4F6BD1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160</w:t>
            </w:r>
          </w:p>
        </w:tc>
        <w:tc>
          <w:tcPr>
            <w:tcW w:w="1789" w:type="dxa"/>
            <w:vAlign w:val="center"/>
          </w:tcPr>
          <w:p w14:paraId="4501097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铜芯电力电缆</w:t>
            </w:r>
          </w:p>
        </w:tc>
        <w:tc>
          <w:tcPr>
            <w:tcW w:w="8255" w:type="dxa"/>
            <w:vAlign w:val="center"/>
          </w:tcPr>
          <w:p w14:paraId="1BACB47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1.型号、规格：WDZ-YJY-3*2.5；</w:t>
            </w:r>
          </w:p>
          <w:p w14:paraId="3545130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2.敷设方式或部分：桥架或管内；</w:t>
            </w:r>
          </w:p>
          <w:p w14:paraId="3F07468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3.电压等级（kv）：1kv以下；</w:t>
            </w:r>
          </w:p>
        </w:tc>
        <w:tc>
          <w:tcPr>
            <w:tcW w:w="2077" w:type="dxa"/>
            <w:vAlign w:val="center"/>
          </w:tcPr>
          <w:p w14:paraId="7399D5D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74AEBB9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4D03A0E1">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27.24</w:t>
            </w:r>
          </w:p>
        </w:tc>
      </w:tr>
      <w:tr w14:paraId="40C6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F1B8039">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161</w:t>
            </w:r>
          </w:p>
        </w:tc>
        <w:tc>
          <w:tcPr>
            <w:tcW w:w="1789" w:type="dxa"/>
            <w:vAlign w:val="center"/>
          </w:tcPr>
          <w:p w14:paraId="76D7EF0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铜芯电力电缆</w:t>
            </w:r>
          </w:p>
        </w:tc>
        <w:tc>
          <w:tcPr>
            <w:tcW w:w="8255" w:type="dxa"/>
            <w:vAlign w:val="center"/>
          </w:tcPr>
          <w:p w14:paraId="20380BA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1.型号、规格：WDZN-YJY-3*4；</w:t>
            </w:r>
          </w:p>
          <w:p w14:paraId="238E978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2.敷设方式或部分：桥架或管内；</w:t>
            </w:r>
          </w:p>
          <w:p w14:paraId="16CD39B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3.电压等级（kv）：1kv以下；</w:t>
            </w:r>
          </w:p>
        </w:tc>
        <w:tc>
          <w:tcPr>
            <w:tcW w:w="2077" w:type="dxa"/>
            <w:vAlign w:val="center"/>
          </w:tcPr>
          <w:p w14:paraId="62629E7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169573B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2B6E8D5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61.99</w:t>
            </w:r>
          </w:p>
        </w:tc>
      </w:tr>
      <w:tr w14:paraId="59EC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1DBA9D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162</w:t>
            </w:r>
          </w:p>
        </w:tc>
        <w:tc>
          <w:tcPr>
            <w:tcW w:w="1789" w:type="dxa"/>
            <w:vAlign w:val="center"/>
          </w:tcPr>
          <w:p w14:paraId="240175A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电缆终端头制安</w:t>
            </w:r>
          </w:p>
        </w:tc>
        <w:tc>
          <w:tcPr>
            <w:tcW w:w="8255" w:type="dxa"/>
            <w:vAlign w:val="center"/>
          </w:tcPr>
          <w:p w14:paraId="4E66DA5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1.型号、规格：多芯，截面积10mm2以下；</w:t>
            </w:r>
          </w:p>
          <w:p w14:paraId="571EE2D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2.材质、类型：户内干包式；</w:t>
            </w:r>
          </w:p>
          <w:p w14:paraId="02C4404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3.电压等级（kv）：1kv以下；</w:t>
            </w:r>
          </w:p>
        </w:tc>
        <w:tc>
          <w:tcPr>
            <w:tcW w:w="2077" w:type="dxa"/>
            <w:vAlign w:val="center"/>
          </w:tcPr>
          <w:p w14:paraId="1B22EF1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25A83A2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个</w:t>
            </w:r>
          </w:p>
        </w:tc>
        <w:tc>
          <w:tcPr>
            <w:tcW w:w="859" w:type="dxa"/>
            <w:vAlign w:val="center"/>
          </w:tcPr>
          <w:p w14:paraId="7AFAF9F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w:t>
            </w:r>
          </w:p>
        </w:tc>
      </w:tr>
      <w:tr w14:paraId="4B6E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1D50C8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163</w:t>
            </w:r>
          </w:p>
        </w:tc>
        <w:tc>
          <w:tcPr>
            <w:tcW w:w="1789" w:type="dxa"/>
            <w:vAlign w:val="center"/>
          </w:tcPr>
          <w:p w14:paraId="111576C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射频同轴电缆</w:t>
            </w:r>
          </w:p>
        </w:tc>
        <w:tc>
          <w:tcPr>
            <w:tcW w:w="8255" w:type="dxa"/>
            <w:vAlign w:val="center"/>
          </w:tcPr>
          <w:p w14:paraId="5D148D7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1.名称：配线</w:t>
            </w:r>
          </w:p>
          <w:p w14:paraId="63267E5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2.规格：HDMI线</w:t>
            </w:r>
          </w:p>
          <w:p w14:paraId="3C20550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3.敷设方式：管内敷设</w:t>
            </w:r>
          </w:p>
        </w:tc>
        <w:tc>
          <w:tcPr>
            <w:tcW w:w="2077" w:type="dxa"/>
            <w:vAlign w:val="center"/>
          </w:tcPr>
          <w:p w14:paraId="0AC54DB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3FCD1D02">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1D98FC0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56</w:t>
            </w:r>
          </w:p>
        </w:tc>
      </w:tr>
      <w:tr w14:paraId="251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33578D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164</w:t>
            </w:r>
          </w:p>
        </w:tc>
        <w:tc>
          <w:tcPr>
            <w:tcW w:w="1789" w:type="dxa"/>
            <w:vAlign w:val="center"/>
          </w:tcPr>
          <w:p w14:paraId="7E1E0C3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双绞线缆</w:t>
            </w:r>
          </w:p>
        </w:tc>
        <w:tc>
          <w:tcPr>
            <w:tcW w:w="8255" w:type="dxa"/>
            <w:vAlign w:val="center"/>
          </w:tcPr>
          <w:p w14:paraId="0190241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1.名称：管内穿线；</w:t>
            </w:r>
          </w:p>
          <w:p w14:paraId="4DA8DBA1">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2.型号、规格：LOSH-UTP6；</w:t>
            </w:r>
          </w:p>
        </w:tc>
        <w:tc>
          <w:tcPr>
            <w:tcW w:w="2077" w:type="dxa"/>
            <w:vAlign w:val="center"/>
          </w:tcPr>
          <w:p w14:paraId="54AA21F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30F990A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4343BC8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1825</w:t>
            </w:r>
          </w:p>
        </w:tc>
      </w:tr>
      <w:tr w14:paraId="6EB2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7B388B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165</w:t>
            </w:r>
          </w:p>
        </w:tc>
        <w:tc>
          <w:tcPr>
            <w:tcW w:w="1789" w:type="dxa"/>
            <w:vAlign w:val="center"/>
          </w:tcPr>
          <w:p w14:paraId="62A8526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配线</w:t>
            </w:r>
          </w:p>
        </w:tc>
        <w:tc>
          <w:tcPr>
            <w:tcW w:w="8255" w:type="dxa"/>
            <w:vAlign w:val="center"/>
          </w:tcPr>
          <w:p w14:paraId="6677B75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1.名称：管内穿线；</w:t>
            </w:r>
          </w:p>
          <w:p w14:paraId="73C7244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2.型号、规格：WDZ-RYYP-2*0.75；</w:t>
            </w:r>
          </w:p>
        </w:tc>
        <w:tc>
          <w:tcPr>
            <w:tcW w:w="2077" w:type="dxa"/>
            <w:vAlign w:val="center"/>
          </w:tcPr>
          <w:p w14:paraId="38EA6C2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2196C3B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74B0019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5646</w:t>
            </w:r>
          </w:p>
        </w:tc>
      </w:tr>
      <w:tr w14:paraId="7B09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6A2439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166</w:t>
            </w:r>
          </w:p>
        </w:tc>
        <w:tc>
          <w:tcPr>
            <w:tcW w:w="1789" w:type="dxa"/>
            <w:vAlign w:val="center"/>
          </w:tcPr>
          <w:p w14:paraId="44BFEF4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射频同轴电缆</w:t>
            </w:r>
          </w:p>
        </w:tc>
        <w:tc>
          <w:tcPr>
            <w:tcW w:w="8255" w:type="dxa"/>
            <w:vAlign w:val="center"/>
          </w:tcPr>
          <w:p w14:paraId="09302C2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1.名称：配线</w:t>
            </w:r>
          </w:p>
          <w:p w14:paraId="6658E9C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2.规格：WDZ-SYY50-5</w:t>
            </w:r>
          </w:p>
          <w:p w14:paraId="164B9F5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3.敷设方式:管内敷设</w:t>
            </w:r>
          </w:p>
        </w:tc>
        <w:tc>
          <w:tcPr>
            <w:tcW w:w="2077" w:type="dxa"/>
            <w:vAlign w:val="center"/>
          </w:tcPr>
          <w:p w14:paraId="51498DB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75744B6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136C51A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298</w:t>
            </w:r>
          </w:p>
        </w:tc>
      </w:tr>
      <w:tr w14:paraId="35D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8F70102">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167</w:t>
            </w:r>
          </w:p>
        </w:tc>
        <w:tc>
          <w:tcPr>
            <w:tcW w:w="1789" w:type="dxa"/>
            <w:vAlign w:val="center"/>
          </w:tcPr>
          <w:p w14:paraId="0944A7F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配管</w:t>
            </w:r>
          </w:p>
        </w:tc>
        <w:tc>
          <w:tcPr>
            <w:tcW w:w="8255" w:type="dxa"/>
            <w:vAlign w:val="center"/>
          </w:tcPr>
          <w:p w14:paraId="5DC2E484">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1.名称：镀锌钢导管；</w:t>
            </w:r>
          </w:p>
          <w:p w14:paraId="76C3071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2.规格：JDG20*1.6；</w:t>
            </w:r>
          </w:p>
          <w:p w14:paraId="06C9987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3.配置形式：砖、混凝土结构明配；</w:t>
            </w:r>
          </w:p>
          <w:p w14:paraId="05C271E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4.接地：钢管接地</w:t>
            </w:r>
          </w:p>
        </w:tc>
        <w:tc>
          <w:tcPr>
            <w:tcW w:w="2077" w:type="dxa"/>
            <w:vAlign w:val="center"/>
          </w:tcPr>
          <w:p w14:paraId="6836A3CC">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0579892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65F260E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2456</w:t>
            </w:r>
          </w:p>
        </w:tc>
      </w:tr>
      <w:tr w14:paraId="43AB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A365363">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168</w:t>
            </w:r>
          </w:p>
        </w:tc>
        <w:tc>
          <w:tcPr>
            <w:tcW w:w="1789" w:type="dxa"/>
            <w:vAlign w:val="center"/>
          </w:tcPr>
          <w:p w14:paraId="2261631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配管</w:t>
            </w:r>
          </w:p>
        </w:tc>
        <w:tc>
          <w:tcPr>
            <w:tcW w:w="8255" w:type="dxa"/>
            <w:vAlign w:val="center"/>
          </w:tcPr>
          <w:p w14:paraId="6DECDAAC">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1.名称：镀锌钢导管；</w:t>
            </w:r>
          </w:p>
          <w:p w14:paraId="4E5FF80F">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2.规格：JDG20*1.6；</w:t>
            </w:r>
          </w:p>
          <w:p w14:paraId="2D16213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3.配置形式：砖、混凝土结构暗配；</w:t>
            </w:r>
          </w:p>
          <w:p w14:paraId="01D447A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4.接地：钢管接地</w:t>
            </w:r>
          </w:p>
        </w:tc>
        <w:tc>
          <w:tcPr>
            <w:tcW w:w="2077" w:type="dxa"/>
            <w:vAlign w:val="center"/>
          </w:tcPr>
          <w:p w14:paraId="4C685CD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682FBCA8">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15F8ED75">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29</w:t>
            </w:r>
          </w:p>
        </w:tc>
      </w:tr>
      <w:tr w14:paraId="428B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10F585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169</w:t>
            </w:r>
          </w:p>
        </w:tc>
        <w:tc>
          <w:tcPr>
            <w:tcW w:w="1789" w:type="dxa"/>
            <w:vAlign w:val="center"/>
          </w:tcPr>
          <w:p w14:paraId="652D7CC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配管</w:t>
            </w:r>
          </w:p>
        </w:tc>
        <w:tc>
          <w:tcPr>
            <w:tcW w:w="8255" w:type="dxa"/>
            <w:vAlign w:val="center"/>
          </w:tcPr>
          <w:p w14:paraId="274B3BD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1.名称：镀锌钢导管；</w:t>
            </w:r>
          </w:p>
          <w:p w14:paraId="75851FA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2.规格：JDG25*1.6；</w:t>
            </w:r>
          </w:p>
          <w:p w14:paraId="05AB859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3.配置形式：砖、混凝土结构明配；</w:t>
            </w:r>
          </w:p>
          <w:p w14:paraId="2508ABC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4.接地：钢管接地</w:t>
            </w:r>
          </w:p>
        </w:tc>
        <w:tc>
          <w:tcPr>
            <w:tcW w:w="2077" w:type="dxa"/>
            <w:vAlign w:val="center"/>
          </w:tcPr>
          <w:p w14:paraId="75BF298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2BF59DE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51BFAEA0">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71</w:t>
            </w:r>
          </w:p>
        </w:tc>
      </w:tr>
      <w:tr w14:paraId="2E0E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9E89BAC">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170</w:t>
            </w:r>
          </w:p>
        </w:tc>
        <w:tc>
          <w:tcPr>
            <w:tcW w:w="1789" w:type="dxa"/>
            <w:vAlign w:val="center"/>
          </w:tcPr>
          <w:p w14:paraId="101943DE">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配管</w:t>
            </w:r>
          </w:p>
        </w:tc>
        <w:tc>
          <w:tcPr>
            <w:tcW w:w="8255" w:type="dxa"/>
            <w:vAlign w:val="center"/>
          </w:tcPr>
          <w:p w14:paraId="60996502">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1.名称：镀锌钢导管；</w:t>
            </w:r>
          </w:p>
          <w:p w14:paraId="2A8A16CE">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2.规格：JDG25*1.6；</w:t>
            </w:r>
          </w:p>
          <w:p w14:paraId="5729F42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3.配置形式：砖、混凝土结构暗配；</w:t>
            </w:r>
          </w:p>
          <w:p w14:paraId="7ECC290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4.接地：钢管接地</w:t>
            </w:r>
          </w:p>
        </w:tc>
        <w:tc>
          <w:tcPr>
            <w:tcW w:w="2077" w:type="dxa"/>
            <w:vAlign w:val="center"/>
          </w:tcPr>
          <w:p w14:paraId="420A34F3">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270CCA47">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2C10B78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66</w:t>
            </w:r>
          </w:p>
        </w:tc>
      </w:tr>
      <w:tr w14:paraId="52A0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65A110B">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171</w:t>
            </w:r>
          </w:p>
        </w:tc>
        <w:tc>
          <w:tcPr>
            <w:tcW w:w="1789" w:type="dxa"/>
            <w:vAlign w:val="center"/>
          </w:tcPr>
          <w:p w14:paraId="74484D9F">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配管</w:t>
            </w:r>
          </w:p>
        </w:tc>
        <w:tc>
          <w:tcPr>
            <w:tcW w:w="8255" w:type="dxa"/>
            <w:vAlign w:val="center"/>
          </w:tcPr>
          <w:p w14:paraId="7E9DF2B0">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1.名称：镀锌钢导管；</w:t>
            </w:r>
          </w:p>
          <w:p w14:paraId="78F6BC97">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2.规格：JDG32*1.6；</w:t>
            </w:r>
          </w:p>
          <w:p w14:paraId="21732388">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3.配置形式：砖、混凝土结构明配；</w:t>
            </w:r>
          </w:p>
          <w:p w14:paraId="7EC8C519">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4.接地：钢管接地</w:t>
            </w:r>
          </w:p>
        </w:tc>
        <w:tc>
          <w:tcPr>
            <w:tcW w:w="2077" w:type="dxa"/>
            <w:vAlign w:val="center"/>
          </w:tcPr>
          <w:p w14:paraId="2D2E864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1C595AB9">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0750ED8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160</w:t>
            </w:r>
          </w:p>
        </w:tc>
      </w:tr>
      <w:tr w14:paraId="08A6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D5F25ED">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172</w:t>
            </w:r>
          </w:p>
        </w:tc>
        <w:tc>
          <w:tcPr>
            <w:tcW w:w="1789" w:type="dxa"/>
            <w:vAlign w:val="center"/>
          </w:tcPr>
          <w:p w14:paraId="29BDFCE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配管</w:t>
            </w:r>
          </w:p>
        </w:tc>
        <w:tc>
          <w:tcPr>
            <w:tcW w:w="8255" w:type="dxa"/>
            <w:vAlign w:val="center"/>
          </w:tcPr>
          <w:p w14:paraId="433D81B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1.名称：镀锌钢导管；</w:t>
            </w:r>
          </w:p>
          <w:p w14:paraId="4440932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2.规格：JDG32*1.6；</w:t>
            </w:r>
          </w:p>
          <w:p w14:paraId="6A89AD5B">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3.配置形式：砖、混凝土结构暗配；</w:t>
            </w:r>
          </w:p>
          <w:p w14:paraId="7309D31A">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4.接地：钢管接地</w:t>
            </w:r>
          </w:p>
        </w:tc>
        <w:tc>
          <w:tcPr>
            <w:tcW w:w="2077" w:type="dxa"/>
            <w:vAlign w:val="center"/>
          </w:tcPr>
          <w:p w14:paraId="7A389F2A">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6E3011B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m</w:t>
            </w:r>
          </w:p>
        </w:tc>
        <w:tc>
          <w:tcPr>
            <w:tcW w:w="859" w:type="dxa"/>
            <w:vAlign w:val="center"/>
          </w:tcPr>
          <w:p w14:paraId="04637E0E">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82</w:t>
            </w:r>
          </w:p>
        </w:tc>
      </w:tr>
      <w:tr w14:paraId="1BE6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6E05EA7">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173</w:t>
            </w:r>
          </w:p>
        </w:tc>
        <w:tc>
          <w:tcPr>
            <w:tcW w:w="1789" w:type="dxa"/>
            <w:vAlign w:val="center"/>
          </w:tcPr>
          <w:p w14:paraId="7BCBD685">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铁构件</w:t>
            </w:r>
          </w:p>
        </w:tc>
        <w:tc>
          <w:tcPr>
            <w:tcW w:w="8255" w:type="dxa"/>
            <w:vAlign w:val="center"/>
          </w:tcPr>
          <w:p w14:paraId="60BF0F6D">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明配管支架安装</w:t>
            </w:r>
          </w:p>
        </w:tc>
        <w:tc>
          <w:tcPr>
            <w:tcW w:w="2077" w:type="dxa"/>
            <w:vAlign w:val="center"/>
          </w:tcPr>
          <w:p w14:paraId="53DE2216">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5EA84774">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kg</w:t>
            </w:r>
          </w:p>
        </w:tc>
        <w:tc>
          <w:tcPr>
            <w:tcW w:w="859" w:type="dxa"/>
            <w:vAlign w:val="center"/>
          </w:tcPr>
          <w:p w14:paraId="4658C59F">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424.55</w:t>
            </w:r>
          </w:p>
        </w:tc>
      </w:tr>
      <w:tr w14:paraId="34F0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6B39324">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174</w:t>
            </w:r>
          </w:p>
        </w:tc>
        <w:tc>
          <w:tcPr>
            <w:tcW w:w="1789" w:type="dxa"/>
            <w:vAlign w:val="center"/>
          </w:tcPr>
          <w:p w14:paraId="5467CE20">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金属结构刷油</w:t>
            </w:r>
          </w:p>
        </w:tc>
        <w:tc>
          <w:tcPr>
            <w:tcW w:w="8255" w:type="dxa"/>
            <w:vAlign w:val="center"/>
          </w:tcPr>
          <w:p w14:paraId="3272DFF3">
            <w:pPr>
              <w:adjustRightInd/>
              <w:spacing w:line="440" w:lineRule="exact"/>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支架除锈刷红丹防锈漆两遍，调和漆两遍</w:t>
            </w:r>
          </w:p>
        </w:tc>
        <w:tc>
          <w:tcPr>
            <w:tcW w:w="2077" w:type="dxa"/>
            <w:vAlign w:val="center"/>
          </w:tcPr>
          <w:p w14:paraId="604A348D">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国产</w:t>
            </w:r>
          </w:p>
        </w:tc>
        <w:tc>
          <w:tcPr>
            <w:tcW w:w="660" w:type="dxa"/>
            <w:vAlign w:val="center"/>
          </w:tcPr>
          <w:p w14:paraId="692662CB">
            <w:pPr>
              <w:adjustRightInd/>
              <w:spacing w:line="440" w:lineRule="exact"/>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kg</w:t>
            </w:r>
          </w:p>
        </w:tc>
        <w:tc>
          <w:tcPr>
            <w:tcW w:w="859" w:type="dxa"/>
            <w:vAlign w:val="center"/>
          </w:tcPr>
          <w:p w14:paraId="06D5D0AA">
            <w:pPr>
              <w:adjustRightInd/>
              <w:spacing w:line="440" w:lineRule="exact"/>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424.55</w:t>
            </w:r>
          </w:p>
        </w:tc>
      </w:tr>
    </w:tbl>
    <w:p w14:paraId="5FF52D2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备注：1、投标报价应为投标人按照招标文件要求完成本项目的全部相关费用，包括：投标货物及标准附件、备品备件、专用工具等的出厂价和运至最终目的地的运输费和保险费，安装调试、技术措施、现场已完工程保护、试运行、检验、技术服务、培训、质量保证、售后服务、税费。招标文件未列明，而投标人认为必需的费用也需列入报价。</w:t>
      </w:r>
    </w:p>
    <w:p w14:paraId="19FFF84A">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2、技术参数要求中国家标准及规范有新标准的按新标准执行。</w:t>
      </w:r>
      <w:r>
        <w:rPr>
          <w:rFonts w:hint="eastAsia" w:ascii="仿宋_GB2312" w:hAnsi="仿宋_GB2312" w:eastAsia="仿宋_GB2312" w:cs="仿宋_GB2312"/>
          <w:b/>
          <w:bCs/>
          <w:color w:val="auto"/>
          <w:sz w:val="21"/>
          <w:szCs w:val="21"/>
          <w:highlight w:val="none"/>
          <w:lang w:val="en-US" w:eastAsia="zh-CN"/>
        </w:rPr>
        <w:t>采购人提供的采购货物清单仅供参考，投标人应按设计图纸来统计采购内容和数量，并以此投标。清单中提供的货物技术参数、规格与图纸中的技术参数、规格如有不同，以图纸为准（除采购文件特别说明外）。</w:t>
      </w:r>
      <w:r>
        <w:rPr>
          <w:rFonts w:hint="eastAsia" w:ascii="仿宋_GB2312" w:hAnsi="仿宋_GB2312" w:eastAsia="仿宋_GB2312" w:cs="仿宋_GB2312"/>
          <w:color w:val="auto"/>
          <w:sz w:val="21"/>
          <w:szCs w:val="21"/>
          <w:highlight w:val="none"/>
          <w:lang w:val="en-US" w:eastAsia="zh-CN"/>
        </w:rPr>
        <w:t>投标人少报或漏报的货物内容和数量，采购人将视为已包含在投标总价中，中标后合同价不予调整。</w:t>
      </w:r>
    </w:p>
    <w:p w14:paraId="33DD1CC5">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上述技术参数等描述若出现定值，不代表唯一性、指定性，投标人可以提供参数性能不低于上述技术参数的产品。上述推荐参考品牌仅供参考，投标人可以选择其他品牌及产品性能不低于上述品牌的产品进行报价，并须提供相关证明资料，如经评审小组三分之二及以上成员认定投标人的投标产品品牌及产品性能低于推荐参考品牌的，按未实质性响应采购文件要求处理，作无效标处理。</w:t>
      </w:r>
      <w:bookmarkEnd w:id="7"/>
      <w:bookmarkEnd w:id="8"/>
      <w:bookmarkEnd w:id="9"/>
      <w:bookmarkEnd w:id="10"/>
      <w:bookmarkEnd w:id="11"/>
    </w:p>
    <w:p w14:paraId="79B9E65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sectPr>
          <w:pgSz w:w="16838" w:h="11906" w:orient="landscape"/>
          <w:pgMar w:top="1417" w:right="1134" w:bottom="1417" w:left="1417" w:header="1304" w:footer="992" w:gutter="0"/>
          <w:pgNumType w:fmt="decimal"/>
          <w:cols w:space="0" w:num="1"/>
          <w:titlePg/>
          <w:rtlGutter w:val="0"/>
          <w:docGrid w:linePitch="312" w:charSpace="0"/>
        </w:sectPr>
      </w:pPr>
    </w:p>
    <w:p w14:paraId="53816E48">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三、项目要求</w:t>
      </w:r>
    </w:p>
    <w:p w14:paraId="08EE446F">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1、验收及验收标准：按照中国国家标准及有关部门的规范完成验收。各方在验收文件上签字；</w:t>
      </w:r>
    </w:p>
    <w:p w14:paraId="68A92BF4">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3、在工地建设活动中，中标人有责任与总包方、监理单位等保持联系和协作，此责任应包括所有为了开展工作切实有效所需的交换和提供数据、标准和资料等工作；</w:t>
      </w:r>
    </w:p>
    <w:p w14:paraId="7375849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4、中标人应参加所有有关的现场联络会和由其他单位或总包单位召开的联络会，并接受总包单位的统一管理，遵守工地的安全和建筑规定；</w:t>
      </w:r>
    </w:p>
    <w:p w14:paraId="71F29A79">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5、在作业期间，中标人应遵守有关部门的管理，并遵照相关规定；</w:t>
      </w:r>
    </w:p>
    <w:p w14:paraId="4C9E8187">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6、由于工程进度和正式使用的不同需求，中标人有责任防止所有产品未经正式认可，便在工程中使用，而应根据采购人需要，一批批得到认可后方可投入使用；</w:t>
      </w:r>
    </w:p>
    <w:p w14:paraId="37E0869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7、为保证质量，交货时必须随货物提供厂名、品牌、产地证书和合格证书、原产地的出运证明等；</w:t>
      </w:r>
    </w:p>
    <w:p w14:paraId="3E206A02">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8、产品说明书和手册：交货时中标人应随货物免费提供。</w:t>
      </w:r>
    </w:p>
    <w:p w14:paraId="3D19622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9、投标人需要提供合理的项目实施方案，能按照项目分解节点并可跟踪实施。</w:t>
      </w:r>
    </w:p>
    <w:p w14:paraId="08968ACB">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10、投标人需要提供合理的货物选型和质量保证方案，确保货物的适配、先进、稳定，以及质量的保证。</w:t>
      </w:r>
    </w:p>
    <w:p w14:paraId="692E6F91">
      <w:pPr>
        <w:adjustRightInd/>
        <w:spacing w:line="440" w:lineRule="exact"/>
        <w:ind w:firstLine="420" w:firstLineChars="20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11、投标人需要提供具有类似项目经验、相应专业技术能力的项目负责人、项目技术负责人以及项目团队承接本项目。因设备安装实际需要，项目团队各专业工种配备齐全，作业人员须持证上岗。</w:t>
      </w:r>
    </w:p>
    <w:p w14:paraId="5C349B8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12、投标人需要通过质量管理体系认证、环境管理体系认证。</w:t>
      </w:r>
    </w:p>
    <w:p w14:paraId="0ECBEC41">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13、投标人需要具备类似项目业绩经验。</w:t>
      </w:r>
    </w:p>
    <w:p w14:paraId="5FE87C68">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14、投标人必须充分考虑招标方案中的技术规范，提供投标响应方案。投标人可在符合招标方技术规范的情况下，充分发挥自身的优势和特点，提供相应的深化设计方案、技术方案和投标货物。阐明响应方案的实现思路及关键技术、符合本项目对当前和未来发展的要求以及对功能设计和实施计划的建议。投标人在响应方案中应明确主材、辅材和主要配件的产地（或生产厂家）、品牌、规格型号及主要技术参数，并提供相应说明材料。</w:t>
      </w:r>
    </w:p>
    <w:p w14:paraId="76CE586C">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对于招标文件要求提供检测报告作为评审依据的原（辅）材料，原（辅）材料到生产现场后，中标人应先进行查验无误后通知采购人，采购人可以委托国家认可的第三方检测机构进行抽样检测（检测费用由中标人承担），检测结果作为验收资料组成部分。</w:t>
      </w:r>
    </w:p>
    <w:p w14:paraId="624C9972">
      <w:pPr>
        <w:adjustRightInd/>
        <w:spacing w:line="440" w:lineRule="exact"/>
        <w:ind w:firstLine="420" w:firstLineChars="20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16、投标人需按采购人要求负责完成音视频设备和控制端主机的适配工作。</w:t>
      </w:r>
    </w:p>
    <w:p w14:paraId="6D0A2693">
      <w:pPr>
        <w:adjustRightInd/>
        <w:spacing w:line="440" w:lineRule="exact"/>
        <w:ind w:firstLine="420" w:firstLineChars="20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br w:type="page"/>
      </w:r>
    </w:p>
    <w:p w14:paraId="4A046537">
      <w:pPr>
        <w:keepNext w:val="0"/>
        <w:keepLines w:val="0"/>
        <w:pageBreakBefore w:val="0"/>
        <w:widowControl w:val="0"/>
        <w:kinsoku/>
        <w:wordWrap/>
        <w:overflowPunct/>
        <w:topLinePunct w:val="0"/>
        <w:autoSpaceDE/>
        <w:autoSpaceDN/>
        <w:bidi w:val="0"/>
        <w:adjustRightInd w:val="0"/>
        <w:snapToGrid/>
        <w:spacing w:line="640" w:lineRule="exact"/>
        <w:jc w:val="center"/>
        <w:textAlignment w:val="auto"/>
        <w:outlineLvl w:val="0"/>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第四</w:t>
      </w:r>
      <w:bookmarkStart w:id="12" w:name="_Toc184308107"/>
      <w:bookmarkEnd w:id="12"/>
      <w:bookmarkStart w:id="13" w:name="_Toc184314461"/>
      <w:bookmarkEnd w:id="13"/>
      <w:bookmarkStart w:id="14" w:name="_Toc184308056"/>
      <w:bookmarkEnd w:id="14"/>
      <w:bookmarkStart w:id="15" w:name="_Toc184310276"/>
      <w:bookmarkEnd w:id="15"/>
      <w:bookmarkStart w:id="16" w:name="_Toc184308077"/>
      <w:bookmarkEnd w:id="16"/>
      <w:bookmarkStart w:id="17" w:name="_Toc184314463"/>
      <w:bookmarkEnd w:id="17"/>
      <w:bookmarkStart w:id="18" w:name="_Toc184312128"/>
      <w:bookmarkEnd w:id="18"/>
      <w:bookmarkStart w:id="19" w:name="_Toc184308104"/>
      <w:bookmarkEnd w:id="19"/>
      <w:bookmarkStart w:id="20" w:name="_Toc184314449"/>
      <w:bookmarkEnd w:id="20"/>
      <w:bookmarkStart w:id="21" w:name="_Toc184310299"/>
      <w:bookmarkEnd w:id="21"/>
      <w:bookmarkStart w:id="22" w:name="_Toc184313299"/>
      <w:bookmarkEnd w:id="22"/>
      <w:bookmarkStart w:id="23" w:name="_Toc184310319"/>
      <w:bookmarkEnd w:id="23"/>
      <w:bookmarkStart w:id="24" w:name="_Toc184310341"/>
      <w:bookmarkEnd w:id="24"/>
      <w:bookmarkStart w:id="25" w:name="_Toc184308102"/>
      <w:bookmarkEnd w:id="25"/>
      <w:bookmarkStart w:id="26" w:name="_Toc184310312"/>
      <w:bookmarkEnd w:id="26"/>
      <w:bookmarkStart w:id="27" w:name="_Toc184312078"/>
      <w:bookmarkEnd w:id="27"/>
      <w:bookmarkStart w:id="28" w:name="_Toc184314433"/>
      <w:bookmarkEnd w:id="28"/>
      <w:bookmarkStart w:id="29" w:name="_Toc184310278"/>
      <w:bookmarkEnd w:id="29"/>
      <w:bookmarkStart w:id="30" w:name="_Toc184313307"/>
      <w:bookmarkEnd w:id="30"/>
      <w:bookmarkStart w:id="31" w:name="_Toc184314425"/>
      <w:bookmarkEnd w:id="31"/>
      <w:bookmarkStart w:id="32" w:name="_Toc184314436"/>
      <w:bookmarkEnd w:id="32"/>
      <w:bookmarkStart w:id="33" w:name="_Toc184310305"/>
      <w:bookmarkEnd w:id="33"/>
      <w:bookmarkStart w:id="34" w:name="_Toc184312136"/>
      <w:bookmarkEnd w:id="34"/>
      <w:bookmarkStart w:id="35" w:name="_Toc184313240"/>
      <w:bookmarkEnd w:id="35"/>
      <w:bookmarkStart w:id="36" w:name="_Toc184313267"/>
      <w:bookmarkEnd w:id="36"/>
      <w:bookmarkStart w:id="37" w:name="_Toc184312090"/>
      <w:bookmarkEnd w:id="37"/>
      <w:bookmarkStart w:id="38" w:name="_Toc184314419"/>
      <w:bookmarkEnd w:id="38"/>
      <w:bookmarkStart w:id="39" w:name="_Toc184312125"/>
      <w:bookmarkEnd w:id="39"/>
      <w:bookmarkStart w:id="40" w:name="_Toc184312109"/>
      <w:bookmarkEnd w:id="40"/>
      <w:bookmarkStart w:id="41" w:name="_Toc184313265"/>
      <w:bookmarkEnd w:id="41"/>
      <w:bookmarkStart w:id="42" w:name="_Toc184308037"/>
      <w:bookmarkEnd w:id="42"/>
      <w:bookmarkStart w:id="43" w:name="_Toc184308089"/>
      <w:bookmarkEnd w:id="43"/>
      <w:bookmarkStart w:id="44" w:name="_Toc184310307"/>
      <w:bookmarkEnd w:id="44"/>
      <w:bookmarkStart w:id="45" w:name="_Toc184314442"/>
      <w:bookmarkEnd w:id="45"/>
      <w:bookmarkStart w:id="46" w:name="_Toc184313263"/>
      <w:bookmarkEnd w:id="46"/>
      <w:bookmarkStart w:id="47" w:name="_Toc184313280"/>
      <w:bookmarkEnd w:id="47"/>
      <w:bookmarkStart w:id="48" w:name="_Toc184314438"/>
      <w:bookmarkEnd w:id="48"/>
      <w:bookmarkStart w:id="49" w:name="_Toc184314416"/>
      <w:bookmarkEnd w:id="49"/>
      <w:bookmarkStart w:id="50" w:name="_Toc184310273"/>
      <w:bookmarkEnd w:id="50"/>
      <w:bookmarkStart w:id="51" w:name="_Toc184313247"/>
      <w:bookmarkEnd w:id="51"/>
      <w:bookmarkStart w:id="52" w:name="_Toc184314472"/>
      <w:bookmarkEnd w:id="52"/>
      <w:bookmarkStart w:id="53" w:name="_Toc184308103"/>
      <w:bookmarkEnd w:id="53"/>
      <w:bookmarkStart w:id="54" w:name="_Toc184308051"/>
      <w:bookmarkEnd w:id="54"/>
      <w:bookmarkStart w:id="55" w:name="_Toc184312127"/>
      <w:bookmarkEnd w:id="55"/>
      <w:bookmarkStart w:id="56" w:name="_Toc184308054"/>
      <w:bookmarkEnd w:id="56"/>
      <w:bookmarkStart w:id="57" w:name="_Toc184308042"/>
      <w:bookmarkEnd w:id="57"/>
      <w:bookmarkStart w:id="58" w:name="_Toc184314458"/>
      <w:bookmarkEnd w:id="58"/>
      <w:bookmarkStart w:id="59" w:name="_Toc184310332"/>
      <w:bookmarkEnd w:id="59"/>
      <w:bookmarkStart w:id="60" w:name="_Toc184312094"/>
      <w:bookmarkEnd w:id="60"/>
      <w:bookmarkStart w:id="61" w:name="_Toc184308041"/>
      <w:bookmarkEnd w:id="61"/>
      <w:bookmarkStart w:id="62" w:name="_Toc184314414"/>
      <w:bookmarkEnd w:id="62"/>
      <w:bookmarkStart w:id="63" w:name="_Toc184312072"/>
      <w:bookmarkEnd w:id="63"/>
      <w:bookmarkStart w:id="64" w:name="_Toc184312114"/>
      <w:bookmarkEnd w:id="64"/>
      <w:bookmarkStart w:id="65" w:name="_Toc184313244"/>
      <w:bookmarkEnd w:id="65"/>
      <w:bookmarkStart w:id="66" w:name="_Toc184313249"/>
      <w:bookmarkEnd w:id="66"/>
      <w:bookmarkStart w:id="67" w:name="_Toc184314478"/>
      <w:bookmarkEnd w:id="67"/>
      <w:bookmarkStart w:id="68" w:name="_Toc184310300"/>
      <w:bookmarkEnd w:id="68"/>
      <w:bookmarkStart w:id="69" w:name="_Toc184313291"/>
      <w:bookmarkEnd w:id="69"/>
      <w:bookmarkStart w:id="70" w:name="_Toc184313259"/>
      <w:bookmarkEnd w:id="70"/>
      <w:bookmarkStart w:id="71" w:name="_Toc184313290"/>
      <w:bookmarkEnd w:id="71"/>
      <w:bookmarkStart w:id="72" w:name="_Toc184314457"/>
      <w:bookmarkEnd w:id="72"/>
      <w:bookmarkStart w:id="73" w:name="_Toc184314411"/>
      <w:bookmarkEnd w:id="73"/>
      <w:bookmarkStart w:id="74" w:name="_Toc184308040"/>
      <w:bookmarkEnd w:id="74"/>
      <w:bookmarkStart w:id="75" w:name="_Toc184313271"/>
      <w:bookmarkEnd w:id="75"/>
      <w:bookmarkStart w:id="76" w:name="_Toc184310342"/>
      <w:bookmarkEnd w:id="76"/>
      <w:bookmarkStart w:id="77" w:name="_Toc184313278"/>
      <w:bookmarkEnd w:id="77"/>
      <w:bookmarkStart w:id="78" w:name="_Toc184308097"/>
      <w:bookmarkEnd w:id="78"/>
      <w:bookmarkStart w:id="79" w:name="_Toc184308055"/>
      <w:bookmarkEnd w:id="79"/>
      <w:bookmarkStart w:id="80" w:name="_Toc184314447"/>
      <w:bookmarkEnd w:id="80"/>
      <w:bookmarkStart w:id="81" w:name="_Toc184310290"/>
      <w:bookmarkEnd w:id="81"/>
      <w:bookmarkStart w:id="82" w:name="_Toc184310336"/>
      <w:bookmarkEnd w:id="82"/>
      <w:bookmarkStart w:id="83" w:name="_Toc184312112"/>
      <w:bookmarkEnd w:id="83"/>
      <w:bookmarkStart w:id="84" w:name="_Toc184308046"/>
      <w:bookmarkEnd w:id="84"/>
      <w:bookmarkStart w:id="85" w:name="_Toc184312091"/>
      <w:bookmarkEnd w:id="85"/>
      <w:bookmarkStart w:id="86" w:name="_Toc184312121"/>
      <w:bookmarkEnd w:id="86"/>
      <w:bookmarkStart w:id="87" w:name="_Toc184310297"/>
      <w:bookmarkEnd w:id="87"/>
      <w:bookmarkStart w:id="88" w:name="_Toc184312110"/>
      <w:bookmarkEnd w:id="88"/>
      <w:bookmarkStart w:id="89" w:name="_Toc184312093"/>
      <w:bookmarkEnd w:id="89"/>
      <w:bookmarkStart w:id="90" w:name="_Toc184312134"/>
      <w:bookmarkEnd w:id="90"/>
      <w:bookmarkStart w:id="91" w:name="_Toc184314481"/>
      <w:bookmarkEnd w:id="91"/>
      <w:bookmarkStart w:id="92" w:name="_Toc184312102"/>
      <w:bookmarkEnd w:id="92"/>
      <w:bookmarkStart w:id="93" w:name="_Toc184310313"/>
      <w:bookmarkEnd w:id="93"/>
      <w:bookmarkStart w:id="94" w:name="_Toc184308038"/>
      <w:bookmarkEnd w:id="94"/>
      <w:bookmarkStart w:id="95" w:name="_Toc184313255"/>
      <w:bookmarkEnd w:id="95"/>
      <w:bookmarkStart w:id="96" w:name="_Toc184314448"/>
      <w:bookmarkEnd w:id="96"/>
      <w:bookmarkStart w:id="97" w:name="_Toc184310282"/>
      <w:bookmarkEnd w:id="97"/>
      <w:bookmarkStart w:id="98" w:name="_Toc184308064"/>
      <w:bookmarkEnd w:id="98"/>
      <w:bookmarkStart w:id="99" w:name="_Toc184312115"/>
      <w:bookmarkEnd w:id="99"/>
      <w:bookmarkStart w:id="100" w:name="_Toc184314439"/>
      <w:bookmarkEnd w:id="100"/>
      <w:bookmarkStart w:id="101" w:name="_Toc184312087"/>
      <w:bookmarkEnd w:id="101"/>
      <w:bookmarkStart w:id="102" w:name="_Toc184314418"/>
      <w:bookmarkEnd w:id="102"/>
      <w:bookmarkStart w:id="103" w:name="_Toc184312075"/>
      <w:bookmarkEnd w:id="103"/>
      <w:bookmarkStart w:id="104" w:name="_Toc184310337"/>
      <w:bookmarkEnd w:id="104"/>
      <w:bookmarkStart w:id="105" w:name="_Toc184314482"/>
      <w:bookmarkEnd w:id="105"/>
      <w:bookmarkStart w:id="106" w:name="_Toc184314475"/>
      <w:bookmarkEnd w:id="106"/>
      <w:bookmarkStart w:id="107" w:name="_Toc184313288"/>
      <w:bookmarkEnd w:id="107"/>
      <w:bookmarkStart w:id="108" w:name="_Toc184314453"/>
      <w:bookmarkEnd w:id="108"/>
      <w:bookmarkStart w:id="109" w:name="_Toc184308095"/>
      <w:bookmarkEnd w:id="109"/>
      <w:bookmarkStart w:id="110" w:name="_Toc184312084"/>
      <w:bookmarkEnd w:id="110"/>
      <w:bookmarkStart w:id="111" w:name="_Toc184314464"/>
      <w:bookmarkEnd w:id="111"/>
      <w:bookmarkStart w:id="112" w:name="_Toc184308100"/>
      <w:bookmarkEnd w:id="112"/>
      <w:bookmarkStart w:id="113" w:name="_Toc184314451"/>
      <w:bookmarkEnd w:id="113"/>
      <w:bookmarkStart w:id="114" w:name="_Toc184313300"/>
      <w:bookmarkEnd w:id="114"/>
      <w:bookmarkStart w:id="115" w:name="_Toc184312100"/>
      <w:bookmarkEnd w:id="115"/>
      <w:bookmarkStart w:id="116" w:name="_Toc184314410"/>
      <w:bookmarkEnd w:id="116"/>
      <w:bookmarkStart w:id="117" w:name="_Toc184314480"/>
      <w:bookmarkEnd w:id="117"/>
      <w:bookmarkStart w:id="118" w:name="_Toc184313309"/>
      <w:bookmarkEnd w:id="118"/>
      <w:bookmarkStart w:id="119" w:name="_Toc184313286"/>
      <w:bookmarkEnd w:id="119"/>
      <w:bookmarkStart w:id="120" w:name="_Toc184312123"/>
      <w:bookmarkEnd w:id="120"/>
      <w:bookmarkStart w:id="121" w:name="_Toc184314446"/>
      <w:bookmarkEnd w:id="121"/>
      <w:bookmarkStart w:id="122" w:name="_Toc184314470"/>
      <w:bookmarkEnd w:id="122"/>
      <w:bookmarkStart w:id="123" w:name="_Toc184312081"/>
      <w:bookmarkEnd w:id="123"/>
      <w:bookmarkStart w:id="124" w:name="_Toc184310308"/>
      <w:bookmarkEnd w:id="124"/>
      <w:bookmarkStart w:id="125" w:name="_Toc184312135"/>
      <w:bookmarkEnd w:id="125"/>
      <w:bookmarkStart w:id="126" w:name="_Toc184308066"/>
      <w:bookmarkEnd w:id="126"/>
      <w:bookmarkStart w:id="127" w:name="_Toc184313289"/>
      <w:bookmarkEnd w:id="127"/>
      <w:bookmarkStart w:id="128" w:name="_Toc184312098"/>
      <w:bookmarkEnd w:id="128"/>
      <w:bookmarkStart w:id="129" w:name="_Toc184314429"/>
      <w:bookmarkEnd w:id="129"/>
      <w:bookmarkStart w:id="130" w:name="_Toc184314431"/>
      <w:bookmarkEnd w:id="130"/>
      <w:bookmarkStart w:id="131" w:name="_Toc184312126"/>
      <w:bookmarkEnd w:id="131"/>
      <w:bookmarkStart w:id="132" w:name="_Toc184312095"/>
      <w:bookmarkEnd w:id="132"/>
      <w:bookmarkStart w:id="133" w:name="_Toc184314466"/>
      <w:bookmarkEnd w:id="133"/>
      <w:bookmarkStart w:id="134" w:name="_Toc184310272"/>
      <w:bookmarkEnd w:id="134"/>
      <w:bookmarkStart w:id="135" w:name="_Toc184308072"/>
      <w:bookmarkEnd w:id="135"/>
      <w:bookmarkStart w:id="136" w:name="_Toc184314465"/>
      <w:bookmarkEnd w:id="136"/>
      <w:bookmarkStart w:id="137" w:name="_Toc184313303"/>
      <w:bookmarkEnd w:id="137"/>
      <w:bookmarkStart w:id="138" w:name="_Toc184308101"/>
      <w:bookmarkEnd w:id="138"/>
      <w:bookmarkStart w:id="139" w:name="_Toc184310338"/>
      <w:bookmarkEnd w:id="139"/>
      <w:bookmarkStart w:id="140" w:name="_Toc184312139"/>
      <w:bookmarkEnd w:id="140"/>
      <w:bookmarkStart w:id="141" w:name="_Toc184312080"/>
      <w:bookmarkEnd w:id="141"/>
      <w:bookmarkStart w:id="142" w:name="_Toc184313253"/>
      <w:bookmarkEnd w:id="142"/>
      <w:bookmarkStart w:id="143" w:name="_Toc184312131"/>
      <w:bookmarkEnd w:id="143"/>
      <w:bookmarkStart w:id="144" w:name="_Toc184312116"/>
      <w:bookmarkEnd w:id="144"/>
      <w:bookmarkStart w:id="145" w:name="_Toc184314412"/>
      <w:bookmarkEnd w:id="145"/>
      <w:bookmarkStart w:id="146" w:name="_Toc184310317"/>
      <w:bookmarkEnd w:id="146"/>
      <w:bookmarkStart w:id="147" w:name="_Toc184308080"/>
      <w:bookmarkEnd w:id="147"/>
      <w:bookmarkStart w:id="148" w:name="_Toc184310295"/>
      <w:bookmarkEnd w:id="148"/>
      <w:bookmarkStart w:id="149" w:name="_Toc184310288"/>
      <w:bookmarkEnd w:id="149"/>
      <w:bookmarkStart w:id="150" w:name="_Toc184313277"/>
      <w:bookmarkEnd w:id="150"/>
      <w:bookmarkStart w:id="151" w:name="_Toc184310340"/>
      <w:bookmarkEnd w:id="151"/>
      <w:bookmarkStart w:id="152" w:name="_Toc184313284"/>
      <w:bookmarkEnd w:id="152"/>
      <w:bookmarkStart w:id="153" w:name="_Toc184310324"/>
      <w:bookmarkEnd w:id="153"/>
      <w:bookmarkStart w:id="154" w:name="_Toc184310291"/>
      <w:bookmarkEnd w:id="154"/>
      <w:bookmarkStart w:id="155" w:name="_Toc184312071"/>
      <w:bookmarkEnd w:id="155"/>
      <w:bookmarkStart w:id="156" w:name="_Toc184308078"/>
      <w:bookmarkEnd w:id="156"/>
      <w:bookmarkStart w:id="157" w:name="_Toc184313268"/>
      <w:bookmarkEnd w:id="157"/>
      <w:bookmarkStart w:id="158" w:name="_Toc184314434"/>
      <w:bookmarkEnd w:id="158"/>
      <w:bookmarkStart w:id="159" w:name="_Toc184314426"/>
      <w:bookmarkEnd w:id="159"/>
      <w:bookmarkStart w:id="160" w:name="_Toc184313279"/>
      <w:bookmarkEnd w:id="160"/>
      <w:bookmarkStart w:id="161" w:name="_Toc184313305"/>
      <w:bookmarkEnd w:id="161"/>
      <w:bookmarkStart w:id="162" w:name="_Toc184314469"/>
      <w:bookmarkEnd w:id="162"/>
      <w:bookmarkStart w:id="163" w:name="_Toc184308093"/>
      <w:bookmarkEnd w:id="163"/>
      <w:bookmarkStart w:id="164" w:name="_Toc184314430"/>
      <w:bookmarkEnd w:id="164"/>
      <w:bookmarkStart w:id="165" w:name="_Toc184310310"/>
      <w:bookmarkEnd w:id="165"/>
      <w:bookmarkStart w:id="166" w:name="_Toc184310286"/>
      <w:bookmarkEnd w:id="166"/>
      <w:bookmarkStart w:id="167" w:name="_Toc184308096"/>
      <w:bookmarkEnd w:id="167"/>
      <w:bookmarkStart w:id="168" w:name="_Toc184313243"/>
      <w:bookmarkEnd w:id="168"/>
      <w:bookmarkStart w:id="169" w:name="_Toc184313296"/>
      <w:bookmarkEnd w:id="169"/>
      <w:bookmarkStart w:id="170" w:name="_Toc184314456"/>
      <w:bookmarkEnd w:id="170"/>
      <w:bookmarkStart w:id="171" w:name="_Toc184314421"/>
      <w:bookmarkEnd w:id="171"/>
      <w:bookmarkStart w:id="172" w:name="_Toc184312138"/>
      <w:bookmarkEnd w:id="172"/>
      <w:bookmarkStart w:id="173" w:name="_Toc184310321"/>
      <w:bookmarkEnd w:id="173"/>
      <w:bookmarkStart w:id="174" w:name="_Toc184308074"/>
      <w:bookmarkEnd w:id="174"/>
      <w:bookmarkStart w:id="175" w:name="_Toc184312096"/>
      <w:bookmarkEnd w:id="175"/>
      <w:bookmarkStart w:id="176" w:name="_Toc184310301"/>
      <w:bookmarkEnd w:id="176"/>
      <w:bookmarkStart w:id="177" w:name="_Toc184310344"/>
      <w:bookmarkEnd w:id="177"/>
      <w:bookmarkStart w:id="178" w:name="_Toc184310327"/>
      <w:bookmarkEnd w:id="178"/>
      <w:bookmarkStart w:id="179" w:name="_Toc184314476"/>
      <w:bookmarkEnd w:id="179"/>
      <w:bookmarkStart w:id="180" w:name="_Toc184310309"/>
      <w:bookmarkEnd w:id="180"/>
      <w:bookmarkStart w:id="181" w:name="_Toc184313292"/>
      <w:bookmarkEnd w:id="181"/>
      <w:bookmarkStart w:id="182" w:name="_Toc184310333"/>
      <w:bookmarkEnd w:id="182"/>
      <w:bookmarkStart w:id="183" w:name="_Toc184312082"/>
      <w:bookmarkEnd w:id="183"/>
      <w:bookmarkStart w:id="184" w:name="_Toc184308087"/>
      <w:bookmarkEnd w:id="184"/>
      <w:bookmarkStart w:id="185" w:name="_Toc184312120"/>
      <w:bookmarkEnd w:id="185"/>
      <w:bookmarkStart w:id="186" w:name="_Toc184308086"/>
      <w:bookmarkEnd w:id="186"/>
      <w:bookmarkStart w:id="187" w:name="_Toc184312073"/>
      <w:bookmarkEnd w:id="187"/>
      <w:bookmarkStart w:id="188" w:name="_Toc184312105"/>
      <w:bookmarkEnd w:id="188"/>
      <w:bookmarkStart w:id="189" w:name="_Toc184313241"/>
      <w:bookmarkEnd w:id="189"/>
      <w:bookmarkStart w:id="190" w:name="_Toc184312106"/>
      <w:bookmarkEnd w:id="190"/>
      <w:bookmarkStart w:id="191" w:name="_Toc184312124"/>
      <w:bookmarkEnd w:id="191"/>
      <w:bookmarkStart w:id="192" w:name="_Toc184310334"/>
      <w:bookmarkEnd w:id="192"/>
      <w:bookmarkStart w:id="193" w:name="_Toc184313298"/>
      <w:bookmarkEnd w:id="193"/>
      <w:bookmarkStart w:id="194" w:name="_Toc184308068"/>
      <w:bookmarkEnd w:id="194"/>
      <w:bookmarkStart w:id="195" w:name="_Toc184313308"/>
      <w:bookmarkEnd w:id="195"/>
      <w:bookmarkStart w:id="196" w:name="_Toc184314413"/>
      <w:bookmarkEnd w:id="196"/>
      <w:bookmarkStart w:id="197" w:name="_Toc184312089"/>
      <w:bookmarkEnd w:id="197"/>
      <w:bookmarkStart w:id="198" w:name="_Toc184313257"/>
      <w:bookmarkEnd w:id="198"/>
      <w:bookmarkStart w:id="199" w:name="_Toc184313262"/>
      <w:bookmarkEnd w:id="199"/>
      <w:bookmarkStart w:id="200" w:name="_Toc184312107"/>
      <w:bookmarkEnd w:id="200"/>
      <w:bookmarkStart w:id="201" w:name="_Toc184310326"/>
      <w:bookmarkEnd w:id="201"/>
      <w:bookmarkStart w:id="202" w:name="_Toc184310287"/>
      <w:bookmarkEnd w:id="202"/>
      <w:bookmarkStart w:id="203" w:name="_Toc184308071"/>
      <w:bookmarkEnd w:id="203"/>
      <w:bookmarkStart w:id="204" w:name="_Toc184310283"/>
      <w:bookmarkEnd w:id="204"/>
      <w:bookmarkStart w:id="205" w:name="_Toc184314477"/>
      <w:bookmarkEnd w:id="205"/>
      <w:bookmarkStart w:id="206" w:name="_Toc184313260"/>
      <w:bookmarkEnd w:id="206"/>
      <w:bookmarkStart w:id="207" w:name="_Toc184313302"/>
      <w:bookmarkEnd w:id="207"/>
      <w:bookmarkStart w:id="208" w:name="_Toc184314462"/>
      <w:bookmarkEnd w:id="208"/>
      <w:bookmarkStart w:id="209" w:name="_Toc184310274"/>
      <w:bookmarkEnd w:id="209"/>
      <w:bookmarkStart w:id="210" w:name="_Toc184313295"/>
      <w:bookmarkEnd w:id="210"/>
      <w:bookmarkStart w:id="211" w:name="_Toc184308076"/>
      <w:bookmarkEnd w:id="211"/>
      <w:bookmarkStart w:id="212" w:name="_Toc184312108"/>
      <w:bookmarkEnd w:id="212"/>
      <w:bookmarkStart w:id="213" w:name="_Toc184313239"/>
      <w:bookmarkEnd w:id="213"/>
      <w:bookmarkStart w:id="214" w:name="_Toc184310296"/>
      <w:bookmarkEnd w:id="214"/>
      <w:bookmarkStart w:id="215" w:name="_Toc184312074"/>
      <w:bookmarkEnd w:id="215"/>
      <w:bookmarkStart w:id="216" w:name="_Toc184310285"/>
      <w:bookmarkEnd w:id="216"/>
      <w:bookmarkStart w:id="217" w:name="_Toc184312070"/>
      <w:bookmarkEnd w:id="217"/>
      <w:bookmarkStart w:id="218" w:name="_Toc184308085"/>
      <w:bookmarkEnd w:id="218"/>
      <w:bookmarkStart w:id="219" w:name="_Toc184313301"/>
      <w:bookmarkEnd w:id="219"/>
      <w:bookmarkStart w:id="220" w:name="_Toc184314440"/>
      <w:bookmarkEnd w:id="220"/>
      <w:bookmarkStart w:id="221" w:name="_Toc184308045"/>
      <w:bookmarkEnd w:id="221"/>
      <w:bookmarkStart w:id="222" w:name="_Toc184313264"/>
      <w:bookmarkEnd w:id="222"/>
      <w:bookmarkStart w:id="223" w:name="_Toc184314427"/>
      <w:bookmarkEnd w:id="223"/>
      <w:bookmarkStart w:id="224" w:name="_Toc184308106"/>
      <w:bookmarkEnd w:id="224"/>
      <w:bookmarkStart w:id="225" w:name="_Toc184312132"/>
      <w:bookmarkEnd w:id="225"/>
      <w:bookmarkStart w:id="226" w:name="_Toc184308099"/>
      <w:bookmarkEnd w:id="226"/>
      <w:bookmarkStart w:id="227" w:name="_Toc184308047"/>
      <w:bookmarkEnd w:id="227"/>
      <w:bookmarkStart w:id="228" w:name="_Toc184314454"/>
      <w:bookmarkEnd w:id="228"/>
      <w:bookmarkStart w:id="229" w:name="_Toc184314452"/>
      <w:bookmarkEnd w:id="229"/>
      <w:bookmarkStart w:id="230" w:name="_Toc184308079"/>
      <w:bookmarkEnd w:id="230"/>
      <w:bookmarkStart w:id="231" w:name="_Toc184314459"/>
      <w:bookmarkEnd w:id="231"/>
      <w:bookmarkStart w:id="232" w:name="_Toc184308098"/>
      <w:bookmarkEnd w:id="232"/>
      <w:bookmarkStart w:id="233" w:name="_Toc184312119"/>
      <w:bookmarkEnd w:id="233"/>
      <w:bookmarkStart w:id="234" w:name="_Toc184313245"/>
      <w:bookmarkEnd w:id="234"/>
      <w:bookmarkStart w:id="235" w:name="_Toc184314473"/>
      <w:bookmarkEnd w:id="235"/>
      <w:bookmarkStart w:id="236" w:name="_Toc184312067"/>
      <w:bookmarkEnd w:id="236"/>
      <w:bookmarkStart w:id="237" w:name="_Toc184312101"/>
      <w:bookmarkEnd w:id="237"/>
      <w:bookmarkStart w:id="238" w:name="_Toc184313285"/>
      <w:bookmarkEnd w:id="238"/>
      <w:bookmarkStart w:id="239" w:name="_Toc184308082"/>
      <w:bookmarkEnd w:id="239"/>
      <w:bookmarkStart w:id="240" w:name="_Toc184310314"/>
      <w:bookmarkEnd w:id="240"/>
      <w:bookmarkStart w:id="241" w:name="_Toc184312083"/>
      <w:bookmarkEnd w:id="241"/>
      <w:bookmarkStart w:id="242" w:name="_Toc184312068"/>
      <w:bookmarkEnd w:id="242"/>
      <w:bookmarkStart w:id="243" w:name="_Toc184310293"/>
      <w:bookmarkEnd w:id="243"/>
      <w:bookmarkStart w:id="244" w:name="_Toc184314435"/>
      <w:bookmarkEnd w:id="244"/>
      <w:bookmarkStart w:id="245" w:name="_Toc184308083"/>
      <w:bookmarkEnd w:id="245"/>
      <w:bookmarkStart w:id="246" w:name="_Toc184310335"/>
      <w:bookmarkEnd w:id="246"/>
      <w:bookmarkStart w:id="247" w:name="_Toc184313273"/>
      <w:bookmarkEnd w:id="247"/>
      <w:bookmarkStart w:id="248" w:name="_Toc184314445"/>
      <w:bookmarkEnd w:id="248"/>
      <w:bookmarkStart w:id="249" w:name="_Toc184314415"/>
      <w:bookmarkEnd w:id="249"/>
      <w:bookmarkStart w:id="250" w:name="_Toc184312111"/>
      <w:bookmarkEnd w:id="250"/>
      <w:bookmarkStart w:id="251" w:name="_Toc184308061"/>
      <w:bookmarkEnd w:id="251"/>
      <w:bookmarkStart w:id="252" w:name="_Toc184313250"/>
      <w:bookmarkEnd w:id="252"/>
      <w:bookmarkStart w:id="253" w:name="_Toc184308070"/>
      <w:bookmarkEnd w:id="253"/>
      <w:bookmarkStart w:id="254" w:name="_Toc184312129"/>
      <w:bookmarkEnd w:id="254"/>
      <w:bookmarkStart w:id="255" w:name="_Toc184313242"/>
      <w:bookmarkEnd w:id="255"/>
      <w:bookmarkStart w:id="256" w:name="_Toc184313270"/>
      <w:bookmarkEnd w:id="256"/>
      <w:bookmarkStart w:id="257" w:name="_Toc184310330"/>
      <w:bookmarkEnd w:id="257"/>
      <w:bookmarkStart w:id="258" w:name="_Toc184310325"/>
      <w:bookmarkEnd w:id="258"/>
      <w:bookmarkStart w:id="259" w:name="_Toc184313306"/>
      <w:bookmarkEnd w:id="259"/>
      <w:bookmarkStart w:id="260" w:name="_Toc184312079"/>
      <w:bookmarkEnd w:id="260"/>
      <w:bookmarkStart w:id="261" w:name="_Toc184314424"/>
      <w:bookmarkEnd w:id="261"/>
      <w:bookmarkStart w:id="262" w:name="_Toc184313238"/>
      <w:bookmarkEnd w:id="262"/>
      <w:bookmarkStart w:id="263" w:name="_Toc184314437"/>
      <w:bookmarkEnd w:id="263"/>
      <w:bookmarkStart w:id="264" w:name="_Toc184310318"/>
      <w:bookmarkEnd w:id="264"/>
      <w:bookmarkStart w:id="265" w:name="_Toc184310339"/>
      <w:bookmarkEnd w:id="265"/>
      <w:bookmarkStart w:id="266" w:name="_Toc184308043"/>
      <w:bookmarkEnd w:id="266"/>
      <w:bookmarkStart w:id="267" w:name="_Toc184312118"/>
      <w:bookmarkEnd w:id="267"/>
      <w:bookmarkStart w:id="268" w:name="_Toc184310280"/>
      <w:bookmarkEnd w:id="268"/>
      <w:bookmarkStart w:id="269" w:name="_Toc184308108"/>
      <w:bookmarkEnd w:id="269"/>
      <w:bookmarkStart w:id="270" w:name="_Toc184313261"/>
      <w:bookmarkEnd w:id="270"/>
      <w:bookmarkStart w:id="271" w:name="_Toc184308081"/>
      <w:bookmarkEnd w:id="271"/>
      <w:bookmarkStart w:id="272" w:name="_Toc184312103"/>
      <w:bookmarkEnd w:id="272"/>
      <w:bookmarkStart w:id="273" w:name="_Toc184313248"/>
      <w:bookmarkEnd w:id="273"/>
      <w:bookmarkStart w:id="274" w:name="_Toc184310329"/>
      <w:bookmarkEnd w:id="274"/>
      <w:bookmarkStart w:id="275" w:name="_Toc184310304"/>
      <w:bookmarkEnd w:id="275"/>
      <w:bookmarkStart w:id="276" w:name="_Toc184308063"/>
      <w:bookmarkEnd w:id="276"/>
      <w:bookmarkStart w:id="277" w:name="_Toc184310275"/>
      <w:bookmarkEnd w:id="277"/>
      <w:bookmarkStart w:id="278" w:name="_Toc184310322"/>
      <w:bookmarkEnd w:id="278"/>
      <w:bookmarkStart w:id="279" w:name="_Toc184314460"/>
      <w:bookmarkEnd w:id="279"/>
      <w:bookmarkStart w:id="280" w:name="_Toc184310323"/>
      <w:bookmarkEnd w:id="280"/>
      <w:bookmarkStart w:id="281" w:name="_Toc184313276"/>
      <w:bookmarkEnd w:id="281"/>
      <w:bookmarkStart w:id="282" w:name="_Toc184313274"/>
      <w:bookmarkEnd w:id="282"/>
      <w:bookmarkStart w:id="283" w:name="_Toc184310294"/>
      <w:bookmarkEnd w:id="283"/>
      <w:bookmarkStart w:id="284" w:name="_Toc184314455"/>
      <w:bookmarkEnd w:id="284"/>
      <w:bookmarkStart w:id="285" w:name="_Toc184314467"/>
      <w:bookmarkEnd w:id="285"/>
      <w:bookmarkStart w:id="286" w:name="_Toc184313282"/>
      <w:bookmarkEnd w:id="286"/>
      <w:bookmarkStart w:id="287" w:name="_Toc184308036"/>
      <w:bookmarkEnd w:id="287"/>
      <w:bookmarkStart w:id="288" w:name="_Toc184308090"/>
      <w:bookmarkEnd w:id="288"/>
      <w:bookmarkStart w:id="289" w:name="_Toc184308039"/>
      <w:bookmarkEnd w:id="289"/>
      <w:bookmarkStart w:id="290" w:name="_Toc184313304"/>
      <w:bookmarkEnd w:id="290"/>
      <w:bookmarkStart w:id="291" w:name="_Toc184312099"/>
      <w:bookmarkEnd w:id="291"/>
      <w:bookmarkStart w:id="292" w:name="_Toc184310303"/>
      <w:bookmarkEnd w:id="292"/>
      <w:bookmarkStart w:id="293" w:name="_Toc184314417"/>
      <w:bookmarkEnd w:id="293"/>
      <w:bookmarkStart w:id="294" w:name="_Toc184312104"/>
      <w:bookmarkEnd w:id="294"/>
      <w:bookmarkStart w:id="295" w:name="_Toc184314471"/>
      <w:bookmarkEnd w:id="295"/>
      <w:bookmarkStart w:id="296" w:name="_Toc184308084"/>
      <w:bookmarkEnd w:id="296"/>
      <w:bookmarkStart w:id="297" w:name="_Toc184310316"/>
      <w:bookmarkEnd w:id="297"/>
      <w:bookmarkStart w:id="298" w:name="_Toc184310302"/>
      <w:bookmarkEnd w:id="298"/>
      <w:bookmarkStart w:id="299" w:name="_Toc184310311"/>
      <w:bookmarkEnd w:id="299"/>
      <w:bookmarkStart w:id="300" w:name="_Toc184308094"/>
      <w:bookmarkEnd w:id="300"/>
      <w:bookmarkStart w:id="301" w:name="_Toc184313252"/>
      <w:bookmarkEnd w:id="301"/>
      <w:bookmarkStart w:id="302" w:name="_Toc184313297"/>
      <w:bookmarkEnd w:id="302"/>
      <w:bookmarkStart w:id="303" w:name="_Toc184313256"/>
      <w:bookmarkEnd w:id="303"/>
      <w:bookmarkStart w:id="304" w:name="_Toc184314441"/>
      <w:bookmarkEnd w:id="304"/>
      <w:bookmarkStart w:id="305" w:name="_Toc184314420"/>
      <w:bookmarkEnd w:id="305"/>
      <w:bookmarkStart w:id="306" w:name="_Toc184308062"/>
      <w:bookmarkEnd w:id="306"/>
      <w:bookmarkStart w:id="307" w:name="_Toc184312086"/>
      <w:bookmarkEnd w:id="307"/>
      <w:bookmarkStart w:id="308" w:name="_Toc184308050"/>
      <w:bookmarkEnd w:id="308"/>
      <w:bookmarkStart w:id="309" w:name="_Toc184313246"/>
      <w:bookmarkEnd w:id="309"/>
      <w:bookmarkStart w:id="310" w:name="_Toc184312092"/>
      <w:bookmarkEnd w:id="310"/>
      <w:bookmarkStart w:id="311" w:name="_Toc184310279"/>
      <w:bookmarkEnd w:id="311"/>
      <w:bookmarkStart w:id="312" w:name="_Toc184312097"/>
      <w:bookmarkEnd w:id="312"/>
      <w:bookmarkStart w:id="313" w:name="_Toc184308060"/>
      <w:bookmarkEnd w:id="313"/>
      <w:bookmarkStart w:id="314" w:name="_Toc184313254"/>
      <w:bookmarkEnd w:id="314"/>
      <w:bookmarkStart w:id="315" w:name="_Toc184314474"/>
      <w:bookmarkEnd w:id="315"/>
      <w:bookmarkStart w:id="316" w:name="_Toc184308058"/>
      <w:bookmarkEnd w:id="316"/>
      <w:bookmarkStart w:id="317" w:name="_Toc184312122"/>
      <w:bookmarkEnd w:id="317"/>
      <w:bookmarkStart w:id="318" w:name="_Toc184312085"/>
      <w:bookmarkEnd w:id="318"/>
      <w:bookmarkStart w:id="319" w:name="_Toc184308059"/>
      <w:bookmarkEnd w:id="319"/>
      <w:bookmarkStart w:id="320" w:name="_Toc184310289"/>
      <w:bookmarkEnd w:id="320"/>
      <w:bookmarkStart w:id="321" w:name="_Toc184308092"/>
      <w:bookmarkEnd w:id="321"/>
      <w:bookmarkStart w:id="322" w:name="_Toc184313251"/>
      <w:bookmarkEnd w:id="322"/>
      <w:bookmarkStart w:id="323" w:name="_Toc184313266"/>
      <w:bookmarkEnd w:id="323"/>
      <w:bookmarkStart w:id="324" w:name="_Toc184314432"/>
      <w:bookmarkEnd w:id="324"/>
      <w:bookmarkStart w:id="325" w:name="_Toc184308048"/>
      <w:bookmarkEnd w:id="325"/>
      <w:bookmarkStart w:id="326" w:name="_Toc184310292"/>
      <w:bookmarkEnd w:id="326"/>
      <w:bookmarkStart w:id="327" w:name="_Toc184312117"/>
      <w:bookmarkEnd w:id="327"/>
      <w:bookmarkStart w:id="328" w:name="_Toc184314423"/>
      <w:bookmarkEnd w:id="328"/>
      <w:bookmarkStart w:id="329" w:name="_Toc184308105"/>
      <w:bookmarkEnd w:id="329"/>
      <w:bookmarkStart w:id="330" w:name="_Toc184312137"/>
      <w:bookmarkEnd w:id="330"/>
      <w:bookmarkStart w:id="331" w:name="_Toc184313258"/>
      <w:bookmarkEnd w:id="331"/>
      <w:bookmarkStart w:id="332" w:name="_Toc184308091"/>
      <w:bookmarkEnd w:id="332"/>
      <w:bookmarkStart w:id="333" w:name="_Toc184308075"/>
      <w:bookmarkEnd w:id="333"/>
      <w:bookmarkStart w:id="334" w:name="_Toc184308053"/>
      <w:bookmarkEnd w:id="334"/>
      <w:bookmarkStart w:id="335" w:name="_Toc184310331"/>
      <w:bookmarkEnd w:id="335"/>
      <w:bookmarkStart w:id="336" w:name="_Toc184313269"/>
      <w:bookmarkEnd w:id="336"/>
      <w:bookmarkStart w:id="337" w:name="_Toc184313275"/>
      <w:bookmarkEnd w:id="337"/>
      <w:bookmarkStart w:id="338" w:name="_Toc184310284"/>
      <w:bookmarkEnd w:id="338"/>
      <w:bookmarkStart w:id="339" w:name="_Toc184310343"/>
      <w:bookmarkEnd w:id="339"/>
      <w:bookmarkStart w:id="340" w:name="_Toc184308049"/>
      <w:bookmarkEnd w:id="340"/>
      <w:bookmarkStart w:id="341" w:name="_Toc184310315"/>
      <w:bookmarkEnd w:id="341"/>
      <w:bookmarkStart w:id="342" w:name="_Toc184314428"/>
      <w:bookmarkEnd w:id="342"/>
      <w:bookmarkStart w:id="343" w:name="_Toc184313287"/>
      <w:bookmarkEnd w:id="343"/>
      <w:bookmarkStart w:id="344" w:name="_Toc184313293"/>
      <w:bookmarkEnd w:id="344"/>
      <w:bookmarkStart w:id="345" w:name="_Toc184314443"/>
      <w:bookmarkEnd w:id="345"/>
      <w:bookmarkStart w:id="346" w:name="_Toc184310277"/>
      <w:bookmarkEnd w:id="346"/>
      <w:bookmarkStart w:id="347" w:name="_Toc184314468"/>
      <w:bookmarkEnd w:id="347"/>
      <w:bookmarkStart w:id="348" w:name="_Toc184312076"/>
      <w:bookmarkEnd w:id="348"/>
      <w:bookmarkStart w:id="349" w:name="_Toc184308073"/>
      <w:bookmarkEnd w:id="349"/>
      <w:bookmarkStart w:id="350" w:name="_Toc184308065"/>
      <w:bookmarkEnd w:id="350"/>
      <w:bookmarkStart w:id="351" w:name="_Toc184312077"/>
      <w:bookmarkEnd w:id="351"/>
      <w:bookmarkStart w:id="352" w:name="_Toc184308067"/>
      <w:bookmarkEnd w:id="352"/>
      <w:bookmarkStart w:id="353" w:name="_Toc184314422"/>
      <w:bookmarkEnd w:id="353"/>
      <w:bookmarkStart w:id="354" w:name="_Toc184314444"/>
      <w:bookmarkEnd w:id="354"/>
      <w:bookmarkStart w:id="355" w:name="_Toc184314450"/>
      <w:bookmarkEnd w:id="355"/>
      <w:bookmarkStart w:id="356" w:name="_Toc184310281"/>
      <w:bookmarkEnd w:id="356"/>
      <w:bookmarkStart w:id="357" w:name="_Toc184313272"/>
      <w:bookmarkEnd w:id="357"/>
      <w:bookmarkStart w:id="358" w:name="_Toc184312088"/>
      <w:bookmarkEnd w:id="358"/>
      <w:bookmarkStart w:id="359" w:name="_Toc184313283"/>
      <w:bookmarkEnd w:id="359"/>
      <w:bookmarkStart w:id="360" w:name="_Toc184313281"/>
      <w:bookmarkEnd w:id="360"/>
      <w:bookmarkStart w:id="361" w:name="_Toc184312113"/>
      <w:bookmarkEnd w:id="361"/>
      <w:bookmarkStart w:id="362" w:name="_Toc184310306"/>
      <w:bookmarkEnd w:id="362"/>
      <w:bookmarkStart w:id="363" w:name="_Toc184313310"/>
      <w:bookmarkEnd w:id="363"/>
      <w:bookmarkStart w:id="364" w:name="_Toc184308088"/>
      <w:bookmarkEnd w:id="364"/>
      <w:bookmarkStart w:id="365" w:name="_Toc184312069"/>
      <w:bookmarkEnd w:id="365"/>
      <w:bookmarkStart w:id="366" w:name="_Toc184308052"/>
      <w:bookmarkEnd w:id="366"/>
      <w:bookmarkStart w:id="367" w:name="_Toc184310320"/>
      <w:bookmarkEnd w:id="367"/>
      <w:bookmarkStart w:id="368" w:name="_Toc184310298"/>
      <w:bookmarkEnd w:id="368"/>
      <w:bookmarkStart w:id="369" w:name="_Toc184308069"/>
      <w:bookmarkEnd w:id="369"/>
      <w:bookmarkStart w:id="370" w:name="_Toc184313294"/>
      <w:bookmarkEnd w:id="370"/>
      <w:bookmarkStart w:id="371" w:name="_Toc184308057"/>
      <w:bookmarkEnd w:id="371"/>
      <w:bookmarkStart w:id="372" w:name="_Toc184310328"/>
      <w:bookmarkEnd w:id="372"/>
      <w:bookmarkStart w:id="373" w:name="_Toc184314479"/>
      <w:bookmarkEnd w:id="373"/>
      <w:bookmarkStart w:id="374" w:name="_Toc184308044"/>
      <w:bookmarkEnd w:id="374"/>
      <w:bookmarkStart w:id="375" w:name="_Toc184312133"/>
      <w:bookmarkEnd w:id="375"/>
      <w:bookmarkStart w:id="376" w:name="_Toc184312130"/>
      <w:bookmarkEnd w:id="376"/>
      <w:r>
        <w:rPr>
          <w:rFonts w:hint="eastAsia" w:ascii="仿宋_GB2312" w:hAnsi="仿宋_GB2312" w:eastAsia="仿宋_GB2312" w:cs="仿宋_GB2312"/>
          <w:b/>
          <w:bCs/>
          <w:color w:val="auto"/>
          <w:sz w:val="36"/>
          <w:szCs w:val="36"/>
          <w:highlight w:val="none"/>
          <w:lang w:val="en-US" w:eastAsia="zh-CN"/>
        </w:rPr>
        <w:t>章</w:t>
      </w:r>
      <w:r>
        <w:rPr>
          <w:rFonts w:hint="eastAsia" w:ascii="仿宋_GB2312" w:hAnsi="仿宋_GB2312" w:eastAsia="仿宋_GB2312" w:cs="仿宋_GB2312"/>
          <w:b/>
          <w:bCs/>
          <w:color w:val="auto"/>
          <w:sz w:val="36"/>
          <w:szCs w:val="36"/>
          <w:highlight w:val="none"/>
        </w:rPr>
        <w:t xml:space="preserve"> 评标办法</w:t>
      </w:r>
    </w:p>
    <w:p w14:paraId="36B83A24">
      <w:pPr>
        <w:adjustRightInd/>
        <w:spacing w:line="440" w:lineRule="exact"/>
        <w:jc w:val="center"/>
        <w:outlineLvl w:val="1"/>
        <w:rPr>
          <w:rFonts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评标办法前附表</w:t>
      </w:r>
    </w:p>
    <w:tbl>
      <w:tblPr>
        <w:tblStyle w:val="14"/>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37"/>
        <w:gridCol w:w="6002"/>
        <w:gridCol w:w="645"/>
        <w:gridCol w:w="943"/>
      </w:tblGrid>
      <w:tr w14:paraId="4FB0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669" w:type="dxa"/>
            <w:vAlign w:val="center"/>
          </w:tcPr>
          <w:p w14:paraId="16395AD8">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序号</w:t>
            </w:r>
          </w:p>
        </w:tc>
        <w:tc>
          <w:tcPr>
            <w:tcW w:w="7039" w:type="dxa"/>
            <w:gridSpan w:val="2"/>
            <w:vAlign w:val="center"/>
          </w:tcPr>
          <w:p w14:paraId="20D4D788">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评分内容</w:t>
            </w:r>
          </w:p>
        </w:tc>
        <w:tc>
          <w:tcPr>
            <w:tcW w:w="645" w:type="dxa"/>
            <w:vAlign w:val="center"/>
          </w:tcPr>
          <w:p w14:paraId="569E3322">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分值</w:t>
            </w:r>
          </w:p>
        </w:tc>
        <w:tc>
          <w:tcPr>
            <w:tcW w:w="943" w:type="dxa"/>
            <w:vAlign w:val="center"/>
          </w:tcPr>
          <w:p w14:paraId="472F219D">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主/客观分</w:t>
            </w:r>
          </w:p>
        </w:tc>
      </w:tr>
      <w:tr w14:paraId="4917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69" w:type="dxa"/>
            <w:vAlign w:val="center"/>
          </w:tcPr>
          <w:p w14:paraId="020319A5">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037" w:type="dxa"/>
            <w:vAlign w:val="center"/>
          </w:tcPr>
          <w:p w14:paraId="3A7842D4">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技术指标条款响应性</w:t>
            </w:r>
          </w:p>
        </w:tc>
        <w:tc>
          <w:tcPr>
            <w:tcW w:w="6002" w:type="dxa"/>
            <w:vAlign w:val="center"/>
          </w:tcPr>
          <w:p w14:paraId="2694BDA9">
            <w:pPr>
              <w:keepNext w:val="0"/>
              <w:keepLines w:val="0"/>
              <w:pageBreakBefore w:val="0"/>
              <w:widowControl/>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完全响应</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第</w:t>
            </w:r>
            <w:r>
              <w:rPr>
                <w:rFonts w:hint="eastAsia" w:ascii="仿宋_GB2312" w:hAnsi="仿宋_GB2312" w:eastAsia="仿宋_GB2312" w:cs="仿宋_GB2312"/>
                <w:b w:val="0"/>
                <w:bCs w:val="0"/>
                <w:color w:val="auto"/>
                <w:sz w:val="21"/>
                <w:szCs w:val="21"/>
                <w:highlight w:val="none"/>
                <w:lang w:val="en-US" w:eastAsia="zh-CN"/>
              </w:rPr>
              <w:t>三</w:t>
            </w:r>
            <w:r>
              <w:rPr>
                <w:rFonts w:hint="eastAsia" w:ascii="仿宋_GB2312" w:hAnsi="仿宋_GB2312" w:eastAsia="仿宋_GB2312" w:cs="仿宋_GB2312"/>
                <w:b w:val="0"/>
                <w:bCs w:val="0"/>
                <w:color w:val="auto"/>
                <w:sz w:val="21"/>
                <w:szCs w:val="21"/>
                <w:highlight w:val="none"/>
              </w:rPr>
              <w:t xml:space="preserve">章 </w:t>
            </w:r>
            <w:r>
              <w:rPr>
                <w:rFonts w:hint="eastAsia" w:ascii="仿宋_GB2312" w:hAnsi="仿宋_GB2312" w:eastAsia="仿宋_GB2312" w:cs="仿宋_GB2312"/>
                <w:b w:val="0"/>
                <w:bCs w:val="0"/>
                <w:color w:val="auto"/>
                <w:sz w:val="21"/>
                <w:szCs w:val="21"/>
                <w:highlight w:val="none"/>
                <w:lang w:val="en-US" w:eastAsia="zh-CN"/>
              </w:rPr>
              <w:t>采购需求</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color w:val="auto"/>
                <w:sz w:val="21"/>
                <w:szCs w:val="21"/>
                <w:highlight w:val="none"/>
              </w:rPr>
              <w:t>中</w:t>
            </w:r>
            <w:r>
              <w:rPr>
                <w:rFonts w:hint="eastAsia" w:ascii="仿宋_GB2312" w:hAnsi="仿宋_GB2312" w:eastAsia="仿宋_GB2312" w:cs="仿宋_GB2312"/>
                <w:color w:val="auto"/>
                <w:sz w:val="21"/>
                <w:szCs w:val="21"/>
                <w:highlight w:val="none"/>
                <w:lang w:eastAsia="zh-CN"/>
              </w:rPr>
              <w:t>《采购货物清单》</w:t>
            </w:r>
            <w:r>
              <w:rPr>
                <w:rFonts w:hint="eastAsia" w:ascii="仿宋_GB2312" w:hAnsi="仿宋_GB2312" w:eastAsia="仿宋_GB2312" w:cs="仿宋_GB2312"/>
                <w:color w:val="auto"/>
                <w:sz w:val="21"/>
                <w:szCs w:val="21"/>
                <w:highlight w:val="none"/>
              </w:rPr>
              <w:t>各项指标的，得</w:t>
            </w:r>
            <w:r>
              <w:rPr>
                <w:rFonts w:hint="eastAsia" w:ascii="仿宋_GB2312" w:hAnsi="仿宋_GB2312" w:eastAsia="仿宋_GB2312" w:cs="仿宋_GB2312"/>
                <w:color w:val="auto"/>
                <w:sz w:val="21"/>
                <w:szCs w:val="21"/>
                <w:highlight w:val="none"/>
                <w:lang w:val="en-US" w:eastAsia="zh-CN"/>
              </w:rPr>
              <w:t>30</w:t>
            </w:r>
            <w:r>
              <w:rPr>
                <w:rFonts w:hint="eastAsia" w:ascii="仿宋_GB2312" w:hAnsi="仿宋_GB2312" w:eastAsia="仿宋_GB2312" w:cs="仿宋_GB2312"/>
                <w:color w:val="auto"/>
                <w:sz w:val="21"/>
                <w:szCs w:val="21"/>
                <w:highlight w:val="none"/>
              </w:rPr>
              <w:t>分；每负偏离一条技术参数条款的扣</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分，本项扣至0分作无效标处理。</w:t>
            </w:r>
          </w:p>
          <w:p w14:paraId="6A45E6A4">
            <w:pPr>
              <w:pStyle w:val="4"/>
              <w:keepNext w:val="0"/>
              <w:keepLines w:val="0"/>
              <w:pageBreakBefore w:val="0"/>
              <w:kinsoku/>
              <w:wordWrap/>
              <w:overflowPunct/>
              <w:topLinePunct w:val="0"/>
              <w:bidi w:val="0"/>
              <w:spacing w:after="0"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备注：每条指标按最小序号计，如不同产品涉及同一证明材料的按一条计。</w:t>
            </w:r>
          </w:p>
        </w:tc>
        <w:tc>
          <w:tcPr>
            <w:tcW w:w="645" w:type="dxa"/>
            <w:vAlign w:val="center"/>
          </w:tcPr>
          <w:p w14:paraId="1FF163E3">
            <w:pPr>
              <w:keepNext w:val="0"/>
              <w:keepLines w:val="0"/>
              <w:pageBreakBefore w:val="0"/>
              <w:widowControl/>
              <w:kinsoku/>
              <w:wordWrap/>
              <w:overflowPunct/>
              <w:topLinePunct w:val="0"/>
              <w:bidi w:val="0"/>
              <w:spacing w:line="440" w:lineRule="exact"/>
              <w:ind w:left="0" w:right="0"/>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30</w:t>
            </w:r>
          </w:p>
        </w:tc>
        <w:tc>
          <w:tcPr>
            <w:tcW w:w="943" w:type="dxa"/>
            <w:vAlign w:val="center"/>
          </w:tcPr>
          <w:p w14:paraId="67FCB0CE">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客观分</w:t>
            </w:r>
          </w:p>
        </w:tc>
      </w:tr>
      <w:tr w14:paraId="36B7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69" w:type="dxa"/>
            <w:vAlign w:val="center"/>
          </w:tcPr>
          <w:p w14:paraId="356B0B8A">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2</w:t>
            </w:r>
          </w:p>
        </w:tc>
        <w:tc>
          <w:tcPr>
            <w:tcW w:w="1037" w:type="dxa"/>
            <w:vAlign w:val="center"/>
          </w:tcPr>
          <w:p w14:paraId="46861B0E">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项目实施方案</w:t>
            </w:r>
          </w:p>
        </w:tc>
        <w:tc>
          <w:tcPr>
            <w:tcW w:w="6002" w:type="dxa"/>
            <w:vAlign w:val="center"/>
          </w:tcPr>
          <w:p w14:paraId="74C33F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w:t>
            </w:r>
            <w:r>
              <w:rPr>
                <w:rFonts w:hint="eastAsia" w:ascii="仿宋_GB2312" w:hAnsi="仿宋_GB2312" w:eastAsia="仿宋_GB2312" w:cs="仿宋_GB2312"/>
                <w:color w:val="auto"/>
                <w:sz w:val="21"/>
                <w:szCs w:val="21"/>
                <w:highlight w:val="none"/>
                <w:lang w:val="en-US" w:eastAsia="zh-CN"/>
              </w:rPr>
              <w:t>投标人</w:t>
            </w:r>
            <w:r>
              <w:rPr>
                <w:rFonts w:hint="eastAsia" w:ascii="仿宋_GB2312" w:hAnsi="仿宋_GB2312" w:eastAsia="仿宋_GB2312" w:cs="仿宋_GB2312"/>
                <w:color w:val="auto"/>
                <w:sz w:val="21"/>
                <w:szCs w:val="21"/>
                <w:highlight w:val="none"/>
              </w:rPr>
              <w:t>提供的供货方案、安装调试方案</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含高处作业平台</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人员设备投入</w:t>
            </w:r>
            <w:r>
              <w:rPr>
                <w:rFonts w:hint="eastAsia" w:ascii="仿宋_GB2312" w:hAnsi="仿宋_GB2312" w:eastAsia="仿宋_GB2312" w:cs="仿宋_GB2312"/>
                <w:color w:val="auto"/>
                <w:sz w:val="21"/>
                <w:szCs w:val="21"/>
                <w:highlight w:val="none"/>
              </w:rPr>
              <w:t>安排、进度计划等情况进行评审。</w:t>
            </w:r>
          </w:p>
          <w:p w14:paraId="16E651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●方案完整阐述详细、能够保障项目顺利实施的，得5分；</w:t>
            </w:r>
          </w:p>
          <w:p w14:paraId="161AD3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方案较为完整全面、可保障项目顺利实施的，得4分；</w:t>
            </w:r>
          </w:p>
          <w:p w14:paraId="3FB3E3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方案全面详实性尚可，细节的缺漏不足以影响项目顺利实施的，得3分；</w:t>
            </w:r>
          </w:p>
          <w:p w14:paraId="3A4209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方案有欠缺，阐述不够详实，具有一定可行性的，得2分；</w:t>
            </w:r>
          </w:p>
          <w:p w14:paraId="52F64A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方案有明显缺失，可能影响项目顺利实施的，得1分；</w:t>
            </w:r>
          </w:p>
          <w:p w14:paraId="4280DD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无相应内容的不得分</w:t>
            </w:r>
            <w:r>
              <w:rPr>
                <w:rFonts w:hint="eastAsia" w:ascii="仿宋_GB2312" w:hAnsi="仿宋_GB2312" w:eastAsia="仿宋_GB2312" w:cs="仿宋_GB2312"/>
                <w:color w:val="auto"/>
                <w:sz w:val="21"/>
                <w:szCs w:val="21"/>
                <w:highlight w:val="none"/>
              </w:rPr>
              <w:t>。</w:t>
            </w:r>
          </w:p>
        </w:tc>
        <w:tc>
          <w:tcPr>
            <w:tcW w:w="645" w:type="dxa"/>
            <w:vAlign w:val="center"/>
          </w:tcPr>
          <w:p w14:paraId="3A418314">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w:t>
            </w:r>
          </w:p>
        </w:tc>
        <w:tc>
          <w:tcPr>
            <w:tcW w:w="943" w:type="dxa"/>
            <w:vAlign w:val="center"/>
          </w:tcPr>
          <w:p w14:paraId="205FF08D">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主观分</w:t>
            </w:r>
          </w:p>
        </w:tc>
      </w:tr>
      <w:tr w14:paraId="765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restart"/>
            <w:vAlign w:val="center"/>
          </w:tcPr>
          <w:p w14:paraId="7B5C76E7">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3</w:t>
            </w:r>
          </w:p>
        </w:tc>
        <w:tc>
          <w:tcPr>
            <w:tcW w:w="1037" w:type="dxa"/>
            <w:vMerge w:val="restart"/>
            <w:vAlign w:val="center"/>
          </w:tcPr>
          <w:p w14:paraId="009C05BC">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货物选型</w:t>
            </w:r>
            <w:r>
              <w:rPr>
                <w:rFonts w:hint="eastAsia" w:ascii="仿宋_GB2312" w:hAnsi="仿宋_GB2312" w:eastAsia="仿宋_GB2312" w:cs="仿宋_GB2312"/>
                <w:color w:val="auto"/>
                <w:kern w:val="0"/>
                <w:sz w:val="21"/>
                <w:szCs w:val="21"/>
                <w:highlight w:val="none"/>
                <w:lang w:val="en-US" w:eastAsia="zh-CN"/>
              </w:rPr>
              <w:t>和</w:t>
            </w:r>
            <w:r>
              <w:rPr>
                <w:rFonts w:hint="eastAsia" w:ascii="仿宋_GB2312" w:hAnsi="仿宋_GB2312" w:eastAsia="仿宋_GB2312" w:cs="仿宋_GB2312"/>
                <w:color w:val="auto"/>
                <w:kern w:val="0"/>
                <w:sz w:val="21"/>
                <w:szCs w:val="21"/>
                <w:highlight w:val="none"/>
              </w:rPr>
              <w:t>质量保证</w:t>
            </w:r>
          </w:p>
        </w:tc>
        <w:tc>
          <w:tcPr>
            <w:tcW w:w="6002" w:type="dxa"/>
            <w:vAlign w:val="center"/>
          </w:tcPr>
          <w:p w14:paraId="19D85782">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w:t>
            </w:r>
            <w:r>
              <w:rPr>
                <w:rFonts w:hint="eastAsia" w:ascii="仿宋_GB2312" w:hAnsi="仿宋_GB2312" w:eastAsia="仿宋_GB2312" w:cs="仿宋_GB2312"/>
                <w:color w:val="auto"/>
                <w:sz w:val="21"/>
                <w:szCs w:val="21"/>
                <w:highlight w:val="none"/>
                <w:lang w:val="en-US" w:eastAsia="zh-CN"/>
              </w:rPr>
              <w:t>投标人</w:t>
            </w:r>
            <w:r>
              <w:rPr>
                <w:rFonts w:hint="eastAsia" w:ascii="仿宋_GB2312" w:hAnsi="仿宋_GB2312" w:eastAsia="仿宋_GB2312" w:cs="仿宋_GB2312"/>
                <w:color w:val="auto"/>
                <w:sz w:val="21"/>
                <w:szCs w:val="21"/>
                <w:highlight w:val="none"/>
              </w:rPr>
              <w:t>提供的</w:t>
            </w:r>
            <w:r>
              <w:rPr>
                <w:rFonts w:hint="eastAsia" w:ascii="仿宋_GB2312" w:hAnsi="仿宋_GB2312" w:eastAsia="仿宋_GB2312" w:cs="仿宋_GB2312"/>
                <w:color w:val="auto"/>
                <w:sz w:val="21"/>
                <w:szCs w:val="21"/>
                <w:highlight w:val="none"/>
                <w:lang w:val="en-US" w:eastAsia="zh-CN"/>
              </w:rPr>
              <w:t>投标</w:t>
            </w:r>
            <w:r>
              <w:rPr>
                <w:rFonts w:hint="eastAsia" w:ascii="仿宋_GB2312" w:hAnsi="仿宋_GB2312" w:eastAsia="仿宋_GB2312" w:cs="仿宋_GB2312"/>
                <w:color w:val="auto"/>
                <w:sz w:val="21"/>
                <w:szCs w:val="21"/>
                <w:highlight w:val="none"/>
              </w:rPr>
              <w:t>货物选型</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技术规格先进性、质量水平</w:t>
            </w:r>
            <w:r>
              <w:rPr>
                <w:rFonts w:hint="eastAsia" w:ascii="仿宋_GB2312" w:hAnsi="仿宋_GB2312" w:eastAsia="仿宋_GB2312" w:cs="仿宋_GB2312"/>
                <w:color w:val="auto"/>
                <w:sz w:val="21"/>
                <w:szCs w:val="21"/>
                <w:highlight w:val="none"/>
              </w:rPr>
              <w:t>等情况进行评审。</w:t>
            </w:r>
          </w:p>
          <w:p w14:paraId="443A450B">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●投标货物选型适配、技术规格先进、质量水平优的</w:t>
            </w:r>
            <w:r>
              <w:rPr>
                <w:rFonts w:hint="eastAsia" w:ascii="仿宋_GB2312" w:hAnsi="仿宋_GB2312" w:eastAsia="仿宋_GB2312" w:cs="仿宋_GB2312"/>
                <w:color w:val="auto"/>
                <w:sz w:val="21"/>
                <w:szCs w:val="21"/>
                <w:highlight w:val="none"/>
              </w:rPr>
              <w:t>，得5分；</w:t>
            </w:r>
          </w:p>
          <w:p w14:paraId="30DF0727">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●投标货物选型较适配、技术规格较先进、质量水平良好的</w:t>
            </w:r>
            <w:r>
              <w:rPr>
                <w:rFonts w:hint="eastAsia" w:ascii="仿宋_GB2312" w:hAnsi="仿宋_GB2312" w:eastAsia="仿宋_GB2312" w:cs="仿宋_GB2312"/>
                <w:color w:val="auto"/>
                <w:sz w:val="21"/>
                <w:szCs w:val="21"/>
                <w:highlight w:val="none"/>
              </w:rPr>
              <w:t>，得4分；</w:t>
            </w:r>
          </w:p>
          <w:p w14:paraId="7588BD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●投标货物选型合理、技术规格大部分符合使用要求、质量达标的</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分；</w:t>
            </w:r>
          </w:p>
          <w:p w14:paraId="0ECA41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●投标货物选型存在偏差、技术规格部分符合使用要求、质量基本达标的</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得2分；</w:t>
            </w:r>
          </w:p>
          <w:p w14:paraId="41ADB4F8">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●投标货物选型偏差很大、技术规格大部分不符合使用要求、质量有待提高的</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，得1分；</w:t>
            </w:r>
          </w:p>
          <w:p w14:paraId="20FFBC5E">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无相应内容的不得分</w:t>
            </w:r>
            <w:r>
              <w:rPr>
                <w:rFonts w:hint="eastAsia" w:ascii="仿宋_GB2312" w:hAnsi="仿宋_GB2312" w:eastAsia="仿宋_GB2312" w:cs="仿宋_GB2312"/>
                <w:color w:val="auto"/>
                <w:sz w:val="21"/>
                <w:szCs w:val="21"/>
                <w:highlight w:val="none"/>
              </w:rPr>
              <w:t>。</w:t>
            </w:r>
          </w:p>
        </w:tc>
        <w:tc>
          <w:tcPr>
            <w:tcW w:w="645" w:type="dxa"/>
            <w:vAlign w:val="center"/>
          </w:tcPr>
          <w:p w14:paraId="4CA4D09C">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5</w:t>
            </w:r>
          </w:p>
        </w:tc>
        <w:tc>
          <w:tcPr>
            <w:tcW w:w="943" w:type="dxa"/>
            <w:vAlign w:val="center"/>
          </w:tcPr>
          <w:p w14:paraId="5C93479B">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主观分</w:t>
            </w:r>
          </w:p>
        </w:tc>
      </w:tr>
      <w:tr w14:paraId="5088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vAlign w:val="center"/>
          </w:tcPr>
          <w:p w14:paraId="03411C82">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sz w:val="21"/>
                <w:szCs w:val="21"/>
                <w:highlight w:val="none"/>
              </w:rPr>
            </w:pPr>
          </w:p>
        </w:tc>
        <w:tc>
          <w:tcPr>
            <w:tcW w:w="1037" w:type="dxa"/>
            <w:vMerge w:val="continue"/>
            <w:vAlign w:val="center"/>
          </w:tcPr>
          <w:p w14:paraId="217437A6">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p>
        </w:tc>
        <w:tc>
          <w:tcPr>
            <w:tcW w:w="6002" w:type="dxa"/>
            <w:vAlign w:val="center"/>
          </w:tcPr>
          <w:p w14:paraId="19EEA5F9">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根据投标人提供的</w:t>
            </w:r>
            <w:r>
              <w:rPr>
                <w:rFonts w:hint="eastAsia" w:ascii="仿宋_GB2312" w:hAnsi="仿宋_GB2312" w:eastAsia="仿宋_GB2312" w:cs="仿宋_GB2312"/>
                <w:bCs/>
                <w:color w:val="auto"/>
                <w:sz w:val="21"/>
                <w:szCs w:val="21"/>
                <w:highlight w:val="none"/>
                <w:lang w:val="en-US" w:eastAsia="zh-CN"/>
              </w:rPr>
              <w:t>生产及安装质量保证措施</w:t>
            </w:r>
            <w:r>
              <w:rPr>
                <w:rFonts w:hint="eastAsia" w:ascii="仿宋_GB2312" w:hAnsi="仿宋_GB2312" w:eastAsia="仿宋_GB2312" w:cs="仿宋_GB2312"/>
                <w:color w:val="auto"/>
                <w:sz w:val="21"/>
                <w:szCs w:val="21"/>
                <w:highlight w:val="none"/>
              </w:rPr>
              <w:t>等情况进行评审。</w:t>
            </w:r>
          </w:p>
          <w:p w14:paraId="64D2835A">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●生产及安装质量保证措施完善、质量可控性高的</w:t>
            </w:r>
            <w:r>
              <w:rPr>
                <w:rFonts w:hint="eastAsia" w:ascii="仿宋_GB2312" w:hAnsi="仿宋_GB2312" w:eastAsia="仿宋_GB2312" w:cs="仿宋_GB2312"/>
                <w:color w:val="auto"/>
                <w:sz w:val="21"/>
                <w:szCs w:val="21"/>
                <w:highlight w:val="none"/>
              </w:rPr>
              <w:t>，得5分；</w:t>
            </w:r>
          </w:p>
          <w:p w14:paraId="01C6FEA1">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●生产及安装质量保证措施较完善、质量可控性较高的</w:t>
            </w:r>
            <w:r>
              <w:rPr>
                <w:rFonts w:hint="eastAsia" w:ascii="仿宋_GB2312" w:hAnsi="仿宋_GB2312" w:eastAsia="仿宋_GB2312" w:cs="仿宋_GB2312"/>
                <w:color w:val="auto"/>
                <w:sz w:val="21"/>
                <w:szCs w:val="21"/>
                <w:highlight w:val="none"/>
              </w:rPr>
              <w:t>，得4分；</w:t>
            </w:r>
          </w:p>
          <w:p w14:paraId="19D91E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●生产及安装质量保证措施内容基本齐全、质量可控性一般的</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分；</w:t>
            </w:r>
          </w:p>
          <w:p w14:paraId="4A854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●生产及安装质量保证措施</w:t>
            </w:r>
            <w:r>
              <w:rPr>
                <w:rFonts w:hint="eastAsia" w:ascii="仿宋_GB2312" w:hAnsi="仿宋_GB2312" w:eastAsia="仿宋_GB2312" w:cs="仿宋_GB2312"/>
                <w:color w:val="auto"/>
                <w:sz w:val="21"/>
                <w:szCs w:val="21"/>
                <w:highlight w:val="none"/>
              </w:rPr>
              <w:t>存在不足或缺失</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bCs/>
                <w:color w:val="auto"/>
                <w:sz w:val="21"/>
                <w:szCs w:val="21"/>
                <w:highlight w:val="none"/>
                <w:lang w:val="en-US" w:eastAsia="zh-CN"/>
              </w:rPr>
              <w:t>质量可控性较差的，</w:t>
            </w:r>
            <w:r>
              <w:rPr>
                <w:rFonts w:hint="eastAsia" w:ascii="仿宋_GB2312" w:hAnsi="仿宋_GB2312" w:eastAsia="仿宋_GB2312" w:cs="仿宋_GB2312"/>
                <w:color w:val="auto"/>
                <w:sz w:val="21"/>
                <w:szCs w:val="21"/>
                <w:highlight w:val="none"/>
              </w:rPr>
              <w:t>得2分；</w:t>
            </w:r>
          </w:p>
          <w:p w14:paraId="1A12A1C9">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●生产及安装质量保证措施</w:t>
            </w:r>
            <w:r>
              <w:rPr>
                <w:rFonts w:hint="eastAsia" w:ascii="仿宋_GB2312" w:hAnsi="仿宋_GB2312" w:eastAsia="仿宋_GB2312" w:cs="仿宋_GB2312"/>
                <w:color w:val="auto"/>
                <w:sz w:val="21"/>
                <w:szCs w:val="21"/>
                <w:highlight w:val="none"/>
              </w:rPr>
              <w:t>存在</w:t>
            </w:r>
            <w:r>
              <w:rPr>
                <w:rFonts w:hint="eastAsia" w:ascii="仿宋_GB2312" w:hAnsi="仿宋_GB2312" w:eastAsia="仿宋_GB2312" w:cs="仿宋_GB2312"/>
                <w:color w:val="auto"/>
                <w:sz w:val="21"/>
                <w:szCs w:val="21"/>
                <w:highlight w:val="none"/>
                <w:lang w:val="en-US" w:eastAsia="zh-CN"/>
              </w:rPr>
              <w:t>严重</w:t>
            </w:r>
            <w:r>
              <w:rPr>
                <w:rFonts w:hint="eastAsia" w:ascii="仿宋_GB2312" w:hAnsi="仿宋_GB2312" w:eastAsia="仿宋_GB2312" w:cs="仿宋_GB2312"/>
                <w:color w:val="auto"/>
                <w:sz w:val="21"/>
                <w:szCs w:val="21"/>
                <w:highlight w:val="none"/>
              </w:rPr>
              <w:t>不足或缺失</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质量不可控的，</w:t>
            </w:r>
            <w:r>
              <w:rPr>
                <w:rFonts w:hint="eastAsia" w:ascii="仿宋_GB2312" w:hAnsi="仿宋_GB2312" w:eastAsia="仿宋_GB2312" w:cs="仿宋_GB2312"/>
                <w:color w:val="auto"/>
                <w:sz w:val="21"/>
                <w:szCs w:val="21"/>
                <w:highlight w:val="none"/>
              </w:rPr>
              <w:t>得1分；</w:t>
            </w:r>
          </w:p>
          <w:p w14:paraId="17003164">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无相应内容的不得分</w:t>
            </w:r>
            <w:r>
              <w:rPr>
                <w:rFonts w:hint="eastAsia" w:ascii="仿宋_GB2312" w:hAnsi="仿宋_GB2312" w:eastAsia="仿宋_GB2312" w:cs="仿宋_GB2312"/>
                <w:color w:val="auto"/>
                <w:sz w:val="21"/>
                <w:szCs w:val="21"/>
                <w:highlight w:val="none"/>
              </w:rPr>
              <w:t>。</w:t>
            </w:r>
          </w:p>
        </w:tc>
        <w:tc>
          <w:tcPr>
            <w:tcW w:w="645" w:type="dxa"/>
            <w:vAlign w:val="center"/>
          </w:tcPr>
          <w:p w14:paraId="40328F8E">
            <w:pPr>
              <w:keepNext w:val="0"/>
              <w:keepLines w:val="0"/>
              <w:pageBreakBefore w:val="0"/>
              <w:widowControl/>
              <w:kinsoku/>
              <w:wordWrap/>
              <w:overflowPunct/>
              <w:topLinePunct w:val="0"/>
              <w:bidi w:val="0"/>
              <w:spacing w:line="440" w:lineRule="exact"/>
              <w:ind w:left="0" w:right="0"/>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5分</w:t>
            </w:r>
          </w:p>
        </w:tc>
        <w:tc>
          <w:tcPr>
            <w:tcW w:w="943" w:type="dxa"/>
            <w:vAlign w:val="center"/>
          </w:tcPr>
          <w:p w14:paraId="418FDD7C">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主观分</w:t>
            </w:r>
          </w:p>
        </w:tc>
      </w:tr>
      <w:tr w14:paraId="30AD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69" w:type="dxa"/>
            <w:vAlign w:val="center"/>
          </w:tcPr>
          <w:p w14:paraId="31E61C07">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1037" w:type="dxa"/>
            <w:vAlign w:val="center"/>
          </w:tcPr>
          <w:p w14:paraId="22971355">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拟派</w:t>
            </w:r>
            <w:r>
              <w:rPr>
                <w:rFonts w:hint="eastAsia" w:ascii="仿宋_GB2312" w:hAnsi="仿宋_GB2312" w:eastAsia="仿宋_GB2312" w:cs="仿宋_GB2312"/>
                <w:color w:val="auto"/>
                <w:kern w:val="0"/>
                <w:sz w:val="21"/>
                <w:szCs w:val="21"/>
                <w:highlight w:val="none"/>
              </w:rPr>
              <w:t>项</w:t>
            </w:r>
            <w:r>
              <w:rPr>
                <w:rFonts w:hint="eastAsia" w:ascii="仿宋_GB2312" w:hAnsi="仿宋_GB2312" w:eastAsia="仿宋_GB2312" w:cs="仿宋_GB2312"/>
                <w:color w:val="auto"/>
                <w:sz w:val="21"/>
                <w:szCs w:val="21"/>
                <w:highlight w:val="none"/>
              </w:rPr>
              <w:t>项目负责人及项目技术负责人</w:t>
            </w:r>
          </w:p>
        </w:tc>
        <w:tc>
          <w:tcPr>
            <w:tcW w:w="6002" w:type="dxa"/>
            <w:vAlign w:val="center"/>
          </w:tcPr>
          <w:p w14:paraId="3291E435">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根据投标人拟派项目负责人及项目技术负责人相应专业技术能力、类似项目实际经验进行评审</w:t>
            </w:r>
            <w:r>
              <w:rPr>
                <w:rFonts w:hint="eastAsia" w:ascii="仿宋_GB2312" w:hAnsi="仿宋_GB2312" w:eastAsia="仿宋_GB2312" w:cs="仿宋_GB2312"/>
                <w:color w:val="auto"/>
                <w:sz w:val="21"/>
                <w:szCs w:val="21"/>
                <w:highlight w:val="none"/>
                <w:lang w:eastAsia="zh-CN"/>
              </w:rPr>
              <w:t>。</w:t>
            </w:r>
          </w:p>
          <w:p w14:paraId="277488FA">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Cs/>
                <w:color w:val="auto"/>
                <w:sz w:val="21"/>
                <w:szCs w:val="21"/>
                <w:highlight w:val="none"/>
                <w:lang w:val="en-US" w:eastAsia="zh-CN"/>
              </w:rPr>
              <w:t>●相应专业技术能力</w:t>
            </w:r>
            <w:r>
              <w:rPr>
                <w:rFonts w:hint="eastAsia" w:ascii="仿宋_GB2312" w:hAnsi="仿宋_GB2312" w:eastAsia="仿宋_GB2312" w:cs="仿宋_GB2312"/>
                <w:color w:val="auto"/>
                <w:sz w:val="21"/>
                <w:szCs w:val="21"/>
                <w:highlight w:val="none"/>
              </w:rPr>
              <w:t>强、类似项目实际经验丰富</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5CBD6AE7">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Cs/>
                <w:color w:val="auto"/>
                <w:sz w:val="21"/>
                <w:szCs w:val="21"/>
                <w:highlight w:val="none"/>
                <w:lang w:val="en-US" w:eastAsia="zh-CN"/>
              </w:rPr>
              <w:t>●相应专业技术能力较强</w:t>
            </w:r>
            <w:r>
              <w:rPr>
                <w:rFonts w:hint="eastAsia" w:ascii="仿宋_GB2312" w:hAnsi="仿宋_GB2312" w:eastAsia="仿宋_GB2312" w:cs="仿宋_GB2312"/>
                <w:color w:val="auto"/>
                <w:sz w:val="21"/>
                <w:szCs w:val="21"/>
                <w:highlight w:val="none"/>
              </w:rPr>
              <w:t>、类似项目实际经验</w:t>
            </w:r>
            <w:r>
              <w:rPr>
                <w:rFonts w:hint="eastAsia" w:ascii="仿宋_GB2312" w:hAnsi="仿宋_GB2312" w:eastAsia="仿宋_GB2312" w:cs="仿宋_GB2312"/>
                <w:color w:val="auto"/>
                <w:sz w:val="21"/>
                <w:szCs w:val="21"/>
                <w:highlight w:val="none"/>
                <w:lang w:val="en-US" w:eastAsia="zh-CN"/>
              </w:rPr>
              <w:t>较丰富的，</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6C081A53">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Cs/>
                <w:color w:val="auto"/>
                <w:sz w:val="21"/>
                <w:szCs w:val="21"/>
                <w:highlight w:val="none"/>
                <w:lang w:val="en-US" w:eastAsia="zh-CN"/>
              </w:rPr>
              <w:t>●相应专业技术能力一般</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具备一定</w:t>
            </w:r>
            <w:r>
              <w:rPr>
                <w:rFonts w:hint="eastAsia" w:ascii="仿宋_GB2312" w:hAnsi="仿宋_GB2312" w:eastAsia="仿宋_GB2312" w:cs="仿宋_GB2312"/>
                <w:color w:val="auto"/>
                <w:sz w:val="21"/>
                <w:szCs w:val="21"/>
                <w:highlight w:val="none"/>
              </w:rPr>
              <w:t>类似项目实际经验</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45CB218A">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Cs/>
                <w:color w:val="auto"/>
                <w:sz w:val="21"/>
                <w:szCs w:val="21"/>
                <w:highlight w:val="none"/>
                <w:lang w:val="en-US" w:eastAsia="zh-CN"/>
              </w:rPr>
              <w:t>●相应专业技术能力薄弱</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较少</w:t>
            </w:r>
            <w:r>
              <w:rPr>
                <w:rFonts w:hint="eastAsia" w:ascii="仿宋_GB2312" w:hAnsi="仿宋_GB2312" w:eastAsia="仿宋_GB2312" w:cs="仿宋_GB2312"/>
                <w:color w:val="auto"/>
                <w:sz w:val="21"/>
                <w:szCs w:val="21"/>
                <w:highlight w:val="none"/>
              </w:rPr>
              <w:t>类似项目实际经验</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60C3A77A">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●相应专业技术能力</w:t>
            </w:r>
            <w:r>
              <w:rPr>
                <w:rFonts w:hint="eastAsia" w:ascii="仿宋_GB2312" w:hAnsi="仿宋_GB2312" w:eastAsia="仿宋_GB2312" w:cs="仿宋_GB2312"/>
                <w:color w:val="auto"/>
                <w:sz w:val="21"/>
                <w:szCs w:val="21"/>
                <w:highlight w:val="none"/>
              </w:rPr>
              <w:t>欠缺、类似项目实际经验欠缺</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得1分。</w:t>
            </w:r>
          </w:p>
          <w:p w14:paraId="2C1B5746">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●无相应内容的不得分。</w:t>
            </w:r>
          </w:p>
          <w:p w14:paraId="48E77A7D">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[投标文件中应附人员与本项目相关的执业资格、相关的职称、</w:t>
            </w:r>
            <w:r>
              <w:rPr>
                <w:rFonts w:hint="eastAsia" w:ascii="仿宋_GB2312" w:hAnsi="仿宋_GB2312" w:eastAsia="仿宋_GB2312" w:cs="仿宋_GB2312"/>
                <w:color w:val="auto"/>
                <w:sz w:val="21"/>
                <w:szCs w:val="21"/>
                <w:highlight w:val="none"/>
              </w:rPr>
              <w:t>类似项目实际经验</w:t>
            </w:r>
            <w:r>
              <w:rPr>
                <w:rFonts w:hint="eastAsia" w:ascii="仿宋_GB2312" w:hAnsi="仿宋_GB2312" w:eastAsia="仿宋_GB2312" w:cs="仿宋_GB2312"/>
                <w:color w:val="auto"/>
                <w:sz w:val="21"/>
                <w:szCs w:val="21"/>
                <w:highlight w:val="none"/>
                <w:lang w:val="en-US" w:eastAsia="zh-CN"/>
              </w:rPr>
              <w:t>以及其他证明材料、投标人为上述人员缴纳的近3个月（2026年1月至3月）中任意1个月的社保证明材料]</w:t>
            </w:r>
          </w:p>
        </w:tc>
        <w:tc>
          <w:tcPr>
            <w:tcW w:w="645" w:type="dxa"/>
            <w:vAlign w:val="center"/>
          </w:tcPr>
          <w:p w14:paraId="21712A3D">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5</w:t>
            </w:r>
          </w:p>
        </w:tc>
        <w:tc>
          <w:tcPr>
            <w:tcW w:w="943" w:type="dxa"/>
            <w:vAlign w:val="center"/>
          </w:tcPr>
          <w:p w14:paraId="7649C173">
            <w:pPr>
              <w:keepNext w:val="0"/>
              <w:keepLines w:val="0"/>
              <w:pageBreakBefore w:val="0"/>
              <w:widowControl/>
              <w:kinsoku/>
              <w:wordWrap/>
              <w:overflowPunct/>
              <w:topLinePunct w:val="0"/>
              <w:bidi w:val="0"/>
              <w:spacing w:line="44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主观分</w:t>
            </w:r>
          </w:p>
        </w:tc>
      </w:tr>
      <w:tr w14:paraId="3224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restart"/>
            <w:vAlign w:val="center"/>
          </w:tcPr>
          <w:p w14:paraId="6D9B685E">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1037" w:type="dxa"/>
            <w:vMerge w:val="restart"/>
            <w:vAlign w:val="center"/>
          </w:tcPr>
          <w:p w14:paraId="70A6D771">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sz w:val="21"/>
                <w:szCs w:val="21"/>
                <w:highlight w:val="none"/>
                <w:lang w:val="zh-CN"/>
              </w:rPr>
              <w:t>质保期和售后服务方案</w:t>
            </w:r>
          </w:p>
        </w:tc>
        <w:tc>
          <w:tcPr>
            <w:tcW w:w="6002" w:type="dxa"/>
            <w:shd w:val="clear" w:color="auto" w:fill="auto"/>
            <w:vAlign w:val="center"/>
          </w:tcPr>
          <w:p w14:paraId="240D0C93">
            <w:pPr>
              <w:keepNext w:val="0"/>
              <w:keepLines w:val="0"/>
              <w:pageBreakBefore w:val="0"/>
              <w:kinsoku/>
              <w:wordWrap/>
              <w:overflowPunct/>
              <w:topLinePunct w:val="0"/>
              <w:bidi w:val="0"/>
              <w:spacing w:line="440" w:lineRule="exact"/>
              <w:ind w:left="0" w:leftChars="0" w:right="0" w:rightChars="0"/>
              <w:jc w:val="both"/>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质保期：满足</w:t>
            </w:r>
            <w:r>
              <w:rPr>
                <w:rFonts w:hint="eastAsia" w:ascii="仿宋_GB2312" w:hAnsi="仿宋_GB2312" w:eastAsia="仿宋_GB2312" w:cs="仿宋_GB2312"/>
                <w:bCs/>
                <w:color w:val="auto"/>
                <w:sz w:val="21"/>
                <w:szCs w:val="21"/>
                <w:highlight w:val="none"/>
                <w:lang w:val="en-US" w:eastAsia="zh-CN"/>
              </w:rPr>
              <w:t>招标</w:t>
            </w:r>
            <w:r>
              <w:rPr>
                <w:rFonts w:hint="eastAsia" w:ascii="仿宋_GB2312" w:hAnsi="仿宋_GB2312" w:eastAsia="仿宋_GB2312" w:cs="仿宋_GB2312"/>
                <w:bCs/>
                <w:color w:val="auto"/>
                <w:sz w:val="21"/>
                <w:szCs w:val="21"/>
                <w:highlight w:val="none"/>
              </w:rPr>
              <w:t>文件要求质保</w:t>
            </w:r>
            <w:r>
              <w:rPr>
                <w:rFonts w:hint="eastAsia" w:ascii="仿宋_GB2312" w:hAnsi="仿宋_GB2312" w:eastAsia="仿宋_GB2312" w:cs="仿宋_GB2312"/>
                <w:bCs/>
                <w:color w:val="auto"/>
                <w:sz w:val="21"/>
                <w:szCs w:val="21"/>
                <w:highlight w:val="none"/>
                <w:lang w:val="en-US" w:eastAsia="zh-CN"/>
              </w:rPr>
              <w:t>最低年限</w:t>
            </w:r>
            <w:r>
              <w:rPr>
                <w:rFonts w:hint="eastAsia" w:ascii="仿宋_GB2312" w:hAnsi="仿宋_GB2312" w:eastAsia="仿宋_GB2312" w:cs="仿宋_GB2312"/>
                <w:bCs/>
                <w:color w:val="auto"/>
                <w:sz w:val="21"/>
                <w:szCs w:val="21"/>
                <w:highlight w:val="none"/>
              </w:rPr>
              <w:t>的不得分，每延长1年质保期得1分，最多得</w:t>
            </w: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Cs/>
                <w:color w:val="auto"/>
                <w:sz w:val="21"/>
                <w:szCs w:val="21"/>
                <w:highlight w:val="none"/>
              </w:rPr>
              <w:t>分。</w:t>
            </w:r>
          </w:p>
          <w:p w14:paraId="5BF594FD">
            <w:pPr>
              <w:keepNext w:val="0"/>
              <w:keepLines w:val="0"/>
              <w:pageBreakBefore w:val="0"/>
              <w:kinsoku/>
              <w:wordWrap/>
              <w:overflowPunct/>
              <w:topLinePunct w:val="0"/>
              <w:bidi w:val="0"/>
              <w:spacing w:line="440" w:lineRule="exact"/>
              <w:ind w:left="0" w:leftChars="0" w:right="0" w:rightChars="0"/>
              <w:jc w:val="both"/>
              <w:textAlignment w:val="auto"/>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[投标文件中提供质保期承诺函（格式自拟）</w:t>
            </w:r>
            <w:r>
              <w:rPr>
                <w:rFonts w:hint="eastAsia" w:ascii="仿宋_GB2312" w:hAnsi="仿宋_GB2312" w:eastAsia="仿宋_GB2312" w:cs="仿宋_GB2312"/>
                <w:b/>
                <w:bCs/>
                <w:color w:val="auto"/>
                <w:sz w:val="21"/>
                <w:szCs w:val="21"/>
                <w:highlight w:val="none"/>
              </w:rPr>
              <w:t>并加盖投标人公章，</w:t>
            </w:r>
            <w:r>
              <w:rPr>
                <w:rFonts w:hint="eastAsia" w:ascii="仿宋_GB2312" w:hAnsi="仿宋_GB2312" w:eastAsia="仿宋_GB2312" w:cs="仿宋_GB2312"/>
                <w:b/>
                <w:bCs/>
                <w:color w:val="auto"/>
                <w:sz w:val="21"/>
                <w:szCs w:val="21"/>
                <w:highlight w:val="none"/>
                <w:lang w:val="en-US" w:eastAsia="zh-CN"/>
              </w:rPr>
              <w:t>否则</w:t>
            </w:r>
            <w:r>
              <w:rPr>
                <w:rFonts w:hint="eastAsia" w:ascii="仿宋_GB2312" w:hAnsi="仿宋_GB2312" w:eastAsia="仿宋_GB2312" w:cs="仿宋_GB2312"/>
                <w:b/>
                <w:bCs/>
                <w:color w:val="auto"/>
                <w:sz w:val="21"/>
                <w:szCs w:val="21"/>
                <w:highlight w:val="none"/>
              </w:rPr>
              <w:t>不得分</w:t>
            </w:r>
            <w:r>
              <w:rPr>
                <w:rFonts w:hint="eastAsia" w:ascii="仿宋_GB2312" w:hAnsi="仿宋_GB2312" w:eastAsia="仿宋_GB2312" w:cs="仿宋_GB2312"/>
                <w:b/>
                <w:bCs/>
                <w:color w:val="auto"/>
                <w:sz w:val="21"/>
                <w:szCs w:val="21"/>
                <w:highlight w:val="none"/>
                <w:lang w:val="en-US" w:eastAsia="zh-CN"/>
              </w:rPr>
              <w:t>]</w:t>
            </w:r>
          </w:p>
        </w:tc>
        <w:tc>
          <w:tcPr>
            <w:tcW w:w="645" w:type="dxa"/>
            <w:shd w:val="clear" w:color="auto" w:fill="auto"/>
            <w:vAlign w:val="center"/>
          </w:tcPr>
          <w:p w14:paraId="2DA3015B">
            <w:pPr>
              <w:keepNext w:val="0"/>
              <w:keepLines w:val="0"/>
              <w:pageBreakBefore w:val="0"/>
              <w:kinsoku/>
              <w:wordWrap/>
              <w:overflowPunct/>
              <w:topLinePunct w:val="0"/>
              <w:bidi w:val="0"/>
              <w:spacing w:line="440" w:lineRule="exact"/>
              <w:ind w:left="0" w:leftChars="0" w:right="0" w:rightChars="0"/>
              <w:jc w:val="center"/>
              <w:textAlignment w:val="auto"/>
              <w:rPr>
                <w:rFonts w:hint="default"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lang w:val="en-US" w:eastAsia="zh-CN"/>
              </w:rPr>
              <w:t>1</w:t>
            </w:r>
          </w:p>
        </w:tc>
        <w:tc>
          <w:tcPr>
            <w:tcW w:w="943" w:type="dxa"/>
            <w:shd w:val="clear" w:color="auto" w:fill="auto"/>
            <w:vAlign w:val="center"/>
          </w:tcPr>
          <w:p w14:paraId="02BF204B">
            <w:pPr>
              <w:keepNext w:val="0"/>
              <w:keepLines w:val="0"/>
              <w:pageBreakBefore w:val="0"/>
              <w:kinsoku/>
              <w:wordWrap/>
              <w:overflowPunct/>
              <w:topLinePunct w:val="0"/>
              <w:bidi w:val="0"/>
              <w:spacing w:line="440" w:lineRule="exact"/>
              <w:ind w:left="0" w:leftChars="0" w:right="0" w:rightChars="0"/>
              <w:jc w:val="center"/>
              <w:textAlignment w:val="auto"/>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客观分</w:t>
            </w:r>
          </w:p>
        </w:tc>
      </w:tr>
      <w:tr w14:paraId="1313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vAlign w:val="center"/>
          </w:tcPr>
          <w:p w14:paraId="49BE7235">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sz w:val="21"/>
                <w:szCs w:val="21"/>
                <w:highlight w:val="none"/>
                <w:lang w:val="en-US" w:eastAsia="zh-CN"/>
              </w:rPr>
            </w:pPr>
          </w:p>
        </w:tc>
        <w:tc>
          <w:tcPr>
            <w:tcW w:w="1037" w:type="dxa"/>
            <w:vMerge w:val="continue"/>
            <w:vAlign w:val="center"/>
          </w:tcPr>
          <w:p w14:paraId="51EA4125">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sz w:val="21"/>
                <w:szCs w:val="21"/>
                <w:highlight w:val="none"/>
                <w:lang w:val="zh-CN"/>
              </w:rPr>
            </w:pPr>
          </w:p>
        </w:tc>
        <w:tc>
          <w:tcPr>
            <w:tcW w:w="6002" w:type="dxa"/>
            <w:shd w:val="clear" w:color="auto" w:fill="auto"/>
            <w:vAlign w:val="center"/>
          </w:tcPr>
          <w:p w14:paraId="169493CC">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b w:val="0"/>
                <w:bCs/>
                <w:i w:val="0"/>
                <w:iCs w:val="0"/>
                <w:color w:val="auto"/>
                <w:sz w:val="21"/>
                <w:szCs w:val="21"/>
                <w:highlight w:val="none"/>
                <w:lang w:val="en-US" w:eastAsia="zh-CN"/>
              </w:rPr>
            </w:pPr>
            <w:r>
              <w:rPr>
                <w:rFonts w:hint="eastAsia" w:ascii="仿宋_GB2312" w:hAnsi="仿宋_GB2312" w:eastAsia="仿宋_GB2312" w:cs="仿宋_GB2312"/>
                <w:b w:val="0"/>
                <w:bCs/>
                <w:i w:val="0"/>
                <w:iCs w:val="0"/>
                <w:color w:val="auto"/>
                <w:kern w:val="0"/>
                <w:sz w:val="21"/>
                <w:szCs w:val="21"/>
                <w:highlight w:val="none"/>
                <w:lang w:val="en-US" w:eastAsia="zh-CN"/>
              </w:rPr>
              <w:t>投标人需结合自身实际提供售后服务方案，包含但不限于</w:t>
            </w:r>
            <w:r>
              <w:rPr>
                <w:rFonts w:hint="eastAsia" w:ascii="仿宋_GB2312" w:hAnsi="仿宋_GB2312" w:eastAsia="仿宋_GB2312" w:cs="仿宋_GB2312"/>
                <w:b w:val="0"/>
                <w:bCs/>
                <w:i w:val="0"/>
                <w:iCs w:val="0"/>
                <w:color w:val="auto"/>
                <w:kern w:val="0"/>
                <w:sz w:val="21"/>
                <w:szCs w:val="21"/>
                <w:highlight w:val="none"/>
              </w:rPr>
              <w:t>质保期内定期服务方案</w:t>
            </w:r>
            <w:r>
              <w:rPr>
                <w:rFonts w:hint="eastAsia" w:ascii="仿宋_GB2312" w:hAnsi="仿宋_GB2312" w:eastAsia="仿宋_GB2312" w:cs="仿宋_GB2312"/>
                <w:b w:val="0"/>
                <w:bCs/>
                <w:i w:val="0"/>
                <w:iCs w:val="0"/>
                <w:color w:val="auto"/>
                <w:kern w:val="0"/>
                <w:sz w:val="21"/>
                <w:szCs w:val="21"/>
                <w:highlight w:val="none"/>
                <w:lang w:eastAsia="zh-CN"/>
              </w:rPr>
              <w:t>、</w:t>
            </w:r>
            <w:r>
              <w:rPr>
                <w:rFonts w:hint="eastAsia" w:ascii="仿宋_GB2312" w:hAnsi="仿宋_GB2312" w:eastAsia="仿宋_GB2312" w:cs="仿宋_GB2312"/>
                <w:b w:val="0"/>
                <w:bCs/>
                <w:i w:val="0"/>
                <w:iCs w:val="0"/>
                <w:color w:val="auto"/>
                <w:kern w:val="0"/>
                <w:sz w:val="21"/>
                <w:szCs w:val="21"/>
                <w:highlight w:val="none"/>
              </w:rPr>
              <w:t>巡检服务方案</w:t>
            </w:r>
            <w:r>
              <w:rPr>
                <w:rFonts w:hint="eastAsia" w:ascii="仿宋_GB2312" w:hAnsi="仿宋_GB2312" w:eastAsia="仿宋_GB2312" w:cs="仿宋_GB2312"/>
                <w:b w:val="0"/>
                <w:bCs/>
                <w:i w:val="0"/>
                <w:iCs w:val="0"/>
                <w:color w:val="auto"/>
                <w:kern w:val="0"/>
                <w:sz w:val="21"/>
                <w:szCs w:val="21"/>
                <w:highlight w:val="none"/>
                <w:lang w:eastAsia="zh-CN"/>
              </w:rPr>
              <w:t>、</w:t>
            </w:r>
            <w:r>
              <w:rPr>
                <w:rFonts w:hint="eastAsia" w:ascii="仿宋_GB2312" w:hAnsi="仿宋_GB2312" w:eastAsia="仿宋_GB2312" w:cs="仿宋_GB2312"/>
                <w:b w:val="0"/>
                <w:bCs/>
                <w:i w:val="0"/>
                <w:iCs w:val="0"/>
                <w:color w:val="auto"/>
                <w:kern w:val="0"/>
                <w:sz w:val="21"/>
                <w:szCs w:val="21"/>
                <w:highlight w:val="none"/>
              </w:rPr>
              <w:t>售后服务保障</w:t>
            </w:r>
            <w:r>
              <w:rPr>
                <w:rFonts w:hint="eastAsia" w:ascii="仿宋_GB2312" w:hAnsi="仿宋_GB2312" w:eastAsia="仿宋_GB2312" w:cs="仿宋_GB2312"/>
                <w:b w:val="0"/>
                <w:bCs/>
                <w:i w:val="0"/>
                <w:iCs w:val="0"/>
                <w:color w:val="auto"/>
                <w:kern w:val="0"/>
                <w:sz w:val="21"/>
                <w:szCs w:val="21"/>
                <w:highlight w:val="none"/>
                <w:lang w:eastAsia="zh-CN"/>
              </w:rPr>
              <w:t>、</w:t>
            </w:r>
            <w:r>
              <w:rPr>
                <w:rFonts w:hint="eastAsia" w:ascii="仿宋_GB2312" w:hAnsi="仿宋_GB2312" w:eastAsia="仿宋_GB2312" w:cs="仿宋_GB2312"/>
                <w:b w:val="0"/>
                <w:bCs/>
                <w:i w:val="0"/>
                <w:iCs w:val="0"/>
                <w:color w:val="auto"/>
                <w:kern w:val="0"/>
                <w:sz w:val="21"/>
                <w:szCs w:val="21"/>
                <w:highlight w:val="none"/>
              </w:rPr>
              <w:t>售后服务机构的设置（包括售后人员的配备情况）</w:t>
            </w:r>
            <w:r>
              <w:rPr>
                <w:rFonts w:hint="eastAsia" w:ascii="仿宋_GB2312" w:hAnsi="仿宋_GB2312" w:eastAsia="仿宋_GB2312" w:cs="仿宋_GB2312"/>
                <w:b w:val="0"/>
                <w:bCs/>
                <w:i w:val="0"/>
                <w:iCs w:val="0"/>
                <w:color w:val="auto"/>
                <w:sz w:val="21"/>
                <w:szCs w:val="21"/>
                <w:highlight w:val="none"/>
                <w:lang w:val="en-US" w:eastAsia="zh-CN"/>
              </w:rPr>
              <w:t>进行评审：</w:t>
            </w:r>
          </w:p>
          <w:p w14:paraId="2351C3F4">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b w:val="0"/>
                <w:bCs w:val="0"/>
                <w:i w:val="0"/>
                <w:iCs w:val="0"/>
                <w:color w:val="auto"/>
                <w:kern w:val="0"/>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b w:val="0"/>
                <w:bCs w:val="0"/>
                <w:i w:val="0"/>
                <w:iCs w:val="0"/>
                <w:color w:val="auto"/>
                <w:kern w:val="0"/>
                <w:sz w:val="21"/>
                <w:szCs w:val="21"/>
                <w:highlight w:val="none"/>
                <w:lang w:val="en-US" w:eastAsia="zh-CN"/>
              </w:rPr>
              <w:t>质保期内定期服务和巡检服务方案内容合理，售后服务有保障且有相应的售后服务机构，</w:t>
            </w:r>
            <w:r>
              <w:rPr>
                <w:rFonts w:hint="eastAsia" w:ascii="仿宋_GB2312" w:hAnsi="仿宋_GB2312" w:eastAsia="仿宋_GB2312" w:cs="仿宋_GB2312"/>
                <w:b w:val="0"/>
                <w:bCs w:val="0"/>
                <w:i w:val="0"/>
                <w:iCs w:val="0"/>
                <w:color w:val="auto"/>
                <w:kern w:val="0"/>
                <w:sz w:val="21"/>
                <w:szCs w:val="21"/>
                <w:highlight w:val="none"/>
                <w:lang w:eastAsia="zh-CN"/>
              </w:rPr>
              <w:t>能有效提高</w:t>
            </w:r>
            <w:r>
              <w:rPr>
                <w:rFonts w:hint="eastAsia" w:ascii="仿宋_GB2312" w:hAnsi="仿宋_GB2312" w:eastAsia="仿宋_GB2312" w:cs="仿宋_GB2312"/>
                <w:b w:val="0"/>
                <w:bCs w:val="0"/>
                <w:i w:val="0"/>
                <w:iCs w:val="0"/>
                <w:color w:val="auto"/>
                <w:kern w:val="0"/>
                <w:sz w:val="21"/>
                <w:szCs w:val="21"/>
                <w:highlight w:val="none"/>
                <w:lang w:val="en-US" w:eastAsia="zh-CN"/>
              </w:rPr>
              <w:t>货物使用体验</w:t>
            </w:r>
            <w:r>
              <w:rPr>
                <w:rFonts w:hint="eastAsia" w:ascii="仿宋_GB2312" w:hAnsi="仿宋_GB2312" w:eastAsia="仿宋_GB2312" w:cs="仿宋_GB2312"/>
                <w:b w:val="0"/>
                <w:bCs w:val="0"/>
                <w:i w:val="0"/>
                <w:iCs w:val="0"/>
                <w:color w:val="auto"/>
                <w:kern w:val="0"/>
                <w:sz w:val="21"/>
                <w:szCs w:val="21"/>
                <w:highlight w:val="none"/>
                <w:lang w:eastAsia="zh-CN"/>
              </w:rPr>
              <w:t>，具有专业技能，服务目标明确清晰</w:t>
            </w:r>
            <w:r>
              <w:rPr>
                <w:rFonts w:hint="eastAsia" w:ascii="仿宋_GB2312" w:hAnsi="仿宋_GB2312" w:eastAsia="仿宋_GB2312" w:cs="仿宋_GB2312"/>
                <w:b w:val="0"/>
                <w:bCs w:val="0"/>
                <w:i w:val="0"/>
                <w:iCs w:val="0"/>
                <w:color w:val="auto"/>
                <w:kern w:val="0"/>
                <w:sz w:val="21"/>
                <w:szCs w:val="21"/>
                <w:highlight w:val="none"/>
                <w:lang w:val="en-US" w:eastAsia="zh-CN"/>
              </w:rPr>
              <w:t>的，得4分；</w:t>
            </w:r>
          </w:p>
          <w:p w14:paraId="72498CB9">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b w:val="0"/>
                <w:bCs w:val="0"/>
                <w:i w:val="0"/>
                <w:iCs w:val="0"/>
                <w:color w:val="auto"/>
                <w:kern w:val="0"/>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b w:val="0"/>
                <w:bCs w:val="0"/>
                <w:i w:val="0"/>
                <w:iCs w:val="0"/>
                <w:color w:val="auto"/>
                <w:kern w:val="0"/>
                <w:sz w:val="21"/>
                <w:szCs w:val="21"/>
                <w:highlight w:val="none"/>
                <w:lang w:val="en-US" w:eastAsia="zh-CN"/>
              </w:rPr>
              <w:t>质保期内定期服务和巡检服务方案内容比较合理，售后服务有较好保障且有相应的售后服务机构，</w:t>
            </w:r>
            <w:r>
              <w:rPr>
                <w:rFonts w:hint="eastAsia" w:ascii="仿宋_GB2312" w:hAnsi="仿宋_GB2312" w:eastAsia="仿宋_GB2312" w:cs="仿宋_GB2312"/>
                <w:b w:val="0"/>
                <w:bCs w:val="0"/>
                <w:i w:val="0"/>
                <w:iCs w:val="0"/>
                <w:color w:val="auto"/>
                <w:kern w:val="0"/>
                <w:sz w:val="21"/>
                <w:szCs w:val="21"/>
                <w:highlight w:val="none"/>
                <w:lang w:eastAsia="zh-CN"/>
              </w:rPr>
              <w:t>能</w:t>
            </w:r>
            <w:r>
              <w:rPr>
                <w:rFonts w:hint="eastAsia" w:ascii="仿宋_GB2312" w:hAnsi="仿宋_GB2312" w:eastAsia="仿宋_GB2312" w:cs="仿宋_GB2312"/>
                <w:b w:val="0"/>
                <w:bCs w:val="0"/>
                <w:i w:val="0"/>
                <w:iCs w:val="0"/>
                <w:color w:val="auto"/>
                <w:kern w:val="0"/>
                <w:sz w:val="21"/>
                <w:szCs w:val="21"/>
                <w:highlight w:val="none"/>
                <w:lang w:val="en-US" w:eastAsia="zh-CN"/>
              </w:rPr>
              <w:t>比较</w:t>
            </w:r>
            <w:r>
              <w:rPr>
                <w:rFonts w:hint="eastAsia" w:ascii="仿宋_GB2312" w:hAnsi="仿宋_GB2312" w:eastAsia="仿宋_GB2312" w:cs="仿宋_GB2312"/>
                <w:b w:val="0"/>
                <w:bCs w:val="0"/>
                <w:i w:val="0"/>
                <w:iCs w:val="0"/>
                <w:color w:val="auto"/>
                <w:kern w:val="0"/>
                <w:sz w:val="21"/>
                <w:szCs w:val="21"/>
                <w:highlight w:val="none"/>
                <w:lang w:eastAsia="zh-CN"/>
              </w:rPr>
              <w:t>有效提高</w:t>
            </w:r>
            <w:r>
              <w:rPr>
                <w:rFonts w:hint="eastAsia" w:ascii="仿宋_GB2312" w:hAnsi="仿宋_GB2312" w:eastAsia="仿宋_GB2312" w:cs="仿宋_GB2312"/>
                <w:b w:val="0"/>
                <w:bCs w:val="0"/>
                <w:i w:val="0"/>
                <w:iCs w:val="0"/>
                <w:color w:val="auto"/>
                <w:kern w:val="0"/>
                <w:sz w:val="21"/>
                <w:szCs w:val="21"/>
                <w:highlight w:val="none"/>
                <w:lang w:val="en-US" w:eastAsia="zh-CN"/>
              </w:rPr>
              <w:t>货物使用体验</w:t>
            </w:r>
            <w:r>
              <w:rPr>
                <w:rFonts w:hint="eastAsia" w:ascii="仿宋_GB2312" w:hAnsi="仿宋_GB2312" w:eastAsia="仿宋_GB2312" w:cs="仿宋_GB2312"/>
                <w:b w:val="0"/>
                <w:bCs w:val="0"/>
                <w:i w:val="0"/>
                <w:iCs w:val="0"/>
                <w:color w:val="auto"/>
                <w:kern w:val="0"/>
                <w:sz w:val="21"/>
                <w:szCs w:val="21"/>
                <w:highlight w:val="none"/>
                <w:lang w:eastAsia="zh-CN"/>
              </w:rPr>
              <w:t>，</w:t>
            </w:r>
            <w:r>
              <w:rPr>
                <w:rFonts w:hint="eastAsia" w:ascii="仿宋_GB2312" w:hAnsi="仿宋_GB2312" w:eastAsia="仿宋_GB2312" w:cs="仿宋_GB2312"/>
                <w:b w:val="0"/>
                <w:bCs w:val="0"/>
                <w:i w:val="0"/>
                <w:iCs w:val="0"/>
                <w:color w:val="auto"/>
                <w:kern w:val="0"/>
                <w:sz w:val="21"/>
                <w:szCs w:val="21"/>
                <w:highlight w:val="none"/>
                <w:lang w:val="en-US" w:eastAsia="zh-CN"/>
              </w:rPr>
              <w:t>大部分</w:t>
            </w:r>
            <w:r>
              <w:rPr>
                <w:rFonts w:hint="eastAsia" w:ascii="仿宋_GB2312" w:hAnsi="仿宋_GB2312" w:eastAsia="仿宋_GB2312" w:cs="仿宋_GB2312"/>
                <w:b w:val="0"/>
                <w:bCs w:val="0"/>
                <w:i w:val="0"/>
                <w:iCs w:val="0"/>
                <w:color w:val="auto"/>
                <w:kern w:val="0"/>
                <w:sz w:val="21"/>
                <w:szCs w:val="21"/>
                <w:highlight w:val="none"/>
                <w:lang w:eastAsia="zh-CN"/>
              </w:rPr>
              <w:t>具有专业技能，服务目标</w:t>
            </w:r>
            <w:r>
              <w:rPr>
                <w:rFonts w:hint="eastAsia" w:ascii="仿宋_GB2312" w:hAnsi="仿宋_GB2312" w:eastAsia="仿宋_GB2312" w:cs="仿宋_GB2312"/>
                <w:b w:val="0"/>
                <w:bCs w:val="0"/>
                <w:i w:val="0"/>
                <w:iCs w:val="0"/>
                <w:color w:val="auto"/>
                <w:kern w:val="0"/>
                <w:sz w:val="21"/>
                <w:szCs w:val="21"/>
                <w:highlight w:val="none"/>
                <w:lang w:val="en-US" w:eastAsia="zh-CN"/>
              </w:rPr>
              <w:t>比较</w:t>
            </w:r>
            <w:r>
              <w:rPr>
                <w:rFonts w:hint="eastAsia" w:ascii="仿宋_GB2312" w:hAnsi="仿宋_GB2312" w:eastAsia="仿宋_GB2312" w:cs="仿宋_GB2312"/>
                <w:b w:val="0"/>
                <w:bCs w:val="0"/>
                <w:i w:val="0"/>
                <w:iCs w:val="0"/>
                <w:color w:val="auto"/>
                <w:kern w:val="0"/>
                <w:sz w:val="21"/>
                <w:szCs w:val="21"/>
                <w:highlight w:val="none"/>
                <w:lang w:eastAsia="zh-CN"/>
              </w:rPr>
              <w:t>明确清晰</w:t>
            </w:r>
            <w:r>
              <w:rPr>
                <w:rFonts w:hint="eastAsia" w:ascii="仿宋_GB2312" w:hAnsi="仿宋_GB2312" w:eastAsia="仿宋_GB2312" w:cs="仿宋_GB2312"/>
                <w:b w:val="0"/>
                <w:bCs w:val="0"/>
                <w:i w:val="0"/>
                <w:iCs w:val="0"/>
                <w:color w:val="auto"/>
                <w:kern w:val="0"/>
                <w:sz w:val="21"/>
                <w:szCs w:val="21"/>
                <w:highlight w:val="none"/>
                <w:lang w:val="en-US" w:eastAsia="zh-CN"/>
              </w:rPr>
              <w:t>的，得3分；</w:t>
            </w:r>
          </w:p>
          <w:p w14:paraId="7BFEB15A">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b w:val="0"/>
                <w:bCs w:val="0"/>
                <w:i w:val="0"/>
                <w:iCs w:val="0"/>
                <w:color w:val="auto"/>
                <w:kern w:val="0"/>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b w:val="0"/>
                <w:bCs w:val="0"/>
                <w:i w:val="0"/>
                <w:iCs w:val="0"/>
                <w:color w:val="auto"/>
                <w:kern w:val="0"/>
                <w:sz w:val="21"/>
                <w:szCs w:val="21"/>
                <w:highlight w:val="none"/>
                <w:lang w:val="en-US" w:eastAsia="zh-CN"/>
              </w:rPr>
              <w:t>质保期内定期服务和巡检服务方案内容基本合理，售后服务有相应的售后服务机构，</w:t>
            </w:r>
            <w:r>
              <w:rPr>
                <w:rFonts w:hint="eastAsia" w:ascii="仿宋_GB2312" w:hAnsi="仿宋_GB2312" w:eastAsia="仿宋_GB2312" w:cs="仿宋_GB2312"/>
                <w:b w:val="0"/>
                <w:bCs w:val="0"/>
                <w:i w:val="0"/>
                <w:iCs w:val="0"/>
                <w:color w:val="auto"/>
                <w:kern w:val="0"/>
                <w:sz w:val="21"/>
                <w:szCs w:val="21"/>
                <w:highlight w:val="none"/>
                <w:lang w:eastAsia="zh-CN"/>
              </w:rPr>
              <w:t>能</w:t>
            </w:r>
            <w:r>
              <w:rPr>
                <w:rFonts w:hint="eastAsia" w:ascii="仿宋_GB2312" w:hAnsi="仿宋_GB2312" w:eastAsia="仿宋_GB2312" w:cs="仿宋_GB2312"/>
                <w:b w:val="0"/>
                <w:bCs w:val="0"/>
                <w:i w:val="0"/>
                <w:iCs w:val="0"/>
                <w:color w:val="auto"/>
                <w:kern w:val="0"/>
                <w:sz w:val="21"/>
                <w:szCs w:val="21"/>
                <w:highlight w:val="none"/>
                <w:lang w:val="en-US" w:eastAsia="zh-CN"/>
              </w:rPr>
              <w:t>基本满足货物使用体验</w:t>
            </w:r>
            <w:r>
              <w:rPr>
                <w:rFonts w:hint="eastAsia" w:ascii="仿宋_GB2312" w:hAnsi="仿宋_GB2312" w:eastAsia="仿宋_GB2312" w:cs="仿宋_GB2312"/>
                <w:b w:val="0"/>
                <w:bCs w:val="0"/>
                <w:i w:val="0"/>
                <w:iCs w:val="0"/>
                <w:color w:val="auto"/>
                <w:kern w:val="0"/>
                <w:sz w:val="21"/>
                <w:szCs w:val="21"/>
                <w:highlight w:val="none"/>
                <w:lang w:eastAsia="zh-CN"/>
              </w:rPr>
              <w:t>，具有</w:t>
            </w:r>
            <w:r>
              <w:rPr>
                <w:rFonts w:hint="eastAsia" w:ascii="仿宋_GB2312" w:hAnsi="仿宋_GB2312" w:eastAsia="仿宋_GB2312" w:cs="仿宋_GB2312"/>
                <w:b w:val="0"/>
                <w:bCs w:val="0"/>
                <w:i w:val="0"/>
                <w:iCs w:val="0"/>
                <w:color w:val="auto"/>
                <w:kern w:val="0"/>
                <w:sz w:val="21"/>
                <w:szCs w:val="21"/>
                <w:highlight w:val="none"/>
                <w:lang w:val="en-US" w:eastAsia="zh-CN"/>
              </w:rPr>
              <w:t>基本</w:t>
            </w:r>
            <w:r>
              <w:rPr>
                <w:rFonts w:hint="eastAsia" w:ascii="仿宋_GB2312" w:hAnsi="仿宋_GB2312" w:eastAsia="仿宋_GB2312" w:cs="仿宋_GB2312"/>
                <w:b w:val="0"/>
                <w:bCs w:val="0"/>
                <w:i w:val="0"/>
                <w:iCs w:val="0"/>
                <w:color w:val="auto"/>
                <w:kern w:val="0"/>
                <w:sz w:val="21"/>
                <w:szCs w:val="21"/>
                <w:highlight w:val="none"/>
                <w:lang w:eastAsia="zh-CN"/>
              </w:rPr>
              <w:t>技能</w:t>
            </w:r>
            <w:r>
              <w:rPr>
                <w:rFonts w:hint="eastAsia" w:ascii="仿宋_GB2312" w:hAnsi="仿宋_GB2312" w:eastAsia="仿宋_GB2312" w:cs="仿宋_GB2312"/>
                <w:b w:val="0"/>
                <w:bCs w:val="0"/>
                <w:i w:val="0"/>
                <w:iCs w:val="0"/>
                <w:color w:val="auto"/>
                <w:kern w:val="0"/>
                <w:sz w:val="21"/>
                <w:szCs w:val="21"/>
                <w:highlight w:val="none"/>
                <w:lang w:val="en-US" w:eastAsia="zh-CN"/>
              </w:rPr>
              <w:t>的得2分；</w:t>
            </w:r>
          </w:p>
          <w:p w14:paraId="1D9ADC7B">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b w:val="0"/>
                <w:bCs w:val="0"/>
                <w:i w:val="0"/>
                <w:iCs w:val="0"/>
                <w:color w:val="auto"/>
                <w:kern w:val="0"/>
                <w:sz w:val="21"/>
                <w:szCs w:val="21"/>
                <w:highlight w:val="none"/>
                <w:lang w:eastAsia="zh-CN"/>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b w:val="0"/>
                <w:bCs w:val="0"/>
                <w:i w:val="0"/>
                <w:iCs w:val="0"/>
                <w:color w:val="auto"/>
                <w:kern w:val="0"/>
                <w:sz w:val="21"/>
                <w:szCs w:val="21"/>
                <w:highlight w:val="none"/>
                <w:lang w:val="en-US" w:eastAsia="zh-CN"/>
              </w:rPr>
              <w:t>质保期内定期服务和巡检服务方案内容存在欠缺，售后服务保障存在不足，货物使用体验较差的，得1分；</w:t>
            </w:r>
          </w:p>
          <w:p w14:paraId="339EDED0">
            <w:pPr>
              <w:keepNext w:val="0"/>
              <w:keepLines w:val="0"/>
              <w:pageBreakBefore w:val="0"/>
              <w:kinsoku/>
              <w:wordWrap/>
              <w:overflowPunct/>
              <w:topLinePunct w:val="0"/>
              <w:bidi w:val="0"/>
              <w:spacing w:line="440" w:lineRule="exact"/>
              <w:ind w:left="0" w:leftChars="0" w:right="0" w:rightChars="0"/>
              <w:jc w:val="both"/>
              <w:textAlignment w:val="auto"/>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无相应内容的不得分</w:t>
            </w:r>
            <w:r>
              <w:rPr>
                <w:rFonts w:hint="eastAsia" w:ascii="仿宋_GB2312" w:hAnsi="仿宋_GB2312" w:eastAsia="仿宋_GB2312" w:cs="仿宋_GB2312"/>
                <w:color w:val="auto"/>
                <w:sz w:val="21"/>
                <w:szCs w:val="21"/>
                <w:highlight w:val="none"/>
              </w:rPr>
              <w:t>。</w:t>
            </w:r>
          </w:p>
        </w:tc>
        <w:tc>
          <w:tcPr>
            <w:tcW w:w="645" w:type="dxa"/>
            <w:shd w:val="clear" w:color="auto" w:fill="auto"/>
            <w:vAlign w:val="center"/>
          </w:tcPr>
          <w:p w14:paraId="64627DC9">
            <w:pPr>
              <w:keepNext w:val="0"/>
              <w:keepLines w:val="0"/>
              <w:pageBreakBefore w:val="0"/>
              <w:kinsoku/>
              <w:wordWrap/>
              <w:overflowPunct/>
              <w:topLinePunct w:val="0"/>
              <w:bidi w:val="0"/>
              <w:spacing w:line="440" w:lineRule="exact"/>
              <w:ind w:left="0" w:leftChars="0" w:right="0" w:rightChars="0"/>
              <w:jc w:val="center"/>
              <w:textAlignment w:val="auto"/>
              <w:rPr>
                <w:rFonts w:hint="default"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lang w:val="en-US" w:eastAsia="zh-CN"/>
              </w:rPr>
              <w:t>4</w:t>
            </w:r>
          </w:p>
        </w:tc>
        <w:tc>
          <w:tcPr>
            <w:tcW w:w="943" w:type="dxa"/>
            <w:shd w:val="clear" w:color="auto" w:fill="auto"/>
            <w:vAlign w:val="center"/>
          </w:tcPr>
          <w:p w14:paraId="36DE69C6">
            <w:pPr>
              <w:keepNext w:val="0"/>
              <w:keepLines w:val="0"/>
              <w:pageBreakBefore w:val="0"/>
              <w:kinsoku/>
              <w:wordWrap/>
              <w:overflowPunct/>
              <w:topLinePunct w:val="0"/>
              <w:bidi w:val="0"/>
              <w:spacing w:line="440" w:lineRule="exact"/>
              <w:ind w:left="0" w:leftChars="0" w:right="0" w:rightChars="0"/>
              <w:jc w:val="center"/>
              <w:textAlignment w:val="auto"/>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主观分</w:t>
            </w:r>
          </w:p>
        </w:tc>
      </w:tr>
      <w:tr w14:paraId="14A8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730241A">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6</w:t>
            </w:r>
          </w:p>
        </w:tc>
        <w:tc>
          <w:tcPr>
            <w:tcW w:w="1037" w:type="dxa"/>
            <w:vAlign w:val="center"/>
          </w:tcPr>
          <w:p w14:paraId="1A129DB0">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企业综合能力</w:t>
            </w:r>
          </w:p>
        </w:tc>
        <w:tc>
          <w:tcPr>
            <w:tcW w:w="6002" w:type="dxa"/>
            <w:vAlign w:val="center"/>
          </w:tcPr>
          <w:p w14:paraId="654E58CB">
            <w:pPr>
              <w:keepNext w:val="0"/>
              <w:keepLines w:val="0"/>
              <w:pageBreakBefore w:val="0"/>
              <w:numPr>
                <w:ilvl w:val="-1"/>
                <w:numId w:val="0"/>
              </w:numPr>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本项目涉及设备、线路、管道的安装，本项目涉及电子整机产品、电子基础产品、电子材料等安装，投标人具有有效期内的建设行政部门颁发的建筑机电安装工程专业承包资质的得1分，本项最高得1分。</w:t>
            </w:r>
          </w:p>
          <w:p w14:paraId="776F4CD2">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[投标文件中提供上述有效证书复印件</w:t>
            </w:r>
            <w:r>
              <w:rPr>
                <w:rFonts w:hint="eastAsia" w:ascii="仿宋_GB2312" w:hAnsi="仿宋_GB2312" w:eastAsia="仿宋_GB2312" w:cs="仿宋_GB2312"/>
                <w:b/>
                <w:bCs/>
                <w:color w:val="auto"/>
                <w:sz w:val="21"/>
                <w:szCs w:val="21"/>
                <w:highlight w:val="none"/>
              </w:rPr>
              <w:t>并加盖投标人公章，</w:t>
            </w:r>
            <w:r>
              <w:rPr>
                <w:rFonts w:hint="eastAsia" w:ascii="仿宋_GB2312" w:hAnsi="仿宋_GB2312" w:eastAsia="仿宋_GB2312" w:cs="仿宋_GB2312"/>
                <w:b/>
                <w:bCs/>
                <w:color w:val="auto"/>
                <w:sz w:val="21"/>
                <w:szCs w:val="21"/>
                <w:highlight w:val="none"/>
                <w:lang w:val="en-US" w:eastAsia="zh-CN"/>
              </w:rPr>
              <w:t>否则</w:t>
            </w:r>
            <w:r>
              <w:rPr>
                <w:rFonts w:hint="eastAsia" w:ascii="仿宋_GB2312" w:hAnsi="仿宋_GB2312" w:eastAsia="仿宋_GB2312" w:cs="仿宋_GB2312"/>
                <w:b/>
                <w:bCs/>
                <w:color w:val="auto"/>
                <w:sz w:val="21"/>
                <w:szCs w:val="21"/>
                <w:highlight w:val="none"/>
              </w:rPr>
              <w:t>不得分</w:t>
            </w:r>
            <w:r>
              <w:rPr>
                <w:rFonts w:hint="eastAsia" w:ascii="仿宋_GB2312" w:hAnsi="仿宋_GB2312" w:eastAsia="仿宋_GB2312" w:cs="仿宋_GB2312"/>
                <w:b/>
                <w:bCs/>
                <w:color w:val="auto"/>
                <w:sz w:val="21"/>
                <w:szCs w:val="21"/>
                <w:highlight w:val="none"/>
                <w:lang w:val="en-US" w:eastAsia="zh-CN"/>
              </w:rPr>
              <w:t>]</w:t>
            </w:r>
          </w:p>
        </w:tc>
        <w:tc>
          <w:tcPr>
            <w:tcW w:w="645" w:type="dxa"/>
            <w:vAlign w:val="center"/>
          </w:tcPr>
          <w:p w14:paraId="0E880F9F">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1</w:t>
            </w:r>
          </w:p>
        </w:tc>
        <w:tc>
          <w:tcPr>
            <w:tcW w:w="943" w:type="dxa"/>
            <w:vAlign w:val="center"/>
          </w:tcPr>
          <w:p w14:paraId="02157753">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客观分</w:t>
            </w:r>
          </w:p>
        </w:tc>
      </w:tr>
      <w:tr w14:paraId="08A0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024BA65">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7</w:t>
            </w:r>
          </w:p>
        </w:tc>
        <w:tc>
          <w:tcPr>
            <w:tcW w:w="1037" w:type="dxa"/>
            <w:vAlign w:val="center"/>
          </w:tcPr>
          <w:p w14:paraId="25C6421F">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投标人业绩</w:t>
            </w:r>
          </w:p>
        </w:tc>
        <w:tc>
          <w:tcPr>
            <w:tcW w:w="6002" w:type="dxa"/>
            <w:vAlign w:val="center"/>
          </w:tcPr>
          <w:p w14:paraId="692FF478">
            <w:pPr>
              <w:pStyle w:val="2"/>
              <w:keepNext w:val="0"/>
              <w:keepLines w:val="0"/>
              <w:pageBreakBefore w:val="0"/>
              <w:kinsoku/>
              <w:wordWrap/>
              <w:overflowPunct/>
              <w:topLinePunct w:val="0"/>
              <w:bidi w:val="0"/>
              <w:spacing w:line="440" w:lineRule="exact"/>
              <w:ind w:left="0" w:right="0" w:firstLine="0" w:firstLineChars="0"/>
              <w:jc w:val="both"/>
              <w:textAlignment w:val="auto"/>
              <w:rPr>
                <w:rFonts w:hint="eastAsia" w:ascii="仿宋_GB2312" w:hAnsi="仿宋_GB2312" w:eastAsia="仿宋_GB2312" w:cs="仿宋_GB2312"/>
                <w:color w:val="auto"/>
                <w:spacing w:val="0"/>
                <w:kern w:val="0"/>
                <w:sz w:val="21"/>
                <w:szCs w:val="21"/>
                <w:highlight w:val="none"/>
              </w:rPr>
            </w:pPr>
            <w:r>
              <w:rPr>
                <w:rFonts w:hint="eastAsia" w:ascii="仿宋_GB2312" w:hAnsi="仿宋_GB2312" w:eastAsia="仿宋_GB2312" w:cs="仿宋_GB2312"/>
                <w:color w:val="auto"/>
                <w:spacing w:val="0"/>
                <w:kern w:val="0"/>
                <w:sz w:val="21"/>
                <w:szCs w:val="21"/>
                <w:highlight w:val="none"/>
              </w:rPr>
              <w:t>自202</w:t>
            </w:r>
            <w:r>
              <w:rPr>
                <w:rFonts w:hint="eastAsia" w:ascii="仿宋_GB2312" w:hAnsi="仿宋_GB2312" w:eastAsia="仿宋_GB2312" w:cs="仿宋_GB2312"/>
                <w:color w:val="auto"/>
                <w:spacing w:val="0"/>
                <w:kern w:val="0"/>
                <w:sz w:val="21"/>
                <w:szCs w:val="21"/>
                <w:highlight w:val="none"/>
                <w:lang w:val="en-US" w:eastAsia="zh-CN"/>
              </w:rPr>
              <w:t>1</w:t>
            </w:r>
            <w:r>
              <w:rPr>
                <w:rFonts w:hint="eastAsia" w:ascii="仿宋_GB2312" w:hAnsi="仿宋_GB2312" w:eastAsia="仿宋_GB2312" w:cs="仿宋_GB2312"/>
                <w:color w:val="auto"/>
                <w:spacing w:val="0"/>
                <w:kern w:val="0"/>
                <w:sz w:val="21"/>
                <w:szCs w:val="21"/>
                <w:highlight w:val="none"/>
              </w:rPr>
              <w:t>年1月1日以来（以合同签订时间为准），投标人</w:t>
            </w:r>
            <w:r>
              <w:rPr>
                <w:rFonts w:hint="eastAsia" w:ascii="仿宋_GB2312" w:hAnsi="仿宋_GB2312" w:eastAsia="仿宋_GB2312" w:cs="仿宋_GB2312"/>
                <w:color w:val="auto"/>
                <w:spacing w:val="0"/>
                <w:kern w:val="0"/>
                <w:sz w:val="21"/>
                <w:szCs w:val="21"/>
                <w:highlight w:val="none"/>
                <w:lang w:val="en-US" w:eastAsia="zh-CN"/>
              </w:rPr>
              <w:t>完成</w:t>
            </w:r>
            <w:r>
              <w:rPr>
                <w:rFonts w:hint="eastAsia" w:ascii="仿宋_GB2312" w:hAnsi="仿宋_GB2312" w:eastAsia="仿宋_GB2312" w:cs="仿宋_GB2312"/>
                <w:color w:val="auto"/>
                <w:spacing w:val="0"/>
                <w:kern w:val="0"/>
                <w:sz w:val="21"/>
                <w:szCs w:val="21"/>
                <w:highlight w:val="none"/>
              </w:rPr>
              <w:t>过类似业绩的，每提供1个有效业绩得1分，最多得</w:t>
            </w:r>
            <w:r>
              <w:rPr>
                <w:rFonts w:hint="eastAsia" w:ascii="仿宋_GB2312" w:hAnsi="仿宋_GB2312" w:eastAsia="仿宋_GB2312" w:cs="仿宋_GB2312"/>
                <w:color w:val="auto"/>
                <w:spacing w:val="0"/>
                <w:kern w:val="0"/>
                <w:sz w:val="21"/>
                <w:szCs w:val="21"/>
                <w:highlight w:val="none"/>
                <w:lang w:val="en-US" w:eastAsia="zh-CN"/>
              </w:rPr>
              <w:t>4</w:t>
            </w:r>
            <w:r>
              <w:rPr>
                <w:rFonts w:hint="eastAsia" w:ascii="仿宋_GB2312" w:hAnsi="仿宋_GB2312" w:eastAsia="仿宋_GB2312" w:cs="仿宋_GB2312"/>
                <w:color w:val="auto"/>
                <w:spacing w:val="0"/>
                <w:kern w:val="0"/>
                <w:sz w:val="21"/>
                <w:szCs w:val="21"/>
                <w:highlight w:val="none"/>
              </w:rPr>
              <w:t>分。</w:t>
            </w:r>
          </w:p>
          <w:p w14:paraId="3A2F79C9">
            <w:pPr>
              <w:pStyle w:val="2"/>
              <w:keepNext w:val="0"/>
              <w:keepLines w:val="0"/>
              <w:pageBreakBefore w:val="0"/>
              <w:kinsoku/>
              <w:wordWrap/>
              <w:overflowPunct/>
              <w:topLinePunct w:val="0"/>
              <w:bidi w:val="0"/>
              <w:spacing w:line="440" w:lineRule="exact"/>
              <w:ind w:left="0" w:right="0" w:firstLine="0" w:firstLineChars="0"/>
              <w:jc w:val="both"/>
              <w:textAlignment w:val="auto"/>
              <w:rPr>
                <w:rFonts w:hint="eastAsia" w:ascii="仿宋_GB2312" w:hAnsi="仿宋_GB2312" w:eastAsia="仿宋_GB2312" w:cs="仿宋_GB2312"/>
                <w:color w:val="auto"/>
                <w:spacing w:val="0"/>
                <w:kern w:val="0"/>
                <w:sz w:val="21"/>
                <w:szCs w:val="21"/>
                <w:highlight w:val="none"/>
                <w:lang w:eastAsia="zh-CN"/>
              </w:rPr>
            </w:pPr>
            <w:r>
              <w:rPr>
                <w:rFonts w:hint="eastAsia" w:ascii="仿宋_GB2312" w:hAnsi="仿宋_GB2312" w:eastAsia="仿宋_GB2312" w:cs="仿宋_GB2312"/>
                <w:b/>
                <w:bCs/>
                <w:color w:val="auto"/>
                <w:spacing w:val="0"/>
                <w:kern w:val="0"/>
                <w:sz w:val="21"/>
                <w:szCs w:val="21"/>
                <w:highlight w:val="none"/>
                <w:lang w:val="en-US" w:eastAsia="zh-CN"/>
              </w:rPr>
              <w:t>[</w:t>
            </w:r>
            <w:r>
              <w:rPr>
                <w:rFonts w:hint="eastAsia" w:ascii="仿宋_GB2312" w:hAnsi="仿宋_GB2312" w:eastAsia="仿宋_GB2312" w:cs="仿宋_GB2312"/>
                <w:b/>
                <w:bCs/>
                <w:color w:val="auto"/>
                <w:spacing w:val="0"/>
                <w:kern w:val="0"/>
                <w:sz w:val="21"/>
                <w:szCs w:val="21"/>
                <w:highlight w:val="none"/>
              </w:rPr>
              <w:t>投标文件中提供中标（成交）通知书、合同复印件和履约验收相关资料（履约验收相关资料须有业主盖章），缺一不可，未提供的不得分</w:t>
            </w:r>
            <w:r>
              <w:rPr>
                <w:rFonts w:hint="eastAsia" w:ascii="仿宋_GB2312" w:hAnsi="仿宋_GB2312" w:eastAsia="仿宋_GB2312" w:cs="仿宋_GB2312"/>
                <w:b/>
                <w:bCs/>
                <w:color w:val="auto"/>
                <w:spacing w:val="0"/>
                <w:kern w:val="0"/>
                <w:sz w:val="21"/>
                <w:szCs w:val="21"/>
                <w:highlight w:val="none"/>
                <w:lang w:val="en-US" w:eastAsia="zh-CN"/>
              </w:rPr>
              <w:t>]</w:t>
            </w:r>
          </w:p>
        </w:tc>
        <w:tc>
          <w:tcPr>
            <w:tcW w:w="645" w:type="dxa"/>
            <w:vAlign w:val="center"/>
          </w:tcPr>
          <w:p w14:paraId="46FAF6C7">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4</w:t>
            </w:r>
          </w:p>
        </w:tc>
        <w:tc>
          <w:tcPr>
            <w:tcW w:w="943" w:type="dxa"/>
            <w:vAlign w:val="center"/>
          </w:tcPr>
          <w:p w14:paraId="2932E93D">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客观分</w:t>
            </w:r>
          </w:p>
        </w:tc>
      </w:tr>
      <w:tr w14:paraId="72E5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5B47D6FF">
            <w:pPr>
              <w:keepNext w:val="0"/>
              <w:keepLines w:val="0"/>
              <w:pageBreakBefore w:val="0"/>
              <w:widowControl/>
              <w:kinsoku/>
              <w:wordWrap/>
              <w:overflowPunct/>
              <w:topLinePunct w:val="0"/>
              <w:bidi w:val="0"/>
              <w:spacing w:line="440" w:lineRule="exact"/>
              <w:ind w:left="0" w:right="0"/>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w:t>
            </w:r>
          </w:p>
        </w:tc>
        <w:tc>
          <w:tcPr>
            <w:tcW w:w="1037" w:type="dxa"/>
            <w:vAlign w:val="center"/>
          </w:tcPr>
          <w:p w14:paraId="2612CEE7">
            <w:pPr>
              <w:keepNext w:val="0"/>
              <w:keepLines w:val="0"/>
              <w:pageBreakBefore w:val="0"/>
              <w:widowControl/>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价格</w:t>
            </w:r>
          </w:p>
        </w:tc>
        <w:tc>
          <w:tcPr>
            <w:tcW w:w="6002" w:type="dxa"/>
            <w:vAlign w:val="center"/>
          </w:tcPr>
          <w:p w14:paraId="1008ABF7">
            <w:pPr>
              <w:adjustRightInd/>
              <w:spacing w:line="440" w:lineRule="exact"/>
              <w:ind w:firstLine="420"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评标基准价指的是满足招标文件要求且最低的参与评审的价格。</w:t>
            </w:r>
          </w:p>
          <w:p w14:paraId="0CCCF35B">
            <w:pPr>
              <w:adjustRightInd/>
              <w:spacing w:line="440" w:lineRule="exact"/>
              <w:ind w:firstLine="420"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参与评审的价格</w:t>
            </w:r>
            <w:r>
              <w:rPr>
                <w:rFonts w:hint="eastAsia" w:ascii="仿宋_GB2312" w:hAnsi="仿宋_GB2312" w:eastAsia="仿宋_GB2312" w:cs="仿宋_GB2312"/>
                <w:b w:val="0"/>
                <w:bCs w:val="0"/>
                <w:color w:val="auto"/>
                <w:sz w:val="21"/>
                <w:szCs w:val="21"/>
                <w:highlight w:val="none"/>
                <w:lang w:val="en-US" w:eastAsia="zh-CN"/>
              </w:rPr>
              <w:t>＝</w:t>
            </w:r>
            <w:r>
              <w:rPr>
                <w:rFonts w:hint="eastAsia" w:ascii="仿宋_GB2312" w:hAnsi="仿宋_GB2312" w:eastAsia="仿宋_GB2312" w:cs="仿宋_GB2312"/>
                <w:b w:val="0"/>
                <w:bCs w:val="0"/>
                <w:color w:val="auto"/>
                <w:sz w:val="21"/>
                <w:szCs w:val="21"/>
                <w:highlight w:val="none"/>
              </w:rPr>
              <w:t>投标报价</w:t>
            </w:r>
            <w:r>
              <w:rPr>
                <w:rFonts w:hint="eastAsia" w:ascii="仿宋_GB2312" w:hAnsi="仿宋_GB2312" w:eastAsia="仿宋_GB2312" w:cs="仿宋_GB2312"/>
                <w:b w:val="0"/>
                <w:bCs w:val="0"/>
                <w:color w:val="auto"/>
                <w:sz w:val="21"/>
                <w:szCs w:val="21"/>
                <w:highlight w:val="none"/>
                <w:lang w:val="en-US" w:eastAsia="zh-CN"/>
              </w:rPr>
              <w:t>－</w:t>
            </w:r>
            <w:r>
              <w:rPr>
                <w:rFonts w:hint="eastAsia" w:ascii="仿宋_GB2312" w:hAnsi="仿宋_GB2312" w:eastAsia="仿宋_GB2312" w:cs="仿宋_GB2312"/>
                <w:b w:val="0"/>
                <w:bCs w:val="0"/>
                <w:color w:val="auto"/>
                <w:sz w:val="21"/>
                <w:szCs w:val="21"/>
                <w:highlight w:val="none"/>
              </w:rPr>
              <w:t>小微企业价格扣除优惠值（如有）</w:t>
            </w:r>
            <w:r>
              <w:rPr>
                <w:rFonts w:hint="eastAsia" w:ascii="仿宋_GB2312" w:hAnsi="仿宋_GB2312" w:eastAsia="仿宋_GB2312" w:cs="仿宋_GB2312"/>
                <w:b w:val="0"/>
                <w:bCs w:val="0"/>
                <w:color w:val="auto"/>
                <w:sz w:val="21"/>
                <w:szCs w:val="21"/>
                <w:highlight w:val="none"/>
                <w:lang w:val="en-US" w:eastAsia="zh-CN"/>
              </w:rPr>
              <w:t>－</w:t>
            </w:r>
            <w:r>
              <w:rPr>
                <w:rFonts w:hint="eastAsia" w:ascii="仿宋_GB2312" w:hAnsi="仿宋_GB2312" w:eastAsia="仿宋_GB2312" w:cs="仿宋_GB2312"/>
                <w:b w:val="0"/>
                <w:bCs w:val="0"/>
                <w:color w:val="auto"/>
                <w:sz w:val="21"/>
                <w:szCs w:val="21"/>
                <w:highlight w:val="none"/>
              </w:rPr>
              <w:t>本国产品价格扣除优惠值（如有）</w:t>
            </w:r>
          </w:p>
          <w:p w14:paraId="33DFB9EF">
            <w:pPr>
              <w:adjustRightInd/>
              <w:spacing w:line="440" w:lineRule="exact"/>
              <w:ind w:firstLine="420"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参与评审的价格为评标基准价的</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其价格得分得满分</w:t>
            </w:r>
            <w:r>
              <w:rPr>
                <w:rFonts w:hint="eastAsia" w:ascii="仿宋_GB2312" w:hAnsi="仿宋_GB2312" w:eastAsia="仿宋_GB2312" w:cs="仿宋_GB2312"/>
                <w:b w:val="0"/>
                <w:bCs w:val="0"/>
                <w:color w:val="auto"/>
                <w:sz w:val="21"/>
                <w:szCs w:val="21"/>
                <w:highlight w:val="none"/>
                <w:lang w:val="en-US" w:eastAsia="zh-CN"/>
              </w:rPr>
              <w:t>4</w:t>
            </w:r>
            <w:r>
              <w:rPr>
                <w:rFonts w:hint="eastAsia" w:ascii="仿宋_GB2312" w:hAnsi="仿宋_GB2312" w:eastAsia="仿宋_GB2312" w:cs="仿宋_GB2312"/>
                <w:b w:val="0"/>
                <w:bCs w:val="0"/>
                <w:color w:val="auto"/>
                <w:sz w:val="21"/>
                <w:szCs w:val="21"/>
                <w:highlight w:val="none"/>
              </w:rPr>
              <w:t>0分。</w:t>
            </w:r>
          </w:p>
          <w:p w14:paraId="12856D63">
            <w:pPr>
              <w:adjustRightInd/>
              <w:spacing w:line="440" w:lineRule="exact"/>
              <w:ind w:firstLine="420"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其他</w:t>
            </w:r>
            <w:r>
              <w:rPr>
                <w:rFonts w:hint="eastAsia" w:ascii="仿宋_GB2312" w:hAnsi="仿宋_GB2312" w:eastAsia="仿宋_GB2312" w:cs="仿宋_GB2312"/>
                <w:b w:val="0"/>
                <w:bCs w:val="0"/>
                <w:color w:val="auto"/>
                <w:sz w:val="21"/>
                <w:szCs w:val="21"/>
                <w:highlight w:val="none"/>
                <w:lang w:val="en-US" w:eastAsia="zh-CN"/>
              </w:rPr>
              <w:t>投标人</w:t>
            </w:r>
            <w:r>
              <w:rPr>
                <w:rFonts w:hint="eastAsia" w:ascii="仿宋_GB2312" w:hAnsi="仿宋_GB2312" w:eastAsia="仿宋_GB2312" w:cs="仿宋_GB2312"/>
                <w:b w:val="0"/>
                <w:bCs w:val="0"/>
                <w:color w:val="auto"/>
                <w:sz w:val="21"/>
                <w:szCs w:val="21"/>
                <w:highlight w:val="none"/>
              </w:rPr>
              <w:t>价格得分按照下列公式计算：</w:t>
            </w:r>
          </w:p>
          <w:p w14:paraId="29663CDD">
            <w:pPr>
              <w:adjustRightInd/>
              <w:spacing w:line="440" w:lineRule="exact"/>
              <w:ind w:firstLine="420"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价格得分</w:t>
            </w:r>
            <w:r>
              <w:rPr>
                <w:rFonts w:hint="eastAsia" w:ascii="仿宋_GB2312" w:hAnsi="仿宋_GB2312" w:eastAsia="仿宋_GB2312" w:cs="仿宋_GB2312"/>
                <w:b w:val="0"/>
                <w:bCs w:val="0"/>
                <w:color w:val="auto"/>
                <w:sz w:val="21"/>
                <w:szCs w:val="21"/>
                <w:highlight w:val="none"/>
                <w:lang w:val="en-US" w:eastAsia="zh-CN"/>
              </w:rPr>
              <w:t>＝</w:t>
            </w:r>
            <w:r>
              <w:rPr>
                <w:rFonts w:hint="eastAsia" w:ascii="仿宋_GB2312" w:hAnsi="仿宋_GB2312" w:eastAsia="仿宋_GB2312" w:cs="仿宋_GB2312"/>
                <w:b w:val="0"/>
                <w:bCs w:val="0"/>
                <w:color w:val="auto"/>
                <w:sz w:val="21"/>
                <w:szCs w:val="21"/>
                <w:highlight w:val="none"/>
              </w:rPr>
              <w:t>（评标基准价/参与评审的价格）×</w:t>
            </w:r>
            <w:r>
              <w:rPr>
                <w:rFonts w:hint="eastAsia" w:ascii="仿宋_GB2312" w:hAnsi="仿宋_GB2312" w:eastAsia="仿宋_GB2312" w:cs="仿宋_GB2312"/>
                <w:b w:val="0"/>
                <w:bCs w:val="0"/>
                <w:color w:val="auto"/>
                <w:sz w:val="21"/>
                <w:szCs w:val="21"/>
                <w:highlight w:val="none"/>
                <w:lang w:val="en-US" w:eastAsia="zh-CN"/>
              </w:rPr>
              <w:t>4</w:t>
            </w:r>
            <w:r>
              <w:rPr>
                <w:rFonts w:hint="eastAsia" w:ascii="仿宋_GB2312" w:hAnsi="仿宋_GB2312" w:eastAsia="仿宋_GB2312" w:cs="仿宋_GB2312"/>
                <w:b w:val="0"/>
                <w:bCs w:val="0"/>
                <w:color w:val="auto"/>
                <w:sz w:val="21"/>
                <w:szCs w:val="21"/>
                <w:highlight w:val="none"/>
              </w:rPr>
              <w:t>0%×100。</w:t>
            </w:r>
          </w:p>
          <w:p w14:paraId="3AB72708">
            <w:pPr>
              <w:adjustRightInd/>
              <w:spacing w:line="440" w:lineRule="exact"/>
              <w:ind w:firstLine="420"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val="0"/>
                <w:bCs w:val="0"/>
                <w:color w:val="auto"/>
                <w:sz w:val="21"/>
                <w:szCs w:val="21"/>
                <w:highlight w:val="none"/>
              </w:rPr>
              <w:t>注：本国产品价格扣除与小微企业价格扣除叠加计算。</w:t>
            </w:r>
          </w:p>
        </w:tc>
        <w:tc>
          <w:tcPr>
            <w:tcW w:w="645" w:type="dxa"/>
            <w:vAlign w:val="center"/>
          </w:tcPr>
          <w:p w14:paraId="042A981F">
            <w:pPr>
              <w:keepNext w:val="0"/>
              <w:keepLines w:val="0"/>
              <w:pageBreakBefore w:val="0"/>
              <w:kinsoku/>
              <w:wordWrap/>
              <w:overflowPunct/>
              <w:topLinePunct w:val="0"/>
              <w:bidi w:val="0"/>
              <w:spacing w:line="440" w:lineRule="exact"/>
              <w:ind w:left="0" w:right="0"/>
              <w:jc w:val="center"/>
              <w:textAlignment w:val="auto"/>
              <w:rPr>
                <w:rFonts w:hint="default"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40</w:t>
            </w:r>
          </w:p>
        </w:tc>
        <w:tc>
          <w:tcPr>
            <w:tcW w:w="943" w:type="dxa"/>
            <w:vAlign w:val="center"/>
          </w:tcPr>
          <w:p w14:paraId="317BECFE">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rPr>
            </w:pPr>
          </w:p>
        </w:tc>
      </w:tr>
      <w:tr w14:paraId="6F3A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08" w:type="dxa"/>
            <w:gridSpan w:val="3"/>
            <w:vAlign w:val="center"/>
          </w:tcPr>
          <w:p w14:paraId="59AB27A6">
            <w:pPr>
              <w:keepNext w:val="0"/>
              <w:keepLines w:val="0"/>
              <w:pageBreakBefore w:val="0"/>
              <w:kinsoku/>
              <w:wordWrap/>
              <w:overflowPunct/>
              <w:topLinePunct w:val="0"/>
              <w:bidi w:val="0"/>
              <w:spacing w:line="440" w:lineRule="exact"/>
              <w:ind w:left="0" w:righ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总分（</w:t>
            </w:r>
            <w:r>
              <w:rPr>
                <w:rFonts w:hint="eastAsia" w:ascii="仿宋_GB2312" w:hAnsi="仿宋_GB2312" w:eastAsia="仿宋_GB2312" w:cs="仿宋_GB2312"/>
                <w:color w:val="auto"/>
                <w:sz w:val="21"/>
                <w:szCs w:val="21"/>
                <w:highlight w:val="none"/>
                <w:lang w:val="en-US" w:eastAsia="zh-CN"/>
              </w:rPr>
              <w:t>100</w:t>
            </w:r>
            <w:r>
              <w:rPr>
                <w:rFonts w:hint="eastAsia" w:ascii="仿宋_GB2312" w:hAnsi="仿宋_GB2312" w:eastAsia="仿宋_GB2312" w:cs="仿宋_GB2312"/>
                <w:color w:val="auto"/>
                <w:sz w:val="21"/>
                <w:szCs w:val="21"/>
                <w:highlight w:val="none"/>
              </w:rPr>
              <w:t>分）</w:t>
            </w:r>
          </w:p>
        </w:tc>
        <w:tc>
          <w:tcPr>
            <w:tcW w:w="645" w:type="dxa"/>
            <w:vAlign w:val="center"/>
          </w:tcPr>
          <w:p w14:paraId="28FF6998">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p>
        </w:tc>
        <w:tc>
          <w:tcPr>
            <w:tcW w:w="943" w:type="dxa"/>
            <w:vAlign w:val="center"/>
          </w:tcPr>
          <w:p w14:paraId="3A75E71E">
            <w:pPr>
              <w:keepNext w:val="0"/>
              <w:keepLines w:val="0"/>
              <w:pageBreakBefore w:val="0"/>
              <w:kinsoku/>
              <w:wordWrap/>
              <w:overflowPunct/>
              <w:topLinePunct w:val="0"/>
              <w:bidi w:val="0"/>
              <w:spacing w:line="440" w:lineRule="exact"/>
              <w:ind w:left="0" w:right="0"/>
              <w:jc w:val="both"/>
              <w:textAlignment w:val="auto"/>
              <w:rPr>
                <w:rFonts w:hint="eastAsia" w:ascii="仿宋_GB2312" w:hAnsi="仿宋_GB2312" w:eastAsia="仿宋_GB2312" w:cs="仿宋_GB2312"/>
                <w:color w:val="auto"/>
                <w:sz w:val="21"/>
                <w:szCs w:val="21"/>
                <w:highlight w:val="none"/>
              </w:rPr>
            </w:pPr>
          </w:p>
        </w:tc>
      </w:tr>
    </w:tbl>
    <w:p w14:paraId="7FD5F17D">
      <w:pPr>
        <w:adjustRightInd/>
        <w:spacing w:line="440" w:lineRule="exact"/>
        <w:ind w:firstLine="400"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0"/>
          <w:szCs w:val="20"/>
          <w:highlight w:val="none"/>
          <w:shd w:val="clear" w:color="auto" w:fill="FFFFFF"/>
        </w:rPr>
        <w:t>*</w:t>
      </w:r>
      <w:r>
        <w:rPr>
          <w:rFonts w:hint="eastAsia" w:ascii="仿宋_GB2312" w:hAnsi="仿宋_GB2312" w:eastAsia="仿宋_GB2312" w:cs="仿宋_GB2312"/>
          <w:b/>
          <w:color w:val="auto"/>
          <w:sz w:val="24"/>
          <w:highlight w:val="none"/>
        </w:rPr>
        <w:t>备注：</w:t>
      </w:r>
      <w:r>
        <w:rPr>
          <w:rFonts w:hint="eastAsia" w:ascii="仿宋_GB2312" w:hAnsi="仿宋_GB2312" w:eastAsia="仿宋_GB2312" w:cs="仿宋_GB2312"/>
          <w:color w:val="auto"/>
          <w:sz w:val="24"/>
          <w:highlight w:val="none"/>
        </w:rPr>
        <w:t>投标人编制投标文件（商务技术文件部分）时，建议按此目录（序号和内容）提供评标标准相应的商务技术资料。</w:t>
      </w:r>
    </w:p>
    <w:p w14:paraId="7E47EF38">
      <w:pPr>
        <w:rPr>
          <w:rFonts w:hint="eastAsia" w:ascii="仿宋_GB2312" w:hAnsi="仿宋_GB2312" w:eastAsia="仿宋_GB2312" w:cs="仿宋_GB2312"/>
          <w:b/>
          <w:color w:val="auto"/>
          <w:sz w:val="32"/>
          <w:highlight w:val="none"/>
        </w:rPr>
      </w:pPr>
      <w:r>
        <w:rPr>
          <w:rFonts w:hint="eastAsia" w:ascii="仿宋_GB2312" w:hAnsi="仿宋_GB2312" w:eastAsia="仿宋_GB2312" w:cs="仿宋_GB2312"/>
          <w:b/>
          <w:color w:val="auto"/>
          <w:sz w:val="32"/>
          <w:highlight w:val="none"/>
        </w:rPr>
        <w:br w:type="page"/>
      </w:r>
    </w:p>
    <w:p w14:paraId="3CB197D7">
      <w:pPr>
        <w:adjustRightInd/>
        <w:spacing w:line="440" w:lineRule="exact"/>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一、评标方法</w:t>
      </w:r>
    </w:p>
    <w:p w14:paraId="434C178F">
      <w:pPr>
        <w:adjustRightInd/>
        <w:spacing w:line="440" w:lineRule="exact"/>
        <w:ind w:firstLine="422"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b/>
          <w:color w:val="auto"/>
          <w:kern w:val="0"/>
          <w:sz w:val="21"/>
          <w:szCs w:val="21"/>
          <w:highlight w:val="none"/>
        </w:rPr>
        <w:t>1.本项目采用综合评分法。</w:t>
      </w:r>
      <w:r>
        <w:rPr>
          <w:rFonts w:hint="eastAsia" w:ascii="仿宋_GB2312" w:hAnsi="仿宋_GB2312" w:eastAsia="仿宋_GB2312" w:cs="仿宋_GB2312"/>
          <w:color w:val="auto"/>
          <w:kern w:val="0"/>
          <w:sz w:val="21"/>
          <w:szCs w:val="21"/>
          <w:highlight w:val="none"/>
        </w:rPr>
        <w:t>综合评分法，是指投标文件满足招标文件全部实质性要求，且按照评审因素的量化指标评审得分最高的投标人为中标候选人的评标方法。</w:t>
      </w:r>
    </w:p>
    <w:p w14:paraId="60AAC7DD">
      <w:pPr>
        <w:adjustRightInd/>
        <w:spacing w:line="44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w:t>
      </w:r>
      <w:r>
        <w:rPr>
          <w:rFonts w:hint="eastAsia" w:ascii="仿宋_GB2312" w:hAnsi="仿宋_GB2312" w:eastAsia="仿宋_GB2312" w:cs="仿宋_GB2312"/>
          <w:b/>
          <w:color w:val="auto"/>
          <w:sz w:val="24"/>
          <w:szCs w:val="24"/>
          <w:highlight w:val="none"/>
          <w:lang w:val="en-US" w:eastAsia="zh-CN"/>
        </w:rPr>
        <w:t>组建评标委员会</w:t>
      </w:r>
    </w:p>
    <w:p w14:paraId="61DA3072">
      <w:pPr>
        <w:adjustRightInd/>
        <w:spacing w:line="440" w:lineRule="exact"/>
        <w:ind w:firstLine="422"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2.1.</w:t>
      </w:r>
      <w:r>
        <w:rPr>
          <w:rFonts w:hint="eastAsia" w:ascii="仿宋_GB2312" w:hAnsi="仿宋_GB2312" w:eastAsia="仿宋_GB2312" w:cs="仿宋_GB2312"/>
          <w:b/>
          <w:color w:val="auto"/>
          <w:kern w:val="0"/>
          <w:sz w:val="21"/>
          <w:szCs w:val="21"/>
          <w:highlight w:val="none"/>
        </w:rPr>
        <w:t>评标委员会的组成：</w:t>
      </w:r>
    </w:p>
    <w:p w14:paraId="2D1CB3A4">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评标委员会由采购人代表和评审专家组成，成员人数应当为5人以上单数，其中评审专家不得少于成员总数的三分之二。采购人代表不得以评审专家身份参加本部门或本单位采购项目的评审。采购代理机构人员不得参加本机构代理的采购项目的评审。</w:t>
      </w:r>
    </w:p>
    <w:p w14:paraId="4E8A365D">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采购项目符合下列情形之一的，评标委员会成员人数应当为7人以上单数：</w:t>
      </w:r>
    </w:p>
    <w:p w14:paraId="15AC488B">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①</w:t>
      </w:r>
      <w:r>
        <w:rPr>
          <w:rFonts w:hint="eastAsia" w:ascii="仿宋_GB2312" w:hAnsi="仿宋_GB2312" w:eastAsia="仿宋_GB2312" w:cs="仿宋_GB2312"/>
          <w:color w:val="auto"/>
          <w:kern w:val="0"/>
          <w:sz w:val="21"/>
          <w:szCs w:val="21"/>
          <w:highlight w:val="none"/>
        </w:rPr>
        <w:t>采购预算金额在1000万元以上；</w:t>
      </w:r>
    </w:p>
    <w:p w14:paraId="13E27800">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②</w:t>
      </w:r>
      <w:r>
        <w:rPr>
          <w:rFonts w:hint="eastAsia" w:ascii="仿宋_GB2312" w:hAnsi="仿宋_GB2312" w:eastAsia="仿宋_GB2312" w:cs="仿宋_GB2312"/>
          <w:color w:val="auto"/>
          <w:kern w:val="0"/>
          <w:sz w:val="21"/>
          <w:szCs w:val="21"/>
          <w:highlight w:val="none"/>
        </w:rPr>
        <w:t>技术复杂；</w:t>
      </w:r>
    </w:p>
    <w:p w14:paraId="15D4D00A">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③</w:t>
      </w:r>
      <w:r>
        <w:rPr>
          <w:rFonts w:hint="eastAsia" w:ascii="仿宋_GB2312" w:hAnsi="仿宋_GB2312" w:eastAsia="仿宋_GB2312" w:cs="仿宋_GB2312"/>
          <w:color w:val="auto"/>
          <w:kern w:val="0"/>
          <w:sz w:val="21"/>
          <w:szCs w:val="21"/>
          <w:highlight w:val="none"/>
        </w:rPr>
        <w:t>社会影响较大。</w:t>
      </w:r>
    </w:p>
    <w:p w14:paraId="03F47752">
      <w:pPr>
        <w:adjustRightInd/>
        <w:spacing w:line="440" w:lineRule="exact"/>
        <w:ind w:firstLine="422" w:firstLineChars="200"/>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2.</w:t>
      </w:r>
      <w:r>
        <w:rPr>
          <w:rFonts w:hint="eastAsia" w:ascii="仿宋_GB2312" w:hAnsi="仿宋_GB2312" w:eastAsia="仿宋_GB2312" w:cs="仿宋_GB2312"/>
          <w:b/>
          <w:color w:val="auto"/>
          <w:kern w:val="0"/>
          <w:sz w:val="21"/>
          <w:szCs w:val="21"/>
          <w:highlight w:val="none"/>
          <w:lang w:val="en-US" w:eastAsia="zh-CN"/>
        </w:rPr>
        <w:t>2.</w:t>
      </w:r>
      <w:r>
        <w:rPr>
          <w:rFonts w:hint="eastAsia" w:ascii="仿宋_GB2312" w:hAnsi="仿宋_GB2312" w:eastAsia="仿宋_GB2312" w:cs="仿宋_GB2312"/>
          <w:b/>
          <w:color w:val="auto"/>
          <w:kern w:val="0"/>
          <w:sz w:val="21"/>
          <w:szCs w:val="21"/>
          <w:highlight w:val="none"/>
        </w:rPr>
        <w:t>评标委员会的组成人员的回避：</w:t>
      </w:r>
    </w:p>
    <w:p w14:paraId="08976F05">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 w:val="21"/>
          <w:szCs w:val="21"/>
          <w:highlight w:val="none"/>
        </w:rPr>
        <w:t>1 在政府采购活动中，评标委员会的组成人员与供应商有下列利害关系之一的，应当回避：</w:t>
      </w:r>
    </w:p>
    <w:p w14:paraId="43236754">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2.2</w:t>
      </w:r>
      <w:r>
        <w:rPr>
          <w:rFonts w:hint="eastAsia" w:ascii="仿宋_GB2312" w:hAnsi="仿宋_GB2312" w:eastAsia="仿宋_GB2312" w:cs="仿宋_GB2312"/>
          <w:color w:val="auto"/>
          <w:kern w:val="0"/>
          <w:sz w:val="21"/>
          <w:szCs w:val="21"/>
          <w:highlight w:val="none"/>
        </w:rPr>
        <w:t xml:space="preserve"> 参加采购活动前三年内，与供应商存在劳动关系，或者担任过供应商的董事、监事，或者是供应商的控股股东或实际控制人；</w:t>
      </w:r>
    </w:p>
    <w:p w14:paraId="7DC1BB06">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rPr>
        <w:t xml:space="preserve"> 与供应商的法定代表人或者负责人有夫妻、直系血亲、三代以内旁系血亲或者近姻亲关系；</w:t>
      </w:r>
    </w:p>
    <w:p w14:paraId="79F81C84">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4</w:t>
      </w:r>
      <w:r>
        <w:rPr>
          <w:rFonts w:hint="eastAsia" w:ascii="仿宋_GB2312" w:hAnsi="仿宋_GB2312" w:eastAsia="仿宋_GB2312" w:cs="仿宋_GB2312"/>
          <w:color w:val="auto"/>
          <w:kern w:val="0"/>
          <w:sz w:val="21"/>
          <w:szCs w:val="21"/>
          <w:highlight w:val="none"/>
        </w:rPr>
        <w:t xml:space="preserve"> 与供应商有其他可能影响政府采购活动公平、公正进行的关系。</w:t>
      </w:r>
    </w:p>
    <w:p w14:paraId="75BEAD59">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rPr>
        <w:t xml:space="preserve"> 评审专家发现本人与参加采购活动的供应商有利害关系的，或者已参加过该项目采购文件等论证活动的，应当主动提出回避。</w:t>
      </w:r>
    </w:p>
    <w:p w14:paraId="734EE601">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4</w:t>
      </w:r>
      <w:r>
        <w:rPr>
          <w:rFonts w:hint="eastAsia" w:ascii="仿宋_GB2312" w:hAnsi="仿宋_GB2312" w:eastAsia="仿宋_GB2312" w:cs="仿宋_GB2312"/>
          <w:color w:val="auto"/>
          <w:kern w:val="0"/>
          <w:sz w:val="21"/>
          <w:szCs w:val="21"/>
          <w:highlight w:val="none"/>
        </w:rPr>
        <w:t xml:space="preserve"> 各级财政部门政府采购监督管理工作人员，不得作为评审专家参与政府采购项目的评审活动。</w:t>
      </w:r>
    </w:p>
    <w:p w14:paraId="3A932924">
      <w:pPr>
        <w:adjustRightInd/>
        <w:spacing w:line="44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三、评标委员会的职责</w:t>
      </w:r>
    </w:p>
    <w:p w14:paraId="6DEF40A7">
      <w:pPr>
        <w:adjustRightInd/>
        <w:spacing w:line="440" w:lineRule="exact"/>
        <w:ind w:firstLine="422"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1.评标委员会负责具体评标事务，并独立履行下列职责</w:t>
      </w:r>
      <w:r>
        <w:rPr>
          <w:rFonts w:hint="eastAsia" w:ascii="仿宋_GB2312" w:hAnsi="仿宋_GB2312" w:eastAsia="仿宋_GB2312" w:cs="仿宋_GB2312"/>
          <w:b/>
          <w:bCs/>
          <w:color w:val="auto"/>
          <w:kern w:val="0"/>
          <w:sz w:val="21"/>
          <w:szCs w:val="21"/>
          <w:highlight w:val="none"/>
          <w:lang w:eastAsia="zh-CN"/>
        </w:rPr>
        <w:t>：</w:t>
      </w:r>
    </w:p>
    <w:p w14:paraId="2D8C42ED">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3.1.1 </w:t>
      </w:r>
      <w:r>
        <w:rPr>
          <w:rFonts w:hint="eastAsia" w:ascii="仿宋_GB2312" w:hAnsi="仿宋_GB2312" w:eastAsia="仿宋_GB2312" w:cs="仿宋_GB2312"/>
          <w:color w:val="auto"/>
          <w:kern w:val="0"/>
          <w:sz w:val="21"/>
          <w:szCs w:val="21"/>
          <w:highlight w:val="none"/>
        </w:rPr>
        <w:t>审查、评价投标文件是否符合招标文件的商务、技术等实质性要求；</w:t>
      </w:r>
    </w:p>
    <w:p w14:paraId="6F123E00">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3.1.2 </w:t>
      </w:r>
      <w:r>
        <w:rPr>
          <w:rFonts w:hint="eastAsia" w:ascii="仿宋_GB2312" w:hAnsi="仿宋_GB2312" w:eastAsia="仿宋_GB2312" w:cs="仿宋_GB2312"/>
          <w:color w:val="auto"/>
          <w:kern w:val="0"/>
          <w:sz w:val="21"/>
          <w:szCs w:val="21"/>
          <w:highlight w:val="none"/>
        </w:rPr>
        <w:t>求投标人对投标文件有关事项作出澄清或者说明；</w:t>
      </w:r>
    </w:p>
    <w:p w14:paraId="1FCC77C4">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3.1.3 </w:t>
      </w:r>
      <w:r>
        <w:rPr>
          <w:rFonts w:hint="eastAsia" w:ascii="仿宋_GB2312" w:hAnsi="仿宋_GB2312" w:eastAsia="仿宋_GB2312" w:cs="仿宋_GB2312"/>
          <w:color w:val="auto"/>
          <w:kern w:val="0"/>
          <w:sz w:val="21"/>
          <w:szCs w:val="21"/>
          <w:highlight w:val="none"/>
        </w:rPr>
        <w:t>对投标文件进行比较和评价；</w:t>
      </w:r>
    </w:p>
    <w:p w14:paraId="5F976C43">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3.1.4 </w:t>
      </w:r>
      <w:r>
        <w:rPr>
          <w:rFonts w:hint="eastAsia" w:ascii="仿宋_GB2312" w:hAnsi="仿宋_GB2312" w:eastAsia="仿宋_GB2312" w:cs="仿宋_GB2312"/>
          <w:color w:val="auto"/>
          <w:kern w:val="0"/>
          <w:sz w:val="21"/>
          <w:szCs w:val="21"/>
          <w:highlight w:val="none"/>
        </w:rPr>
        <w:t>确定中标候选人名单，以及根据采购人委托直接确定中标人；</w:t>
      </w:r>
    </w:p>
    <w:p w14:paraId="078D8203">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3.1.5 </w:t>
      </w:r>
      <w:r>
        <w:rPr>
          <w:rFonts w:hint="eastAsia" w:ascii="仿宋_GB2312" w:hAnsi="仿宋_GB2312" w:eastAsia="仿宋_GB2312" w:cs="仿宋_GB2312"/>
          <w:color w:val="auto"/>
          <w:kern w:val="0"/>
          <w:sz w:val="21"/>
          <w:szCs w:val="21"/>
          <w:highlight w:val="none"/>
        </w:rPr>
        <w:t>向采购人、采购代理机构或者有关部门报告评标中发现的违法行为；</w:t>
      </w:r>
    </w:p>
    <w:p w14:paraId="0FF34C58">
      <w:pPr>
        <w:adjustRightInd/>
        <w:spacing w:line="440" w:lineRule="exact"/>
        <w:ind w:firstLine="420"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3.1.6</w:t>
      </w:r>
      <w:r>
        <w:rPr>
          <w:rFonts w:hint="eastAsia" w:ascii="仿宋_GB2312" w:hAnsi="仿宋_GB2312" w:eastAsia="仿宋_GB2312" w:cs="仿宋_GB2312"/>
          <w:color w:val="auto"/>
          <w:kern w:val="0"/>
          <w:sz w:val="21"/>
          <w:szCs w:val="21"/>
          <w:highlight w:val="none"/>
        </w:rPr>
        <w:t xml:space="preserve"> 法律、法规、规章、采购文件等规定的其它事项。</w:t>
      </w:r>
    </w:p>
    <w:p w14:paraId="382F2A4B">
      <w:pPr>
        <w:adjustRightInd/>
        <w:spacing w:line="440" w:lineRule="exact"/>
        <w:ind w:firstLine="422" w:firstLineChars="200"/>
        <w:rPr>
          <w:rFonts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2.评标委员会及其成员不得有下列行为：</w:t>
      </w:r>
    </w:p>
    <w:p w14:paraId="1A11B28C">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3.2.1 </w:t>
      </w:r>
      <w:r>
        <w:rPr>
          <w:rFonts w:hint="eastAsia" w:ascii="仿宋_GB2312" w:hAnsi="仿宋_GB2312" w:eastAsia="仿宋_GB2312" w:cs="仿宋_GB2312"/>
          <w:color w:val="auto"/>
          <w:kern w:val="0"/>
          <w:sz w:val="21"/>
          <w:szCs w:val="21"/>
          <w:highlight w:val="none"/>
        </w:rPr>
        <w:t>确定参与评标至评标结束前私自接触投标人；</w:t>
      </w:r>
    </w:p>
    <w:p w14:paraId="14E0D267">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3.2.2 </w:t>
      </w:r>
      <w:r>
        <w:rPr>
          <w:rFonts w:hint="eastAsia" w:ascii="仿宋_GB2312" w:hAnsi="仿宋_GB2312" w:eastAsia="仿宋_GB2312" w:cs="仿宋_GB2312"/>
          <w:color w:val="auto"/>
          <w:kern w:val="0"/>
          <w:sz w:val="21"/>
          <w:szCs w:val="21"/>
          <w:highlight w:val="none"/>
        </w:rPr>
        <w:t>接受投标人提出的“超出投标文件的范围或者改变投标文件的实质性内容”的澄清、说明或者补正；</w:t>
      </w:r>
    </w:p>
    <w:p w14:paraId="35FD2283">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3.2.3 </w:t>
      </w:r>
      <w:r>
        <w:rPr>
          <w:rFonts w:hint="eastAsia" w:ascii="仿宋_GB2312" w:hAnsi="仿宋_GB2312" w:eastAsia="仿宋_GB2312" w:cs="仿宋_GB2312"/>
          <w:color w:val="auto"/>
          <w:kern w:val="0"/>
          <w:sz w:val="21"/>
          <w:szCs w:val="21"/>
          <w:highlight w:val="none"/>
        </w:rPr>
        <w:t>违反评标纪律发表倾向性意见或者征询采购人的倾向性意见；</w:t>
      </w:r>
    </w:p>
    <w:p w14:paraId="1547AB6C">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3.2.4 </w:t>
      </w:r>
      <w:r>
        <w:rPr>
          <w:rFonts w:hint="eastAsia" w:ascii="仿宋_GB2312" w:hAnsi="仿宋_GB2312" w:eastAsia="仿宋_GB2312" w:cs="仿宋_GB2312"/>
          <w:color w:val="auto"/>
          <w:kern w:val="0"/>
          <w:sz w:val="21"/>
          <w:szCs w:val="21"/>
          <w:highlight w:val="none"/>
        </w:rPr>
        <w:t>对需要专业判断的主观评审因素协商评分；</w:t>
      </w:r>
    </w:p>
    <w:p w14:paraId="7794C262">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3.2.5 </w:t>
      </w:r>
      <w:r>
        <w:rPr>
          <w:rFonts w:hint="eastAsia" w:ascii="仿宋_GB2312" w:hAnsi="仿宋_GB2312" w:eastAsia="仿宋_GB2312" w:cs="仿宋_GB2312"/>
          <w:color w:val="auto"/>
          <w:kern w:val="0"/>
          <w:sz w:val="21"/>
          <w:szCs w:val="21"/>
          <w:highlight w:val="none"/>
        </w:rPr>
        <w:t>在评标过程中擅离职守，影响评标程序正常进行的；</w:t>
      </w:r>
    </w:p>
    <w:p w14:paraId="15957242">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3.2.6 </w:t>
      </w:r>
      <w:r>
        <w:rPr>
          <w:rFonts w:hint="eastAsia" w:ascii="仿宋_GB2312" w:hAnsi="仿宋_GB2312" w:eastAsia="仿宋_GB2312" w:cs="仿宋_GB2312"/>
          <w:color w:val="auto"/>
          <w:kern w:val="0"/>
          <w:sz w:val="21"/>
          <w:szCs w:val="21"/>
          <w:highlight w:val="none"/>
        </w:rPr>
        <w:t>记录、复制或者带走任何评标资料；</w:t>
      </w:r>
    </w:p>
    <w:p w14:paraId="264E8879">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3.2.7 </w:t>
      </w:r>
      <w:r>
        <w:rPr>
          <w:rFonts w:hint="eastAsia" w:ascii="仿宋_GB2312" w:hAnsi="仿宋_GB2312" w:eastAsia="仿宋_GB2312" w:cs="仿宋_GB2312"/>
          <w:color w:val="auto"/>
          <w:kern w:val="0"/>
          <w:sz w:val="21"/>
          <w:szCs w:val="21"/>
          <w:highlight w:val="none"/>
        </w:rPr>
        <w:t>其他不遵守评标纪律的行为。</w:t>
      </w:r>
    </w:p>
    <w:p w14:paraId="448F031D">
      <w:pPr>
        <w:adjustRightInd/>
        <w:spacing w:line="440" w:lineRule="exact"/>
        <w:ind w:firstLine="420" w:firstLineChars="200"/>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rPr>
        <w:t>评标委员会成员有上述第</w:t>
      </w:r>
      <w:r>
        <w:rPr>
          <w:rFonts w:hint="eastAsia"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rPr>
        <w:t>2.1～</w:t>
      </w:r>
      <w:r>
        <w:rPr>
          <w:rFonts w:hint="eastAsia"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rPr>
        <w:t>2.5款行为之一的，其评审意见无效，并不得获取评审劳务报酬和报销异地评审差旅费。</w:t>
      </w:r>
    </w:p>
    <w:p w14:paraId="751B8EE3">
      <w:pPr>
        <w:adjustRightInd/>
        <w:spacing w:line="44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四</w:t>
      </w:r>
      <w:r>
        <w:rPr>
          <w:rFonts w:hint="eastAsia" w:ascii="仿宋_GB2312" w:hAnsi="仿宋_GB2312" w:eastAsia="仿宋_GB2312" w:cs="仿宋_GB2312"/>
          <w:b/>
          <w:color w:val="auto"/>
          <w:sz w:val="24"/>
          <w:szCs w:val="24"/>
          <w:highlight w:val="none"/>
        </w:rPr>
        <w:t>、评标标准</w:t>
      </w:r>
    </w:p>
    <w:p w14:paraId="2F2243BA">
      <w:pPr>
        <w:adjustRightInd/>
        <w:spacing w:line="440" w:lineRule="exact"/>
        <w:ind w:firstLine="422" w:firstLineChars="200"/>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4.1</w:t>
      </w:r>
      <w:r>
        <w:rPr>
          <w:rFonts w:hint="eastAsia" w:ascii="仿宋_GB2312" w:hAnsi="仿宋_GB2312" w:eastAsia="仿宋_GB2312" w:cs="仿宋_GB2312"/>
          <w:b/>
          <w:color w:val="auto"/>
          <w:sz w:val="21"/>
          <w:szCs w:val="21"/>
          <w:highlight w:val="none"/>
        </w:rPr>
        <w:t>.评标标准：</w:t>
      </w:r>
      <w:r>
        <w:rPr>
          <w:rFonts w:hint="eastAsia" w:ascii="仿宋_GB2312" w:hAnsi="仿宋_GB2312" w:eastAsia="仿宋_GB2312" w:cs="仿宋_GB2312"/>
          <w:color w:val="auto"/>
          <w:kern w:val="0"/>
          <w:sz w:val="21"/>
          <w:szCs w:val="21"/>
          <w:highlight w:val="none"/>
        </w:rPr>
        <w:t>见评标办法前附表。</w:t>
      </w:r>
    </w:p>
    <w:p w14:paraId="41A182C9">
      <w:pPr>
        <w:adjustRightInd/>
        <w:spacing w:line="440" w:lineRule="exact"/>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五、评标程序</w:t>
      </w:r>
    </w:p>
    <w:p w14:paraId="5ABC9D0D">
      <w:pPr>
        <w:adjustRightInd/>
        <w:spacing w:line="440" w:lineRule="exact"/>
        <w:ind w:firstLine="422"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5.</w:t>
      </w:r>
      <w:r>
        <w:rPr>
          <w:rFonts w:hint="eastAsia" w:ascii="仿宋_GB2312" w:hAnsi="仿宋_GB2312" w:eastAsia="仿宋_GB2312" w:cs="仿宋_GB2312"/>
          <w:b/>
          <w:color w:val="auto"/>
          <w:kern w:val="0"/>
          <w:sz w:val="21"/>
          <w:szCs w:val="21"/>
          <w:highlight w:val="none"/>
        </w:rPr>
        <w:t>1</w:t>
      </w:r>
      <w:r>
        <w:rPr>
          <w:rFonts w:hint="eastAsia" w:ascii="仿宋_GB2312" w:hAnsi="仿宋_GB2312" w:eastAsia="仿宋_GB2312" w:cs="仿宋_GB2312"/>
          <w:b/>
          <w:color w:val="auto"/>
          <w:kern w:val="0"/>
          <w:sz w:val="21"/>
          <w:szCs w:val="21"/>
          <w:highlight w:val="none"/>
          <w:lang w:eastAsia="zh-CN"/>
        </w:rPr>
        <w:t>.</w:t>
      </w:r>
      <w:r>
        <w:rPr>
          <w:rFonts w:hint="eastAsia" w:ascii="仿宋_GB2312" w:hAnsi="仿宋_GB2312" w:eastAsia="仿宋_GB2312" w:cs="仿宋_GB2312"/>
          <w:b/>
          <w:color w:val="auto"/>
          <w:kern w:val="0"/>
          <w:sz w:val="21"/>
          <w:szCs w:val="21"/>
          <w:highlight w:val="none"/>
        </w:rPr>
        <w:t>符合性审查。</w:t>
      </w:r>
      <w:r>
        <w:rPr>
          <w:rFonts w:hint="eastAsia" w:ascii="仿宋_GB2312" w:hAnsi="仿宋_GB2312" w:eastAsia="仿宋_GB2312" w:cs="仿宋_GB2312"/>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CB00033">
      <w:pPr>
        <w:adjustRightInd/>
        <w:spacing w:line="440" w:lineRule="exact"/>
        <w:ind w:firstLine="422"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5.</w:t>
      </w:r>
      <w:r>
        <w:rPr>
          <w:rFonts w:hint="eastAsia" w:ascii="仿宋_GB2312" w:hAnsi="仿宋_GB2312" w:eastAsia="仿宋_GB2312" w:cs="仿宋_GB2312"/>
          <w:b/>
          <w:color w:val="auto"/>
          <w:kern w:val="0"/>
          <w:sz w:val="21"/>
          <w:szCs w:val="21"/>
          <w:highlight w:val="none"/>
        </w:rPr>
        <w:t>2</w:t>
      </w:r>
      <w:r>
        <w:rPr>
          <w:rFonts w:hint="eastAsia" w:ascii="仿宋_GB2312" w:hAnsi="仿宋_GB2312" w:eastAsia="仿宋_GB2312" w:cs="仿宋_GB2312"/>
          <w:b/>
          <w:color w:val="auto"/>
          <w:kern w:val="0"/>
          <w:sz w:val="21"/>
          <w:szCs w:val="21"/>
          <w:highlight w:val="none"/>
          <w:lang w:val="en-US" w:eastAsia="zh-CN"/>
        </w:rPr>
        <w:t>.</w:t>
      </w:r>
      <w:r>
        <w:rPr>
          <w:rFonts w:hint="eastAsia" w:ascii="仿宋_GB2312" w:hAnsi="仿宋_GB2312" w:eastAsia="仿宋_GB2312" w:cs="仿宋_GB2312"/>
          <w:b/>
          <w:color w:val="auto"/>
          <w:kern w:val="0"/>
          <w:sz w:val="21"/>
          <w:szCs w:val="21"/>
          <w:highlight w:val="none"/>
        </w:rPr>
        <w:t>比较与评价。</w:t>
      </w:r>
      <w:r>
        <w:rPr>
          <w:rFonts w:hint="eastAsia" w:ascii="仿宋_GB2312" w:hAnsi="仿宋_GB2312" w:eastAsia="仿宋_GB2312" w:cs="仿宋_GB2312"/>
          <w:color w:val="auto"/>
          <w:kern w:val="0"/>
          <w:sz w:val="21"/>
          <w:szCs w:val="21"/>
          <w:highlight w:val="none"/>
        </w:rPr>
        <w:t>评标委员会应当按照招标文件中规定的评标办法和标准，对符合性审查合格的投标文件进行商务和技术评估，综合比较与评价。</w:t>
      </w:r>
    </w:p>
    <w:p w14:paraId="2C7BD5A5">
      <w:pPr>
        <w:adjustRightInd/>
        <w:spacing w:line="440" w:lineRule="exact"/>
        <w:ind w:firstLine="422"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5.</w:t>
      </w:r>
      <w:r>
        <w:rPr>
          <w:rFonts w:hint="eastAsia" w:ascii="仿宋_GB2312" w:hAnsi="仿宋_GB2312" w:eastAsia="仿宋_GB2312" w:cs="仿宋_GB2312"/>
          <w:b/>
          <w:color w:val="auto"/>
          <w:kern w:val="0"/>
          <w:sz w:val="21"/>
          <w:szCs w:val="21"/>
          <w:highlight w:val="none"/>
        </w:rPr>
        <w:t>3.汇总商务技术得分。</w:t>
      </w:r>
      <w:r>
        <w:rPr>
          <w:rFonts w:hint="eastAsia" w:ascii="仿宋_GB2312" w:hAnsi="仿宋_GB2312" w:eastAsia="仿宋_GB2312" w:cs="仿宋_GB2312"/>
          <w:color w:val="auto"/>
          <w:kern w:val="0"/>
          <w:sz w:val="21"/>
          <w:szCs w:val="21"/>
          <w:highlight w:val="none"/>
        </w:rPr>
        <w:t>评标委员会各成员应当独立对每个投标人的商务和技术文件进行评价，并汇总商务技术得分情况。评审小组成员个人主观打分偏离所有评审小组成员主观打分平均值30%以上的，由评审委员会启动评分畸高、畸低行为认定程序，限制专家自由裁量权。</w:t>
      </w:r>
    </w:p>
    <w:p w14:paraId="7783E389">
      <w:pPr>
        <w:adjustRightInd/>
        <w:spacing w:line="440" w:lineRule="exact"/>
        <w:ind w:firstLine="422" w:firstLineChars="200"/>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5.4.</w:t>
      </w:r>
      <w:r>
        <w:rPr>
          <w:rFonts w:hint="eastAsia" w:ascii="仿宋_GB2312" w:hAnsi="仿宋_GB2312" w:eastAsia="仿宋_GB2312" w:cs="仿宋_GB2312"/>
          <w:b/>
          <w:color w:val="auto"/>
          <w:kern w:val="0"/>
          <w:sz w:val="21"/>
          <w:szCs w:val="21"/>
          <w:highlight w:val="none"/>
        </w:rPr>
        <w:t>报价评审。</w:t>
      </w:r>
    </w:p>
    <w:p w14:paraId="42F2957E">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5.4.1 投标文件报价出现前后不一致的，按照下列规定修正：</w:t>
      </w:r>
    </w:p>
    <w:p w14:paraId="3078E87C">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5.4.1.1 投标文件中开标一览表（报价表）内容与投标文件中相应内容不一致的，以开标一览表（报价表）为准；</w:t>
      </w:r>
    </w:p>
    <w:p w14:paraId="2911FC3D">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5.4.1.2 大写金额和小写金额不一致的，以大写金额为准；</w:t>
      </w:r>
    </w:p>
    <w:p w14:paraId="31DD940D">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5.4.1.3 单价金额小数点或者百分比有明显错位的，以开标一览表的总价为准，并修改单价；</w:t>
      </w:r>
    </w:p>
    <w:p w14:paraId="0EEA772E">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5.4.1.4 总价金额与按单价汇总金额不一致的，以单价金额计算结果为准。</w:t>
      </w:r>
    </w:p>
    <w:p w14:paraId="3E4FD4F3">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5.4.1.5 同时出现两种以上不一致的，按照5.4.1规定的顺序修正。修正后的报价按照财政部第87号令《政府采购货物和服务招标投标管理办法》第五十一条第二款的规定经投标人确认后产生约束力。</w:t>
      </w:r>
    </w:p>
    <w:p w14:paraId="57AC3675">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rPr>
        <w:t>4.2 投标文件出现不是唯一的、有选择性投标报价的，投标无效。</w:t>
      </w:r>
    </w:p>
    <w:p w14:paraId="268DA7AC">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rPr>
        <w:t>4.3 投标报价超过招标文件中规定的预算金额或者最高限价的，投标无效。</w:t>
      </w:r>
    </w:p>
    <w:p w14:paraId="41C2CF0D">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AB3D716">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5.4.5 当出现下列情形之一的，评标委员会应当启动异常低价投标（响应）审查程序：</w:t>
      </w:r>
    </w:p>
    <w:p w14:paraId="2E4BAB26">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（一）投标（响应）报价低于全部通过符合性审查供应商投标（响应）报价平均值50%的，即投标（响应）报价＜全部通过符合性审查供应商投标（响应）报价平均值×50%；</w:t>
      </w:r>
    </w:p>
    <w:p w14:paraId="65F53078">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（二）投标（响应）报价低于通过符合性审查的次低报价供应商投标（响应）报价50%的，即投标（响应）报价＜通过符合性审查的次低报价供应商投标（响应）报价×50%；</w:t>
      </w:r>
    </w:p>
    <w:p w14:paraId="42813AD9">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（三）投标（响应）报价低于采购项目最高限价50%的，即投标（响应）报价＜采购项目最高限价×50%；</w:t>
      </w:r>
      <w:r>
        <w:rPr>
          <w:rFonts w:hint="eastAsia" w:ascii="仿宋_GB2312" w:hAnsi="仿宋_GB2312" w:eastAsia="仿宋_GB2312" w:cs="仿宋_GB2312"/>
          <w:b/>
          <w:bCs/>
          <w:color w:val="auto"/>
          <w:kern w:val="0"/>
          <w:sz w:val="21"/>
          <w:szCs w:val="21"/>
          <w:highlight w:val="none"/>
          <w:lang w:val="en-US" w:eastAsia="zh-CN" w:bidi="ar-SA"/>
        </w:rPr>
        <w:t>注：属于此项情形的，供应商应当随投标（响应）文件一并提交相关书面说明及必要的证明材料；</w:t>
      </w:r>
    </w:p>
    <w:p w14:paraId="1C6F2C1A">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（四）评审委员会基于专业判断，认为供应商报价过低，有可能影响产品质量或者不能诚信履约的其他情形。</w:t>
      </w:r>
    </w:p>
    <w:p w14:paraId="0CD7F0A1">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5.4.6 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25ADB551">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5.4.7 对本国产品的支持政策</w:t>
      </w:r>
    </w:p>
    <w:p w14:paraId="0B69867A">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113AD32E">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99E701">
      <w:pPr>
        <w:widowControl w:val="0"/>
        <w:adjustRightInd/>
        <w:spacing w:before="0" w:line="440" w:lineRule="exact"/>
        <w:ind w:firstLine="420"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评标委员会（评审小组）将对供应商所出具的《关于符合本国产品标准的声明函》（以下简称《声明函》的完整性、准确性进行审查。完整性审查包括审查《声明函》的格式是否符合国办发〔2025〕34号样式要求、需要供应商填写的地方是否填写完整等；准确性审查包括审查填写的内容是否准确、是否一致等。评审中发现《声明函》内容含义不明确、同类事项与投标（响应）文件表述不一致或者有明显文字错误等情况的，应当以书面形式要求供应商作出必要的澄清、说明或者补正。经澄清、说明或者补正的《声明函》仍然不符合国办发〔2025〕34号文规定要求的，供应商提供的相关产品视为不符合本国产品标准。</w:t>
      </w:r>
    </w:p>
    <w:p w14:paraId="29CF0859">
      <w:pPr>
        <w:adjustRightInd/>
        <w:spacing w:line="440" w:lineRule="exact"/>
        <w:ind w:firstLine="422"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5.5.</w:t>
      </w:r>
      <w:r>
        <w:rPr>
          <w:rFonts w:hint="eastAsia" w:ascii="仿宋_GB2312" w:hAnsi="仿宋_GB2312" w:eastAsia="仿宋_GB2312" w:cs="仿宋_GB2312"/>
          <w:b/>
          <w:color w:val="auto"/>
          <w:kern w:val="0"/>
          <w:sz w:val="21"/>
          <w:szCs w:val="21"/>
          <w:highlight w:val="none"/>
        </w:rPr>
        <w:t>排序与推荐。</w:t>
      </w:r>
      <w:r>
        <w:rPr>
          <w:rFonts w:hint="eastAsia" w:ascii="仿宋_GB2312" w:hAnsi="仿宋_GB2312" w:eastAsia="仿宋_GB2312" w:cs="仿宋_GB2312"/>
          <w:color w:val="auto"/>
          <w:kern w:val="0"/>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u w:val="single"/>
          <w:lang w:val="en-US" w:eastAsia="zh-CN"/>
        </w:rPr>
        <w:t>1名</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w:t>
      </w:r>
    </w:p>
    <w:p w14:paraId="25076A2F">
      <w:pPr>
        <w:adjustRightInd/>
        <w:spacing w:line="440" w:lineRule="exact"/>
        <w:ind w:firstLine="420" w:firstLineChars="200"/>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评审得分相同的，采取随机抽取方式确定，其他同品牌投标人不作为中标候选人。</w:t>
      </w:r>
    </w:p>
    <w:p w14:paraId="6B866A3F">
      <w:pPr>
        <w:adjustRightInd/>
        <w:spacing w:line="440" w:lineRule="exact"/>
        <w:ind w:firstLine="422"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color w:val="auto"/>
          <w:kern w:val="0"/>
          <w:sz w:val="21"/>
          <w:szCs w:val="21"/>
          <w:highlight w:val="none"/>
        </w:rPr>
        <w:t>5.6</w:t>
      </w:r>
      <w:r>
        <w:rPr>
          <w:rFonts w:hint="eastAsia" w:ascii="仿宋_GB2312" w:hAnsi="仿宋_GB2312" w:eastAsia="仿宋_GB2312" w:cs="仿宋_GB2312"/>
          <w:b/>
          <w:color w:val="auto"/>
          <w:kern w:val="0"/>
          <w:sz w:val="21"/>
          <w:szCs w:val="21"/>
          <w:highlight w:val="none"/>
          <w:lang w:val="en-US" w:eastAsia="zh-CN"/>
        </w:rPr>
        <w:t>.</w:t>
      </w:r>
      <w:r>
        <w:rPr>
          <w:rFonts w:hint="eastAsia" w:ascii="仿宋_GB2312" w:hAnsi="仿宋_GB2312" w:eastAsia="仿宋_GB2312" w:cs="仿宋_GB2312"/>
          <w:b/>
          <w:color w:val="auto"/>
          <w:kern w:val="0"/>
          <w:sz w:val="21"/>
          <w:szCs w:val="21"/>
          <w:highlight w:val="none"/>
        </w:rPr>
        <w:t>编写评标报告。</w:t>
      </w:r>
      <w:r>
        <w:rPr>
          <w:rFonts w:hint="eastAsia" w:ascii="仿宋_GB2312" w:hAnsi="仿宋_GB2312" w:eastAsia="仿宋_GB2312" w:cs="仿宋_GB2312"/>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1B976F9">
      <w:pPr>
        <w:adjustRightInd/>
        <w:spacing w:line="440" w:lineRule="exact"/>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六、评标中的其他事项</w:t>
      </w:r>
    </w:p>
    <w:p w14:paraId="534540E3">
      <w:pPr>
        <w:widowControl w:val="0"/>
        <w:adjustRightInd/>
        <w:spacing w:before="0" w:line="440" w:lineRule="exact"/>
        <w:ind w:firstLine="422" w:firstLineChars="20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color w:val="auto"/>
          <w:kern w:val="0"/>
          <w:sz w:val="21"/>
          <w:szCs w:val="21"/>
          <w:highlight w:val="none"/>
          <w:lang w:val="en-US" w:eastAsia="zh-CN" w:bidi="ar-SA"/>
        </w:rPr>
        <w:t>6.1 投标人澄清、说明或者补正。</w:t>
      </w:r>
      <w:r>
        <w:rPr>
          <w:rFonts w:hint="eastAsia" w:ascii="仿宋_GB2312" w:hAnsi="仿宋_GB2312" w:eastAsia="仿宋_GB2312" w:cs="仿宋_GB2312"/>
          <w:color w:val="auto"/>
          <w:kern w:val="0"/>
          <w:sz w:val="21"/>
          <w:szCs w:val="21"/>
          <w:highlight w:val="none"/>
          <w:lang w:val="en-US" w:eastAsia="zh-CN" w:bidi="ar-SA"/>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5E70D36">
      <w:pPr>
        <w:widowControl w:val="0"/>
        <w:adjustRightInd/>
        <w:spacing w:line="440" w:lineRule="exact"/>
        <w:ind w:firstLine="422"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color w:val="auto"/>
          <w:kern w:val="0"/>
          <w:sz w:val="21"/>
          <w:szCs w:val="21"/>
          <w:highlight w:val="none"/>
          <w:lang w:val="en-US" w:eastAsia="zh-CN" w:bidi="ar-SA"/>
        </w:rPr>
        <w:t>6.2 投标无效。</w:t>
      </w:r>
      <w:r>
        <w:rPr>
          <w:rFonts w:hint="eastAsia" w:ascii="仿宋_GB2312" w:hAnsi="仿宋_GB2312" w:eastAsia="仿宋_GB2312" w:cs="仿宋_GB2312"/>
          <w:color w:val="auto"/>
          <w:kern w:val="2"/>
          <w:sz w:val="21"/>
          <w:szCs w:val="21"/>
          <w:highlight w:val="none"/>
          <w:lang w:val="en-US" w:eastAsia="zh-CN" w:bidi="ar-SA"/>
        </w:rPr>
        <w:t>有下列情形之一的，投标无效：</w:t>
      </w:r>
    </w:p>
    <w:p w14:paraId="3E43DF16">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.2.1 投标人不具备招标文件中规定的资格要求的（投标人未提供有效的资格文件的，视为投标人不具备招标文件中规定的资格要求）；</w:t>
      </w:r>
    </w:p>
    <w:p w14:paraId="23BC37F6">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.2.2 投标文件未按照招标文件要求签署、盖章的；</w:t>
      </w:r>
    </w:p>
    <w:p w14:paraId="5544050A">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.2.3 采购人拟采购的产品属于政府强制采购的节能产品品目清单范围的，投标人未按招标文件要求提供国家确定的认证机构出具的、处于有效期之内的节能产品认证证书的；</w:t>
      </w:r>
    </w:p>
    <w:p w14:paraId="545BABB6">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.2.4 投标文件含有采购人不能接受的附加条件的；</w:t>
      </w:r>
    </w:p>
    <w:p w14:paraId="400B8882">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.2.5 投标文件中承诺的投标有效期少于招标文件中载明的投标有效期的；</w:t>
      </w:r>
    </w:p>
    <w:p w14:paraId="2DAE959A">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6.2.6</w:t>
      </w:r>
      <w:r>
        <w:rPr>
          <w:rFonts w:hint="eastAsia" w:ascii="仿宋_GB2312" w:hAnsi="仿宋_GB2312" w:eastAsia="仿宋_GB2312" w:cs="仿宋_GB2312"/>
          <w:color w:val="auto"/>
          <w:kern w:val="0"/>
          <w:sz w:val="21"/>
          <w:szCs w:val="21"/>
          <w:highlight w:val="none"/>
        </w:rPr>
        <w:t xml:space="preserve"> 投标文件不能满足</w:t>
      </w:r>
      <w:r>
        <w:rPr>
          <w:rFonts w:hint="eastAsia" w:ascii="仿宋_GB2312" w:hAnsi="仿宋_GB2312" w:eastAsia="仿宋_GB2312" w:cs="仿宋_GB2312"/>
          <w:color w:val="auto"/>
          <w:kern w:val="0"/>
          <w:sz w:val="21"/>
          <w:szCs w:val="21"/>
          <w:highlight w:val="none"/>
          <w:lang w:val="en-US" w:eastAsia="zh-CN"/>
        </w:rPr>
        <w:t>招标</w:t>
      </w:r>
      <w:r>
        <w:rPr>
          <w:rFonts w:hint="eastAsia" w:ascii="仿宋_GB2312" w:hAnsi="仿宋_GB2312" w:eastAsia="仿宋_GB2312" w:cs="仿宋_GB2312"/>
          <w:color w:val="auto"/>
          <w:kern w:val="0"/>
          <w:sz w:val="21"/>
          <w:szCs w:val="21"/>
          <w:highlight w:val="none"/>
        </w:rPr>
        <w:t>文件载明的服务质量、服务期的；</w:t>
      </w:r>
    </w:p>
    <w:p w14:paraId="4A1AED77">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7</w:t>
      </w:r>
      <w:r>
        <w:rPr>
          <w:rFonts w:hint="eastAsia" w:ascii="仿宋_GB2312" w:hAnsi="仿宋_GB2312" w:eastAsia="仿宋_GB2312" w:cs="仿宋_GB2312"/>
          <w:color w:val="auto"/>
          <w:kern w:val="0"/>
          <w:sz w:val="21"/>
          <w:szCs w:val="21"/>
          <w:highlight w:val="none"/>
        </w:rPr>
        <w:t xml:space="preserve"> 投标文件出现不是唯一的、有选择性投标报价的；</w:t>
      </w:r>
    </w:p>
    <w:p w14:paraId="4E07CD2D">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8</w:t>
      </w:r>
      <w:r>
        <w:rPr>
          <w:rFonts w:hint="eastAsia" w:ascii="仿宋_GB2312" w:hAnsi="仿宋_GB2312" w:eastAsia="仿宋_GB2312" w:cs="仿宋_GB2312"/>
          <w:color w:val="auto"/>
          <w:kern w:val="0"/>
          <w:sz w:val="21"/>
          <w:szCs w:val="21"/>
          <w:highlight w:val="none"/>
        </w:rPr>
        <w:t xml:space="preserve"> 投标报价超过招标文件中规定的预算金额或者最高限价的；</w:t>
      </w:r>
    </w:p>
    <w:p w14:paraId="1AE64E1E">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9</w:t>
      </w:r>
      <w:r>
        <w:rPr>
          <w:rFonts w:hint="eastAsia" w:ascii="仿宋_GB2312" w:hAnsi="仿宋_GB2312" w:eastAsia="仿宋_GB2312" w:cs="仿宋_GB2312"/>
          <w:color w:val="auto"/>
          <w:kern w:val="0"/>
          <w:sz w:val="21"/>
          <w:szCs w:val="21"/>
          <w:highlight w:val="none"/>
        </w:rPr>
        <w:t xml:space="preserve"> 报价明显低于其他通过符合性审查投标人的报价，有可能影响产品质量或者不能诚信履约的，未能按要求提供书面说明或者提交相关证明材料，不能证明其报价合理性的；</w:t>
      </w:r>
    </w:p>
    <w:p w14:paraId="68FC1106">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10</w:t>
      </w:r>
      <w:r>
        <w:rPr>
          <w:rFonts w:hint="eastAsia" w:ascii="仿宋_GB2312" w:hAnsi="仿宋_GB2312" w:eastAsia="仿宋_GB2312" w:cs="仿宋_GB2312"/>
          <w:color w:val="auto"/>
          <w:kern w:val="0"/>
          <w:sz w:val="21"/>
          <w:szCs w:val="21"/>
          <w:highlight w:val="none"/>
        </w:rPr>
        <w:t xml:space="preserve"> 投标人对根据修正原则修正后的报价不确认的；</w:t>
      </w:r>
    </w:p>
    <w:p w14:paraId="75C20E34">
      <w:pPr>
        <w:adjustRightInd/>
        <w:spacing w:line="440" w:lineRule="exact"/>
        <w:ind w:firstLine="420" w:firstLineChars="200"/>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.2.1</w:t>
      </w:r>
      <w:r>
        <w:rPr>
          <w:rFonts w:hint="eastAsia" w:ascii="仿宋_GB2312" w:hAnsi="仿宋_GB2312" w:eastAsia="仿宋_GB2312" w:cs="仿宋_GB2312"/>
          <w:color w:val="auto"/>
          <w:kern w:val="0"/>
          <w:sz w:val="21"/>
          <w:szCs w:val="21"/>
          <w:highlight w:val="none"/>
          <w:lang w:val="en-US" w:eastAsia="zh-CN"/>
        </w:rPr>
        <w:t>1</w:t>
      </w:r>
      <w:r>
        <w:rPr>
          <w:rFonts w:hint="eastAsia" w:ascii="仿宋_GB2312" w:hAnsi="仿宋_GB2312" w:eastAsia="仿宋_GB2312" w:cs="仿宋_GB2312"/>
          <w:color w:val="auto"/>
          <w:kern w:val="0"/>
          <w:sz w:val="21"/>
          <w:szCs w:val="21"/>
          <w:highlight w:val="none"/>
        </w:rPr>
        <w:t xml:space="preserve"> 投标人提供虚假材料投标的</w:t>
      </w:r>
      <w:r>
        <w:rPr>
          <w:rFonts w:hint="eastAsia" w:ascii="仿宋_GB2312" w:hAnsi="仿宋_GB2312" w:eastAsia="仿宋_GB2312" w:cs="仿宋_GB2312"/>
          <w:color w:val="auto"/>
          <w:kern w:val="0"/>
          <w:sz w:val="21"/>
          <w:szCs w:val="21"/>
          <w:highlight w:val="none"/>
          <w:lang w:eastAsia="zh-CN"/>
        </w:rPr>
        <w:t>；</w:t>
      </w:r>
    </w:p>
    <w:p w14:paraId="072F2998">
      <w:pPr>
        <w:adjustRightInd/>
        <w:spacing w:line="440" w:lineRule="exact"/>
        <w:ind w:firstLine="420" w:firstLineChars="200"/>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.2.1</w:t>
      </w: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 w:val="21"/>
          <w:szCs w:val="21"/>
          <w:highlight w:val="none"/>
        </w:rPr>
        <w:t xml:space="preserve"> 投标人有恶意串通、妨碍其他投标人的竞争行为、损害采购人或者其他投标人的合法权益情形的</w:t>
      </w:r>
      <w:r>
        <w:rPr>
          <w:rFonts w:hint="eastAsia" w:ascii="仿宋_GB2312" w:hAnsi="仿宋_GB2312" w:eastAsia="仿宋_GB2312" w:cs="仿宋_GB2312"/>
          <w:color w:val="auto"/>
          <w:kern w:val="0"/>
          <w:sz w:val="21"/>
          <w:szCs w:val="21"/>
          <w:highlight w:val="none"/>
          <w:lang w:eastAsia="zh-CN"/>
        </w:rPr>
        <w:t>；</w:t>
      </w:r>
    </w:p>
    <w:p w14:paraId="276B0CF8">
      <w:pPr>
        <w:adjustRightInd/>
        <w:spacing w:line="440" w:lineRule="exact"/>
        <w:ind w:firstLine="420" w:firstLineChars="200"/>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.2.1</w:t>
      </w:r>
      <w:r>
        <w:rPr>
          <w:rFonts w:hint="eastAsia"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rPr>
        <w:t xml:space="preserve"> 参与同一个采购包（标段）的供应商存在下列情形之一且无法合理解释的，其投标（响应）文件无效：</w:t>
      </w:r>
      <w:r>
        <w:rPr>
          <w:rFonts w:hint="eastAsia" w:ascii="仿宋_GB2312" w:hAnsi="仿宋_GB2312" w:eastAsia="仿宋_GB2312" w:cs="仿宋_GB2312"/>
          <w:color w:val="auto"/>
          <w:kern w:val="0"/>
          <w:sz w:val="21"/>
          <w:szCs w:val="21"/>
          <w:highlight w:val="none"/>
          <w:lang w:val="en-US" w:eastAsia="zh-CN"/>
        </w:rPr>
        <w:t>①</w:t>
      </w:r>
      <w:r>
        <w:rPr>
          <w:rFonts w:hint="eastAsia" w:ascii="仿宋_GB2312" w:hAnsi="仿宋_GB2312" w:eastAsia="仿宋_GB2312" w:cs="仿宋_GB2312"/>
          <w:color w:val="auto"/>
          <w:kern w:val="0"/>
          <w:sz w:val="21"/>
          <w:szCs w:val="21"/>
          <w:highlight w:val="none"/>
        </w:rPr>
        <w:t>不同供应商的电子投标（响应）文件上传计算机的网卡MAC地址或硬盘序列号等硬件信息相同的；</w:t>
      </w:r>
      <w:r>
        <w:rPr>
          <w:rFonts w:hint="eastAsia" w:ascii="仿宋_GB2312" w:hAnsi="仿宋_GB2312" w:eastAsia="仿宋_GB2312" w:cs="仿宋_GB2312"/>
          <w:color w:val="auto"/>
          <w:kern w:val="0"/>
          <w:sz w:val="21"/>
          <w:szCs w:val="21"/>
          <w:highlight w:val="none"/>
          <w:lang w:val="en-US" w:eastAsia="zh-CN"/>
        </w:rPr>
        <w:t>②</w:t>
      </w:r>
      <w:r>
        <w:rPr>
          <w:rFonts w:hint="eastAsia" w:ascii="仿宋_GB2312" w:hAnsi="仿宋_GB2312" w:eastAsia="仿宋_GB2312" w:cs="仿宋_GB2312"/>
          <w:color w:val="auto"/>
          <w:kern w:val="0"/>
          <w:sz w:val="21"/>
          <w:szCs w:val="21"/>
          <w:highlight w:val="none"/>
        </w:rPr>
        <w:t>上传的电子投标（响应）文件若出现使用本项目其他投标（响应）供应商的数字证书加密的，或者加盖本项目其他投标（响应）供应商的电子印章的；</w:t>
      </w:r>
      <w:r>
        <w:rPr>
          <w:rFonts w:hint="eastAsia" w:ascii="仿宋_GB2312" w:hAnsi="仿宋_GB2312" w:eastAsia="仿宋_GB2312" w:cs="仿宋_GB2312"/>
          <w:color w:val="auto"/>
          <w:kern w:val="0"/>
          <w:sz w:val="21"/>
          <w:szCs w:val="21"/>
          <w:highlight w:val="none"/>
          <w:lang w:val="en-US" w:eastAsia="zh-CN"/>
        </w:rPr>
        <w:t>③</w:t>
      </w:r>
      <w:r>
        <w:rPr>
          <w:rFonts w:hint="eastAsia" w:ascii="仿宋_GB2312" w:hAnsi="仿宋_GB2312" w:eastAsia="仿宋_GB2312" w:cs="仿宋_GB2312"/>
          <w:color w:val="auto"/>
          <w:kern w:val="0"/>
          <w:sz w:val="21"/>
          <w:szCs w:val="21"/>
          <w:highlight w:val="none"/>
        </w:rPr>
        <w:t>不同供应商的投标（响应）文件的内容存在3处（含）以上错误一致的；</w:t>
      </w:r>
      <w:r>
        <w:rPr>
          <w:rFonts w:hint="eastAsia" w:ascii="仿宋_GB2312" w:hAnsi="仿宋_GB2312" w:eastAsia="仿宋_GB2312" w:cs="仿宋_GB2312"/>
          <w:color w:val="auto"/>
          <w:kern w:val="0"/>
          <w:sz w:val="21"/>
          <w:szCs w:val="21"/>
          <w:highlight w:val="none"/>
          <w:lang w:val="en-US" w:eastAsia="zh-CN"/>
        </w:rPr>
        <w:t>④</w:t>
      </w:r>
      <w:r>
        <w:rPr>
          <w:rFonts w:hint="eastAsia" w:ascii="仿宋_GB2312" w:hAnsi="仿宋_GB2312" w:eastAsia="仿宋_GB2312" w:cs="仿宋_GB2312"/>
          <w:color w:val="auto"/>
          <w:kern w:val="0"/>
          <w:sz w:val="21"/>
          <w:szCs w:val="21"/>
          <w:highlight w:val="none"/>
        </w:rPr>
        <w:t>不同供应商联系人为同一人或不同联系人的联系电话一致的</w:t>
      </w:r>
      <w:r>
        <w:rPr>
          <w:rFonts w:hint="eastAsia" w:ascii="仿宋_GB2312" w:hAnsi="仿宋_GB2312" w:eastAsia="仿宋_GB2312" w:cs="仿宋_GB2312"/>
          <w:color w:val="auto"/>
          <w:kern w:val="0"/>
          <w:sz w:val="21"/>
          <w:szCs w:val="21"/>
          <w:highlight w:val="none"/>
          <w:lang w:eastAsia="zh-CN"/>
        </w:rPr>
        <w:t>；</w:t>
      </w:r>
    </w:p>
    <w:p w14:paraId="2747F022">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 xml:space="preserve">6.2.14 </w:t>
      </w:r>
      <w:r>
        <w:rPr>
          <w:rFonts w:hint="eastAsia" w:ascii="仿宋_GB2312" w:hAnsi="仿宋_GB2312" w:eastAsia="仿宋_GB2312" w:cs="仿宋_GB2312"/>
          <w:color w:val="auto"/>
          <w:kern w:val="0"/>
          <w:sz w:val="21"/>
          <w:szCs w:val="21"/>
          <w:highlight w:val="none"/>
        </w:rPr>
        <w:t>投标人仅提交备份投标文件，未在电子交易平台传输递交投标文件的，投标无效；</w:t>
      </w:r>
    </w:p>
    <w:p w14:paraId="6B408B47">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.2.1</w:t>
      </w:r>
      <w:r>
        <w:rPr>
          <w:rFonts w:hint="eastAsia" w:ascii="仿宋_GB2312" w:hAnsi="仿宋_GB2312" w:eastAsia="仿宋_GB2312" w:cs="仿宋_GB2312"/>
          <w:color w:val="auto"/>
          <w:kern w:val="0"/>
          <w:sz w:val="21"/>
          <w:szCs w:val="21"/>
          <w:highlight w:val="none"/>
          <w:lang w:val="en-US" w:eastAsia="zh-CN"/>
        </w:rPr>
        <w:t>5</w:t>
      </w:r>
      <w:r>
        <w:rPr>
          <w:rFonts w:hint="eastAsia" w:ascii="仿宋_GB2312" w:hAnsi="仿宋_GB2312" w:eastAsia="仿宋_GB2312" w:cs="仿宋_GB2312"/>
          <w:color w:val="auto"/>
          <w:kern w:val="0"/>
          <w:sz w:val="21"/>
          <w:szCs w:val="21"/>
          <w:highlight w:val="none"/>
        </w:rPr>
        <w:t xml:space="preserve"> 投标文件不满足招标文件的其它实质性要求的；</w:t>
      </w:r>
    </w:p>
    <w:p w14:paraId="2D9AA6C4">
      <w:pPr>
        <w:adjustRightInd/>
        <w:spacing w:line="440" w:lineRule="exact"/>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.2.1</w:t>
      </w: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 xml:space="preserve"> 法律、法规、规章及省级以上规范性文件（适用本市的）规定的其他无效情形。</w:t>
      </w:r>
    </w:p>
    <w:p w14:paraId="355D1506">
      <w:pPr>
        <w:widowControl w:val="0"/>
        <w:adjustRightInd/>
        <w:spacing w:line="440" w:lineRule="exact"/>
        <w:ind w:firstLine="422"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color w:val="auto"/>
          <w:kern w:val="2"/>
          <w:sz w:val="21"/>
          <w:szCs w:val="21"/>
          <w:highlight w:val="none"/>
          <w:lang w:val="en-US" w:eastAsia="zh-CN" w:bidi="ar-SA"/>
        </w:rPr>
        <w:t>7.废标。</w:t>
      </w:r>
      <w:r>
        <w:rPr>
          <w:rFonts w:hint="eastAsia" w:ascii="仿宋_GB2312" w:hAnsi="仿宋_GB2312" w:eastAsia="仿宋_GB2312" w:cs="仿宋_GB2312"/>
          <w:color w:val="auto"/>
          <w:kern w:val="2"/>
          <w:sz w:val="21"/>
          <w:szCs w:val="21"/>
          <w:highlight w:val="none"/>
          <w:lang w:val="en-US" w:eastAsia="zh-CN" w:bidi="ar-SA"/>
        </w:rPr>
        <w:t>根据《中华人民共和国政府采购法》第三十六条之规定，在采购中，出现下列情形之一的，应予废标：</w:t>
      </w:r>
    </w:p>
    <w:p w14:paraId="5AC6691A">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7.1 符合专业条件的供应商或者对招标文件作实质响应的供应商不足3家的；</w:t>
      </w:r>
    </w:p>
    <w:p w14:paraId="0AE0EC92">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7.2 出现影响采购公正的违法、违规行为的；</w:t>
      </w:r>
    </w:p>
    <w:p w14:paraId="721B195B">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7.3 投标人的报价均超过了采购预算，采购人不能支付的；</w:t>
      </w:r>
    </w:p>
    <w:p w14:paraId="00E51E54">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7.4 因重大变故，采购任务取消的。</w:t>
      </w:r>
    </w:p>
    <w:p w14:paraId="51857C1F">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废标后，采购代理机构应当将废标理由通知所有投标人。</w:t>
      </w:r>
    </w:p>
    <w:p w14:paraId="21DBFC0E">
      <w:pPr>
        <w:widowControl w:val="0"/>
        <w:adjustRightInd/>
        <w:spacing w:line="440" w:lineRule="exact"/>
        <w:ind w:firstLine="422"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color w:val="auto"/>
          <w:kern w:val="2"/>
          <w:sz w:val="21"/>
          <w:szCs w:val="21"/>
          <w:highlight w:val="none"/>
          <w:lang w:val="en-US" w:eastAsia="zh-CN" w:bidi="ar-SA"/>
        </w:rPr>
        <w:t>8.修改招标文件，重新组织采购活动。</w:t>
      </w:r>
      <w:r>
        <w:rPr>
          <w:rFonts w:hint="eastAsia" w:ascii="仿宋_GB2312" w:hAnsi="仿宋_GB2312" w:eastAsia="仿宋_GB2312" w:cs="仿宋_GB2312"/>
          <w:color w:val="auto"/>
          <w:kern w:val="2"/>
          <w:sz w:val="21"/>
          <w:szCs w:val="21"/>
          <w:highlight w:val="none"/>
          <w:lang w:val="en-US" w:eastAsia="zh-CN" w:bidi="ar-S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4DB2D97">
      <w:pPr>
        <w:widowControl w:val="0"/>
        <w:adjustRightInd/>
        <w:spacing w:line="440" w:lineRule="exact"/>
        <w:ind w:firstLine="422"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color w:val="auto"/>
          <w:kern w:val="0"/>
          <w:sz w:val="21"/>
          <w:szCs w:val="21"/>
          <w:highlight w:val="none"/>
          <w:lang w:val="en-US" w:eastAsia="zh-CN" w:bidi="ar-SA"/>
        </w:rPr>
        <w:t>9.重新开展采购。</w:t>
      </w:r>
      <w:r>
        <w:rPr>
          <w:rFonts w:hint="eastAsia" w:ascii="仿宋_GB2312" w:hAnsi="仿宋_GB2312" w:eastAsia="仿宋_GB2312" w:cs="仿宋_GB2312"/>
          <w:color w:val="auto"/>
          <w:kern w:val="2"/>
          <w:sz w:val="21"/>
          <w:szCs w:val="21"/>
          <w:highlight w:val="none"/>
          <w:lang w:val="en-US" w:eastAsia="zh-CN" w:bidi="ar-SA"/>
        </w:rPr>
        <w:t>有政府采购法第七十一条、第七十二条规定的违法行为之一，影响或者可能影响中标结果的，依照下列规定处理：</w:t>
      </w:r>
    </w:p>
    <w:p w14:paraId="10665270">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9.1 未确定中标供应商的，终止本次政府采购活动，重新开展政府采购活动。</w:t>
      </w:r>
    </w:p>
    <w:p w14:paraId="61960F16">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9.2 已确定中标供应商但尚未签订政府采购合同的，中标结果无效，从合格的中标候选人中另行确定中标供应商；没有合格的中标候选人的，重新开展政府采购活动。</w:t>
      </w:r>
    </w:p>
    <w:p w14:paraId="58D88CD6">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9.3 政府采购合同已签订但尚未履行的，撤销合同，从合格的中标候选人中另行确定中标供应商；没有合格的中标候选人的，重新开展政府采购活动。</w:t>
      </w:r>
    </w:p>
    <w:p w14:paraId="11C6A08A">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9.4 政府采购合同已经履行，给采购人、供应商造成损失的，由责任人承担赔偿责任。</w:t>
      </w:r>
    </w:p>
    <w:p w14:paraId="66D531F8">
      <w:pPr>
        <w:widowControl w:val="0"/>
        <w:adjustRightInd/>
        <w:spacing w:line="440" w:lineRule="exact"/>
        <w:ind w:firstLine="420" w:firstLineChars="2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9.5 政府采购当事人有其他违反政府采购法或者政府采购法实施条例等法律法规规定的行为，经改正后仍然影响或者可能影响中标结果或者依法被认定为中标无效的，依照9.1～9.4规定处理。</w:t>
      </w:r>
    </w:p>
    <w:p w14:paraId="2687BECC">
      <w:pPr>
        <w:widowControl w:val="0"/>
        <w:adjustRightInd/>
        <w:spacing w:line="440" w:lineRule="exact"/>
        <w:ind w:firstLine="480" w:firstLineChars="200"/>
        <w:jc w:val="both"/>
        <w:rPr>
          <w:rFonts w:hint="eastAsia" w:ascii="仿宋_GB2312" w:hAnsi="仿宋_GB2312" w:eastAsia="仿宋_GB2312" w:cs="仿宋_GB2312"/>
          <w:color w:val="auto"/>
          <w:kern w:val="2"/>
          <w:sz w:val="24"/>
          <w:szCs w:val="24"/>
          <w:highlight w:val="none"/>
          <w:lang w:val="en-US" w:eastAsia="zh-CN" w:bidi="ar-SA"/>
        </w:rPr>
      </w:pPr>
    </w:p>
    <w:p w14:paraId="57815602">
      <w:pPr>
        <w:rPr>
          <w:rFonts w:hint="eastAsia" w:ascii="仿宋_GB2312" w:hAnsi="仿宋_GB2312" w:eastAsia="仿宋_GB2312" w:cs="仿宋_GB2312"/>
          <w:b/>
          <w:color w:val="auto"/>
          <w:sz w:val="36"/>
          <w:szCs w:val="20"/>
          <w:highlight w:val="none"/>
        </w:rPr>
      </w:pPr>
      <w:r>
        <w:rPr>
          <w:rFonts w:hint="eastAsia" w:ascii="仿宋_GB2312" w:hAnsi="仿宋_GB2312" w:eastAsia="仿宋_GB2312" w:cs="仿宋_GB2312"/>
          <w:b/>
          <w:color w:val="auto"/>
          <w:sz w:val="36"/>
          <w:szCs w:val="20"/>
          <w:highlight w:val="none"/>
        </w:rPr>
        <w:br w:type="page"/>
      </w:r>
    </w:p>
    <w:p w14:paraId="6D726F62">
      <w:pPr>
        <w:keepNext w:val="0"/>
        <w:keepLines w:val="0"/>
        <w:pageBreakBefore w:val="0"/>
        <w:widowControl w:val="0"/>
        <w:kinsoku/>
        <w:wordWrap/>
        <w:overflowPunct/>
        <w:topLinePunct w:val="0"/>
        <w:autoSpaceDE/>
        <w:autoSpaceDN/>
        <w:bidi w:val="0"/>
        <w:adjustRightInd w:val="0"/>
        <w:snapToGrid/>
        <w:spacing w:line="640" w:lineRule="exact"/>
        <w:jc w:val="center"/>
        <w:textAlignment w:val="auto"/>
        <w:outlineLvl w:val="0"/>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第五</w:t>
      </w:r>
      <w:r>
        <w:rPr>
          <w:rFonts w:hint="eastAsia" w:ascii="仿宋_GB2312" w:hAnsi="仿宋_GB2312" w:eastAsia="仿宋_GB2312" w:cs="仿宋_GB2312"/>
          <w:b/>
          <w:bCs/>
          <w:color w:val="auto"/>
          <w:sz w:val="36"/>
          <w:szCs w:val="36"/>
          <w:highlight w:val="none"/>
          <w:lang w:val="en-US" w:eastAsia="zh-CN"/>
        </w:rPr>
        <w:t>章</w:t>
      </w:r>
      <w:r>
        <w:rPr>
          <w:rFonts w:hint="eastAsia" w:ascii="仿宋_GB2312" w:hAnsi="仿宋_GB2312" w:eastAsia="仿宋_GB2312" w:cs="仿宋_GB2312"/>
          <w:b/>
          <w:bCs/>
          <w:color w:val="auto"/>
          <w:sz w:val="36"/>
          <w:szCs w:val="36"/>
          <w:highlight w:val="none"/>
        </w:rPr>
        <w:t xml:space="preserve"> 拟签订的合同文本</w:t>
      </w:r>
    </w:p>
    <w:bookmarkEnd w:id="6"/>
    <w:p w14:paraId="196B0B55">
      <w:pPr>
        <w:pageBreakBefore w:val="0"/>
        <w:kinsoku/>
        <w:wordWrap/>
        <w:overflowPunct/>
        <w:topLinePunct w:val="0"/>
        <w:bidi w:val="0"/>
        <w:spacing w:line="4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本合同为合同格式）</w:t>
      </w:r>
    </w:p>
    <w:p w14:paraId="73638ADA">
      <w:pPr>
        <w:rPr>
          <w:rFonts w:hint="eastAsia" w:ascii="宋体" w:hAnsi="宋体" w:eastAsia="宋体" w:cs="宋体"/>
          <w:b/>
          <w:caps w:val="0"/>
          <w:snapToGrid w:val="0"/>
          <w:color w:val="auto"/>
          <w:spacing w:val="0"/>
          <w:kern w:val="0"/>
          <w:sz w:val="64"/>
          <w:szCs w:val="48"/>
          <w:highlight w:val="none"/>
        </w:rPr>
      </w:pPr>
    </w:p>
    <w:p w14:paraId="0B870065">
      <w:pPr>
        <w:keepNext w:val="0"/>
        <w:keepLines w:val="0"/>
        <w:pageBreakBefore w:val="0"/>
        <w:widowControl w:val="0"/>
        <w:kinsoku/>
        <w:wordWrap/>
        <w:overflowPunct/>
        <w:topLinePunct w:val="0"/>
        <w:autoSpaceDE/>
        <w:autoSpaceDN/>
        <w:bidi w:val="0"/>
        <w:adjustRightInd/>
        <w:snapToGrid/>
        <w:spacing w:line="440" w:lineRule="exact"/>
        <w:ind w:firstLine="6264" w:firstLineChars="2600"/>
        <w:textAlignment w:val="auto"/>
        <w:rPr>
          <w:rFonts w:hint="eastAsia" w:ascii="仿宋_GB2312" w:hAnsi="仿宋_GB2312" w:eastAsia="仿宋_GB2312" w:cs="仿宋_GB2312"/>
          <w:b/>
          <w:caps w:val="0"/>
          <w:snapToGrid w:val="0"/>
          <w:color w:val="auto"/>
          <w:spacing w:val="0"/>
          <w:kern w:val="0"/>
          <w:sz w:val="24"/>
          <w:szCs w:val="18"/>
          <w:highlight w:val="none"/>
        </w:rPr>
      </w:pPr>
      <w:r>
        <w:rPr>
          <w:rFonts w:hint="eastAsia" w:ascii="仿宋_GB2312" w:hAnsi="仿宋_GB2312" w:eastAsia="仿宋_GB2312" w:cs="仿宋_GB2312"/>
          <w:b/>
          <w:caps w:val="0"/>
          <w:snapToGrid w:val="0"/>
          <w:color w:val="auto"/>
          <w:spacing w:val="0"/>
          <w:kern w:val="0"/>
          <w:sz w:val="24"/>
          <w:szCs w:val="18"/>
          <w:highlight w:val="none"/>
        </w:rPr>
        <w:t>合同编号：</w:t>
      </w:r>
    </w:p>
    <w:p w14:paraId="72AC1F58">
      <w:pPr>
        <w:rPr>
          <w:rFonts w:hint="eastAsia" w:ascii="宋体" w:hAnsi="宋体" w:eastAsia="宋体" w:cs="宋体"/>
          <w:b/>
          <w:caps w:val="0"/>
          <w:snapToGrid w:val="0"/>
          <w:color w:val="auto"/>
          <w:spacing w:val="0"/>
          <w:kern w:val="0"/>
          <w:sz w:val="64"/>
          <w:szCs w:val="48"/>
          <w:highlight w:val="none"/>
        </w:rPr>
      </w:pPr>
    </w:p>
    <w:p w14:paraId="13E68DB5">
      <w:pPr>
        <w:rPr>
          <w:rFonts w:hint="eastAsia" w:ascii="宋体" w:hAnsi="宋体" w:eastAsia="宋体" w:cs="宋体"/>
          <w:b/>
          <w:caps w:val="0"/>
          <w:snapToGrid w:val="0"/>
          <w:color w:val="auto"/>
          <w:spacing w:val="0"/>
          <w:kern w:val="0"/>
          <w:sz w:val="64"/>
          <w:szCs w:val="48"/>
          <w:highlight w:val="none"/>
        </w:rPr>
      </w:pPr>
    </w:p>
    <w:p w14:paraId="3A0C7618">
      <w:pPr>
        <w:rPr>
          <w:rFonts w:hint="eastAsia" w:ascii="宋体" w:hAnsi="宋体" w:eastAsia="宋体" w:cs="宋体"/>
          <w:b/>
          <w:caps w:val="0"/>
          <w:snapToGrid w:val="0"/>
          <w:color w:val="auto"/>
          <w:spacing w:val="0"/>
          <w:kern w:val="0"/>
          <w:sz w:val="64"/>
          <w:szCs w:val="48"/>
          <w:highlight w:val="none"/>
        </w:rPr>
      </w:pPr>
    </w:p>
    <w:p w14:paraId="5FE4B853">
      <w:pPr>
        <w:jc w:val="center"/>
        <w:rPr>
          <w:rFonts w:hint="eastAsia" w:ascii="黑体" w:hAnsi="黑体" w:eastAsia="黑体" w:cs="黑体"/>
          <w:b/>
          <w:caps w:val="0"/>
          <w:snapToGrid w:val="0"/>
          <w:color w:val="auto"/>
          <w:spacing w:val="0"/>
          <w:kern w:val="0"/>
          <w:sz w:val="64"/>
          <w:szCs w:val="48"/>
          <w:highlight w:val="none"/>
        </w:rPr>
      </w:pPr>
      <w:r>
        <w:rPr>
          <w:rFonts w:hint="eastAsia" w:ascii="黑体" w:hAnsi="黑体" w:eastAsia="黑体" w:cs="黑体"/>
          <w:b/>
          <w:caps w:val="0"/>
          <w:snapToGrid w:val="0"/>
          <w:color w:val="auto"/>
          <w:spacing w:val="0"/>
          <w:kern w:val="0"/>
          <w:sz w:val="64"/>
          <w:szCs w:val="48"/>
          <w:highlight w:val="none"/>
        </w:rPr>
        <w:t>设备采购安装合同</w:t>
      </w:r>
    </w:p>
    <w:p w14:paraId="22AA881A">
      <w:pPr>
        <w:rPr>
          <w:rFonts w:hint="eastAsia" w:ascii="宋体" w:hAnsi="宋体" w:eastAsia="宋体" w:cs="宋体"/>
          <w:b/>
          <w:caps w:val="0"/>
          <w:snapToGrid w:val="0"/>
          <w:color w:val="auto"/>
          <w:spacing w:val="0"/>
          <w:kern w:val="0"/>
          <w:sz w:val="64"/>
          <w:szCs w:val="48"/>
          <w:highlight w:val="none"/>
        </w:rPr>
      </w:pPr>
    </w:p>
    <w:p w14:paraId="665CFF1F">
      <w:pPr>
        <w:rPr>
          <w:rFonts w:hint="eastAsia" w:ascii="宋体" w:hAnsi="宋体" w:eastAsia="宋体" w:cs="宋体"/>
          <w:b/>
          <w:caps w:val="0"/>
          <w:snapToGrid w:val="0"/>
          <w:color w:val="auto"/>
          <w:spacing w:val="0"/>
          <w:kern w:val="0"/>
          <w:sz w:val="64"/>
          <w:szCs w:val="48"/>
          <w:highlight w:val="none"/>
        </w:rPr>
      </w:pPr>
    </w:p>
    <w:p w14:paraId="01806EE4">
      <w:pPr>
        <w:keepNext w:val="0"/>
        <w:keepLines w:val="0"/>
        <w:pageBreakBefore w:val="0"/>
        <w:widowControl w:val="0"/>
        <w:tabs>
          <w:tab w:val="left" w:pos="1800"/>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color w:val="auto"/>
          <w:spacing w:val="0"/>
          <w:sz w:val="32"/>
          <w:szCs w:val="32"/>
          <w:highlight w:val="none"/>
          <w:u w:val="single"/>
        </w:rPr>
      </w:pPr>
      <w:r>
        <w:rPr>
          <w:rFonts w:hint="eastAsia" w:ascii="仿宋_GB2312" w:hAnsi="仿宋_GB2312" w:eastAsia="仿宋_GB2312" w:cs="仿宋_GB2312"/>
          <w:caps w:val="0"/>
          <w:color w:val="auto"/>
          <w:spacing w:val="0"/>
          <w:sz w:val="32"/>
          <w:szCs w:val="32"/>
          <w:highlight w:val="none"/>
        </w:rPr>
        <w:t>工程名称：</w:t>
      </w:r>
      <w:r>
        <w:rPr>
          <w:rFonts w:hint="eastAsia" w:ascii="仿宋_GB2312" w:hAnsi="仿宋_GB2312" w:eastAsia="仿宋_GB2312" w:cs="仿宋_GB2312"/>
          <w:caps w:val="0"/>
          <w:color w:val="auto"/>
          <w:spacing w:val="0"/>
          <w:sz w:val="32"/>
          <w:szCs w:val="32"/>
          <w:highlight w:val="none"/>
          <w:u w:val="single"/>
        </w:rPr>
        <w:t xml:space="preserve">     新碶综合文化活动中心     </w:t>
      </w:r>
    </w:p>
    <w:p w14:paraId="58D768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color w:val="auto"/>
          <w:spacing w:val="0"/>
          <w:sz w:val="32"/>
          <w:szCs w:val="32"/>
          <w:highlight w:val="none"/>
        </w:rPr>
      </w:pPr>
    </w:p>
    <w:p w14:paraId="73ADDC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color w:val="auto"/>
          <w:spacing w:val="0"/>
          <w:sz w:val="32"/>
          <w:szCs w:val="32"/>
          <w:highlight w:val="none"/>
          <w:u w:val="single"/>
        </w:rPr>
      </w:pPr>
      <w:r>
        <w:rPr>
          <w:rFonts w:hint="eastAsia" w:ascii="仿宋_GB2312" w:hAnsi="仿宋_GB2312" w:eastAsia="仿宋_GB2312" w:cs="仿宋_GB2312"/>
          <w:caps w:val="0"/>
          <w:color w:val="auto"/>
          <w:spacing w:val="0"/>
          <w:sz w:val="32"/>
          <w:szCs w:val="32"/>
          <w:highlight w:val="none"/>
        </w:rPr>
        <w:t>采购标的：</w:t>
      </w:r>
      <w:r>
        <w:rPr>
          <w:rFonts w:hint="eastAsia" w:ascii="仿宋_GB2312" w:hAnsi="仿宋_GB2312" w:eastAsia="仿宋_GB2312" w:cs="仿宋_GB2312"/>
          <w:caps w:val="0"/>
          <w:color w:val="auto"/>
          <w:spacing w:val="0"/>
          <w:sz w:val="32"/>
          <w:szCs w:val="32"/>
          <w:highlight w:val="none"/>
          <w:u w:val="single"/>
        </w:rPr>
        <w:t xml:space="preserve">         音视频系统           </w:t>
      </w:r>
    </w:p>
    <w:p w14:paraId="3FA82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snapToGrid w:val="0"/>
          <w:color w:val="auto"/>
          <w:spacing w:val="0"/>
          <w:kern w:val="0"/>
          <w:sz w:val="32"/>
          <w:szCs w:val="32"/>
          <w:highlight w:val="none"/>
        </w:rPr>
      </w:pPr>
    </w:p>
    <w:p w14:paraId="449C13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snapToGrid w:val="0"/>
          <w:color w:val="auto"/>
          <w:spacing w:val="0"/>
          <w:kern w:val="0"/>
          <w:sz w:val="32"/>
          <w:szCs w:val="32"/>
          <w:highlight w:val="none"/>
          <w:u w:val="single"/>
        </w:rPr>
      </w:pPr>
      <w:r>
        <w:rPr>
          <w:rFonts w:hint="eastAsia" w:ascii="仿宋_GB2312" w:hAnsi="仿宋_GB2312" w:eastAsia="仿宋_GB2312" w:cs="仿宋_GB2312"/>
          <w:caps w:val="0"/>
          <w:snapToGrid w:val="0"/>
          <w:color w:val="auto"/>
          <w:spacing w:val="0"/>
          <w:kern w:val="0"/>
          <w:sz w:val="32"/>
          <w:szCs w:val="32"/>
          <w:highlight w:val="none"/>
        </w:rPr>
        <w:t>买    方：</w:t>
      </w:r>
      <w:r>
        <w:rPr>
          <w:rFonts w:hint="eastAsia" w:ascii="仿宋_GB2312" w:hAnsi="仿宋_GB2312" w:eastAsia="仿宋_GB2312" w:cs="仿宋_GB2312"/>
          <w:caps w:val="0"/>
          <w:snapToGrid w:val="0"/>
          <w:color w:val="auto"/>
          <w:spacing w:val="0"/>
          <w:kern w:val="0"/>
          <w:sz w:val="32"/>
          <w:szCs w:val="32"/>
          <w:highlight w:val="none"/>
          <w:u w:val="single"/>
        </w:rPr>
        <w:t xml:space="preserve"> 宁波市北仑区公共项目建设管理中心 </w:t>
      </w:r>
    </w:p>
    <w:p w14:paraId="40A031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snapToGrid w:val="0"/>
          <w:color w:val="auto"/>
          <w:spacing w:val="0"/>
          <w:kern w:val="0"/>
          <w:sz w:val="32"/>
          <w:szCs w:val="32"/>
          <w:highlight w:val="none"/>
        </w:rPr>
      </w:pPr>
    </w:p>
    <w:p w14:paraId="55084D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snapToGrid w:val="0"/>
          <w:color w:val="auto"/>
          <w:spacing w:val="0"/>
          <w:kern w:val="0"/>
          <w:sz w:val="32"/>
          <w:szCs w:val="32"/>
          <w:highlight w:val="none"/>
          <w:u w:val="single"/>
        </w:rPr>
      </w:pPr>
      <w:r>
        <w:rPr>
          <w:rFonts w:hint="eastAsia" w:ascii="仿宋_GB2312" w:hAnsi="仿宋_GB2312" w:eastAsia="仿宋_GB2312" w:cs="仿宋_GB2312"/>
          <w:caps w:val="0"/>
          <w:snapToGrid w:val="0"/>
          <w:color w:val="auto"/>
          <w:spacing w:val="0"/>
          <w:kern w:val="0"/>
          <w:sz w:val="32"/>
          <w:szCs w:val="32"/>
          <w:highlight w:val="none"/>
        </w:rPr>
        <w:t>卖    方：</w:t>
      </w:r>
      <w:r>
        <w:rPr>
          <w:rFonts w:hint="eastAsia" w:ascii="仿宋_GB2312" w:hAnsi="仿宋_GB2312" w:eastAsia="仿宋_GB2312" w:cs="仿宋_GB2312"/>
          <w:caps w:val="0"/>
          <w:snapToGrid w:val="0"/>
          <w:color w:val="auto"/>
          <w:spacing w:val="0"/>
          <w:kern w:val="0"/>
          <w:sz w:val="32"/>
          <w:szCs w:val="32"/>
          <w:highlight w:val="none"/>
          <w:u w:val="single"/>
        </w:rPr>
        <w:t xml:space="preserve">                                  </w:t>
      </w:r>
    </w:p>
    <w:p w14:paraId="770B5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snapToGrid w:val="0"/>
          <w:color w:val="auto"/>
          <w:spacing w:val="0"/>
          <w:kern w:val="0"/>
          <w:sz w:val="32"/>
          <w:szCs w:val="32"/>
          <w:highlight w:val="none"/>
        </w:rPr>
      </w:pPr>
    </w:p>
    <w:p w14:paraId="4A0367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aps w:val="0"/>
          <w:snapToGrid w:val="0"/>
          <w:color w:val="auto"/>
          <w:spacing w:val="0"/>
          <w:kern w:val="0"/>
          <w:sz w:val="32"/>
          <w:szCs w:val="32"/>
          <w:highlight w:val="none"/>
          <w:u w:val="single"/>
        </w:rPr>
      </w:pPr>
      <w:r>
        <w:rPr>
          <w:rFonts w:hint="eastAsia" w:ascii="仿宋_GB2312" w:hAnsi="仿宋_GB2312" w:eastAsia="仿宋_GB2312" w:cs="仿宋_GB2312"/>
          <w:caps w:val="0"/>
          <w:snapToGrid w:val="0"/>
          <w:color w:val="auto"/>
          <w:spacing w:val="0"/>
          <w:kern w:val="0"/>
          <w:sz w:val="32"/>
          <w:szCs w:val="32"/>
          <w:highlight w:val="none"/>
        </w:rPr>
        <w:t>出 资 人：</w:t>
      </w:r>
      <w:r>
        <w:rPr>
          <w:rFonts w:hint="eastAsia" w:ascii="仿宋_GB2312" w:hAnsi="仿宋_GB2312" w:eastAsia="仿宋_GB2312" w:cs="仿宋_GB2312"/>
          <w:caps w:val="0"/>
          <w:snapToGrid w:val="0"/>
          <w:color w:val="auto"/>
          <w:spacing w:val="0"/>
          <w:kern w:val="0"/>
          <w:sz w:val="32"/>
          <w:szCs w:val="32"/>
          <w:highlight w:val="none"/>
          <w:u w:val="single"/>
        </w:rPr>
        <w:t xml:space="preserve"> 宁波市北仑区城兴建设管理有限公司 </w:t>
      </w:r>
    </w:p>
    <w:p w14:paraId="44BE0F05">
      <w:pPr>
        <w:rPr>
          <w:b/>
          <w:caps w:val="0"/>
          <w:color w:val="auto"/>
          <w:spacing w:val="0"/>
          <w:sz w:val="32"/>
          <w:szCs w:val="32"/>
          <w:highlight w:val="none"/>
        </w:rPr>
      </w:pPr>
      <w:r>
        <w:rPr>
          <w:b/>
          <w:caps w:val="0"/>
          <w:color w:val="auto"/>
          <w:spacing w:val="0"/>
          <w:sz w:val="32"/>
          <w:szCs w:val="32"/>
          <w:highlight w:val="none"/>
        </w:rPr>
        <w:br w:type="page"/>
      </w:r>
    </w:p>
    <w:p w14:paraId="604810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caps w:val="0"/>
          <w:snapToGrid w:val="0"/>
          <w:color w:val="auto"/>
          <w:spacing w:val="0"/>
          <w:kern w:val="0"/>
          <w:sz w:val="28"/>
          <w:szCs w:val="20"/>
          <w:highlight w:val="none"/>
        </w:rPr>
      </w:pPr>
      <w:r>
        <w:rPr>
          <w:rFonts w:hint="eastAsia" w:ascii="黑体" w:hAnsi="黑体" w:eastAsia="黑体" w:cs="黑体"/>
          <w:b/>
          <w:caps w:val="0"/>
          <w:snapToGrid w:val="0"/>
          <w:color w:val="auto"/>
          <w:spacing w:val="0"/>
          <w:kern w:val="0"/>
          <w:sz w:val="28"/>
          <w:szCs w:val="20"/>
          <w:highlight w:val="none"/>
        </w:rPr>
        <w:t>设 备 采 购 安 装 合 同</w:t>
      </w:r>
    </w:p>
    <w:p w14:paraId="3950E4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rPr>
      </w:pPr>
    </w:p>
    <w:p w14:paraId="57F056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single"/>
        </w:rPr>
        <w:t>宁波市北仑区公共项目建设管理中心</w:t>
      </w:r>
      <w:r>
        <w:rPr>
          <w:rFonts w:hint="eastAsia" w:ascii="仿宋_GB2312" w:hAnsi="仿宋_GB2312" w:eastAsia="仿宋_GB2312" w:cs="仿宋_GB2312"/>
          <w:color w:val="auto"/>
          <w:sz w:val="21"/>
          <w:szCs w:val="21"/>
          <w:highlight w:val="none"/>
        </w:rPr>
        <w:t>（以下称</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买方</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）的</w:t>
      </w:r>
      <w:r>
        <w:rPr>
          <w:rFonts w:hint="eastAsia" w:ascii="仿宋_GB2312" w:hAnsi="仿宋_GB2312" w:eastAsia="仿宋_GB2312" w:cs="仿宋_GB2312"/>
          <w:color w:val="auto"/>
          <w:sz w:val="21"/>
          <w:szCs w:val="21"/>
          <w:highlight w:val="none"/>
          <w:u w:val="single"/>
          <w:lang w:eastAsia="zh-CN"/>
        </w:rPr>
        <w:t>新碶综合文化活动中心</w:t>
      </w:r>
      <w:r>
        <w:rPr>
          <w:rFonts w:hint="eastAsia" w:ascii="仿宋_GB2312" w:hAnsi="仿宋_GB2312" w:eastAsia="仿宋_GB2312" w:cs="仿宋_GB2312"/>
          <w:color w:val="auto"/>
          <w:sz w:val="21"/>
          <w:szCs w:val="21"/>
          <w:highlight w:val="none"/>
        </w:rPr>
        <w:t>项目</w:t>
      </w:r>
      <w:r>
        <w:rPr>
          <w:rFonts w:hint="eastAsia" w:ascii="仿宋_GB2312" w:hAnsi="仿宋_GB2312" w:eastAsia="仿宋_GB2312" w:cs="仿宋_GB2312"/>
          <w:color w:val="auto"/>
          <w:sz w:val="21"/>
          <w:szCs w:val="21"/>
          <w:highlight w:val="none"/>
          <w:u w:val="single"/>
          <w:lang w:eastAsia="zh-CN"/>
        </w:rPr>
        <w:t>音视频系统</w:t>
      </w:r>
      <w:r>
        <w:rPr>
          <w:rFonts w:hint="eastAsia" w:ascii="仿宋_GB2312" w:hAnsi="仿宋_GB2312" w:eastAsia="仿宋_GB2312" w:cs="仿宋_GB2312"/>
          <w:color w:val="auto"/>
          <w:sz w:val="21"/>
          <w:szCs w:val="21"/>
          <w:highlight w:val="none"/>
        </w:rPr>
        <w:t>，出资人为</w:t>
      </w:r>
      <w:r>
        <w:rPr>
          <w:rFonts w:hint="eastAsia" w:ascii="仿宋_GB2312" w:hAnsi="仿宋_GB2312" w:eastAsia="仿宋_GB2312" w:cs="仿宋_GB2312"/>
          <w:color w:val="auto"/>
          <w:sz w:val="21"/>
          <w:szCs w:val="21"/>
          <w:highlight w:val="none"/>
          <w:u w:val="single"/>
        </w:rPr>
        <w:t>宁波市北仑区城兴建设管理有限公司</w:t>
      </w:r>
      <w:r>
        <w:rPr>
          <w:rFonts w:hint="eastAsia" w:ascii="仿宋_GB2312" w:hAnsi="仿宋_GB2312" w:eastAsia="仿宋_GB2312" w:cs="仿宋_GB2312"/>
          <w:color w:val="auto"/>
          <w:sz w:val="21"/>
          <w:szCs w:val="21"/>
          <w:highlight w:val="none"/>
        </w:rPr>
        <w:t>，经公开招标，经评标委员会评定，确定</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（以下称</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卖方</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）为中标单位。三方同意按照下述的条款和条件，签署本合同。</w:t>
      </w:r>
    </w:p>
    <w:p w14:paraId="7DB61E7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1．供货清单</w:t>
      </w:r>
    </w:p>
    <w:p w14:paraId="399D572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righ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单位：元</w:t>
      </w:r>
    </w:p>
    <w:tbl>
      <w:tblPr>
        <w:tblStyle w:val="1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784"/>
        <w:gridCol w:w="2131"/>
        <w:gridCol w:w="2676"/>
      </w:tblGrid>
      <w:tr w14:paraId="4957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13446B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3784" w:type="dxa"/>
            <w:vAlign w:val="center"/>
          </w:tcPr>
          <w:p w14:paraId="1ECA10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货物名称</w:t>
            </w:r>
          </w:p>
        </w:tc>
        <w:tc>
          <w:tcPr>
            <w:tcW w:w="2131" w:type="dxa"/>
            <w:vAlign w:val="center"/>
          </w:tcPr>
          <w:p w14:paraId="5E200C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投标总价</w:t>
            </w:r>
          </w:p>
        </w:tc>
        <w:tc>
          <w:tcPr>
            <w:tcW w:w="2676" w:type="dxa"/>
            <w:vAlign w:val="center"/>
          </w:tcPr>
          <w:p w14:paraId="1B9257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备注</w:t>
            </w:r>
          </w:p>
        </w:tc>
      </w:tr>
      <w:tr w14:paraId="4336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4E2F3A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3784" w:type="dxa"/>
            <w:vAlign w:val="center"/>
          </w:tcPr>
          <w:p w14:paraId="6A99AD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131" w:type="dxa"/>
            <w:vAlign w:val="center"/>
          </w:tcPr>
          <w:p w14:paraId="3BDADA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676" w:type="dxa"/>
            <w:vMerge w:val="restart"/>
            <w:vAlign w:val="center"/>
          </w:tcPr>
          <w:p w14:paraId="2848EC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详细规格型号、数量、单价见卖方投标分项报价表</w:t>
            </w:r>
          </w:p>
        </w:tc>
      </w:tr>
      <w:tr w14:paraId="3000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5A7B6D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3784" w:type="dxa"/>
            <w:vAlign w:val="center"/>
          </w:tcPr>
          <w:p w14:paraId="021130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131" w:type="dxa"/>
            <w:vAlign w:val="center"/>
          </w:tcPr>
          <w:p w14:paraId="77396E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676" w:type="dxa"/>
            <w:vMerge w:val="continue"/>
            <w:vAlign w:val="center"/>
          </w:tcPr>
          <w:p w14:paraId="6A34DA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r>
      <w:tr w14:paraId="6966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5A58E2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w:t>
            </w:r>
          </w:p>
        </w:tc>
        <w:tc>
          <w:tcPr>
            <w:tcW w:w="3784" w:type="dxa"/>
            <w:vAlign w:val="center"/>
          </w:tcPr>
          <w:p w14:paraId="3BD7E5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131" w:type="dxa"/>
            <w:vAlign w:val="center"/>
          </w:tcPr>
          <w:p w14:paraId="697719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676" w:type="dxa"/>
            <w:vMerge w:val="continue"/>
            <w:vAlign w:val="center"/>
          </w:tcPr>
          <w:p w14:paraId="64A4FB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r>
      <w:tr w14:paraId="20C2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4CAA45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3784" w:type="dxa"/>
            <w:vAlign w:val="center"/>
          </w:tcPr>
          <w:p w14:paraId="2E3646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131" w:type="dxa"/>
            <w:vAlign w:val="center"/>
          </w:tcPr>
          <w:p w14:paraId="65813F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c>
          <w:tcPr>
            <w:tcW w:w="2676" w:type="dxa"/>
            <w:vMerge w:val="continue"/>
            <w:vAlign w:val="center"/>
          </w:tcPr>
          <w:p w14:paraId="37308E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vertAlign w:val="baseline"/>
                <w:lang w:eastAsia="zh-CN"/>
              </w:rPr>
            </w:pPr>
          </w:p>
        </w:tc>
      </w:tr>
      <w:tr w14:paraId="3FDC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8" w:type="dxa"/>
            <w:gridSpan w:val="4"/>
            <w:vAlign w:val="center"/>
          </w:tcPr>
          <w:p w14:paraId="6C628D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合同总价：¥</w:t>
            </w:r>
            <w:r>
              <w:rPr>
                <w:rFonts w:hint="eastAsia" w:ascii="仿宋_GB2312" w:hAnsi="仿宋_GB2312" w:eastAsia="仿宋_GB2312" w:cs="仿宋_GB2312"/>
                <w:color w:val="auto"/>
                <w:sz w:val="21"/>
                <w:szCs w:val="21"/>
                <w:highlight w:val="none"/>
                <w:u w:val="single"/>
                <w:vertAlign w:val="baseline"/>
                <w:lang w:val="en-US" w:eastAsia="zh-CN"/>
              </w:rPr>
              <w:t xml:space="preserve">          </w:t>
            </w:r>
            <w:r>
              <w:rPr>
                <w:rFonts w:hint="eastAsia" w:ascii="仿宋_GB2312" w:hAnsi="仿宋_GB2312" w:eastAsia="仿宋_GB2312" w:cs="仿宋_GB2312"/>
                <w:color w:val="auto"/>
                <w:sz w:val="21"/>
                <w:szCs w:val="21"/>
                <w:highlight w:val="none"/>
                <w:vertAlign w:val="baseline"/>
                <w:lang w:val="en-US" w:eastAsia="zh-CN"/>
              </w:rPr>
              <w:t>元（大写：人民币</w:t>
            </w:r>
            <w:r>
              <w:rPr>
                <w:rFonts w:hint="eastAsia" w:ascii="仿宋_GB2312" w:hAnsi="仿宋_GB2312" w:eastAsia="仿宋_GB2312" w:cs="仿宋_GB2312"/>
                <w:color w:val="auto"/>
                <w:sz w:val="21"/>
                <w:szCs w:val="21"/>
                <w:highlight w:val="none"/>
                <w:u w:val="single"/>
                <w:vertAlign w:val="baseline"/>
                <w:lang w:val="en-US" w:eastAsia="zh-CN"/>
              </w:rPr>
              <w:t xml:space="preserve">          </w:t>
            </w:r>
            <w:r>
              <w:rPr>
                <w:rFonts w:hint="eastAsia" w:ascii="仿宋_GB2312" w:hAnsi="仿宋_GB2312" w:eastAsia="仿宋_GB2312" w:cs="仿宋_GB2312"/>
                <w:color w:val="auto"/>
                <w:sz w:val="21"/>
                <w:szCs w:val="21"/>
                <w:highlight w:val="none"/>
                <w:u w:val="none"/>
                <w:vertAlign w:val="baseline"/>
                <w:lang w:val="en-US" w:eastAsia="zh-CN"/>
              </w:rPr>
              <w:t>元整</w:t>
            </w:r>
            <w:r>
              <w:rPr>
                <w:rFonts w:hint="eastAsia" w:ascii="仿宋_GB2312" w:hAnsi="仿宋_GB2312" w:eastAsia="仿宋_GB2312" w:cs="仿宋_GB2312"/>
                <w:color w:val="auto"/>
                <w:sz w:val="21"/>
                <w:szCs w:val="21"/>
                <w:highlight w:val="none"/>
                <w:vertAlign w:val="baseline"/>
                <w:lang w:val="en-US" w:eastAsia="zh-CN"/>
              </w:rPr>
              <w:t>）</w:t>
            </w:r>
          </w:p>
        </w:tc>
      </w:tr>
    </w:tbl>
    <w:p w14:paraId="1BEA8F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注：1.1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上表的单价包括投标货物及标准附件、备品备件、专用工具等的出厂价和运至最终目的地的运输费和保险费，安装调试、技术措施、现场已完工程保护、</w:t>
      </w:r>
      <w:r>
        <w:rPr>
          <w:rFonts w:hint="eastAsia" w:ascii="仿宋_GB2312" w:hAnsi="仿宋_GB2312" w:eastAsia="仿宋_GB2312" w:cs="仿宋_GB2312"/>
          <w:color w:val="auto"/>
          <w:sz w:val="21"/>
          <w:szCs w:val="21"/>
          <w:highlight w:val="none"/>
          <w:u w:val="none"/>
          <w:lang w:val="en-US" w:eastAsia="zh-CN"/>
        </w:rPr>
        <w:t>试运行、</w:t>
      </w:r>
      <w:r>
        <w:rPr>
          <w:rFonts w:hint="eastAsia" w:ascii="仿宋_GB2312" w:hAnsi="仿宋_GB2312" w:eastAsia="仿宋_GB2312" w:cs="仿宋_GB2312"/>
          <w:color w:val="auto"/>
          <w:sz w:val="21"/>
          <w:szCs w:val="21"/>
          <w:highlight w:val="none"/>
          <w:u w:val="none"/>
        </w:rPr>
        <w:t>检验、技术服务、培训、质量保证、售后服务、税费等所需发生的全部费用。</w:t>
      </w:r>
    </w:p>
    <w:p w14:paraId="4E27FD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提供本合同的备品备件，清单见附件；</w:t>
      </w:r>
    </w:p>
    <w:p w14:paraId="216B67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在合同有效期内，买方要求增加供货清单中的货物数量时，卖方应按合同单价予以供应。</w:t>
      </w:r>
    </w:p>
    <w:p w14:paraId="32E5362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2．交货期及承包范围</w:t>
      </w:r>
    </w:p>
    <w:p w14:paraId="5A8AE3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2.1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交货及安装时间：接买方供货通知后60日历天内交货、完成安装调试工作并达到验收条件；</w:t>
      </w:r>
    </w:p>
    <w:p w14:paraId="5678A5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2.2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交货方式：现场交付，卖方将货物运至买方指定地点。卖方负责货物的运输、装卸等工作，并承担所涉及的一切费用；</w:t>
      </w:r>
    </w:p>
    <w:p w14:paraId="0DF0E7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2.3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货物的安装由卖方负责，卖方应对产品和系统安装提供全面的技术服务与支持，为产品顺利运行提供完全技术保证；</w:t>
      </w:r>
    </w:p>
    <w:p w14:paraId="2636ED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2.4</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产品的调试由卖方负责，卖方为运行调试提供技术和产品的必要条件；</w:t>
      </w:r>
    </w:p>
    <w:p w14:paraId="558225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2.5</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安全：卖方应严格按安全标准组织安装、调试工作，采取必要的安全防护措施，消除事故隐患。由于卖方安全措施不力造成事故的责任和因此发生的费用，由卖方承担。</w:t>
      </w:r>
    </w:p>
    <w:p w14:paraId="65BBAFA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3．合同价及付款方式</w:t>
      </w:r>
    </w:p>
    <w:p w14:paraId="03ADFF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本合同金额为：</w:t>
      </w:r>
      <w:r>
        <w:rPr>
          <w:rFonts w:hint="eastAsia" w:ascii="仿宋_GB2312" w:hAnsi="仿宋_GB2312" w:eastAsia="仿宋_GB2312" w:cs="仿宋_GB2312"/>
          <w:color w:val="auto"/>
          <w:sz w:val="21"/>
          <w:szCs w:val="21"/>
          <w:highlight w:val="none"/>
          <w:u w:val="none"/>
          <w:lang w:val="en-US" w:eastAsia="zh-CN"/>
        </w:rPr>
        <w:t>¥</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none"/>
        </w:rPr>
        <w:t>元（大写：人民币</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none"/>
        </w:rPr>
        <w:t>元整）；</w:t>
      </w:r>
    </w:p>
    <w:p w14:paraId="65BF45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合同生效并具备实施条件（接到买方供货通知）</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买方收到卖方开具的发票及预付款保函后，出资人支付合同金额的40%作为预付款，预付款保函由银行、保险公司等金融机构出具且与预付款等同金额（在签订合同时，中标供应商主动要求降低预付款比例的，按降低后的比例支付预付款）；货到现场后，卖方及时向买方提出到货验收申请，验收通过后，出资人向卖方支付合同金额的20%的货款；货物安装、调试完毕后，卖方及时向买方提出最终验收申请，最终验收通过后，出资人向卖方支付合同余款且退还预付款保函；</w:t>
      </w:r>
    </w:p>
    <w:p w14:paraId="29A950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卖方不按规定提出验收申请的，当次支付申请不予受理，相关验收内容延至下一道验收程序中进行；</w:t>
      </w:r>
    </w:p>
    <w:p w14:paraId="4141B1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3.4</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出资人在发包方式、合同支付条款等符合国家、省、市、区相关规定的前提下，严格按合同要求向卖方支付合同价款；</w:t>
      </w:r>
    </w:p>
    <w:p w14:paraId="3443E5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3.5</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支付合同款项时，出资人有权要求买方或卖方提供合同的发包、履约、验收等相关资料，买方或卖方未提供的，出资人可不予支付合同价款；</w:t>
      </w:r>
    </w:p>
    <w:p w14:paraId="55F8ED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3.6</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买方确保合同结算价不超过概算审定价（单项），如若超出，由买方负责办理该项工程的变更手续，未办理变更手续的，出资人可不予支付超过概算审定价以外的合同价款；</w:t>
      </w:r>
    </w:p>
    <w:p w14:paraId="323415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3.7</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出资人在付款前，卖方向出资人提供合法有效、足额的发票，发票抬头均为出资人。</w:t>
      </w:r>
    </w:p>
    <w:p w14:paraId="1E2FA33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4．税费</w:t>
      </w:r>
    </w:p>
    <w:p w14:paraId="185DF8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4.1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根据国家现行税法对卖方征收的与本合同有关的一切税费均由卖方负担；</w:t>
      </w:r>
    </w:p>
    <w:p w14:paraId="3F284F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4.2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在中国境外发生的与本合同执行有关的一切税费均由卖方负担。</w:t>
      </w:r>
    </w:p>
    <w:p w14:paraId="204515C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5．技术规格</w:t>
      </w:r>
    </w:p>
    <w:p w14:paraId="5EE54B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5.1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提交货物的技术规格应与采购文件的规定要求及投标文件的技术规格偏离表（如果被买方接受的话）相一致；</w:t>
      </w:r>
    </w:p>
    <w:p w14:paraId="37047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5.2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若技术规格中无相应说明，则以最新颁布的相应国家标准及规范为准，无国家标准的，按行业标准执行，无国家和行业标准的，按企业标准执行。</w:t>
      </w:r>
    </w:p>
    <w:p w14:paraId="00209F5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6．技术服务</w:t>
      </w:r>
    </w:p>
    <w:p w14:paraId="1F6CF8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技术交底</w:t>
      </w:r>
    </w:p>
    <w:p w14:paraId="3DD15D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6.1.1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卖方须在收到中标通知书后的7天内完成技术交底工作，技术交底深度必须满足设计院关于施工图设计所需的深度，并获得买方的认可。每逾期一天处以1000元违约金；</w:t>
      </w:r>
    </w:p>
    <w:p w14:paraId="0818BE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6.1.2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技术交底工作包括向买方提供设备的技术资料（含样本、图纸）、设计衔接、设计修改（若有）等内容。</w:t>
      </w:r>
    </w:p>
    <w:p w14:paraId="38EAB4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技术资料</w:t>
      </w:r>
    </w:p>
    <w:p w14:paraId="6E8EF3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6.2.1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卖方在中标后提供4套完整的供货设备技术资料（包括样本、图纸等）；</w:t>
      </w:r>
    </w:p>
    <w:p w14:paraId="053071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6.2.2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在详细设计阶段及施工阶段，有关设备的补充资料也应及时提交买方和设计人员；</w:t>
      </w:r>
    </w:p>
    <w:p w14:paraId="3EBE07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6.2.3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设备交货时，卖方应提供交货清单、质量合格证书、安装图纸、检测报告、电气接线图、使用说明书等资料。</w:t>
      </w:r>
    </w:p>
    <w:p w14:paraId="129276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6.3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技术培训</w:t>
      </w:r>
    </w:p>
    <w:p w14:paraId="65BEE8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卖方提供现场培训计划，对买方的使用操作人员进行切实有效的培训，确保产品能良好地运作。主要培训内容为产品的基本结构、性能、主要部件的构造及处理，日常使用操作、保养与管理、常见故障的排除、紧急情况的处理等，如买方未使用过同类型产品，卖方还需就产品的功能对买方人员进行相应的技术培训，培训地点主要在产品安装现场或由卖方安排。</w:t>
      </w:r>
    </w:p>
    <w:p w14:paraId="598EC1E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7．专利权</w:t>
      </w:r>
    </w:p>
    <w:p w14:paraId="317EBD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卖方应保护买方和出资人在使用该货物或其任何一部分时不受其他方提出侵犯专利权、商标权或工业设计权的指控。如果任何其他方提出侵权指控，卖方须与其他方交涉并承担可能发生的一切法律责任和费用。</w:t>
      </w:r>
    </w:p>
    <w:p w14:paraId="50C1ACB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8．产权担保</w:t>
      </w:r>
    </w:p>
    <w:p w14:paraId="5DEB81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卖方保证所交付货物的所有权完全属于卖方且无任何抵押、查封等产权瑕疵。</w:t>
      </w:r>
    </w:p>
    <w:p w14:paraId="26122A3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9．质量保证及售后服务</w:t>
      </w:r>
    </w:p>
    <w:p w14:paraId="3CD7D2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9.1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卖方应保证货物是全新、未使用过的，是用一流的工艺和最佳材料制造而成的，并完全符合合同规定的质量、规格和性能的要求。卖方应保证所提供的货物经正确安装、正常使用和保养在其使用寿命期内应具有满意的性能。在货物保修期之内，卖方应对由于设计、工艺或材料的缺陷而发生的任何不足或故障负责，对造成的损失买方和出资人保留索赔的权利；</w:t>
      </w:r>
    </w:p>
    <w:p w14:paraId="5DBEB8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val="en-US" w:eastAsia="zh-CN"/>
        </w:rPr>
        <w:t>9</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lang w:val="en-US" w:eastAsia="zh-CN"/>
        </w:rPr>
        <w:t>乙方进场后，对工程现场承担照管责任，负责对甲方已完工程（含设备）的保护。由于非甲方</w:t>
      </w:r>
      <w:r>
        <w:rPr>
          <w:rFonts w:hint="eastAsia" w:ascii="仿宋_GB2312" w:hAnsi="仿宋_GB2312" w:eastAsia="仿宋_GB2312" w:cs="仿宋_GB2312"/>
          <w:color w:val="auto"/>
          <w:sz w:val="21"/>
          <w:szCs w:val="21"/>
          <w:highlight w:val="none"/>
          <w:u w:val="none"/>
          <w:lang w:eastAsia="zh-CN"/>
        </w:rPr>
        <w:t>原因造成甲方</w:t>
      </w:r>
      <w:r>
        <w:rPr>
          <w:rFonts w:hint="eastAsia" w:ascii="仿宋_GB2312" w:hAnsi="仿宋_GB2312" w:eastAsia="仿宋_GB2312" w:cs="仿宋_GB2312"/>
          <w:color w:val="auto"/>
          <w:sz w:val="21"/>
          <w:szCs w:val="21"/>
          <w:highlight w:val="none"/>
          <w:u w:val="none"/>
          <w:lang w:val="en-US" w:eastAsia="zh-CN"/>
        </w:rPr>
        <w:t>已完工程（含设备）</w:t>
      </w:r>
      <w:r>
        <w:rPr>
          <w:rFonts w:hint="eastAsia" w:ascii="仿宋_GB2312" w:hAnsi="仿宋_GB2312" w:eastAsia="仿宋_GB2312" w:cs="仿宋_GB2312"/>
          <w:color w:val="auto"/>
          <w:sz w:val="21"/>
          <w:szCs w:val="21"/>
          <w:highlight w:val="none"/>
          <w:u w:val="none"/>
          <w:lang w:eastAsia="zh-CN"/>
        </w:rPr>
        <w:t>等损坏的，乙方应于</w:t>
      </w:r>
      <w:r>
        <w:rPr>
          <w:rFonts w:hint="eastAsia" w:ascii="仿宋_GB2312" w:hAnsi="仿宋_GB2312" w:eastAsia="仿宋_GB2312" w:cs="仿宋_GB2312"/>
          <w:color w:val="auto"/>
          <w:sz w:val="21"/>
          <w:szCs w:val="21"/>
          <w:highlight w:val="none"/>
          <w:u w:val="none"/>
          <w:lang w:val="en-US" w:eastAsia="zh-CN"/>
        </w:rPr>
        <w:t>7</w:t>
      </w:r>
      <w:r>
        <w:rPr>
          <w:rFonts w:hint="eastAsia" w:ascii="仿宋_GB2312" w:hAnsi="仿宋_GB2312" w:eastAsia="仿宋_GB2312" w:cs="仿宋_GB2312"/>
          <w:color w:val="auto"/>
          <w:sz w:val="21"/>
          <w:szCs w:val="21"/>
          <w:highlight w:val="none"/>
          <w:u w:val="none"/>
          <w:lang w:eastAsia="zh-CN"/>
        </w:rPr>
        <w:t>天内对相应</w:t>
      </w:r>
      <w:r>
        <w:rPr>
          <w:rFonts w:hint="eastAsia" w:ascii="仿宋_GB2312" w:hAnsi="仿宋_GB2312" w:eastAsia="仿宋_GB2312" w:cs="仿宋_GB2312"/>
          <w:color w:val="auto"/>
          <w:sz w:val="21"/>
          <w:szCs w:val="21"/>
          <w:highlight w:val="none"/>
          <w:u w:val="none"/>
          <w:lang w:val="en-US" w:eastAsia="zh-CN"/>
        </w:rPr>
        <w:t>工程（含设备）</w:t>
      </w:r>
      <w:r>
        <w:rPr>
          <w:rFonts w:hint="eastAsia" w:ascii="仿宋_GB2312" w:hAnsi="仿宋_GB2312" w:eastAsia="仿宋_GB2312" w:cs="仿宋_GB2312"/>
          <w:color w:val="auto"/>
          <w:sz w:val="21"/>
          <w:szCs w:val="21"/>
          <w:highlight w:val="none"/>
          <w:u w:val="none"/>
          <w:lang w:eastAsia="zh-CN"/>
        </w:rPr>
        <w:t>完成维修</w:t>
      </w:r>
      <w:r>
        <w:rPr>
          <w:rFonts w:hint="eastAsia" w:ascii="仿宋_GB2312" w:hAnsi="仿宋_GB2312" w:eastAsia="仿宋_GB2312" w:cs="仿宋_GB2312"/>
          <w:color w:val="auto"/>
          <w:sz w:val="21"/>
          <w:szCs w:val="21"/>
          <w:highlight w:val="none"/>
          <w:u w:val="none"/>
          <w:lang w:val="en-US" w:eastAsia="zh-CN"/>
        </w:rPr>
        <w:t>并恢复原状</w:t>
      </w:r>
      <w:r>
        <w:rPr>
          <w:rFonts w:hint="eastAsia" w:ascii="仿宋_GB2312" w:hAnsi="仿宋_GB2312" w:eastAsia="仿宋_GB2312" w:cs="仿宋_GB2312"/>
          <w:color w:val="auto"/>
          <w:sz w:val="21"/>
          <w:szCs w:val="21"/>
          <w:highlight w:val="none"/>
          <w:u w:val="none"/>
          <w:lang w:eastAsia="zh-CN"/>
        </w:rPr>
        <w:t>，相应维修费用由乙方承担。</w:t>
      </w:r>
      <w:r>
        <w:rPr>
          <w:rFonts w:hint="eastAsia" w:ascii="仿宋_GB2312" w:hAnsi="仿宋_GB2312" w:eastAsia="仿宋_GB2312" w:cs="仿宋_GB2312"/>
          <w:color w:val="auto"/>
          <w:sz w:val="21"/>
          <w:szCs w:val="21"/>
          <w:highlight w:val="none"/>
          <w:u w:val="none"/>
          <w:lang w:val="en-US" w:eastAsia="zh-CN"/>
        </w:rPr>
        <w:t>若乙方未在规定时间内恢复原状的，甲方有权自行委托第三方进行维修并恢复原状，相应费用由乙方承担。</w:t>
      </w:r>
      <w:r>
        <w:rPr>
          <w:rFonts w:hint="eastAsia" w:ascii="仿宋_GB2312" w:hAnsi="仿宋_GB2312" w:eastAsia="仿宋_GB2312" w:cs="仿宋_GB2312"/>
          <w:color w:val="auto"/>
          <w:sz w:val="21"/>
          <w:szCs w:val="21"/>
          <w:highlight w:val="none"/>
          <w:u w:val="none"/>
        </w:rPr>
        <w:t>买方或出资人</w:t>
      </w:r>
      <w:r>
        <w:rPr>
          <w:rFonts w:hint="eastAsia" w:ascii="仿宋_GB2312" w:hAnsi="仿宋_GB2312" w:eastAsia="仿宋_GB2312" w:cs="仿宋_GB2312"/>
          <w:color w:val="auto"/>
          <w:sz w:val="21"/>
          <w:szCs w:val="21"/>
          <w:highlight w:val="none"/>
          <w:u w:val="none"/>
          <w:lang w:val="en-US" w:eastAsia="zh-CN"/>
        </w:rPr>
        <w:t>有权直接</w:t>
      </w:r>
      <w:r>
        <w:rPr>
          <w:rFonts w:hint="eastAsia" w:ascii="仿宋_GB2312" w:hAnsi="仿宋_GB2312" w:eastAsia="仿宋_GB2312" w:cs="仿宋_GB2312"/>
          <w:color w:val="auto"/>
          <w:sz w:val="21"/>
          <w:szCs w:val="21"/>
          <w:highlight w:val="none"/>
          <w:u w:val="none"/>
        </w:rPr>
        <w:t>从未付款或从卖方的履约保证金（若有）中扣回索赔金额。如果这些金额不足以补偿</w:t>
      </w:r>
      <w:r>
        <w:rPr>
          <w:rFonts w:hint="eastAsia" w:ascii="仿宋_GB2312" w:hAnsi="仿宋_GB2312" w:eastAsia="仿宋_GB2312" w:cs="仿宋_GB2312"/>
          <w:color w:val="auto"/>
          <w:sz w:val="21"/>
          <w:szCs w:val="21"/>
          <w:highlight w:val="none"/>
          <w:u w:val="none"/>
          <w:lang w:val="en-US" w:eastAsia="zh-CN"/>
        </w:rPr>
        <w:t>相应费用</w:t>
      </w:r>
      <w:r>
        <w:rPr>
          <w:rFonts w:hint="eastAsia" w:ascii="仿宋_GB2312" w:hAnsi="仿宋_GB2312" w:eastAsia="仿宋_GB2312" w:cs="仿宋_GB2312"/>
          <w:color w:val="auto"/>
          <w:sz w:val="21"/>
          <w:szCs w:val="21"/>
          <w:highlight w:val="none"/>
          <w:u w:val="none"/>
        </w:rPr>
        <w:t>，买方或出资人有权向卖方提出不足部分的补偿。</w:t>
      </w:r>
    </w:p>
    <w:p w14:paraId="32D84E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9.</w:t>
      </w:r>
      <w:r>
        <w:rPr>
          <w:rFonts w:hint="eastAsia" w:ascii="仿宋_GB2312" w:hAnsi="仿宋_GB2312" w:eastAsia="仿宋_GB2312" w:cs="仿宋_GB2312"/>
          <w:color w:val="auto"/>
          <w:sz w:val="21"/>
          <w:szCs w:val="21"/>
          <w:highlight w:val="none"/>
          <w:u w:val="none"/>
          <w:lang w:val="en-US" w:eastAsia="zh-CN"/>
        </w:rPr>
        <w:t>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本合同采购货物的保修期为货物验收合格之日起</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none"/>
        </w:rPr>
        <w:t>个月。在保修期内，卖方须免费负责修理和替换任何由于设备自身的质量问题造成的损坏及故障。卖方在质保期内的工作还应包括对货物的常规检查、调整；</w:t>
      </w:r>
    </w:p>
    <w:p w14:paraId="059181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9.</w:t>
      </w:r>
      <w:r>
        <w:rPr>
          <w:rFonts w:hint="eastAsia" w:ascii="仿宋_GB2312" w:hAnsi="仿宋_GB2312" w:eastAsia="仿宋_GB2312" w:cs="仿宋_GB2312"/>
          <w:color w:val="auto"/>
          <w:sz w:val="21"/>
          <w:szCs w:val="21"/>
          <w:highlight w:val="none"/>
          <w:u w:val="none"/>
          <w:lang w:val="en-US" w:eastAsia="zh-CN"/>
        </w:rPr>
        <w:t>4</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维修点应设在浙江宁波市，并有生产厂家授权的售后服务资格，以处理所有的维修服务，维修人员需在接到维修电话后4小时赶到现场，提供不间断的服务直到结束。如果在短时内故障无法修复，则应提供同规格设备代用，维修点需提供足够的备件以适应买方维修需求；</w:t>
      </w:r>
    </w:p>
    <w:p w14:paraId="0A68C8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9.</w:t>
      </w:r>
      <w:r>
        <w:rPr>
          <w:rFonts w:hint="eastAsia" w:ascii="仿宋_GB2312" w:hAnsi="仿宋_GB2312" w:eastAsia="仿宋_GB2312" w:cs="仿宋_GB2312"/>
          <w:color w:val="auto"/>
          <w:sz w:val="21"/>
          <w:szCs w:val="21"/>
          <w:highlight w:val="none"/>
          <w:u w:val="none"/>
          <w:lang w:val="en-US" w:eastAsia="zh-CN"/>
        </w:rPr>
        <w:t>5</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若投标文件中的“保修期和售后服务承诺”中有比上述更好的条款，则执行更好的条款。</w:t>
      </w:r>
    </w:p>
    <w:p w14:paraId="3E0CD0F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10．检验</w:t>
      </w:r>
    </w:p>
    <w:p w14:paraId="51E6A2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10.1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在交货前，卖方应对货物的质量、规格、性能、数量、重量等进行详细而全面的检验，并出具一份证明货物符合合同规定的证书。该证书将作为申请付款单据的一部分，但有关质量、规格、性能、数量、重量的检验不应视为最终检验。卖方检验的结果和细节应在证书中予以说明；</w:t>
      </w:r>
    </w:p>
    <w:p w14:paraId="059CB5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10.2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货物运抵现场后，由监理方组织买方、有关单位按照采购文件的技术要求和国家有关质量标准，对货物的质量、规格、数量和重量进行检验，并出具检验证书；</w:t>
      </w:r>
    </w:p>
    <w:p w14:paraId="0670C3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10.3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买方有权提出在货物制造过程中派人到产品制造厂进行监造，卖方有义务为买方监造人员提供方便。卖方对货物进行运行试验和性能试验时，必须提前通知买方。</w:t>
      </w:r>
    </w:p>
    <w:p w14:paraId="002FD89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11．索赔</w:t>
      </w:r>
    </w:p>
    <w:p w14:paraId="5B95CA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11.1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如果货物的质量和规格与合同不符，或在质保期内证实货物是有缺陷的，包括潜在的缺陷或使用不符合要求的材料，买方按检验标准根据自检结果或当地有关部门出具的检验证书向卖方提出索赔。卖方应按照买方同意的下列一种或多种方式解决索赔事宜：</w:t>
      </w:r>
    </w:p>
    <w:p w14:paraId="2FA8BD9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11.1.1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退货：卖方将货款退还给买方，并承担由此发生的一切损失和费用，包括利息、银行手续费、运费、保险费、检验费、仓储费、装卸费以及为保护退回货物所需的其它必要费用；</w:t>
      </w:r>
    </w:p>
    <w:p w14:paraId="1DDAD6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11.1.2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根据货物低劣程度、损坏程度以及买方所遭受损失的数额，经合同三方商定降低货物的价格；</w:t>
      </w:r>
    </w:p>
    <w:p w14:paraId="0FB362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11.1.3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用符合规格、质量和性能要求的新零件、部件或货物来更换有缺陷的部分或修补缺陷部分，卖方应承担一切费用和风险，并负担买方所发生的一切直接费用。同时卖方应相应延长修补或更换部件的质保期；</w:t>
      </w:r>
    </w:p>
    <w:p w14:paraId="25C951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11.</w:t>
      </w:r>
      <w:r>
        <w:rPr>
          <w:rFonts w:hint="eastAsia" w:ascii="仿宋_GB2312" w:hAnsi="仿宋_GB2312" w:eastAsia="仿宋_GB2312" w:cs="仿宋_GB2312"/>
          <w:color w:val="auto"/>
          <w:sz w:val="21"/>
          <w:szCs w:val="21"/>
          <w:highlight w:val="none"/>
          <w:u w:val="none"/>
          <w:lang w:val="en-US" w:eastAsia="zh-CN"/>
        </w:rPr>
        <w:t>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如果在买方或出资人发出索赔通知后15天内，卖方未作答复，上述索赔应视已被卖方接受。卖方未按规定的方法解决索赔事宜，买方或出资人将从未付款或从卖方的履约保证金（若有）中扣回索赔金额。如果这些金额不足以补偿索赔金额，买方或出资人有权向卖方提出不足部分的补偿。</w:t>
      </w:r>
    </w:p>
    <w:p w14:paraId="0F5041B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12．延期交货</w:t>
      </w:r>
    </w:p>
    <w:p w14:paraId="369CDF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12.1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在履行合同过程中，如果卖方遇到不能按时交货和提供服务的情况，应及时以书面形式将不能按时交货的理由、延误时间通知买方。买方在收到卖方通知后，应进行分析，如果同意，可通过修改合同，酌情延长交货时间；</w:t>
      </w:r>
    </w:p>
    <w:p w14:paraId="34EE74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12.2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除不可抗力外，未经买方同意，卖方拖延交货每逾期一天处以1000元违约金；</w:t>
      </w:r>
    </w:p>
    <w:p w14:paraId="42BDC2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12.3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逾期交付时间超过买方同意延长的限期，卖方仍不能交付的，买方可以采取终止合同，对造成的损失买方保留索赔的权利。</w:t>
      </w:r>
    </w:p>
    <w:p w14:paraId="432EAC0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13．违约终止合同</w:t>
      </w:r>
    </w:p>
    <w:p w14:paraId="0C706E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13.1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卖方未能履行合同规定的义务，卖方在收到买方发出的违约通知后10天内未能纠正其过失，买方可向卖方发出书面通知，终止部分或全部合同；</w:t>
      </w:r>
    </w:p>
    <w:p w14:paraId="449104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13.2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在买方根据上述第13.1条规定，终止了全部或部分合同，买方可以依其认为适当的条件和方法购买与未交货物类似的货物，卖方应对购买类似货物所超出的费用负责。而且卖方还应继续执行合同中未终止的部分；</w:t>
      </w:r>
    </w:p>
    <w:p w14:paraId="05E1C1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13.3</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卖方因验收不合格更换货物或整改后应保证一次性验收合格，如果再次验收不合格，买方可退货并终止合同，因此给买方造成损失的，卖方须承担赔偿责任。</w:t>
      </w:r>
    </w:p>
    <w:p w14:paraId="7128643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14．不可抗力</w:t>
      </w:r>
    </w:p>
    <w:p w14:paraId="0439F9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14.1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如果三方中任何一方由于战争、台风和地震以及其它经三方同意属于不可抗力的事故，致使合同履行受阻时，履行合同的期限应予延长，延长的期限应相当于事故所影响的时间；</w:t>
      </w:r>
    </w:p>
    <w:p w14:paraId="548C73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14.2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受事故影响的一方应在不可抗力的事故发生后尽快以电报或传真通知其他方，并在事故发生后14天内，将有关部门出具的证明文件递交其他方。如果不可抗力影响时间延续120天以上的，三方应通过友好协商在合理的时间内达成进一步履行合同的协议。</w:t>
      </w:r>
    </w:p>
    <w:p w14:paraId="0063AE9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15．诉讼</w:t>
      </w:r>
    </w:p>
    <w:p w14:paraId="3916B8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15.1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合同三方通过友好协商，解决在执行本合同中所发生的或与本合同有关的一切争端，如果协商仍得不到解决，三方均可按《中华人民共和国民法典》规定向宁波市北仑区人民法院提起诉讼；</w:t>
      </w:r>
    </w:p>
    <w:p w14:paraId="32BA71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15.2</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在诉讼期间，除正在进行诉讼的部分外，本合同其它部分应继续执行。</w:t>
      </w:r>
    </w:p>
    <w:p w14:paraId="3B283AA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16．合同修改</w:t>
      </w:r>
    </w:p>
    <w:p w14:paraId="0C37E8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欲对合同条款进行任何改动，均须由合同三方签署书面的合同修改书。</w:t>
      </w:r>
    </w:p>
    <w:p w14:paraId="3BA67D9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17．合同附件</w:t>
      </w:r>
    </w:p>
    <w:p w14:paraId="0D2B03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与本合同有关的采购文件、投标文件、设计图纸、询标答疑或承诺书（若有）、中标通知书、补充合同（若有）及有关往来文件（会议纪要、往来信函等）均为合同的组成部分，与本合同具有同等法律效力。</w:t>
      </w:r>
    </w:p>
    <w:p w14:paraId="2CCBD0F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18．廉政建设</w:t>
      </w:r>
      <w:bookmarkStart w:id="377" w:name="_Toc43092491"/>
      <w:bookmarkStart w:id="378" w:name="_Toc88644496"/>
    </w:p>
    <w:p w14:paraId="2FA625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18.1</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合同三方应建立健全廉政制度，互相监督并认真查处违法违纪行为。发现对方在业务活动中有违反本合同行为的，有及时提醒对方纠正的权利和义务。情节严重的，有向其上级有关部门举报、建议给予处分并要求告知处理结果的权利；</w:t>
      </w:r>
    </w:p>
    <w:p w14:paraId="27A2F1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18.2、卖方承诺，如本工程卖方工作人员违反廉政规定，有违规向买方或出资人工作人员赠物送钱等行贿行为，买方可向建设行政等部门提议并将其列入不良市场行为进行通报公示，限制卖方在北仑区承接政府投资项目施工业务1～3年；</w:t>
      </w:r>
    </w:p>
    <w:p w14:paraId="4A3BFF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18.3</w:t>
      </w:r>
      <w:bookmarkEnd w:id="377"/>
      <w:bookmarkEnd w:id="378"/>
      <w:r>
        <w:rPr>
          <w:rFonts w:hint="eastAsia" w:ascii="仿宋_GB2312" w:hAnsi="仿宋_GB2312" w:eastAsia="仿宋_GB2312" w:cs="仿宋_GB2312"/>
          <w:color w:val="auto"/>
          <w:sz w:val="21"/>
          <w:szCs w:val="21"/>
          <w:highlight w:val="none"/>
          <w:u w:val="none"/>
          <w:lang w:val="zh-CN"/>
        </w:rPr>
        <w:t>、三方约定：因卖方违反廉政法规的行为，导致买方或出资人工作人员受行政处分乃至刑事处罚的，买方或出资人出具通知书并直接从合同款中进行扣除，扣款额度视情节严重程度计算；工程竣工后二年内如发现卖方有违反廉政法规行为，买方和出资人有权追索。</w:t>
      </w:r>
    </w:p>
    <w:p w14:paraId="140FCD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lang w:val="zh-CN"/>
        </w:rPr>
      </w:pPr>
      <w:r>
        <w:rPr>
          <w:rFonts w:hint="eastAsia" w:ascii="仿宋_GB2312" w:hAnsi="仿宋_GB2312" w:eastAsia="仿宋_GB2312" w:cs="仿宋_GB2312"/>
          <w:b/>
          <w:bCs/>
          <w:color w:val="auto"/>
          <w:sz w:val="21"/>
          <w:szCs w:val="21"/>
          <w:highlight w:val="none"/>
        </w:rPr>
        <w:t>19．</w:t>
      </w:r>
      <w:r>
        <w:rPr>
          <w:rFonts w:hint="eastAsia" w:ascii="仿宋_GB2312" w:hAnsi="仿宋_GB2312" w:eastAsia="仿宋_GB2312" w:cs="仿宋_GB2312"/>
          <w:b/>
          <w:bCs/>
          <w:color w:val="auto"/>
          <w:sz w:val="21"/>
          <w:szCs w:val="21"/>
          <w:highlight w:val="none"/>
          <w:lang w:val="zh-CN"/>
        </w:rPr>
        <w:t>其它约定</w:t>
      </w:r>
    </w:p>
    <w:p w14:paraId="1F86F1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买方或出资人若发现卖方投标文件中所提供货物的规格、型号、技术参数等有低于招标文件及图纸要求的，卖方应按招标文件及图纸的要求予以调高，且中标价不作调整，否则买方有权不签订合同或终止合同的执行，重新组织评标或招标，由此所产生的相关费用及损失均由卖方承担。</w:t>
      </w:r>
    </w:p>
    <w:p w14:paraId="76A7A7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履约最终验收合格后，买方将对卖方进行履约考核评分。</w:t>
      </w:r>
    </w:p>
    <w:p w14:paraId="3CAA0D3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20．未尽事宜</w:t>
      </w:r>
    </w:p>
    <w:p w14:paraId="55289E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未尽事宜，三方协商解决。</w:t>
      </w:r>
    </w:p>
    <w:p w14:paraId="6525912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21．合同生效</w:t>
      </w:r>
    </w:p>
    <w:p w14:paraId="160F8F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21.1、合同订立地点：</w:t>
      </w:r>
      <w:r>
        <w:rPr>
          <w:rFonts w:hint="eastAsia" w:ascii="仿宋_GB2312" w:hAnsi="仿宋_GB2312" w:eastAsia="仿宋_GB2312" w:cs="仿宋_GB2312"/>
          <w:color w:val="auto"/>
          <w:sz w:val="21"/>
          <w:szCs w:val="21"/>
          <w:highlight w:val="none"/>
          <w:u w:val="single"/>
          <w:lang w:val="zh-CN"/>
        </w:rPr>
        <w:t>宁波市北仑区</w:t>
      </w:r>
      <w:r>
        <w:rPr>
          <w:rFonts w:hint="eastAsia" w:ascii="仿宋_GB2312" w:hAnsi="仿宋_GB2312" w:eastAsia="仿宋_GB2312" w:cs="仿宋_GB2312"/>
          <w:color w:val="auto"/>
          <w:sz w:val="21"/>
          <w:szCs w:val="21"/>
          <w:highlight w:val="none"/>
          <w:u w:val="none"/>
          <w:lang w:val="zh-CN"/>
        </w:rPr>
        <w:t>；</w:t>
      </w:r>
    </w:p>
    <w:p w14:paraId="53F7F5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21.2、本合同一式</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u w:val="none"/>
          <w:lang w:val="zh-CN"/>
        </w:rPr>
        <w:t>份，三方各执</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u w:val="none"/>
          <w:lang w:val="zh-CN"/>
        </w:rPr>
        <w:t>份。在三方签字盖章后开始生效。</w:t>
      </w:r>
    </w:p>
    <w:p w14:paraId="07B5BA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063D6D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0CA4C7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0279B7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110E21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 xml:space="preserve">买方：（公章）                      </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lang w:val="zh-CN"/>
        </w:rPr>
        <w:t>卖方：（公章）</w:t>
      </w:r>
    </w:p>
    <w:p w14:paraId="5B2DB0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693744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 xml:space="preserve">法定代表人或授权代表（签字）：     </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lang w:val="zh-CN"/>
        </w:rPr>
        <w:t xml:space="preserve"> 法定代表人或授权代表（签字）：</w:t>
      </w:r>
    </w:p>
    <w:p w14:paraId="473289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355B7F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 xml:space="preserve">联系方式：（电话）                 </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lang w:val="zh-CN"/>
        </w:rPr>
        <w:t xml:space="preserve"> 联系方式：（电话）</w:t>
      </w:r>
    </w:p>
    <w:p w14:paraId="672691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0833D0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 xml:space="preserve">日期：   年   月   日             </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lang w:val="zh-CN"/>
        </w:rPr>
        <w:t xml:space="preserve">  日期：   年   月   日</w:t>
      </w:r>
    </w:p>
    <w:p w14:paraId="4EB31D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3B8929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16AF12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出资人：（公章）</w:t>
      </w:r>
    </w:p>
    <w:p w14:paraId="516515F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00EC75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法定代表人或授权代表（签字）：</w:t>
      </w:r>
    </w:p>
    <w:p w14:paraId="395861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0D0E54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联系方式：（电话）</w:t>
      </w:r>
    </w:p>
    <w:p w14:paraId="25764F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p>
    <w:p w14:paraId="1AF3C8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u w:val="none"/>
          <w:lang w:val="zh-CN"/>
        </w:rPr>
      </w:pPr>
      <w:r>
        <w:rPr>
          <w:rFonts w:hint="eastAsia" w:ascii="仿宋_GB2312" w:hAnsi="仿宋_GB2312" w:eastAsia="仿宋_GB2312" w:cs="仿宋_GB2312"/>
          <w:color w:val="auto"/>
          <w:sz w:val="21"/>
          <w:szCs w:val="21"/>
          <w:highlight w:val="none"/>
          <w:u w:val="none"/>
          <w:lang w:val="zh-CN"/>
        </w:rPr>
        <w:t>日期：   年   月   日</w:t>
      </w:r>
    </w:p>
    <w:p w14:paraId="5B51BA14">
      <w:pPr>
        <w:rPr>
          <w:rFonts w:hint="eastAsia" w:ascii="仿宋_GB2312" w:hAnsi="仿宋_GB2312" w:eastAsia="仿宋_GB2312" w:cs="仿宋_GB2312"/>
          <w:b/>
          <w:color w:val="auto"/>
          <w:sz w:val="36"/>
          <w:szCs w:val="20"/>
          <w:highlight w:val="none"/>
          <w:lang w:val="en-US" w:eastAsia="zh-CN"/>
        </w:rPr>
      </w:pPr>
      <w:r>
        <w:rPr>
          <w:rFonts w:hint="eastAsia" w:ascii="仿宋_GB2312" w:hAnsi="仿宋_GB2312" w:eastAsia="仿宋_GB2312" w:cs="仿宋_GB2312"/>
          <w:b/>
          <w:color w:val="auto"/>
          <w:sz w:val="36"/>
          <w:szCs w:val="20"/>
          <w:highlight w:val="none"/>
          <w:lang w:val="en-US" w:eastAsia="zh-CN"/>
        </w:rPr>
        <w:br w:type="page"/>
      </w:r>
    </w:p>
    <w:p w14:paraId="64098EE1">
      <w:pPr>
        <w:keepNext w:val="0"/>
        <w:keepLines w:val="0"/>
        <w:pageBreakBefore w:val="0"/>
        <w:widowControl w:val="0"/>
        <w:kinsoku/>
        <w:wordWrap/>
        <w:overflowPunct/>
        <w:topLinePunct w:val="0"/>
        <w:autoSpaceDE/>
        <w:autoSpaceDN/>
        <w:bidi w:val="0"/>
        <w:adjustRightInd w:val="0"/>
        <w:snapToGrid/>
        <w:spacing w:line="640" w:lineRule="exact"/>
        <w:jc w:val="center"/>
        <w:textAlignment w:val="auto"/>
        <w:outlineLvl w:val="0"/>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lang w:val="en-US" w:eastAsia="zh-CN"/>
        </w:rPr>
        <w:t xml:space="preserve">第六章 </w:t>
      </w:r>
      <w:r>
        <w:rPr>
          <w:rFonts w:hint="eastAsia" w:ascii="仿宋_GB2312" w:hAnsi="仿宋_GB2312" w:eastAsia="仿宋_GB2312" w:cs="仿宋_GB2312"/>
          <w:b/>
          <w:bCs/>
          <w:color w:val="auto"/>
          <w:sz w:val="36"/>
          <w:szCs w:val="36"/>
          <w:highlight w:val="none"/>
        </w:rPr>
        <w:t>应提交的有关格式范例</w:t>
      </w:r>
    </w:p>
    <w:p w14:paraId="1051F25D">
      <w:pPr>
        <w:adjustRightInd/>
        <w:spacing w:line="440" w:lineRule="exact"/>
        <w:jc w:val="center"/>
        <w:rPr>
          <w:rFonts w:ascii="仿宋_GB2312" w:hAnsi="仿宋_GB2312" w:eastAsia="仿宋_GB2312" w:cs="仿宋_GB2312"/>
          <w:b/>
          <w:color w:val="auto"/>
          <w:kern w:val="0"/>
          <w:sz w:val="36"/>
          <w:szCs w:val="36"/>
          <w:highlight w:val="none"/>
        </w:rPr>
      </w:pPr>
    </w:p>
    <w:p w14:paraId="3A016484">
      <w:pPr>
        <w:adjustRightInd/>
        <w:spacing w:line="440" w:lineRule="exact"/>
        <w:jc w:val="center"/>
        <w:outlineLvl w:val="1"/>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资格文件部分</w:t>
      </w:r>
    </w:p>
    <w:p w14:paraId="1E150F78">
      <w:pPr>
        <w:adjustRightInd/>
        <w:spacing w:line="440" w:lineRule="exact"/>
        <w:jc w:val="center"/>
        <w:rPr>
          <w:rFonts w:ascii="仿宋_GB2312" w:hAnsi="仿宋_GB2312" w:eastAsia="仿宋_GB2312" w:cs="仿宋_GB2312"/>
          <w:b/>
          <w:color w:val="auto"/>
          <w:kern w:val="0"/>
          <w:sz w:val="36"/>
          <w:szCs w:val="36"/>
          <w:highlight w:val="none"/>
        </w:rPr>
      </w:pPr>
    </w:p>
    <w:p w14:paraId="3FC3F6E6">
      <w:pPr>
        <w:adjustRightInd/>
        <w:spacing w:line="440" w:lineRule="exact"/>
        <w:jc w:val="center"/>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目录</w:t>
      </w:r>
    </w:p>
    <w:p w14:paraId="0AD0A4A7">
      <w:pPr>
        <w:adjustRightInd/>
        <w:spacing w:line="440" w:lineRule="exact"/>
        <w:jc w:val="center"/>
        <w:rPr>
          <w:rFonts w:ascii="仿宋_GB2312" w:hAnsi="仿宋_GB2312" w:eastAsia="仿宋_GB2312" w:cs="仿宋_GB2312"/>
          <w:b/>
          <w:color w:val="auto"/>
          <w:kern w:val="0"/>
          <w:sz w:val="36"/>
          <w:szCs w:val="36"/>
          <w:highlight w:val="none"/>
        </w:rPr>
      </w:pPr>
    </w:p>
    <w:p w14:paraId="65B7C678">
      <w:pPr>
        <w:numPr>
          <w:ilvl w:val="0"/>
          <w:numId w:val="2"/>
        </w:num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具有独立承担民事责任能力的证明材料……………………………（页码）</w:t>
      </w:r>
    </w:p>
    <w:p w14:paraId="688ABF4E">
      <w:pPr>
        <w:numPr>
          <w:ilvl w:val="0"/>
          <w:numId w:val="2"/>
        </w:num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符合参加政府采购活动应当具备的一般条件的承诺函……………（页码）</w:t>
      </w:r>
    </w:p>
    <w:p w14:paraId="22A422A3">
      <w:pPr>
        <w:numPr>
          <w:ilvl w:val="0"/>
          <w:numId w:val="2"/>
        </w:num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联合协议</w:t>
      </w:r>
      <w:r>
        <w:rPr>
          <w:rFonts w:hint="eastAsia" w:ascii="仿宋_GB2312" w:hAnsi="仿宋_GB2312" w:eastAsia="仿宋_GB2312" w:cs="仿宋_GB2312"/>
          <w:color w:val="auto"/>
          <w:sz w:val="24"/>
          <w:highlight w:val="none"/>
        </w:rPr>
        <w:t>………………………………………………………………（页码）</w:t>
      </w:r>
    </w:p>
    <w:p w14:paraId="77D381EF">
      <w:pPr>
        <w:numPr>
          <w:ilvl w:val="0"/>
          <w:numId w:val="2"/>
        </w:num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落实政府采购政策需满足的资格要求………………………………（页码）</w:t>
      </w:r>
    </w:p>
    <w:p w14:paraId="59E9375A">
      <w:pPr>
        <w:numPr>
          <w:ilvl w:val="0"/>
          <w:numId w:val="2"/>
        </w:num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本项目的特定资格要求………………………………………………（页码）</w:t>
      </w:r>
    </w:p>
    <w:p w14:paraId="30DCFB9A">
      <w:pPr>
        <w:adjustRightInd/>
        <w:spacing w:line="440" w:lineRule="exact"/>
        <w:ind w:firstLine="480" w:firstLineChars="200"/>
        <w:rPr>
          <w:rFonts w:ascii="仿宋_GB2312" w:hAnsi="仿宋_GB2312" w:eastAsia="仿宋_GB2312" w:cs="仿宋_GB2312"/>
          <w:color w:val="auto"/>
          <w:sz w:val="24"/>
          <w:highlight w:val="none"/>
        </w:rPr>
      </w:pPr>
    </w:p>
    <w:p w14:paraId="32A7529A">
      <w:pP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14BD1C0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一、具有独立承担民事责任能力的证明材料</w:t>
      </w:r>
    </w:p>
    <w:p w14:paraId="6361F7B4">
      <w:pPr>
        <w:spacing w:line="440" w:lineRule="exact"/>
        <w:ind w:firstLine="420" w:firstLineChars="200"/>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lang w:val="en-US" w:eastAsia="zh-CN"/>
        </w:rPr>
        <w:t>投标人</w:t>
      </w:r>
      <w:r>
        <w:rPr>
          <w:rFonts w:hint="eastAsia" w:ascii="仿宋_GB2312" w:hAnsi="仿宋_GB2312" w:eastAsia="仿宋_GB2312" w:cs="仿宋_GB2312"/>
          <w:bCs/>
          <w:color w:val="auto"/>
          <w:szCs w:val="21"/>
          <w:highlight w:val="none"/>
        </w:rPr>
        <w:t>应在投标文件中出具符合以下情况的证明材料（</w:t>
      </w:r>
      <w:r>
        <w:rPr>
          <w:rFonts w:hint="eastAsia" w:ascii="仿宋_GB2312" w:hAnsi="仿宋_GB2312" w:eastAsia="仿宋_GB2312" w:cs="仿宋_GB2312"/>
          <w:bCs/>
          <w:color w:val="auto"/>
          <w:szCs w:val="21"/>
          <w:highlight w:val="none"/>
          <w:lang w:val="en-US" w:eastAsia="zh-CN"/>
        </w:rPr>
        <w:t>六</w:t>
      </w:r>
      <w:r>
        <w:rPr>
          <w:rFonts w:hint="eastAsia" w:ascii="仿宋_GB2312" w:hAnsi="仿宋_GB2312" w:eastAsia="仿宋_GB2312" w:cs="仿宋_GB2312"/>
          <w:bCs/>
          <w:color w:val="auto"/>
          <w:szCs w:val="21"/>
          <w:highlight w:val="none"/>
        </w:rPr>
        <w:t>选一）：</w:t>
      </w:r>
    </w:p>
    <w:p w14:paraId="1221C507">
      <w:pPr>
        <w:spacing w:line="440" w:lineRule="exact"/>
        <w:ind w:firstLine="420" w:firstLineChars="200"/>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①如</w:t>
      </w:r>
      <w:r>
        <w:rPr>
          <w:rFonts w:hint="eastAsia" w:ascii="仿宋_GB2312" w:hAnsi="仿宋_GB2312" w:eastAsia="仿宋_GB2312" w:cs="仿宋_GB2312"/>
          <w:bCs/>
          <w:color w:val="auto"/>
          <w:szCs w:val="21"/>
          <w:highlight w:val="none"/>
          <w:lang w:val="en-US" w:eastAsia="zh-CN"/>
        </w:rPr>
        <w:t>投标人</w:t>
      </w:r>
      <w:r>
        <w:rPr>
          <w:rFonts w:hint="eastAsia" w:ascii="仿宋_GB2312" w:hAnsi="仿宋_GB2312" w:eastAsia="仿宋_GB2312" w:cs="仿宋_GB2312"/>
          <w:bCs/>
          <w:color w:val="auto"/>
          <w:szCs w:val="21"/>
          <w:highlight w:val="none"/>
        </w:rPr>
        <w:t>是企业（包括营利法人、个人独资企业、合伙企业、中外合作经营企业、外资企业、乡镇企业、街道企业），提供在市场监督管理部门注册的有效“营业执照”；</w:t>
      </w:r>
    </w:p>
    <w:p w14:paraId="38FDDB22">
      <w:pPr>
        <w:spacing w:line="440" w:lineRule="exact"/>
        <w:ind w:firstLine="420" w:firstLineChars="200"/>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②如</w:t>
      </w:r>
      <w:r>
        <w:rPr>
          <w:rFonts w:hint="eastAsia" w:ascii="仿宋_GB2312" w:hAnsi="仿宋_GB2312" w:eastAsia="仿宋_GB2312" w:cs="仿宋_GB2312"/>
          <w:bCs/>
          <w:color w:val="auto"/>
          <w:szCs w:val="21"/>
          <w:highlight w:val="none"/>
          <w:lang w:val="en-US" w:eastAsia="zh-CN"/>
        </w:rPr>
        <w:t>投标人</w:t>
      </w:r>
      <w:r>
        <w:rPr>
          <w:rFonts w:hint="eastAsia" w:ascii="仿宋_GB2312" w:hAnsi="仿宋_GB2312" w:eastAsia="仿宋_GB2312" w:cs="仿宋_GB2312"/>
          <w:bCs/>
          <w:color w:val="auto"/>
          <w:szCs w:val="21"/>
          <w:highlight w:val="none"/>
        </w:rPr>
        <w:t>是非营利法人（包括事业单位、社会团体、基金会、社会服务机构等），提供有效的法人资格证书</w:t>
      </w:r>
      <w:r>
        <w:rPr>
          <w:rFonts w:hint="eastAsia" w:ascii="仿宋_GB2312" w:hAnsi="仿宋_GB2312" w:eastAsia="仿宋_GB2312" w:cs="仿宋_GB2312"/>
          <w:bCs/>
          <w:color w:val="auto"/>
          <w:szCs w:val="21"/>
          <w:highlight w:val="none"/>
          <w:lang w:val="en-US" w:eastAsia="zh-CN"/>
        </w:rPr>
        <w:t>或登记证书</w:t>
      </w:r>
      <w:r>
        <w:rPr>
          <w:rFonts w:hint="eastAsia" w:ascii="仿宋_GB2312" w:hAnsi="仿宋_GB2312" w:eastAsia="仿宋_GB2312" w:cs="仿宋_GB2312"/>
          <w:bCs/>
          <w:color w:val="auto"/>
          <w:szCs w:val="21"/>
          <w:highlight w:val="none"/>
        </w:rPr>
        <w:t>；</w:t>
      </w:r>
    </w:p>
    <w:p w14:paraId="45F67613">
      <w:pPr>
        <w:spacing w:line="44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③如</w:t>
      </w:r>
      <w:r>
        <w:rPr>
          <w:rFonts w:hint="eastAsia" w:ascii="仿宋_GB2312" w:hAnsi="仿宋_GB2312" w:eastAsia="仿宋_GB2312" w:cs="仿宋_GB2312"/>
          <w:bCs/>
          <w:color w:val="auto"/>
          <w:szCs w:val="21"/>
          <w:highlight w:val="none"/>
          <w:lang w:val="en-US" w:eastAsia="zh-CN"/>
        </w:rPr>
        <w:t>投标人</w:t>
      </w:r>
      <w:r>
        <w:rPr>
          <w:rFonts w:hint="eastAsia" w:ascii="仿宋_GB2312" w:hAnsi="仿宋_GB2312" w:eastAsia="仿宋_GB2312" w:cs="仿宋_GB2312"/>
          <w:bCs/>
          <w:color w:val="auto"/>
          <w:szCs w:val="21"/>
          <w:highlight w:val="none"/>
        </w:rPr>
        <w:t>是特别法人（包括农村集体经济组织法人、城镇农村的合作经济组织法人、基层群众性自治组织法人等），提供有效的法人资格证书</w:t>
      </w:r>
      <w:r>
        <w:rPr>
          <w:rFonts w:hint="eastAsia" w:ascii="仿宋_GB2312" w:hAnsi="仿宋_GB2312" w:eastAsia="仿宋_GB2312" w:cs="仿宋_GB2312"/>
          <w:bCs/>
          <w:color w:val="auto"/>
          <w:szCs w:val="21"/>
          <w:highlight w:val="none"/>
          <w:lang w:val="en-US" w:eastAsia="zh-CN"/>
        </w:rPr>
        <w:t>或登记证书</w:t>
      </w:r>
      <w:r>
        <w:rPr>
          <w:rFonts w:hint="eastAsia" w:ascii="仿宋_GB2312" w:hAnsi="仿宋_GB2312" w:eastAsia="仿宋_GB2312" w:cs="仿宋_GB2312"/>
          <w:bCs/>
          <w:color w:val="auto"/>
          <w:szCs w:val="21"/>
          <w:highlight w:val="none"/>
        </w:rPr>
        <w:t>；</w:t>
      </w:r>
    </w:p>
    <w:p w14:paraId="281D0571">
      <w:pPr>
        <w:spacing w:line="440" w:lineRule="exact"/>
        <w:ind w:firstLine="420" w:firstLineChars="200"/>
        <w:rPr>
          <w:rFonts w:hint="default"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rPr>
        <w:t>④如</w:t>
      </w:r>
      <w:r>
        <w:rPr>
          <w:rFonts w:hint="eastAsia" w:ascii="仿宋_GB2312" w:hAnsi="仿宋_GB2312" w:eastAsia="仿宋_GB2312" w:cs="仿宋_GB2312"/>
          <w:bCs/>
          <w:color w:val="auto"/>
          <w:szCs w:val="21"/>
          <w:highlight w:val="none"/>
          <w:lang w:val="en-US" w:eastAsia="zh-CN"/>
        </w:rPr>
        <w:t>投标人是不具有法人资格的专业服务机构，提供有效的执业许可证或登记证书；</w:t>
      </w:r>
    </w:p>
    <w:p w14:paraId="06151EF7">
      <w:pPr>
        <w:spacing w:line="440" w:lineRule="exact"/>
        <w:ind w:firstLine="420" w:firstLineChars="200"/>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⑤如</w:t>
      </w:r>
      <w:r>
        <w:rPr>
          <w:rFonts w:hint="eastAsia" w:ascii="仿宋_GB2312" w:hAnsi="仿宋_GB2312" w:eastAsia="仿宋_GB2312" w:cs="仿宋_GB2312"/>
          <w:bCs/>
          <w:color w:val="auto"/>
          <w:szCs w:val="21"/>
          <w:highlight w:val="none"/>
          <w:lang w:val="en-US" w:eastAsia="zh-CN"/>
        </w:rPr>
        <w:t>投标人</w:t>
      </w:r>
      <w:r>
        <w:rPr>
          <w:rFonts w:hint="eastAsia" w:ascii="仿宋_GB2312" w:hAnsi="仿宋_GB2312" w:eastAsia="仿宋_GB2312" w:cs="仿宋_GB2312"/>
          <w:bCs/>
          <w:color w:val="auto"/>
          <w:szCs w:val="21"/>
          <w:highlight w:val="none"/>
        </w:rPr>
        <w:t>是个体工商户，提供有效的“个体工商户营业执照”；</w:t>
      </w:r>
    </w:p>
    <w:p w14:paraId="5E6022CE">
      <w:pPr>
        <w:spacing w:line="440" w:lineRule="exact"/>
        <w:ind w:firstLine="420" w:firstLineChars="200"/>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lang w:val="en-US" w:eastAsia="zh-CN"/>
        </w:rPr>
        <w:t>⑥</w:t>
      </w:r>
      <w:r>
        <w:rPr>
          <w:rFonts w:hint="eastAsia" w:ascii="仿宋_GB2312" w:hAnsi="仿宋_GB2312" w:eastAsia="仿宋_GB2312" w:cs="仿宋_GB2312"/>
          <w:bCs/>
          <w:color w:val="auto"/>
          <w:szCs w:val="21"/>
          <w:highlight w:val="none"/>
        </w:rPr>
        <w:t>如</w:t>
      </w:r>
      <w:r>
        <w:rPr>
          <w:rFonts w:hint="eastAsia" w:ascii="仿宋_GB2312" w:hAnsi="仿宋_GB2312" w:eastAsia="仿宋_GB2312" w:cs="仿宋_GB2312"/>
          <w:bCs/>
          <w:color w:val="auto"/>
          <w:szCs w:val="21"/>
          <w:highlight w:val="none"/>
          <w:lang w:val="en-US" w:eastAsia="zh-CN"/>
        </w:rPr>
        <w:t>投标人</w:t>
      </w:r>
      <w:r>
        <w:rPr>
          <w:rFonts w:hint="eastAsia" w:ascii="仿宋_GB2312" w:hAnsi="仿宋_GB2312" w:eastAsia="仿宋_GB2312" w:cs="仿宋_GB2312"/>
          <w:bCs/>
          <w:color w:val="auto"/>
          <w:szCs w:val="21"/>
          <w:highlight w:val="none"/>
        </w:rPr>
        <w:t>是自然人，提供有效的自然人身份证明（居民身份证正反面或公安机关出具的临时居民身份证正反面或港澳台胞证或护照）。</w:t>
      </w:r>
    </w:p>
    <w:p w14:paraId="23A534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注：根据《浙江省财政厅关于规范政府采购供应商资格设定及资格审查的通知》（浙财采监〔2013〕24号）第六条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上述单位参加政府采购活动时，应提供该单位负责人签署的相关文件材料。符合的允许参加本次采购活动。</w:t>
      </w:r>
    </w:p>
    <w:p w14:paraId="5899B5E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color w:val="auto"/>
          <w:kern w:val="0"/>
          <w:sz w:val="24"/>
          <w:highlight w:val="none"/>
        </w:rPr>
        <w:br w:type="page"/>
      </w:r>
      <w:r>
        <w:rPr>
          <w:rFonts w:hint="eastAsia" w:ascii="仿宋_GB2312" w:hAnsi="仿宋_GB2312" w:eastAsia="仿宋_GB2312" w:cs="仿宋_GB2312"/>
          <w:b/>
          <w:color w:val="auto"/>
          <w:sz w:val="32"/>
          <w:szCs w:val="20"/>
          <w:highlight w:val="none"/>
          <w:lang w:val="en-US" w:eastAsia="zh-CN"/>
        </w:rPr>
        <w:t>二、符合参加政府采购活动应当具备的一般条件的承诺函</w:t>
      </w:r>
    </w:p>
    <w:p w14:paraId="75FCA6B7">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lang w:eastAsia="zh-CN"/>
        </w:rPr>
        <w:t>宁波市北仑区公共项目建设管理中心、浙江省成套招标代理有限公司</w:t>
      </w:r>
      <w:r>
        <w:rPr>
          <w:rFonts w:hint="eastAsia" w:ascii="仿宋_GB2312" w:hAnsi="仿宋_GB2312" w:eastAsia="仿宋_GB2312" w:cs="仿宋_GB2312"/>
          <w:color w:val="auto"/>
          <w:sz w:val="24"/>
          <w:highlight w:val="none"/>
        </w:rPr>
        <w:t>：</w:t>
      </w:r>
    </w:p>
    <w:p w14:paraId="73F35176">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我方参与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新碶综合文化活动中心音视频系统采购</w:t>
      </w:r>
      <w:r>
        <w:rPr>
          <w:rFonts w:hint="eastAsia" w:ascii="仿宋_GB2312" w:hAnsi="仿宋_GB2312" w:eastAsia="仿宋_GB2312" w:cs="仿宋_GB2312"/>
          <w:color w:val="auto"/>
          <w:sz w:val="24"/>
          <w:highlight w:val="none"/>
          <w:u w:val="single"/>
        </w:rPr>
        <w:t xml:space="preserve">项目 </w:t>
      </w:r>
      <w:r>
        <w:rPr>
          <w:rFonts w:hint="eastAsia" w:ascii="仿宋_GB2312" w:hAnsi="仿宋_GB2312" w:eastAsia="仿宋_GB2312" w:cs="仿宋_GB2312"/>
          <w:color w:val="auto"/>
          <w:sz w:val="24"/>
          <w:highlight w:val="none"/>
        </w:rPr>
        <w:t>（项目名称）【项目编号：</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CTZB-2026030392</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】政府采购活动，郑重承诺：</w:t>
      </w:r>
    </w:p>
    <w:p w14:paraId="7C42D7C3">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（一）具备《中华人民共和国政府采购法》第二十二条第一款规定的条件：</w:t>
      </w:r>
    </w:p>
    <w:p w14:paraId="740911FB">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1、具有独立承担民事责任的能力；</w:t>
      </w:r>
    </w:p>
    <w:p w14:paraId="42478F3D">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2、具有良好的商业信誉和健全的财务会计制度； </w:t>
      </w:r>
    </w:p>
    <w:p w14:paraId="5794C903">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3、具有履行合同所必需的设备和专业技术能力；</w:t>
      </w:r>
    </w:p>
    <w:p w14:paraId="78D5A9EB">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4、有依法缴纳税收和社会保障资金的良好记录；</w:t>
      </w:r>
    </w:p>
    <w:p w14:paraId="4D455243">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5、参加政府采购活动前三年内，在经营活动中没有重大违法记录；</w:t>
      </w:r>
    </w:p>
    <w:p w14:paraId="269392DE">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6、具有法律、行政法规规定的其他条件。</w:t>
      </w:r>
    </w:p>
    <w:p w14:paraId="08D2FA4F">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（二）未被信用中国（www.creditchina.gov.cn</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、中国政府采购网（www.ccgp.gov.cn）列入失信被执行人、重大税收违法案件当事人名单、政府采购严重违法失信行为记录名单。</w:t>
      </w:r>
    </w:p>
    <w:p w14:paraId="59234914">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（三）不存在以下情况：</w:t>
      </w:r>
    </w:p>
    <w:p w14:paraId="40B43524">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1、单位负责人为同一人或者存在直接控股、管理关系的不同供应商参加同一合同项下的政府采购活动的；</w:t>
      </w:r>
    </w:p>
    <w:p w14:paraId="530355BB">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2、为采购项目提供整体设计、规范编制或者项目管理、监理、检测等服务后再参加该采购项目的其他采购活动的。</w:t>
      </w:r>
    </w:p>
    <w:p w14:paraId="56D683AF">
      <w:pPr>
        <w:adjustRightInd/>
        <w:spacing w:line="440" w:lineRule="exact"/>
        <w:ind w:firstLine="4800" w:firstLineChars="2000"/>
        <w:rPr>
          <w:rFonts w:hint="eastAsia" w:ascii="仿宋_GB2312" w:hAnsi="仿宋_GB2312" w:eastAsia="仿宋_GB2312" w:cs="仿宋_GB2312"/>
          <w:color w:val="auto"/>
          <w:kern w:val="0"/>
          <w:sz w:val="24"/>
          <w:highlight w:val="none"/>
          <w:lang w:val="zh-CN"/>
        </w:rPr>
      </w:pPr>
    </w:p>
    <w:p w14:paraId="723134EE">
      <w:pPr>
        <w:adjustRightInd/>
        <w:spacing w:line="440" w:lineRule="exact"/>
        <w:ind w:firstLine="4800" w:firstLineChars="2000"/>
        <w:rPr>
          <w:rFonts w:hint="eastAsia" w:ascii="仿宋_GB2312" w:hAnsi="仿宋_GB2312" w:eastAsia="仿宋_GB2312" w:cs="仿宋_GB2312"/>
          <w:color w:val="auto"/>
          <w:kern w:val="0"/>
          <w:sz w:val="24"/>
          <w:highlight w:val="none"/>
          <w:lang w:val="zh-CN"/>
        </w:rPr>
      </w:pPr>
    </w:p>
    <w:p w14:paraId="3F523B43">
      <w:pPr>
        <w:adjustRightInd/>
        <w:spacing w:line="440" w:lineRule="exact"/>
        <w:ind w:firstLine="4800" w:firstLineChars="20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投标人名称（电子签名）：</w:t>
      </w:r>
    </w:p>
    <w:p w14:paraId="50288B16">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  年  月   日</w:t>
      </w:r>
    </w:p>
    <w:p w14:paraId="10657BE9">
      <w:pP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4652264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三、联合协议（如果有）</w:t>
      </w:r>
    </w:p>
    <w:p w14:paraId="73E3AB7D">
      <w:pPr>
        <w:adjustRightInd/>
        <w:spacing w:line="440" w:lineRule="exac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[以联合体形式投标的，提供联合协议（附件</w:t>
      </w:r>
      <w:r>
        <w:rPr>
          <w:rFonts w:hint="eastAsia" w:ascii="仿宋_GB2312" w:hAnsi="仿宋_GB2312" w:eastAsia="仿宋_GB2312" w:cs="仿宋_GB2312"/>
          <w:b/>
          <w:bCs/>
          <w:color w:val="auto"/>
          <w:sz w:val="24"/>
          <w:highlight w:val="none"/>
          <w:lang w:val="en-US" w:eastAsia="zh-CN"/>
        </w:rPr>
        <w:t>6</w:t>
      </w:r>
      <w:r>
        <w:rPr>
          <w:rFonts w:hint="eastAsia" w:ascii="仿宋_GB2312" w:hAnsi="仿宋_GB2312" w:eastAsia="仿宋_GB2312" w:cs="仿宋_GB2312"/>
          <w:b/>
          <w:bCs/>
          <w:color w:val="auto"/>
          <w:sz w:val="24"/>
          <w:highlight w:val="none"/>
        </w:rPr>
        <w:t>）；本项目不接受联合体投标或者投标人不以联合体形式投标的，则不需要提供）]</w:t>
      </w:r>
    </w:p>
    <w:p w14:paraId="0DEC75D4">
      <w:pPr>
        <w:adjustRightInd/>
        <w:spacing w:line="440" w:lineRule="exact"/>
        <w:rPr>
          <w:rFonts w:ascii="仿宋_GB2312" w:hAnsi="仿宋_GB2312" w:eastAsia="仿宋_GB2312" w:cs="仿宋_GB2312"/>
          <w:color w:val="auto"/>
          <w:highlight w:val="none"/>
        </w:rPr>
      </w:pPr>
    </w:p>
    <w:p w14:paraId="42763225">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2008E8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四、落实政府采购政策需满足的资格要求</w:t>
      </w:r>
    </w:p>
    <w:p w14:paraId="24A7D81B">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val="0"/>
          <w:bCs w:val="0"/>
          <w:color w:val="auto"/>
          <w:sz w:val="24"/>
          <w:highlight w:val="none"/>
        </w:rPr>
        <w:t>根据招标公告落实政府采购政策需满足的资格要求选择提供相应的材料；未要求的，无需提供</w:t>
      </w:r>
      <w:r>
        <w:rPr>
          <w:rFonts w:hint="eastAsia" w:ascii="仿宋_GB2312" w:hAnsi="仿宋_GB2312" w:eastAsia="仿宋_GB2312" w:cs="仿宋_GB2312"/>
          <w:color w:val="auto"/>
          <w:sz w:val="24"/>
          <w:highlight w:val="none"/>
        </w:rPr>
        <w:t>]</w:t>
      </w:r>
    </w:p>
    <w:p w14:paraId="2B63CDF3">
      <w:pPr>
        <w:adjustRightInd/>
        <w:spacing w:line="440" w:lineRule="exact"/>
        <w:jc w:val="center"/>
        <w:rPr>
          <w:rFonts w:ascii="仿宋_GB2312" w:hAnsi="仿宋_GB2312" w:eastAsia="仿宋_GB2312" w:cs="仿宋_GB2312"/>
          <w:b/>
          <w:color w:val="auto"/>
          <w:sz w:val="32"/>
          <w:szCs w:val="32"/>
          <w:highlight w:val="none"/>
        </w:rPr>
      </w:pPr>
    </w:p>
    <w:p w14:paraId="2DD7269D">
      <w:pPr>
        <w:adjustRightInd/>
        <w:spacing w:line="440" w:lineRule="exact"/>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中小企业声明函（货物）</w:t>
      </w:r>
    </w:p>
    <w:p w14:paraId="47195C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color w:val="auto"/>
          <w:spacing w:val="0"/>
          <w:sz w:val="24"/>
          <w:szCs w:val="24"/>
          <w:highlight w:val="none"/>
          <w:u w:val="single"/>
        </w:rPr>
        <w:t xml:space="preserve">   （采购人）</w:t>
      </w:r>
      <w:r>
        <w:rPr>
          <w:rFonts w:hint="eastAsia" w:ascii="仿宋_GB2312" w:hAnsi="仿宋_GB2312" w:eastAsia="仿宋_GB2312" w:cs="仿宋_GB2312"/>
          <w:color w:val="auto"/>
          <w:spacing w:val="0"/>
          <w:sz w:val="24"/>
          <w:szCs w:val="24"/>
          <w:highlight w:val="none"/>
        </w:rPr>
        <w:t>的</w:t>
      </w:r>
      <w:r>
        <w:rPr>
          <w:rFonts w:hint="eastAsia" w:ascii="仿宋_GB2312" w:hAnsi="仿宋_GB2312" w:eastAsia="仿宋_GB2312" w:cs="仿宋_GB2312"/>
          <w:color w:val="auto"/>
          <w:spacing w:val="0"/>
          <w:sz w:val="24"/>
          <w:szCs w:val="24"/>
          <w:highlight w:val="none"/>
          <w:u w:val="single"/>
        </w:rPr>
        <w:t xml:space="preserve">   （项目名称）</w:t>
      </w:r>
      <w:r>
        <w:rPr>
          <w:rFonts w:hint="eastAsia" w:ascii="仿宋_GB2312" w:hAnsi="仿宋_GB2312" w:eastAsia="仿宋_GB2312" w:cs="仿宋_GB2312"/>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38D00A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r>
        <w:rPr>
          <w:rFonts w:hint="eastAsia" w:ascii="仿宋_GB2312" w:hAnsi="仿宋_GB2312" w:eastAsia="仿宋_GB2312" w:cs="仿宋_GB2312"/>
          <w:color w:val="auto"/>
          <w:spacing w:val="0"/>
          <w:sz w:val="24"/>
          <w:szCs w:val="24"/>
          <w:highlight w:val="none"/>
          <w:u w:val="single"/>
        </w:rPr>
        <w:t xml:space="preserve">   （标的名称）</w:t>
      </w:r>
      <w:r>
        <w:rPr>
          <w:rFonts w:hint="eastAsia" w:ascii="仿宋_GB2312" w:hAnsi="仿宋_GB2312" w:eastAsia="仿宋_GB2312" w:cs="仿宋_GB2312"/>
          <w:color w:val="auto"/>
          <w:spacing w:val="0"/>
          <w:sz w:val="24"/>
          <w:szCs w:val="24"/>
          <w:highlight w:val="none"/>
        </w:rPr>
        <w:t>，属于</w:t>
      </w:r>
      <w:r>
        <w:rPr>
          <w:rFonts w:hint="eastAsia" w:ascii="仿宋_GB2312" w:hAnsi="仿宋_GB2312" w:eastAsia="仿宋_GB2312" w:cs="仿宋_GB2312"/>
          <w:color w:val="auto"/>
          <w:spacing w:val="0"/>
          <w:sz w:val="24"/>
          <w:szCs w:val="24"/>
          <w:highlight w:val="none"/>
          <w:u w:val="single"/>
        </w:rPr>
        <w:t xml:space="preserve">    （采购文件中明确的所属行业）</w:t>
      </w:r>
      <w:r>
        <w:rPr>
          <w:rFonts w:hint="eastAsia" w:ascii="仿宋_GB2312" w:hAnsi="仿宋_GB2312" w:eastAsia="仿宋_GB2312" w:cs="仿宋_GB2312"/>
          <w:color w:val="auto"/>
          <w:spacing w:val="0"/>
          <w:sz w:val="24"/>
          <w:szCs w:val="24"/>
          <w:highlight w:val="none"/>
        </w:rPr>
        <w:t>行业；制造商为</w:t>
      </w:r>
      <w:r>
        <w:rPr>
          <w:rFonts w:hint="eastAsia" w:ascii="仿宋_GB2312" w:hAnsi="仿宋_GB2312" w:eastAsia="仿宋_GB2312" w:cs="仿宋_GB2312"/>
          <w:color w:val="auto"/>
          <w:spacing w:val="0"/>
          <w:sz w:val="24"/>
          <w:szCs w:val="24"/>
          <w:highlight w:val="none"/>
          <w:u w:val="single"/>
        </w:rPr>
        <w:t xml:space="preserve">    （企业名称）</w:t>
      </w:r>
      <w:r>
        <w:rPr>
          <w:rFonts w:hint="eastAsia" w:ascii="仿宋_GB2312" w:hAnsi="仿宋_GB2312" w:eastAsia="仿宋_GB2312" w:cs="仿宋_GB2312"/>
          <w:color w:val="auto"/>
          <w:spacing w:val="0"/>
          <w:sz w:val="24"/>
          <w:szCs w:val="24"/>
          <w:highlight w:val="none"/>
        </w:rPr>
        <w:t>，从业人员</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人，营业收入为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万元，资产总额为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万元，属于</w:t>
      </w:r>
      <w:r>
        <w:rPr>
          <w:rFonts w:hint="eastAsia" w:ascii="仿宋_GB2312" w:hAnsi="仿宋_GB2312" w:eastAsia="仿宋_GB2312" w:cs="仿宋_GB2312"/>
          <w:color w:val="auto"/>
          <w:spacing w:val="0"/>
          <w:sz w:val="24"/>
          <w:szCs w:val="24"/>
          <w:highlight w:val="none"/>
          <w:u w:val="single"/>
        </w:rPr>
        <w:t xml:space="preserve"> （中型企业、小型企业、微型企业）</w:t>
      </w:r>
      <w:r>
        <w:rPr>
          <w:rFonts w:hint="eastAsia" w:ascii="仿宋_GB2312" w:hAnsi="仿宋_GB2312" w:eastAsia="仿宋_GB2312" w:cs="仿宋_GB2312"/>
          <w:color w:val="auto"/>
          <w:spacing w:val="0"/>
          <w:sz w:val="24"/>
          <w:szCs w:val="24"/>
          <w:highlight w:val="none"/>
        </w:rPr>
        <w:t>；</w:t>
      </w:r>
    </w:p>
    <w:p w14:paraId="36E7BB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r>
        <w:rPr>
          <w:rFonts w:hint="eastAsia" w:ascii="仿宋_GB2312" w:hAnsi="仿宋_GB2312" w:eastAsia="仿宋_GB2312" w:cs="仿宋_GB2312"/>
          <w:color w:val="auto"/>
          <w:spacing w:val="0"/>
          <w:sz w:val="24"/>
          <w:szCs w:val="24"/>
          <w:highlight w:val="none"/>
          <w:u w:val="single"/>
        </w:rPr>
        <w:t xml:space="preserve">   （标的名称）</w:t>
      </w:r>
      <w:r>
        <w:rPr>
          <w:rFonts w:hint="eastAsia" w:ascii="仿宋_GB2312" w:hAnsi="仿宋_GB2312" w:eastAsia="仿宋_GB2312" w:cs="仿宋_GB2312"/>
          <w:color w:val="auto"/>
          <w:spacing w:val="0"/>
          <w:sz w:val="24"/>
          <w:szCs w:val="24"/>
          <w:highlight w:val="none"/>
        </w:rPr>
        <w:t>，属于</w:t>
      </w:r>
      <w:r>
        <w:rPr>
          <w:rFonts w:hint="eastAsia" w:ascii="仿宋_GB2312" w:hAnsi="仿宋_GB2312" w:eastAsia="仿宋_GB2312" w:cs="仿宋_GB2312"/>
          <w:color w:val="auto"/>
          <w:spacing w:val="0"/>
          <w:sz w:val="24"/>
          <w:szCs w:val="24"/>
          <w:highlight w:val="none"/>
          <w:u w:val="single"/>
        </w:rPr>
        <w:t xml:space="preserve">    （采购文件中明确的所属行业）</w:t>
      </w:r>
      <w:r>
        <w:rPr>
          <w:rFonts w:hint="eastAsia" w:ascii="仿宋_GB2312" w:hAnsi="仿宋_GB2312" w:eastAsia="仿宋_GB2312" w:cs="仿宋_GB2312"/>
          <w:color w:val="auto"/>
          <w:spacing w:val="0"/>
          <w:sz w:val="24"/>
          <w:szCs w:val="24"/>
          <w:highlight w:val="none"/>
        </w:rPr>
        <w:t>行业；制造商为</w:t>
      </w:r>
      <w:r>
        <w:rPr>
          <w:rFonts w:hint="eastAsia" w:ascii="仿宋_GB2312" w:hAnsi="仿宋_GB2312" w:eastAsia="仿宋_GB2312" w:cs="仿宋_GB2312"/>
          <w:color w:val="auto"/>
          <w:spacing w:val="0"/>
          <w:sz w:val="24"/>
          <w:szCs w:val="24"/>
          <w:highlight w:val="none"/>
          <w:u w:val="single"/>
        </w:rPr>
        <w:t xml:space="preserve">    （企业名称）</w:t>
      </w:r>
      <w:r>
        <w:rPr>
          <w:rFonts w:hint="eastAsia" w:ascii="仿宋_GB2312" w:hAnsi="仿宋_GB2312" w:eastAsia="仿宋_GB2312" w:cs="仿宋_GB2312"/>
          <w:color w:val="auto"/>
          <w:spacing w:val="0"/>
          <w:sz w:val="24"/>
          <w:szCs w:val="24"/>
          <w:highlight w:val="none"/>
        </w:rPr>
        <w:t>，从业人员</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人，营业收入为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万元，资产总额为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万元，属于</w:t>
      </w:r>
      <w:r>
        <w:rPr>
          <w:rFonts w:hint="eastAsia" w:ascii="仿宋_GB2312" w:hAnsi="仿宋_GB2312" w:eastAsia="仿宋_GB2312" w:cs="仿宋_GB2312"/>
          <w:color w:val="auto"/>
          <w:spacing w:val="0"/>
          <w:sz w:val="24"/>
          <w:szCs w:val="24"/>
          <w:highlight w:val="none"/>
          <w:u w:val="single"/>
        </w:rPr>
        <w:t xml:space="preserve"> （中型企业、小型企业、微型企业）</w:t>
      </w:r>
      <w:r>
        <w:rPr>
          <w:rFonts w:hint="eastAsia" w:ascii="仿宋_GB2312" w:hAnsi="仿宋_GB2312" w:eastAsia="仿宋_GB2312" w:cs="仿宋_GB2312"/>
          <w:color w:val="auto"/>
          <w:spacing w:val="0"/>
          <w:sz w:val="24"/>
          <w:szCs w:val="24"/>
          <w:highlight w:val="none"/>
        </w:rPr>
        <w:t>；</w:t>
      </w:r>
    </w:p>
    <w:p w14:paraId="45AB58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p>
    <w:p w14:paraId="214D9E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以上企业，不属于大企业的分支机构，不存在控股股东为大企业的情形，也不存在与大企业的负责人为同一人的情形。</w:t>
      </w:r>
    </w:p>
    <w:p w14:paraId="66B7A9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本企业对上述声明内容的真实性负责。如有虚假，将依法承担相应责任。</w:t>
      </w:r>
    </w:p>
    <w:p w14:paraId="252F33A4">
      <w:pPr>
        <w:adjustRightInd/>
        <w:spacing w:line="440" w:lineRule="exact"/>
        <w:ind w:firstLine="480" w:firstLineChars="200"/>
        <w:rPr>
          <w:rFonts w:ascii="仿宋_GB2312" w:hAnsi="仿宋_GB2312" w:eastAsia="仿宋_GB2312" w:cs="仿宋_GB2312"/>
          <w:color w:val="auto"/>
          <w:sz w:val="24"/>
          <w:highlight w:val="none"/>
        </w:rPr>
      </w:pPr>
    </w:p>
    <w:p w14:paraId="56A32718">
      <w:pPr>
        <w:adjustRightInd/>
        <w:spacing w:line="440" w:lineRule="exact"/>
        <w:ind w:firstLine="4800" w:firstLineChars="20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投标人名称（电子签名）：</w:t>
      </w:r>
    </w:p>
    <w:p w14:paraId="37942B8B">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  年  月   日</w:t>
      </w:r>
    </w:p>
    <w:p w14:paraId="1729EABC">
      <w:pPr>
        <w:adjustRightInd/>
        <w:spacing w:line="440" w:lineRule="exact"/>
        <w:ind w:firstLine="310" w:firstLineChars="147"/>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从业人员、营业收入、资产总额填报上一年度数据，无上一年度数据的新成立企业可不填报。</w:t>
      </w:r>
    </w:p>
    <w:p w14:paraId="439A5957">
      <w:pPr>
        <w:adjustRightInd/>
        <w:spacing w:line="440" w:lineRule="exact"/>
        <w:rPr>
          <w:rFonts w:ascii="仿宋_GB2312" w:hAnsi="仿宋_GB2312" w:eastAsia="仿宋_GB2312" w:cs="仿宋_GB2312"/>
          <w:color w:val="auto"/>
          <w:sz w:val="24"/>
          <w:highlight w:val="none"/>
        </w:rPr>
      </w:pPr>
    </w:p>
    <w:p w14:paraId="0EC0B986">
      <w:pPr>
        <w:adjustRightInd/>
        <w:spacing w:line="440" w:lineRule="exac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sz w:val="21"/>
          <w:szCs w:val="21"/>
          <w:highlight w:val="none"/>
          <w:lang w:val="en-US" w:eastAsia="zh-CN"/>
        </w:rPr>
        <w:t>①</w:t>
      </w:r>
      <w:r>
        <w:rPr>
          <w:rFonts w:hint="eastAsia" w:ascii="仿宋_GB2312" w:hAnsi="仿宋_GB2312" w:eastAsia="仿宋_GB2312" w:cs="仿宋_GB2312"/>
          <w:color w:val="auto"/>
          <w:sz w:val="21"/>
          <w:szCs w:val="21"/>
          <w:highlight w:val="none"/>
        </w:rPr>
        <w:t>从业人员、营业收入、资产总额填报上一年度数据，无上一年度数据的新成立企业可不填报。②《中小企业声明函》中“标的名称”、“采购文件中明确的所属行业”依据招标文件第二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投标人须知前附表中“采购标的及其对应的中小企业划分标准所属行业”的指引，逐一填写，不得缺漏。</w:t>
      </w:r>
    </w:p>
    <w:p w14:paraId="11F04117">
      <w:pPr>
        <w:adjustRightInd/>
        <w:spacing w:line="440" w:lineRule="exact"/>
        <w:ind w:firstLine="643" w:firstLineChars="200"/>
        <w:rPr>
          <w:rFonts w:ascii="仿宋_GB2312" w:hAnsi="仿宋_GB2312" w:eastAsia="仿宋_GB2312" w:cs="仿宋_GB2312"/>
          <w:b/>
          <w:color w:val="auto"/>
          <w:sz w:val="32"/>
          <w:szCs w:val="32"/>
          <w:highlight w:val="none"/>
        </w:rPr>
      </w:pPr>
    </w:p>
    <w:p w14:paraId="559FC18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32"/>
          <w:highlight w:val="none"/>
        </w:rPr>
        <w:br w:type="page"/>
      </w:r>
      <w:r>
        <w:rPr>
          <w:rFonts w:hint="eastAsia" w:ascii="仿宋_GB2312" w:hAnsi="仿宋_GB2312" w:eastAsia="仿宋_GB2312" w:cs="仿宋_GB2312"/>
          <w:b/>
          <w:color w:val="auto"/>
          <w:sz w:val="32"/>
          <w:szCs w:val="20"/>
          <w:highlight w:val="none"/>
          <w:lang w:val="en-US" w:eastAsia="zh-CN"/>
        </w:rPr>
        <w:t>五、本项目的特定资格要求</w:t>
      </w:r>
    </w:p>
    <w:p w14:paraId="7EBBC6E4">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val="0"/>
          <w:bCs w:val="0"/>
          <w:color w:val="auto"/>
          <w:sz w:val="24"/>
          <w:highlight w:val="none"/>
        </w:rPr>
        <w:t>根据招标公告本项目的特定资格要求选择提供相应的材料</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bCs/>
          <w:color w:val="auto"/>
          <w:sz w:val="24"/>
          <w:highlight w:val="none"/>
        </w:rPr>
        <w:t>未要求的，无需提供</w:t>
      </w:r>
      <w:r>
        <w:rPr>
          <w:rFonts w:hint="eastAsia" w:ascii="仿宋_GB2312" w:hAnsi="仿宋_GB2312" w:eastAsia="仿宋_GB2312" w:cs="仿宋_GB2312"/>
          <w:color w:val="auto"/>
          <w:sz w:val="24"/>
          <w:highlight w:val="none"/>
        </w:rPr>
        <w:t>]</w:t>
      </w:r>
    </w:p>
    <w:p w14:paraId="2A2043B7">
      <w:pPr>
        <w:spacing w:line="360" w:lineRule="auto"/>
        <w:rPr>
          <w:rFonts w:ascii="仿宋_GB2312" w:hAnsi="仿宋_GB2312" w:eastAsia="仿宋_GB2312" w:cs="仿宋_GB2312"/>
          <w:color w:val="auto"/>
          <w:highlight w:val="none"/>
        </w:rPr>
      </w:pPr>
    </w:p>
    <w:p w14:paraId="1272B800">
      <w:pPr>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br w:type="page"/>
      </w:r>
    </w:p>
    <w:p w14:paraId="4DE701F8">
      <w:pPr>
        <w:adjustRightInd/>
        <w:spacing w:line="440" w:lineRule="exact"/>
        <w:jc w:val="center"/>
        <w:outlineLvl w:val="1"/>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商务技术文件部分</w:t>
      </w:r>
    </w:p>
    <w:p w14:paraId="7728B30A">
      <w:pPr>
        <w:adjustRightInd/>
        <w:spacing w:line="440" w:lineRule="exact"/>
        <w:jc w:val="center"/>
        <w:rPr>
          <w:rFonts w:ascii="仿宋_GB2312" w:hAnsi="仿宋_GB2312" w:eastAsia="仿宋_GB2312" w:cs="仿宋_GB2312"/>
          <w:b/>
          <w:color w:val="auto"/>
          <w:kern w:val="0"/>
          <w:sz w:val="24"/>
          <w:highlight w:val="none"/>
        </w:rPr>
      </w:pPr>
    </w:p>
    <w:p w14:paraId="386BD644">
      <w:pPr>
        <w:adjustRightInd/>
        <w:spacing w:line="440" w:lineRule="exact"/>
        <w:jc w:val="center"/>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目录</w:t>
      </w:r>
    </w:p>
    <w:p w14:paraId="47969FEE">
      <w:pPr>
        <w:numPr>
          <w:ilvl w:val="0"/>
          <w:numId w:val="3"/>
        </w:numPr>
        <w:adjustRightInd/>
        <w:spacing w:line="440" w:lineRule="exact"/>
        <w:ind w:left="479" w:leftChars="22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投标函…………………………………………………………………………………（页码）</w:t>
      </w:r>
    </w:p>
    <w:p w14:paraId="05E59864">
      <w:pPr>
        <w:numPr>
          <w:ilvl w:val="0"/>
          <w:numId w:val="3"/>
        </w:numPr>
        <w:adjustRightInd/>
        <w:spacing w:line="440" w:lineRule="exact"/>
        <w:ind w:left="479" w:leftChars="22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授权委托书或法定代表人（单位负责人、自然人本人）身份证明………………（页码）</w:t>
      </w:r>
    </w:p>
    <w:p w14:paraId="372E68C0">
      <w:pPr>
        <w:numPr>
          <w:ilvl w:val="0"/>
          <w:numId w:val="3"/>
        </w:numPr>
        <w:adjustRightInd/>
        <w:spacing w:line="440" w:lineRule="exact"/>
        <w:ind w:left="479" w:leftChars="22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符合性审查资料………………………………………………………………………（页码）</w:t>
      </w:r>
    </w:p>
    <w:p w14:paraId="711AE850">
      <w:pPr>
        <w:numPr>
          <w:ilvl w:val="0"/>
          <w:numId w:val="3"/>
        </w:numPr>
        <w:adjustRightInd/>
        <w:spacing w:line="440" w:lineRule="exact"/>
        <w:ind w:left="479" w:leftChars="22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评标标准相应的商务技术资料………………………………………………………（页码）</w:t>
      </w:r>
    </w:p>
    <w:p w14:paraId="3A7A4832">
      <w:pPr>
        <w:numPr>
          <w:ilvl w:val="0"/>
          <w:numId w:val="3"/>
        </w:numPr>
        <w:adjustRightInd/>
        <w:spacing w:line="440" w:lineRule="exact"/>
        <w:ind w:left="479" w:leftChars="22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投标标的清单…………………………………………………………………………（页码）</w:t>
      </w:r>
    </w:p>
    <w:p w14:paraId="5F43B1A0">
      <w:pPr>
        <w:numPr>
          <w:ilvl w:val="0"/>
          <w:numId w:val="3"/>
        </w:numPr>
        <w:adjustRightInd/>
        <w:spacing w:line="440" w:lineRule="exact"/>
        <w:ind w:left="479" w:leftChars="22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商务技术偏离表………………………………………………………………………（页码）</w:t>
      </w:r>
    </w:p>
    <w:p w14:paraId="662E59D3">
      <w:pPr>
        <w:numPr>
          <w:ilvl w:val="0"/>
          <w:numId w:val="3"/>
        </w:numPr>
        <w:adjustRightInd/>
        <w:spacing w:line="440" w:lineRule="exact"/>
        <w:ind w:left="479" w:leftChars="22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zh-CN"/>
        </w:rPr>
        <w:t>政府采购供应商廉洁自律承诺书</w:t>
      </w:r>
      <w:r>
        <w:rPr>
          <w:rFonts w:hint="eastAsia" w:ascii="仿宋_GB2312" w:hAnsi="仿宋_GB2312" w:eastAsia="仿宋_GB2312" w:cs="仿宋_GB2312"/>
          <w:color w:val="auto"/>
          <w:szCs w:val="21"/>
          <w:highlight w:val="none"/>
        </w:rPr>
        <w:t>……………………………………………………（页码）</w:t>
      </w:r>
    </w:p>
    <w:p w14:paraId="1F39933A">
      <w:pPr>
        <w:snapToGrid w:val="0"/>
        <w:spacing w:line="360" w:lineRule="auto"/>
        <w:jc w:val="center"/>
        <w:rPr>
          <w:rFonts w:ascii="仿宋_GB2312" w:hAnsi="仿宋_GB2312" w:eastAsia="仿宋_GB2312" w:cs="仿宋_GB2312"/>
          <w:b/>
          <w:color w:val="auto"/>
          <w:kern w:val="0"/>
          <w:sz w:val="32"/>
          <w:szCs w:val="32"/>
          <w:highlight w:val="none"/>
          <w:lang w:val="zh-CN"/>
        </w:rPr>
      </w:pPr>
    </w:p>
    <w:p w14:paraId="62D21D93">
      <w:pP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45E4E0F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一、投标函</w:t>
      </w:r>
    </w:p>
    <w:p w14:paraId="14B69F9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single"/>
          <w:lang w:eastAsia="zh-CN"/>
        </w:rPr>
        <w:t>宁波市北仑区公共项目建设管理中心、浙江省成套招标代理有限公司</w:t>
      </w:r>
      <w:r>
        <w:rPr>
          <w:rFonts w:hint="eastAsia" w:ascii="仿宋_GB2312" w:hAnsi="仿宋_GB2312" w:eastAsia="仿宋_GB2312" w:cs="仿宋_GB2312"/>
          <w:color w:val="auto"/>
          <w:sz w:val="21"/>
          <w:szCs w:val="21"/>
          <w:highlight w:val="none"/>
        </w:rPr>
        <w:t>：</w:t>
      </w:r>
    </w:p>
    <w:p w14:paraId="36E243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我方参加你方组织的</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eastAsia="zh-CN"/>
        </w:rPr>
        <w:t>新碶综合文化活动中心音视频系统采购</w:t>
      </w:r>
      <w:r>
        <w:rPr>
          <w:rFonts w:hint="eastAsia" w:ascii="仿宋_GB2312" w:hAnsi="仿宋_GB2312" w:eastAsia="仿宋_GB2312" w:cs="仿宋_GB2312"/>
          <w:color w:val="auto"/>
          <w:sz w:val="21"/>
          <w:szCs w:val="21"/>
          <w:highlight w:val="none"/>
          <w:u w:val="single"/>
        </w:rPr>
        <w:t xml:space="preserve">项目 </w:t>
      </w:r>
      <w:r>
        <w:rPr>
          <w:rFonts w:hint="eastAsia" w:ascii="仿宋_GB2312" w:hAnsi="仿宋_GB2312" w:eastAsia="仿宋_GB2312" w:cs="仿宋_GB2312"/>
          <w:color w:val="auto"/>
          <w:sz w:val="21"/>
          <w:szCs w:val="21"/>
          <w:highlight w:val="none"/>
        </w:rPr>
        <w:t>（项目名称）【项目编号：</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eastAsia="zh-CN"/>
        </w:rPr>
        <w:t>CTZB-2026030392</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】招标的有关活动，并对此项目进行投标。为此：</w:t>
      </w:r>
    </w:p>
    <w:p w14:paraId="5152D2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1、我方承诺投标有效期从提交投标文件的截止之日起</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天（不少于90天），本投标文件在投标有效期满之前均具有约束力。</w:t>
      </w:r>
    </w:p>
    <w:p w14:paraId="2BF671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2、我方的投标文件包括以下内容：</w:t>
      </w:r>
    </w:p>
    <w:p w14:paraId="4D63E5D1">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2.1资格文件：</w:t>
      </w:r>
    </w:p>
    <w:p w14:paraId="3C456638">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2.1.1 具有独立承担民事责任能力的证明材料；</w:t>
      </w:r>
    </w:p>
    <w:p w14:paraId="1C3C3D1F">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2.1.2 符合参加政府采购活动应当具备的一般条件的承诺函</w:t>
      </w:r>
      <w:r>
        <w:rPr>
          <w:rFonts w:hint="eastAsia" w:ascii="仿宋_GB2312" w:hAnsi="仿宋_GB2312" w:eastAsia="仿宋_GB2312" w:cs="仿宋_GB2312"/>
          <w:color w:val="auto"/>
          <w:sz w:val="21"/>
          <w:szCs w:val="21"/>
          <w:highlight w:val="none"/>
          <w:lang w:eastAsia="zh-CN"/>
        </w:rPr>
        <w:t>；</w:t>
      </w:r>
    </w:p>
    <w:p w14:paraId="1CFB2F9A">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2.1.3 联合协议（如有）</w:t>
      </w:r>
      <w:r>
        <w:rPr>
          <w:rFonts w:hint="eastAsia" w:ascii="仿宋_GB2312" w:hAnsi="仿宋_GB2312" w:eastAsia="仿宋_GB2312" w:cs="仿宋_GB2312"/>
          <w:color w:val="auto"/>
          <w:sz w:val="21"/>
          <w:szCs w:val="21"/>
          <w:highlight w:val="none"/>
        </w:rPr>
        <w:t>；</w:t>
      </w:r>
    </w:p>
    <w:p w14:paraId="5A7FFEA9">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 xml:space="preserve"> 落实政府采购政策需满足的资格要求（如有）；</w:t>
      </w:r>
    </w:p>
    <w:p w14:paraId="3AE7D6D2">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 xml:space="preserve"> 本项目的特定资格要求（如有）。</w:t>
      </w:r>
    </w:p>
    <w:p w14:paraId="0DC96D55">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zh-CN"/>
        </w:rPr>
        <w:t xml:space="preserve"> </w:t>
      </w:r>
      <w:r>
        <w:rPr>
          <w:rFonts w:hint="eastAsia" w:ascii="仿宋_GB2312" w:hAnsi="仿宋_GB2312" w:eastAsia="仿宋_GB2312" w:cs="仿宋_GB2312"/>
          <w:color w:val="auto"/>
          <w:sz w:val="21"/>
          <w:szCs w:val="21"/>
          <w:highlight w:val="none"/>
        </w:rPr>
        <w:t>商务技术</w:t>
      </w:r>
      <w:r>
        <w:rPr>
          <w:rFonts w:hint="eastAsia" w:ascii="仿宋_GB2312" w:hAnsi="仿宋_GB2312" w:eastAsia="仿宋_GB2312" w:cs="仿宋_GB2312"/>
          <w:color w:val="auto"/>
          <w:sz w:val="21"/>
          <w:szCs w:val="21"/>
          <w:highlight w:val="none"/>
          <w:lang w:val="zh-CN"/>
        </w:rPr>
        <w:t>文件：</w:t>
      </w:r>
    </w:p>
    <w:p w14:paraId="2E087066">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2.2.1 投标函；</w:t>
      </w:r>
    </w:p>
    <w:p w14:paraId="05B51159">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2.2.2 授权委托书或法定代表人（单位负责人）身份证明；</w:t>
      </w:r>
    </w:p>
    <w:p w14:paraId="093415B4">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2.2.3 符合性审查资料；</w:t>
      </w:r>
    </w:p>
    <w:p w14:paraId="19E71390">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2.2.4 评标标准相应的商务技术资料；</w:t>
      </w:r>
    </w:p>
    <w:p w14:paraId="59E9547B">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2.2.5 投标标的清单；</w:t>
      </w:r>
    </w:p>
    <w:p w14:paraId="7935DA6D">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2.2.6 商务技术偏离表；</w:t>
      </w:r>
    </w:p>
    <w:p w14:paraId="012DC21F">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color w:val="auto"/>
          <w:sz w:val="21"/>
          <w:szCs w:val="21"/>
          <w:highlight w:val="none"/>
          <w:lang w:val="en-US" w:eastAsia="zh-CN"/>
        </w:rPr>
        <w:t>7</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zh-CN"/>
        </w:rPr>
        <w:t>政府采购供应商廉洁自律承诺书。</w:t>
      </w:r>
    </w:p>
    <w:p w14:paraId="3D304B25">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color w:val="auto"/>
          <w:sz w:val="21"/>
          <w:szCs w:val="21"/>
          <w:highlight w:val="none"/>
        </w:rPr>
        <w:t>3 报价文件</w:t>
      </w:r>
    </w:p>
    <w:p w14:paraId="1D95ED72">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2.3.1 开标一览表（报价表）</w:t>
      </w:r>
      <w:r>
        <w:rPr>
          <w:rFonts w:hint="eastAsia" w:ascii="仿宋_GB2312" w:hAnsi="仿宋_GB2312" w:eastAsia="仿宋_GB2312" w:cs="仿宋_GB2312"/>
          <w:color w:val="auto"/>
          <w:sz w:val="21"/>
          <w:szCs w:val="21"/>
          <w:highlight w:val="none"/>
          <w:lang w:eastAsia="zh-CN"/>
        </w:rPr>
        <w:t>；</w:t>
      </w:r>
    </w:p>
    <w:p w14:paraId="63BD1AE9">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2.3.2 中小企业声明函（如有）；；</w:t>
      </w:r>
    </w:p>
    <w:p w14:paraId="48C45F1F">
      <w:pPr>
        <w:keepNext w:val="0"/>
        <w:keepLines w:val="0"/>
        <w:pageBreakBefore w:val="0"/>
        <w:widowControl w:val="0"/>
        <w:kinsoku/>
        <w:wordWrap/>
        <w:overflowPunct/>
        <w:topLinePunct w:val="0"/>
        <w:autoSpaceDE/>
        <w:autoSpaceDN/>
        <w:bidi w:val="0"/>
        <w:adjustRightInd/>
        <w:snapToGrid/>
        <w:spacing w:line="400" w:lineRule="exact"/>
        <w:ind w:left="420" w:leftChars="2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2.3.3 投标人针对报价需要说明的其他文件和说明（如有）</w:t>
      </w:r>
      <w:r>
        <w:rPr>
          <w:rFonts w:hint="eastAsia" w:ascii="仿宋_GB2312" w:hAnsi="仿宋_GB2312" w:eastAsia="仿宋_GB2312" w:cs="仿宋_GB2312"/>
          <w:color w:val="auto"/>
          <w:sz w:val="21"/>
          <w:szCs w:val="21"/>
          <w:highlight w:val="none"/>
        </w:rPr>
        <w:t>。</w:t>
      </w:r>
    </w:p>
    <w:p w14:paraId="318C0B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3、我方承诺除商务技术偏离表列出的偏离外，我方响应招标文件的全部要求。对投标文件中材料的真实性、合法性负责，积极配合采购人、采购代理机构复核投标文件中的资料。</w:t>
      </w:r>
    </w:p>
    <w:p w14:paraId="3189B2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4、如我方中标，我方承诺：</w:t>
      </w:r>
    </w:p>
    <w:p w14:paraId="5E85CEC2">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4.1在收到中标通知书后，在中标通知书规定的期限内与你方签订合同；</w:t>
      </w:r>
    </w:p>
    <w:p w14:paraId="1AC3B991">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4.2在签订合同时不向你方提出附加条件；</w:t>
      </w:r>
    </w:p>
    <w:p w14:paraId="11A3540A">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4.3按照招标文件要求提交履约保证金；</w:t>
      </w:r>
    </w:p>
    <w:p w14:paraId="3DDC5686">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4.4在合同约定的期限内完成合同规定的全部义务。</w:t>
      </w:r>
    </w:p>
    <w:p w14:paraId="33FE23CD">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r>
        <w:rPr>
          <w:rFonts w:hint="eastAsia" w:ascii="仿宋_GB2312" w:hAnsi="仿宋_GB2312" w:eastAsia="仿宋_GB2312" w:cs="仿宋_GB2312"/>
          <w:color w:val="auto"/>
          <w:sz w:val="21"/>
          <w:szCs w:val="21"/>
          <w:highlight w:val="none"/>
          <w:lang w:eastAsia="zh-CN"/>
        </w:rPr>
        <w:t>。</w:t>
      </w:r>
    </w:p>
    <w:p w14:paraId="1CA05E84">
      <w:pPr>
        <w:keepNext w:val="0"/>
        <w:keepLines w:val="0"/>
        <w:pageBreakBefore w:val="0"/>
        <w:widowControl w:val="0"/>
        <w:kinsoku/>
        <w:wordWrap/>
        <w:overflowPunct/>
        <w:topLinePunct w:val="0"/>
        <w:autoSpaceDE/>
        <w:autoSpaceDN/>
        <w:bidi w:val="0"/>
        <w:adjustRightInd/>
        <w:snapToGrid/>
        <w:spacing w:line="400" w:lineRule="exact"/>
        <w:ind w:left="210" w:leftChars="100" w:firstLine="420"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其他补充说明：</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w:t>
      </w:r>
    </w:p>
    <w:p w14:paraId="0023ED7B">
      <w:pPr>
        <w:keepNext w:val="0"/>
        <w:keepLines w:val="0"/>
        <w:pageBreakBefore w:val="0"/>
        <w:widowControl w:val="0"/>
        <w:kinsoku/>
        <w:wordWrap/>
        <w:overflowPunct/>
        <w:topLinePunct w:val="0"/>
        <w:autoSpaceDE/>
        <w:autoSpaceDN/>
        <w:bidi w:val="0"/>
        <w:adjustRightInd/>
        <w:snapToGrid/>
        <w:spacing w:line="400" w:lineRule="exact"/>
        <w:ind w:firstLine="4200" w:firstLineChars="2000"/>
        <w:textAlignment w:val="auto"/>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zh-CN"/>
        </w:rPr>
        <w:t>投标人名称（电子签名）：</w:t>
      </w:r>
    </w:p>
    <w:p w14:paraId="5F083C17">
      <w:pPr>
        <w:keepNext w:val="0"/>
        <w:keepLines w:val="0"/>
        <w:pageBreakBefore w:val="0"/>
        <w:widowControl w:val="0"/>
        <w:kinsoku/>
        <w:wordWrap/>
        <w:overflowPunct/>
        <w:topLinePunct w:val="0"/>
        <w:autoSpaceDE/>
        <w:autoSpaceDN/>
        <w:bidi w:val="0"/>
        <w:adjustRightInd/>
        <w:snapToGrid/>
        <w:spacing w:line="400" w:lineRule="exact"/>
        <w:ind w:firstLine="4200" w:firstLineChars="2000"/>
        <w:textAlignment w:val="auto"/>
        <w:rPr>
          <w:rFonts w:ascii="仿宋_GB2312" w:hAnsi="仿宋_GB2312" w:eastAsia="仿宋_GB2312" w:cs="仿宋_GB2312"/>
          <w:color w:val="auto"/>
          <w:kern w:val="0"/>
          <w:sz w:val="21"/>
          <w:szCs w:val="21"/>
          <w:highlight w:val="none"/>
          <w:u w:val="single"/>
        </w:rPr>
      </w:pPr>
      <w:r>
        <w:rPr>
          <w:rFonts w:hint="eastAsia" w:ascii="仿宋_GB2312" w:hAnsi="仿宋_GB2312" w:eastAsia="仿宋_GB2312" w:cs="仿宋_GB2312"/>
          <w:color w:val="auto"/>
          <w:kern w:val="0"/>
          <w:sz w:val="21"/>
          <w:szCs w:val="21"/>
          <w:highlight w:val="none"/>
          <w:lang w:val="zh-CN"/>
        </w:rPr>
        <w:t>日期</w:t>
      </w:r>
      <w:r>
        <w:rPr>
          <w:rFonts w:hint="eastAsia" w:ascii="仿宋_GB2312" w:hAnsi="仿宋_GB2312" w:eastAsia="仿宋_GB2312" w:cs="仿宋_GB2312"/>
          <w:color w:val="auto"/>
          <w:kern w:val="0"/>
          <w:sz w:val="21"/>
          <w:szCs w:val="21"/>
          <w:highlight w:val="none"/>
        </w:rPr>
        <w:t xml:space="preserve">：  </w:t>
      </w:r>
      <w:r>
        <w:rPr>
          <w:rFonts w:hint="eastAsia" w:ascii="仿宋_GB2312" w:hAnsi="仿宋_GB2312" w:eastAsia="仿宋_GB2312" w:cs="仿宋_GB2312"/>
          <w:color w:val="auto"/>
          <w:kern w:val="0"/>
          <w:sz w:val="21"/>
          <w:szCs w:val="21"/>
          <w:highlight w:val="none"/>
          <w:lang w:val="zh-CN"/>
        </w:rPr>
        <w:t>年</w:t>
      </w:r>
      <w:r>
        <w:rPr>
          <w:rFonts w:hint="eastAsia" w:ascii="仿宋_GB2312" w:hAnsi="仿宋_GB2312" w:eastAsia="仿宋_GB2312" w:cs="仿宋_GB2312"/>
          <w:color w:val="auto"/>
          <w:kern w:val="0"/>
          <w:sz w:val="21"/>
          <w:szCs w:val="21"/>
          <w:highlight w:val="none"/>
        </w:rPr>
        <w:t xml:space="preserve">  </w:t>
      </w:r>
      <w:r>
        <w:rPr>
          <w:rFonts w:hint="eastAsia" w:ascii="仿宋_GB2312" w:hAnsi="仿宋_GB2312" w:eastAsia="仿宋_GB2312" w:cs="仿宋_GB2312"/>
          <w:color w:val="auto"/>
          <w:kern w:val="0"/>
          <w:sz w:val="21"/>
          <w:szCs w:val="21"/>
          <w:highlight w:val="none"/>
          <w:lang w:val="zh-CN"/>
        </w:rPr>
        <w:t>月</w:t>
      </w:r>
      <w:r>
        <w:rPr>
          <w:rFonts w:hint="eastAsia" w:ascii="仿宋_GB2312" w:hAnsi="仿宋_GB2312" w:eastAsia="仿宋_GB2312" w:cs="仿宋_GB2312"/>
          <w:color w:val="auto"/>
          <w:kern w:val="0"/>
          <w:sz w:val="21"/>
          <w:szCs w:val="21"/>
          <w:highlight w:val="none"/>
        </w:rPr>
        <w:t xml:space="preserve">   </w:t>
      </w:r>
      <w:r>
        <w:rPr>
          <w:rFonts w:hint="eastAsia" w:ascii="仿宋_GB2312" w:hAnsi="仿宋_GB2312" w:eastAsia="仿宋_GB2312" w:cs="仿宋_GB2312"/>
          <w:color w:val="auto"/>
          <w:kern w:val="0"/>
          <w:sz w:val="21"/>
          <w:szCs w:val="21"/>
          <w:highlight w:val="none"/>
          <w:lang w:val="zh-CN"/>
        </w:rPr>
        <w:t>日</w:t>
      </w:r>
    </w:p>
    <w:p w14:paraId="60AD8B89">
      <w:pPr>
        <w:keepNext w:val="0"/>
        <w:keepLines w:val="0"/>
        <w:pageBreakBefore w:val="0"/>
        <w:widowControl w:val="0"/>
        <w:kinsoku/>
        <w:wordWrap/>
        <w:overflowPunct/>
        <w:topLinePunct w:val="0"/>
        <w:autoSpaceDE/>
        <w:autoSpaceDN/>
        <w:bidi w:val="0"/>
        <w:adjustRightInd/>
        <w:snapToGrid/>
        <w:spacing w:line="400" w:lineRule="exact"/>
        <w:ind w:right="420"/>
        <w:textAlignment w:val="auto"/>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color w:val="auto"/>
          <w:sz w:val="21"/>
          <w:szCs w:val="21"/>
          <w:highlight w:val="none"/>
        </w:rPr>
        <w:t>注：按本格式和要求提供。</w:t>
      </w:r>
    </w:p>
    <w:p w14:paraId="1477AB02">
      <w:pP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4D710B7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zh-CN" w:eastAsia="zh-CN"/>
        </w:rPr>
      </w:pPr>
      <w:r>
        <w:rPr>
          <w:rFonts w:hint="eastAsia" w:ascii="仿宋_GB2312" w:hAnsi="仿宋_GB2312" w:eastAsia="仿宋_GB2312" w:cs="仿宋_GB2312"/>
          <w:b/>
          <w:color w:val="auto"/>
          <w:sz w:val="32"/>
          <w:szCs w:val="20"/>
          <w:highlight w:val="none"/>
          <w:lang w:val="zh-CN" w:eastAsia="zh-CN"/>
        </w:rPr>
        <w:t>二、授权委托书或法定代表人（单位负责人、自然人本人）身份证明</w:t>
      </w:r>
    </w:p>
    <w:p w14:paraId="2A16E17D">
      <w:pPr>
        <w:snapToGrid w:val="0"/>
        <w:spacing w:line="360" w:lineRule="auto"/>
        <w:rPr>
          <w:rFonts w:ascii="仿宋_GB2312" w:hAnsi="仿宋_GB2312" w:eastAsia="仿宋_GB2312" w:cs="仿宋_GB2312"/>
          <w:color w:val="auto"/>
          <w:sz w:val="24"/>
          <w:highlight w:val="none"/>
        </w:rPr>
      </w:pPr>
    </w:p>
    <w:p w14:paraId="5E163DD5">
      <w:pPr>
        <w:adjustRightInd/>
        <w:spacing w:line="440" w:lineRule="exact"/>
        <w:jc w:val="center"/>
        <w:rPr>
          <w:rFonts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color w:val="auto"/>
          <w:kern w:val="0"/>
          <w:sz w:val="32"/>
          <w:szCs w:val="32"/>
          <w:highlight w:val="none"/>
          <w:lang w:val="zh-CN"/>
        </w:rPr>
        <w:t>授权委托书（适用于非联合体投标）</w:t>
      </w:r>
    </w:p>
    <w:p w14:paraId="45701273">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lang w:eastAsia="zh-CN"/>
        </w:rPr>
        <w:t>宁波市北仑区公共项目建设管理中心、浙江省成套招标代理有限公司</w:t>
      </w:r>
      <w:r>
        <w:rPr>
          <w:rFonts w:hint="eastAsia" w:ascii="仿宋_GB2312" w:hAnsi="仿宋_GB2312" w:eastAsia="仿宋_GB2312" w:cs="仿宋_GB2312"/>
          <w:color w:val="auto"/>
          <w:sz w:val="24"/>
          <w:highlight w:val="none"/>
        </w:rPr>
        <w:t>：</w:t>
      </w:r>
    </w:p>
    <w:p w14:paraId="6328488E">
      <w:pPr>
        <w:adjustRightInd/>
        <w:spacing w:line="440" w:lineRule="exact"/>
        <w:ind w:firstLine="480" w:firstLineChars="2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rPr>
        <w:t>现</w:t>
      </w:r>
      <w:r>
        <w:rPr>
          <w:rFonts w:hint="eastAsia" w:ascii="仿宋_GB2312" w:hAnsi="仿宋_GB2312" w:eastAsia="仿宋_GB2312" w:cs="仿宋_GB2312"/>
          <w:color w:val="auto"/>
          <w:kern w:val="0"/>
          <w:sz w:val="24"/>
          <w:highlight w:val="none"/>
          <w:lang w:val="zh-CN"/>
        </w:rPr>
        <w:t>委托</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（姓名）为我方代理人（身份证号码：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，手机：</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u w:val="none"/>
          <w:lang w:val="zh-CN"/>
        </w:rPr>
        <w:t>，所在单位：</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），以我方名义处理</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新碶综合文化活动中心音视频系统采购</w:t>
      </w:r>
      <w:r>
        <w:rPr>
          <w:rFonts w:hint="eastAsia" w:ascii="仿宋_GB2312" w:hAnsi="仿宋_GB2312" w:eastAsia="仿宋_GB2312" w:cs="仿宋_GB2312"/>
          <w:color w:val="auto"/>
          <w:sz w:val="24"/>
          <w:highlight w:val="none"/>
          <w:u w:val="single"/>
        </w:rPr>
        <w:t xml:space="preserve">项目 </w:t>
      </w:r>
      <w:r>
        <w:rPr>
          <w:rFonts w:hint="eastAsia" w:ascii="仿宋_GB2312" w:hAnsi="仿宋_GB2312" w:eastAsia="仿宋_GB2312" w:cs="仿宋_GB2312"/>
          <w:color w:val="auto"/>
          <w:sz w:val="24"/>
          <w:highlight w:val="none"/>
        </w:rPr>
        <w:t>（项目名称）【项目编号：</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CTZB-2026030392</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lang w:val="zh-CN"/>
        </w:rPr>
        <w:t>政府采购投标的一切事项，其法律后果由我方承担。</w:t>
      </w:r>
    </w:p>
    <w:p w14:paraId="54725446">
      <w:pPr>
        <w:adjustRightInd/>
        <w:spacing w:line="440" w:lineRule="exact"/>
        <w:ind w:firstLine="480" w:firstLineChars="2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委托期限</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zh-CN"/>
        </w:rPr>
        <w:t>自</w:t>
      </w:r>
      <w:r>
        <w:rPr>
          <w:rFonts w:hint="eastAsia" w:ascii="仿宋_GB2312" w:hAnsi="仿宋_GB2312" w:eastAsia="仿宋_GB2312" w:cs="仿宋_GB2312"/>
          <w:color w:val="auto"/>
          <w:sz w:val="24"/>
          <w:highlight w:val="none"/>
          <w:u w:val="single"/>
          <w:lang w:val="en-US" w:eastAsia="zh-CN"/>
        </w:rPr>
        <w:t>投标截止之日起90日历天</w:t>
      </w:r>
      <w:r>
        <w:rPr>
          <w:rFonts w:hint="eastAsia" w:ascii="仿宋_GB2312" w:hAnsi="仿宋_GB2312" w:eastAsia="仿宋_GB2312" w:cs="仿宋_GB2312"/>
          <w:color w:val="auto"/>
          <w:kern w:val="0"/>
          <w:sz w:val="24"/>
          <w:highlight w:val="none"/>
          <w:lang w:val="zh-CN"/>
        </w:rPr>
        <w:t>。</w:t>
      </w:r>
    </w:p>
    <w:p w14:paraId="6C9294B2">
      <w:pPr>
        <w:adjustRightInd/>
        <w:spacing w:line="44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特此告知。</w:t>
      </w:r>
    </w:p>
    <w:p w14:paraId="6E836272">
      <w:pPr>
        <w:adjustRightInd/>
        <w:spacing w:line="440" w:lineRule="exact"/>
        <w:ind w:firstLine="480" w:firstLineChars="200"/>
        <w:rPr>
          <w:rFonts w:hint="eastAsia" w:ascii="仿宋_GB2312" w:hAnsi="仿宋_GB2312" w:eastAsia="仿宋_GB2312" w:cs="仿宋_GB2312"/>
          <w:color w:val="auto"/>
          <w:kern w:val="0"/>
          <w:sz w:val="24"/>
          <w:highlight w:val="none"/>
          <w:lang w:val="zh-CN"/>
        </w:rPr>
      </w:pPr>
    </w:p>
    <w:p w14:paraId="1827F67F">
      <w:pPr>
        <w:adjustRightInd/>
        <w:spacing w:line="440" w:lineRule="exact"/>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代理人身份证件扫描件：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E2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7592143">
            <w:pPr>
              <w:adjustRightInd/>
              <w:spacing w:line="440" w:lineRule="exact"/>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国徽面：                                 人像面：</w:t>
            </w:r>
          </w:p>
          <w:p w14:paraId="2689787B">
            <w:pPr>
              <w:adjustRightInd/>
              <w:spacing w:line="440" w:lineRule="exact"/>
              <w:rPr>
                <w:rFonts w:hint="eastAsia" w:ascii="仿宋_GB2312" w:hAnsi="仿宋_GB2312" w:eastAsia="仿宋_GB2312" w:cs="仿宋_GB2312"/>
                <w:color w:val="auto"/>
                <w:kern w:val="0"/>
                <w:sz w:val="24"/>
                <w:highlight w:val="none"/>
                <w:lang w:val="zh-CN"/>
              </w:rPr>
            </w:pPr>
          </w:p>
        </w:tc>
      </w:tr>
    </w:tbl>
    <w:p w14:paraId="3D5EDC3C">
      <w:pPr>
        <w:adjustRightInd/>
        <w:spacing w:line="440" w:lineRule="exact"/>
        <w:ind w:firstLine="4800" w:firstLineChars="2000"/>
        <w:rPr>
          <w:rFonts w:ascii="仿宋_GB2312" w:hAnsi="仿宋_GB2312" w:eastAsia="仿宋_GB2312" w:cs="仿宋_GB2312"/>
          <w:color w:val="auto"/>
          <w:kern w:val="0"/>
          <w:sz w:val="24"/>
          <w:highlight w:val="none"/>
          <w:lang w:val="zh-CN"/>
        </w:rPr>
      </w:pPr>
    </w:p>
    <w:p w14:paraId="7F8F4341">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6B480A76">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658AFF5A">
      <w:pPr>
        <w:rPr>
          <w:rFonts w:hint="eastAsia"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color w:val="auto"/>
          <w:kern w:val="0"/>
          <w:sz w:val="32"/>
          <w:szCs w:val="32"/>
          <w:highlight w:val="none"/>
          <w:lang w:val="zh-CN"/>
        </w:rPr>
        <w:br w:type="page"/>
      </w:r>
    </w:p>
    <w:p w14:paraId="26DDF329">
      <w:pPr>
        <w:adjustRightInd/>
        <w:spacing w:line="440" w:lineRule="exact"/>
        <w:jc w:val="center"/>
        <w:rPr>
          <w:rFonts w:hint="eastAsia"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color w:val="auto"/>
          <w:kern w:val="0"/>
          <w:sz w:val="32"/>
          <w:szCs w:val="32"/>
          <w:highlight w:val="none"/>
          <w:lang w:val="zh-CN"/>
        </w:rPr>
        <w:t>授权委托书（适用于联合体投标）</w:t>
      </w:r>
    </w:p>
    <w:p w14:paraId="5D945EAD">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lang w:eastAsia="zh-CN"/>
        </w:rPr>
        <w:t>宁波市北仑区公共项目建设管理中心、浙江省成套招标代理有限公司</w:t>
      </w:r>
      <w:r>
        <w:rPr>
          <w:rFonts w:hint="eastAsia" w:ascii="仿宋_GB2312" w:hAnsi="仿宋_GB2312" w:eastAsia="仿宋_GB2312" w:cs="仿宋_GB2312"/>
          <w:color w:val="auto"/>
          <w:sz w:val="24"/>
          <w:highlight w:val="none"/>
        </w:rPr>
        <w:t>：</w:t>
      </w:r>
    </w:p>
    <w:p w14:paraId="76C5B865">
      <w:pPr>
        <w:adjustRightInd/>
        <w:spacing w:line="440" w:lineRule="exact"/>
        <w:ind w:firstLine="480" w:firstLineChars="2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rPr>
        <w:t>现</w:t>
      </w:r>
      <w:r>
        <w:rPr>
          <w:rFonts w:hint="eastAsia" w:ascii="仿宋_GB2312" w:hAnsi="仿宋_GB2312" w:eastAsia="仿宋_GB2312" w:cs="仿宋_GB2312"/>
          <w:color w:val="auto"/>
          <w:kern w:val="0"/>
          <w:sz w:val="24"/>
          <w:highlight w:val="none"/>
          <w:lang w:val="zh-CN"/>
        </w:rPr>
        <w:t>委托</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（姓名）为我方代理人（身份证号码：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，手机：</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u w:val="none"/>
          <w:lang w:val="zh-CN"/>
        </w:rPr>
        <w:t>，所在单位：</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），以我方名义处理</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新碶综合文化活动中心音视频系统采购</w:t>
      </w:r>
      <w:r>
        <w:rPr>
          <w:rFonts w:hint="eastAsia" w:ascii="仿宋_GB2312" w:hAnsi="仿宋_GB2312" w:eastAsia="仿宋_GB2312" w:cs="仿宋_GB2312"/>
          <w:color w:val="auto"/>
          <w:sz w:val="24"/>
          <w:highlight w:val="none"/>
          <w:u w:val="single"/>
        </w:rPr>
        <w:t xml:space="preserve">项目 </w:t>
      </w:r>
      <w:r>
        <w:rPr>
          <w:rFonts w:hint="eastAsia" w:ascii="仿宋_GB2312" w:hAnsi="仿宋_GB2312" w:eastAsia="仿宋_GB2312" w:cs="仿宋_GB2312"/>
          <w:color w:val="auto"/>
          <w:sz w:val="24"/>
          <w:highlight w:val="none"/>
        </w:rPr>
        <w:t>（项目名称）【项目编号：</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CTZB-2026030392</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lang w:val="zh-CN"/>
        </w:rPr>
        <w:t>政府采购投标的一切事项，其法律后果由我方承担。</w:t>
      </w:r>
    </w:p>
    <w:p w14:paraId="4824D877">
      <w:pPr>
        <w:adjustRightInd/>
        <w:spacing w:line="440" w:lineRule="exact"/>
        <w:ind w:firstLine="480" w:firstLineChars="2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委托期限</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zh-CN"/>
        </w:rPr>
        <w:t>自</w:t>
      </w:r>
      <w:r>
        <w:rPr>
          <w:rFonts w:hint="eastAsia" w:ascii="仿宋_GB2312" w:hAnsi="仿宋_GB2312" w:eastAsia="仿宋_GB2312" w:cs="仿宋_GB2312"/>
          <w:color w:val="auto"/>
          <w:sz w:val="24"/>
          <w:highlight w:val="none"/>
          <w:u w:val="single"/>
          <w:lang w:val="en-US" w:eastAsia="zh-CN"/>
        </w:rPr>
        <w:t>投标截止之日起90日历天</w:t>
      </w:r>
      <w:r>
        <w:rPr>
          <w:rFonts w:hint="eastAsia" w:ascii="仿宋_GB2312" w:hAnsi="仿宋_GB2312" w:eastAsia="仿宋_GB2312" w:cs="仿宋_GB2312"/>
          <w:color w:val="auto"/>
          <w:kern w:val="0"/>
          <w:sz w:val="24"/>
          <w:highlight w:val="none"/>
          <w:lang w:val="zh-CN"/>
        </w:rPr>
        <w:t>。</w:t>
      </w:r>
    </w:p>
    <w:p w14:paraId="7611AA3F">
      <w:pPr>
        <w:adjustRightInd/>
        <w:spacing w:line="44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特此告知。</w:t>
      </w:r>
    </w:p>
    <w:p w14:paraId="6227EC5A">
      <w:pPr>
        <w:adjustRightInd/>
        <w:spacing w:line="440" w:lineRule="exact"/>
        <w:ind w:firstLine="480" w:firstLineChars="200"/>
        <w:rPr>
          <w:rFonts w:hint="eastAsia" w:ascii="仿宋_GB2312" w:hAnsi="仿宋_GB2312" w:eastAsia="仿宋_GB2312" w:cs="仿宋_GB2312"/>
          <w:color w:val="auto"/>
          <w:kern w:val="0"/>
          <w:sz w:val="24"/>
          <w:highlight w:val="none"/>
          <w:lang w:val="zh-CN"/>
        </w:rPr>
      </w:pPr>
    </w:p>
    <w:p w14:paraId="2FCE0B2A">
      <w:pPr>
        <w:adjustRightInd/>
        <w:spacing w:line="440" w:lineRule="exact"/>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代理人身份证件扫描件：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4B8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170111E">
            <w:pPr>
              <w:adjustRightInd/>
              <w:spacing w:line="440" w:lineRule="exact"/>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国徽面：                                 人像面：</w:t>
            </w:r>
          </w:p>
          <w:p w14:paraId="039D1D8E">
            <w:pPr>
              <w:adjustRightInd/>
              <w:spacing w:line="440" w:lineRule="exact"/>
              <w:ind w:firstLine="480" w:firstLineChars="200"/>
              <w:rPr>
                <w:rFonts w:hint="eastAsia" w:ascii="仿宋_GB2312" w:hAnsi="仿宋_GB2312" w:eastAsia="仿宋_GB2312" w:cs="仿宋_GB2312"/>
                <w:color w:val="auto"/>
                <w:kern w:val="0"/>
                <w:sz w:val="24"/>
                <w:highlight w:val="none"/>
                <w:lang w:val="zh-CN"/>
              </w:rPr>
            </w:pPr>
          </w:p>
        </w:tc>
      </w:tr>
    </w:tbl>
    <w:p w14:paraId="7F4879F5">
      <w:pPr>
        <w:adjustRightInd/>
        <w:spacing w:line="440" w:lineRule="exact"/>
        <w:ind w:firstLine="4800" w:firstLineChars="2000"/>
        <w:rPr>
          <w:rFonts w:ascii="仿宋_GB2312" w:hAnsi="仿宋_GB2312" w:eastAsia="仿宋_GB2312" w:cs="仿宋_GB2312"/>
          <w:color w:val="auto"/>
          <w:kern w:val="0"/>
          <w:sz w:val="24"/>
          <w:highlight w:val="none"/>
          <w:lang w:val="zh-CN"/>
        </w:rPr>
      </w:pPr>
    </w:p>
    <w:p w14:paraId="355D031A">
      <w:pPr>
        <w:adjustRightInd/>
        <w:spacing w:line="440" w:lineRule="exact"/>
        <w:ind w:firstLine="4800" w:firstLineChars="20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联合体</w:t>
      </w:r>
      <w:r>
        <w:rPr>
          <w:rFonts w:hint="eastAsia" w:ascii="仿宋_GB2312" w:hAnsi="仿宋_GB2312" w:eastAsia="仿宋_GB2312" w:cs="仿宋_GB2312"/>
          <w:color w:val="auto"/>
          <w:kern w:val="0"/>
          <w:sz w:val="24"/>
          <w:highlight w:val="none"/>
          <w:lang w:val="en-US" w:eastAsia="zh-CN"/>
        </w:rPr>
        <w:t>牵头人</w:t>
      </w:r>
      <w:r>
        <w:rPr>
          <w:rFonts w:hint="eastAsia" w:ascii="仿宋_GB2312" w:hAnsi="仿宋_GB2312" w:eastAsia="仿宋_GB2312" w:cs="仿宋_GB2312"/>
          <w:color w:val="auto"/>
          <w:kern w:val="0"/>
          <w:sz w:val="24"/>
          <w:highlight w:val="none"/>
          <w:lang w:val="zh-CN"/>
        </w:rPr>
        <w:t>名称（电子签名/公章）：</w:t>
      </w:r>
    </w:p>
    <w:p w14:paraId="01EDF685">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联合体成员名称（电子签名/公章）：</w:t>
      </w:r>
    </w:p>
    <w:p w14:paraId="5E0C66B7">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38F6E19B">
      <w:pPr>
        <w:adjustRightInd/>
        <w:spacing w:line="440" w:lineRule="exact"/>
        <w:ind w:firstLine="4800" w:firstLineChars="2000"/>
        <w:rPr>
          <w:rFonts w:ascii="仿宋_GB2312" w:hAnsi="仿宋_GB2312" w:eastAsia="仿宋_GB2312" w:cs="仿宋_GB2312"/>
          <w:color w:val="auto"/>
          <w:kern w:val="0"/>
          <w:sz w:val="24"/>
          <w:highlight w:val="none"/>
          <w:lang w:val="zh-CN"/>
        </w:rPr>
      </w:pPr>
    </w:p>
    <w:p w14:paraId="160BD4DC">
      <w:pPr>
        <w:rPr>
          <w:rFonts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color w:val="auto"/>
          <w:kern w:val="0"/>
          <w:sz w:val="32"/>
          <w:szCs w:val="32"/>
          <w:highlight w:val="none"/>
          <w:lang w:val="zh-CN"/>
        </w:rPr>
        <w:br w:type="page"/>
      </w:r>
    </w:p>
    <w:p w14:paraId="4402C8AF">
      <w:pPr>
        <w:adjustRightInd/>
        <w:spacing w:line="440" w:lineRule="exact"/>
        <w:jc w:val="center"/>
        <w:rPr>
          <w:rFonts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color w:val="auto"/>
          <w:kern w:val="0"/>
          <w:sz w:val="32"/>
          <w:szCs w:val="32"/>
          <w:highlight w:val="none"/>
          <w:lang w:val="zh-CN"/>
        </w:rPr>
        <w:t>法定代表人、单位负责人或自然人本人的身份证明（适用于法定代表人、单位负责人或者自然人本人代表投标人参加投标）</w:t>
      </w:r>
    </w:p>
    <w:p w14:paraId="718D43AE">
      <w:pPr>
        <w:adjustRightInd/>
        <w:spacing w:line="440" w:lineRule="exact"/>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7F3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20F20E">
            <w:pPr>
              <w:adjustRightInd/>
              <w:spacing w:line="440" w:lineRule="exact"/>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国徽面：                                 人像面：</w:t>
            </w:r>
          </w:p>
          <w:p w14:paraId="4D62FC2F">
            <w:pPr>
              <w:adjustRightInd/>
              <w:spacing w:line="440" w:lineRule="exact"/>
              <w:rPr>
                <w:rFonts w:hint="eastAsia" w:ascii="仿宋_GB2312" w:hAnsi="仿宋_GB2312" w:eastAsia="仿宋_GB2312" w:cs="仿宋_GB2312"/>
                <w:color w:val="auto"/>
                <w:kern w:val="0"/>
                <w:sz w:val="24"/>
                <w:highlight w:val="none"/>
                <w:lang w:val="zh-CN"/>
              </w:rPr>
            </w:pPr>
          </w:p>
        </w:tc>
      </w:tr>
    </w:tbl>
    <w:p w14:paraId="1BFE28CD">
      <w:pPr>
        <w:snapToGrid w:val="0"/>
        <w:spacing w:line="360" w:lineRule="auto"/>
        <w:ind w:firstLine="576"/>
        <w:jc w:val="center"/>
        <w:rPr>
          <w:rFonts w:ascii="仿宋_GB2312" w:hAnsi="仿宋_GB2312" w:eastAsia="仿宋_GB2312" w:cs="仿宋_GB2312"/>
          <w:color w:val="auto"/>
          <w:kern w:val="0"/>
          <w:sz w:val="24"/>
          <w:highlight w:val="none"/>
          <w:lang w:val="zh-CN"/>
        </w:rPr>
      </w:pPr>
    </w:p>
    <w:p w14:paraId="6F5E8E66">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0C548F11">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5F316386">
      <w:pP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4D91675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zh-CN" w:eastAsia="zh-CN"/>
        </w:rPr>
      </w:pPr>
      <w:r>
        <w:rPr>
          <w:rFonts w:hint="eastAsia" w:ascii="仿宋_GB2312" w:hAnsi="仿宋_GB2312" w:eastAsia="仿宋_GB2312" w:cs="仿宋_GB2312"/>
          <w:b/>
          <w:color w:val="auto"/>
          <w:sz w:val="32"/>
          <w:szCs w:val="20"/>
          <w:highlight w:val="none"/>
          <w:lang w:val="en-US" w:eastAsia="zh-CN"/>
        </w:rPr>
        <w:t>三</w:t>
      </w:r>
      <w:r>
        <w:rPr>
          <w:rFonts w:hint="eastAsia" w:ascii="仿宋_GB2312" w:hAnsi="仿宋_GB2312" w:eastAsia="仿宋_GB2312" w:cs="仿宋_GB2312"/>
          <w:b/>
          <w:color w:val="auto"/>
          <w:sz w:val="32"/>
          <w:szCs w:val="20"/>
          <w:highlight w:val="none"/>
          <w:lang w:val="zh-CN" w:eastAsia="zh-CN"/>
        </w:rPr>
        <w:t>、符合性审查资料</w:t>
      </w:r>
    </w:p>
    <w:p w14:paraId="49A9DC1E">
      <w:pPr>
        <w:jc w:val="center"/>
        <w:rPr>
          <w:rFonts w:ascii="仿宋_GB2312" w:hAnsi="仿宋_GB2312" w:eastAsia="仿宋_GB2312" w:cs="仿宋_GB2312"/>
          <w:b/>
          <w:color w:val="auto"/>
          <w:kern w:val="0"/>
          <w:sz w:val="32"/>
          <w:szCs w:val="32"/>
          <w:highlight w:val="none"/>
        </w:rPr>
      </w:pPr>
    </w:p>
    <w:tbl>
      <w:tblPr>
        <w:tblStyle w:val="1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920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670B390A">
            <w:pPr>
              <w:adjustRightInd/>
              <w:spacing w:line="44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序号</w:t>
            </w:r>
          </w:p>
        </w:tc>
        <w:tc>
          <w:tcPr>
            <w:tcW w:w="4991" w:type="dxa"/>
            <w:vAlign w:val="center"/>
          </w:tcPr>
          <w:p w14:paraId="1B6272DA">
            <w:pPr>
              <w:adjustRightInd/>
              <w:spacing w:line="44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实质性要求</w:t>
            </w:r>
          </w:p>
        </w:tc>
        <w:tc>
          <w:tcPr>
            <w:tcW w:w="2551" w:type="dxa"/>
            <w:vAlign w:val="center"/>
          </w:tcPr>
          <w:p w14:paraId="7C751CFC">
            <w:pPr>
              <w:adjustRightInd/>
              <w:spacing w:line="44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需要提供的符合性审查资料</w:t>
            </w:r>
          </w:p>
        </w:tc>
        <w:tc>
          <w:tcPr>
            <w:tcW w:w="1418" w:type="dxa"/>
            <w:vAlign w:val="center"/>
          </w:tcPr>
          <w:p w14:paraId="1E5F9940">
            <w:pPr>
              <w:adjustRightInd/>
              <w:spacing w:line="44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投标文件中的</w:t>
            </w:r>
          </w:p>
          <w:p w14:paraId="2C35BBAD">
            <w:pPr>
              <w:adjustRightInd/>
              <w:spacing w:line="44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页码位置</w:t>
            </w:r>
          </w:p>
        </w:tc>
      </w:tr>
      <w:tr w14:paraId="14A1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5A09326">
            <w:pPr>
              <w:adjustRightInd/>
              <w:spacing w:line="4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4991" w:type="dxa"/>
            <w:vAlign w:val="center"/>
          </w:tcPr>
          <w:p w14:paraId="335736B2">
            <w:pPr>
              <w:adjustRightInd/>
              <w:spacing w:line="440" w:lineRule="exact"/>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投标文件按照招标文件要求签署、盖章。</w:t>
            </w:r>
          </w:p>
        </w:tc>
        <w:tc>
          <w:tcPr>
            <w:tcW w:w="2551" w:type="dxa"/>
            <w:vAlign w:val="center"/>
          </w:tcPr>
          <w:p w14:paraId="658F57F3">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需要使用电子签名或者签字盖章的投标文件的组成部分</w:t>
            </w:r>
          </w:p>
        </w:tc>
        <w:tc>
          <w:tcPr>
            <w:tcW w:w="1418" w:type="dxa"/>
          </w:tcPr>
          <w:p w14:paraId="0F0D6FE7">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见投标文件</w:t>
            </w:r>
          </w:p>
          <w:p w14:paraId="57FE3DB0">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页</w:t>
            </w:r>
          </w:p>
        </w:tc>
      </w:tr>
      <w:tr w14:paraId="0562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7BA08E3">
            <w:pPr>
              <w:adjustRightInd/>
              <w:spacing w:line="4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4991" w:type="dxa"/>
            <w:vAlign w:val="center"/>
          </w:tcPr>
          <w:p w14:paraId="04959A40">
            <w:pPr>
              <w:adjustRightInd/>
              <w:spacing w:line="440" w:lineRule="exact"/>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投标文件中承诺的投标有效期不少于招标文件中载明的投标有效期。</w:t>
            </w:r>
          </w:p>
        </w:tc>
        <w:tc>
          <w:tcPr>
            <w:tcW w:w="2551" w:type="dxa"/>
            <w:vAlign w:val="center"/>
          </w:tcPr>
          <w:p w14:paraId="1D395726">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投标函</w:t>
            </w:r>
          </w:p>
        </w:tc>
        <w:tc>
          <w:tcPr>
            <w:tcW w:w="1418" w:type="dxa"/>
          </w:tcPr>
          <w:p w14:paraId="10A4701D">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见投标文件第</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页</w:t>
            </w:r>
          </w:p>
        </w:tc>
      </w:tr>
      <w:tr w14:paraId="180F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63D7064">
            <w:pPr>
              <w:adjustRightInd/>
              <w:spacing w:line="4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4991" w:type="dxa"/>
            <w:vAlign w:val="center"/>
          </w:tcPr>
          <w:p w14:paraId="023EBB7B">
            <w:pPr>
              <w:adjustRightInd/>
              <w:spacing w:line="440" w:lineRule="exact"/>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投标文件满足招标文件的其它实质性要求。</w:t>
            </w:r>
          </w:p>
        </w:tc>
        <w:tc>
          <w:tcPr>
            <w:tcW w:w="2551" w:type="dxa"/>
            <w:vAlign w:val="center"/>
          </w:tcPr>
          <w:p w14:paraId="32E0F78C">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招标文件其它实质性要求相应的材料（“▲”系指实质性要求条款，招标文件无其它实质性要求的，无需提供）</w:t>
            </w:r>
          </w:p>
        </w:tc>
        <w:tc>
          <w:tcPr>
            <w:tcW w:w="1418" w:type="dxa"/>
          </w:tcPr>
          <w:p w14:paraId="0F555B7B">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见投标文件第</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页</w:t>
            </w:r>
          </w:p>
        </w:tc>
      </w:tr>
    </w:tbl>
    <w:p w14:paraId="5A8A9026">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注：按本格式和要求提供。</w:t>
      </w:r>
    </w:p>
    <w:p w14:paraId="27313722">
      <w:pPr>
        <w:jc w:val="center"/>
        <w:rPr>
          <w:rFonts w:ascii="仿宋_GB2312" w:hAnsi="仿宋_GB2312" w:eastAsia="仿宋_GB2312" w:cs="仿宋_GB2312"/>
          <w:b/>
          <w:color w:val="auto"/>
          <w:kern w:val="0"/>
          <w:sz w:val="32"/>
          <w:szCs w:val="32"/>
          <w:highlight w:val="none"/>
        </w:rPr>
      </w:pPr>
    </w:p>
    <w:p w14:paraId="2B756843">
      <w:pPr>
        <w:jc w:val="center"/>
        <w:rPr>
          <w:rFonts w:ascii="仿宋_GB2312" w:hAnsi="仿宋_GB2312" w:eastAsia="仿宋_GB2312" w:cs="仿宋_GB2312"/>
          <w:b/>
          <w:color w:val="auto"/>
          <w:kern w:val="0"/>
          <w:sz w:val="32"/>
          <w:szCs w:val="32"/>
          <w:highlight w:val="none"/>
        </w:rPr>
      </w:pPr>
    </w:p>
    <w:p w14:paraId="752FA98C">
      <w:pPr>
        <w:jc w:val="center"/>
        <w:rPr>
          <w:rFonts w:ascii="仿宋_GB2312" w:hAnsi="仿宋_GB2312" w:eastAsia="仿宋_GB2312" w:cs="仿宋_GB2312"/>
          <w:b/>
          <w:color w:val="auto"/>
          <w:kern w:val="0"/>
          <w:sz w:val="32"/>
          <w:szCs w:val="32"/>
          <w:highlight w:val="none"/>
        </w:rPr>
      </w:pPr>
    </w:p>
    <w:p w14:paraId="1E11C11E">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1DE51358">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2327C4D5">
      <w:pPr>
        <w:jc w:val="center"/>
        <w:rPr>
          <w:rFonts w:ascii="仿宋_GB2312" w:hAnsi="仿宋_GB2312" w:eastAsia="仿宋_GB2312" w:cs="仿宋_GB2312"/>
          <w:b/>
          <w:color w:val="auto"/>
          <w:kern w:val="0"/>
          <w:sz w:val="32"/>
          <w:szCs w:val="32"/>
          <w:highlight w:val="none"/>
        </w:rPr>
      </w:pPr>
    </w:p>
    <w:p w14:paraId="1D8195BF">
      <w:pP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302E4E9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四、评标标准相应的商务技术资料</w:t>
      </w:r>
    </w:p>
    <w:p w14:paraId="371B0ADA">
      <w:pPr>
        <w:adjustRightInd/>
        <w:spacing w:line="44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（按招标文件第四</w:t>
      </w:r>
      <w:r>
        <w:rPr>
          <w:rFonts w:hint="eastAsia" w:ascii="仿宋_GB2312" w:hAnsi="仿宋_GB2312" w:eastAsia="仿宋_GB2312" w:cs="仿宋_GB2312"/>
          <w:b/>
          <w:color w:val="auto"/>
          <w:sz w:val="24"/>
          <w:highlight w:val="none"/>
          <w:lang w:val="en-US" w:eastAsia="zh-CN"/>
        </w:rPr>
        <w:t>章</w:t>
      </w:r>
      <w:r>
        <w:rPr>
          <w:rFonts w:hint="eastAsia" w:ascii="仿宋_GB2312" w:hAnsi="仿宋_GB2312" w:eastAsia="仿宋_GB2312" w:cs="仿宋_GB2312"/>
          <w:b/>
          <w:color w:val="auto"/>
          <w:sz w:val="24"/>
          <w:highlight w:val="none"/>
        </w:rPr>
        <w:t>评标办法前附表提供资料。）</w:t>
      </w:r>
    </w:p>
    <w:tbl>
      <w:tblPr>
        <w:tblStyle w:val="1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359"/>
        <w:gridCol w:w="3152"/>
      </w:tblGrid>
      <w:tr w14:paraId="102F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7B516536">
            <w:pPr>
              <w:adjustRightIn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5359" w:type="dxa"/>
            <w:vAlign w:val="center"/>
          </w:tcPr>
          <w:p w14:paraId="4A4F98BB">
            <w:pPr>
              <w:adjustRightInd/>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投标文件中评标标准相应的商务技术资料目录*</w:t>
            </w:r>
          </w:p>
        </w:tc>
        <w:tc>
          <w:tcPr>
            <w:tcW w:w="3152" w:type="dxa"/>
            <w:vAlign w:val="center"/>
          </w:tcPr>
          <w:p w14:paraId="425BDD08">
            <w:pPr>
              <w:adjustRightInd/>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投标文件中的页码位置</w:t>
            </w:r>
          </w:p>
        </w:tc>
      </w:tr>
      <w:tr w14:paraId="31B0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2A961445">
            <w:pPr>
              <w:adjustRightIn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5359" w:type="dxa"/>
            <w:vAlign w:val="center"/>
          </w:tcPr>
          <w:p w14:paraId="47EE0AA0">
            <w:pPr>
              <w:adjustRightInd/>
              <w:spacing w:line="440" w:lineRule="exact"/>
              <w:jc w:val="center"/>
              <w:rPr>
                <w:rFonts w:hint="eastAsia" w:ascii="仿宋_GB2312" w:hAnsi="仿宋_GB2312" w:eastAsia="仿宋_GB2312" w:cs="仿宋_GB2312"/>
                <w:color w:val="auto"/>
                <w:sz w:val="24"/>
                <w:szCs w:val="24"/>
                <w:highlight w:val="none"/>
                <w:lang w:val="en-US" w:eastAsia="zh-CN"/>
              </w:rPr>
            </w:pPr>
          </w:p>
        </w:tc>
        <w:tc>
          <w:tcPr>
            <w:tcW w:w="3152" w:type="dxa"/>
            <w:vAlign w:val="center"/>
          </w:tcPr>
          <w:p w14:paraId="6E42E1D3">
            <w:pPr>
              <w:adjustRightInd/>
              <w:spacing w:line="44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见投标文件第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页</w:t>
            </w:r>
            <w:r>
              <w:rPr>
                <w:rFonts w:hint="eastAsia" w:ascii="仿宋_GB2312" w:hAnsi="仿宋_GB2312" w:eastAsia="仿宋_GB2312" w:cs="仿宋_GB2312"/>
                <w:color w:val="auto"/>
                <w:sz w:val="24"/>
                <w:szCs w:val="24"/>
                <w:highlight w:val="none"/>
                <w:lang w:val="en-US" w:eastAsia="zh-CN"/>
              </w:rPr>
              <w:t>至</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页</w:t>
            </w:r>
          </w:p>
        </w:tc>
      </w:tr>
      <w:tr w14:paraId="7B84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1D77D7CA">
            <w:pPr>
              <w:adjustRightIn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5359" w:type="dxa"/>
            <w:vAlign w:val="center"/>
          </w:tcPr>
          <w:p w14:paraId="7DDBE87F">
            <w:pPr>
              <w:adjustRightInd/>
              <w:spacing w:line="440" w:lineRule="exact"/>
              <w:jc w:val="center"/>
              <w:rPr>
                <w:rFonts w:hint="eastAsia" w:ascii="仿宋_GB2312" w:hAnsi="仿宋_GB2312" w:eastAsia="仿宋_GB2312" w:cs="仿宋_GB2312"/>
                <w:color w:val="auto"/>
                <w:sz w:val="24"/>
                <w:szCs w:val="24"/>
                <w:highlight w:val="none"/>
                <w:lang w:val="en-US" w:eastAsia="zh-CN"/>
              </w:rPr>
            </w:pPr>
          </w:p>
        </w:tc>
        <w:tc>
          <w:tcPr>
            <w:tcW w:w="3152" w:type="dxa"/>
            <w:vAlign w:val="center"/>
          </w:tcPr>
          <w:p w14:paraId="6BD7DCF2">
            <w:pPr>
              <w:adjustRightInd/>
              <w:spacing w:line="44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页</w:t>
            </w:r>
            <w:r>
              <w:rPr>
                <w:rFonts w:hint="eastAsia" w:ascii="仿宋_GB2312" w:hAnsi="仿宋_GB2312" w:eastAsia="仿宋_GB2312" w:cs="仿宋_GB2312"/>
                <w:color w:val="auto"/>
                <w:sz w:val="24"/>
                <w:szCs w:val="24"/>
                <w:highlight w:val="none"/>
                <w:lang w:val="en-US" w:eastAsia="zh-CN"/>
              </w:rPr>
              <w:t>至</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页</w:t>
            </w:r>
          </w:p>
        </w:tc>
      </w:tr>
      <w:tr w14:paraId="2175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6D71117F">
            <w:pPr>
              <w:adjustRightInd/>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p>
        </w:tc>
        <w:tc>
          <w:tcPr>
            <w:tcW w:w="5359" w:type="dxa"/>
            <w:vAlign w:val="center"/>
          </w:tcPr>
          <w:p w14:paraId="5A0ED499">
            <w:pPr>
              <w:adjustRightInd/>
              <w:spacing w:line="440" w:lineRule="exact"/>
              <w:jc w:val="center"/>
              <w:rPr>
                <w:rFonts w:hint="eastAsia" w:ascii="仿宋_GB2312" w:hAnsi="仿宋_GB2312" w:eastAsia="仿宋_GB2312" w:cs="仿宋_GB2312"/>
                <w:color w:val="auto"/>
                <w:sz w:val="24"/>
                <w:szCs w:val="24"/>
                <w:highlight w:val="none"/>
              </w:rPr>
            </w:pPr>
          </w:p>
        </w:tc>
        <w:tc>
          <w:tcPr>
            <w:tcW w:w="3152" w:type="dxa"/>
            <w:vAlign w:val="center"/>
          </w:tcPr>
          <w:p w14:paraId="2F006D8A">
            <w:pPr>
              <w:adjustRightInd/>
              <w:spacing w:line="44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页</w:t>
            </w:r>
            <w:r>
              <w:rPr>
                <w:rFonts w:hint="eastAsia" w:ascii="仿宋_GB2312" w:hAnsi="仿宋_GB2312" w:eastAsia="仿宋_GB2312" w:cs="仿宋_GB2312"/>
                <w:color w:val="auto"/>
                <w:sz w:val="24"/>
                <w:szCs w:val="24"/>
                <w:highlight w:val="none"/>
                <w:lang w:val="en-US" w:eastAsia="zh-CN"/>
              </w:rPr>
              <w:t>至</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页</w:t>
            </w:r>
          </w:p>
        </w:tc>
      </w:tr>
    </w:tbl>
    <w:p w14:paraId="757F66CB">
      <w:pPr>
        <w:jc w:val="center"/>
        <w:rPr>
          <w:rFonts w:ascii="仿宋_GB2312" w:hAnsi="仿宋_GB2312" w:eastAsia="仿宋_GB2312" w:cs="仿宋_GB2312"/>
          <w:b/>
          <w:color w:val="auto"/>
          <w:kern w:val="0"/>
          <w:sz w:val="32"/>
          <w:szCs w:val="32"/>
          <w:highlight w:val="none"/>
        </w:rPr>
      </w:pPr>
    </w:p>
    <w:p w14:paraId="55E5DFA3">
      <w:pPr>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br w:type="page"/>
      </w:r>
    </w:p>
    <w:p w14:paraId="45BDBEF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3"/>
        <w:rPr>
          <w:rFonts w:hint="default"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（一）拟派项目团队成员汇总表</w:t>
      </w:r>
    </w:p>
    <w:p w14:paraId="2CA9DB13">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项目名称</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新碶综合文化活动中心音视频系统采购项目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72"/>
        <w:gridCol w:w="934"/>
        <w:gridCol w:w="1289"/>
        <w:gridCol w:w="957"/>
        <w:gridCol w:w="957"/>
        <w:gridCol w:w="765"/>
        <w:gridCol w:w="846"/>
        <w:gridCol w:w="1260"/>
        <w:gridCol w:w="958"/>
      </w:tblGrid>
      <w:tr w14:paraId="2641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vAlign w:val="center"/>
          </w:tcPr>
          <w:p w14:paraId="7C202948">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职务</w:t>
            </w:r>
          </w:p>
        </w:tc>
        <w:tc>
          <w:tcPr>
            <w:tcW w:w="872" w:type="dxa"/>
            <w:vMerge w:val="restart"/>
            <w:vAlign w:val="center"/>
          </w:tcPr>
          <w:p w14:paraId="35E4A925">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名称</w:t>
            </w:r>
          </w:p>
        </w:tc>
        <w:tc>
          <w:tcPr>
            <w:tcW w:w="934" w:type="dxa"/>
            <w:vMerge w:val="restart"/>
            <w:vAlign w:val="center"/>
          </w:tcPr>
          <w:p w14:paraId="4962A247">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职称</w:t>
            </w:r>
          </w:p>
        </w:tc>
        <w:tc>
          <w:tcPr>
            <w:tcW w:w="4814" w:type="dxa"/>
            <w:gridSpan w:val="5"/>
            <w:vAlign w:val="center"/>
          </w:tcPr>
          <w:p w14:paraId="7804B6DF">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上岗资格证明</w:t>
            </w:r>
          </w:p>
        </w:tc>
        <w:tc>
          <w:tcPr>
            <w:tcW w:w="2218" w:type="dxa"/>
            <w:gridSpan w:val="2"/>
            <w:vAlign w:val="center"/>
          </w:tcPr>
          <w:p w14:paraId="515FE263">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已承担在建项目情况</w:t>
            </w:r>
          </w:p>
        </w:tc>
      </w:tr>
      <w:tr w14:paraId="46FB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14:paraId="16BE1555">
            <w:pPr>
              <w:adjustRightInd/>
              <w:spacing w:line="440" w:lineRule="exact"/>
              <w:jc w:val="center"/>
              <w:rPr>
                <w:rFonts w:hint="eastAsia" w:ascii="仿宋_GB2312" w:hAnsi="仿宋_GB2312" w:eastAsia="仿宋_GB2312" w:cs="仿宋_GB2312"/>
                <w:color w:val="auto"/>
                <w:sz w:val="21"/>
                <w:szCs w:val="21"/>
                <w:highlight w:val="none"/>
                <w:lang w:val="en-US" w:eastAsia="zh-CN"/>
              </w:rPr>
            </w:pPr>
          </w:p>
        </w:tc>
        <w:tc>
          <w:tcPr>
            <w:tcW w:w="872" w:type="dxa"/>
            <w:vMerge w:val="continue"/>
            <w:vAlign w:val="center"/>
          </w:tcPr>
          <w:p w14:paraId="455E89F8">
            <w:pPr>
              <w:adjustRightInd/>
              <w:spacing w:line="440" w:lineRule="exact"/>
              <w:jc w:val="center"/>
              <w:rPr>
                <w:rFonts w:hint="eastAsia" w:ascii="仿宋_GB2312" w:hAnsi="仿宋_GB2312" w:eastAsia="仿宋_GB2312" w:cs="仿宋_GB2312"/>
                <w:color w:val="auto"/>
                <w:sz w:val="21"/>
                <w:szCs w:val="21"/>
                <w:highlight w:val="none"/>
                <w:lang w:val="en-US" w:eastAsia="zh-CN"/>
              </w:rPr>
            </w:pPr>
          </w:p>
        </w:tc>
        <w:tc>
          <w:tcPr>
            <w:tcW w:w="934" w:type="dxa"/>
            <w:vMerge w:val="continue"/>
            <w:vAlign w:val="center"/>
          </w:tcPr>
          <w:p w14:paraId="529E4F16">
            <w:pPr>
              <w:adjustRightInd/>
              <w:spacing w:line="440" w:lineRule="exact"/>
              <w:jc w:val="center"/>
              <w:rPr>
                <w:rFonts w:hint="eastAsia" w:ascii="仿宋_GB2312" w:hAnsi="仿宋_GB2312" w:eastAsia="仿宋_GB2312" w:cs="仿宋_GB2312"/>
                <w:color w:val="auto"/>
                <w:sz w:val="21"/>
                <w:szCs w:val="21"/>
                <w:highlight w:val="none"/>
                <w:lang w:val="en-US" w:eastAsia="zh-CN"/>
              </w:rPr>
            </w:pPr>
          </w:p>
        </w:tc>
        <w:tc>
          <w:tcPr>
            <w:tcW w:w="1289" w:type="dxa"/>
            <w:vAlign w:val="center"/>
          </w:tcPr>
          <w:p w14:paraId="45C6F0D5">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证书名称</w:t>
            </w:r>
          </w:p>
        </w:tc>
        <w:tc>
          <w:tcPr>
            <w:tcW w:w="957" w:type="dxa"/>
            <w:vAlign w:val="center"/>
          </w:tcPr>
          <w:p w14:paraId="7EDF2090">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级别</w:t>
            </w:r>
          </w:p>
        </w:tc>
        <w:tc>
          <w:tcPr>
            <w:tcW w:w="957" w:type="dxa"/>
            <w:vAlign w:val="center"/>
          </w:tcPr>
          <w:p w14:paraId="75B8E705">
            <w:pPr>
              <w:adjustRightInd/>
              <w:spacing w:line="44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证号</w:t>
            </w:r>
          </w:p>
        </w:tc>
        <w:tc>
          <w:tcPr>
            <w:tcW w:w="765" w:type="dxa"/>
            <w:vAlign w:val="center"/>
          </w:tcPr>
          <w:p w14:paraId="60AC69CE">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w:t>
            </w:r>
          </w:p>
        </w:tc>
        <w:tc>
          <w:tcPr>
            <w:tcW w:w="846" w:type="dxa"/>
            <w:vAlign w:val="center"/>
          </w:tcPr>
          <w:p w14:paraId="0963A8CD">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原服务单位</w:t>
            </w:r>
          </w:p>
        </w:tc>
        <w:tc>
          <w:tcPr>
            <w:tcW w:w="1260" w:type="dxa"/>
            <w:vAlign w:val="center"/>
          </w:tcPr>
          <w:p w14:paraId="7E652E71">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项目数</w:t>
            </w:r>
          </w:p>
        </w:tc>
        <w:tc>
          <w:tcPr>
            <w:tcW w:w="958" w:type="dxa"/>
            <w:vAlign w:val="center"/>
          </w:tcPr>
          <w:p w14:paraId="7403662E">
            <w:pPr>
              <w:adjustRightInd/>
              <w:spacing w:line="44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主要项目名称</w:t>
            </w:r>
          </w:p>
        </w:tc>
      </w:tr>
      <w:tr w14:paraId="6304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373BAE7">
            <w:pPr>
              <w:jc w:val="center"/>
              <w:rPr>
                <w:rFonts w:ascii="仿宋_GB2312" w:hAnsi="仿宋_GB2312" w:eastAsia="仿宋_GB2312" w:cs="仿宋_GB2312"/>
                <w:b/>
                <w:color w:val="auto"/>
                <w:kern w:val="0"/>
                <w:sz w:val="32"/>
                <w:szCs w:val="32"/>
                <w:highlight w:val="none"/>
                <w:vertAlign w:val="baseline"/>
              </w:rPr>
            </w:pPr>
          </w:p>
        </w:tc>
        <w:tc>
          <w:tcPr>
            <w:tcW w:w="872" w:type="dxa"/>
          </w:tcPr>
          <w:p w14:paraId="3F15D170">
            <w:pPr>
              <w:jc w:val="center"/>
              <w:rPr>
                <w:rFonts w:ascii="仿宋_GB2312" w:hAnsi="仿宋_GB2312" w:eastAsia="仿宋_GB2312" w:cs="仿宋_GB2312"/>
                <w:b/>
                <w:color w:val="auto"/>
                <w:kern w:val="0"/>
                <w:sz w:val="32"/>
                <w:szCs w:val="32"/>
                <w:highlight w:val="none"/>
                <w:vertAlign w:val="baseline"/>
              </w:rPr>
            </w:pPr>
          </w:p>
        </w:tc>
        <w:tc>
          <w:tcPr>
            <w:tcW w:w="934" w:type="dxa"/>
          </w:tcPr>
          <w:p w14:paraId="4F04AE31">
            <w:pPr>
              <w:jc w:val="center"/>
              <w:rPr>
                <w:rFonts w:ascii="仿宋_GB2312" w:hAnsi="仿宋_GB2312" w:eastAsia="仿宋_GB2312" w:cs="仿宋_GB2312"/>
                <w:b/>
                <w:color w:val="auto"/>
                <w:kern w:val="0"/>
                <w:sz w:val="32"/>
                <w:szCs w:val="32"/>
                <w:highlight w:val="none"/>
                <w:vertAlign w:val="baseline"/>
              </w:rPr>
            </w:pPr>
          </w:p>
        </w:tc>
        <w:tc>
          <w:tcPr>
            <w:tcW w:w="1289" w:type="dxa"/>
          </w:tcPr>
          <w:p w14:paraId="16A5E810">
            <w:pPr>
              <w:jc w:val="center"/>
              <w:rPr>
                <w:rFonts w:ascii="仿宋_GB2312" w:hAnsi="仿宋_GB2312" w:eastAsia="仿宋_GB2312" w:cs="仿宋_GB2312"/>
                <w:b/>
                <w:color w:val="auto"/>
                <w:kern w:val="0"/>
                <w:sz w:val="32"/>
                <w:szCs w:val="32"/>
                <w:highlight w:val="none"/>
                <w:vertAlign w:val="baseline"/>
              </w:rPr>
            </w:pPr>
          </w:p>
        </w:tc>
        <w:tc>
          <w:tcPr>
            <w:tcW w:w="957" w:type="dxa"/>
          </w:tcPr>
          <w:p w14:paraId="0AC02640">
            <w:pPr>
              <w:jc w:val="center"/>
              <w:rPr>
                <w:rFonts w:ascii="仿宋_GB2312" w:hAnsi="仿宋_GB2312" w:eastAsia="仿宋_GB2312" w:cs="仿宋_GB2312"/>
                <w:b/>
                <w:color w:val="auto"/>
                <w:kern w:val="0"/>
                <w:sz w:val="32"/>
                <w:szCs w:val="32"/>
                <w:highlight w:val="none"/>
                <w:vertAlign w:val="baseline"/>
              </w:rPr>
            </w:pPr>
          </w:p>
        </w:tc>
        <w:tc>
          <w:tcPr>
            <w:tcW w:w="957" w:type="dxa"/>
          </w:tcPr>
          <w:p w14:paraId="59E7BBA3">
            <w:pPr>
              <w:jc w:val="center"/>
              <w:rPr>
                <w:rFonts w:ascii="仿宋_GB2312" w:hAnsi="仿宋_GB2312" w:eastAsia="仿宋_GB2312" w:cs="仿宋_GB2312"/>
                <w:b/>
                <w:color w:val="auto"/>
                <w:kern w:val="0"/>
                <w:sz w:val="32"/>
                <w:szCs w:val="32"/>
                <w:highlight w:val="none"/>
                <w:vertAlign w:val="baseline"/>
              </w:rPr>
            </w:pPr>
          </w:p>
        </w:tc>
        <w:tc>
          <w:tcPr>
            <w:tcW w:w="765" w:type="dxa"/>
          </w:tcPr>
          <w:p w14:paraId="27E9CCC8">
            <w:pPr>
              <w:jc w:val="center"/>
              <w:rPr>
                <w:rFonts w:ascii="仿宋_GB2312" w:hAnsi="仿宋_GB2312" w:eastAsia="仿宋_GB2312" w:cs="仿宋_GB2312"/>
                <w:b/>
                <w:color w:val="auto"/>
                <w:kern w:val="0"/>
                <w:sz w:val="32"/>
                <w:szCs w:val="32"/>
                <w:highlight w:val="none"/>
                <w:vertAlign w:val="baseline"/>
              </w:rPr>
            </w:pPr>
          </w:p>
        </w:tc>
        <w:tc>
          <w:tcPr>
            <w:tcW w:w="846" w:type="dxa"/>
          </w:tcPr>
          <w:p w14:paraId="3BDBD565">
            <w:pPr>
              <w:jc w:val="center"/>
              <w:rPr>
                <w:rFonts w:ascii="仿宋_GB2312" w:hAnsi="仿宋_GB2312" w:eastAsia="仿宋_GB2312" w:cs="仿宋_GB2312"/>
                <w:b/>
                <w:color w:val="auto"/>
                <w:kern w:val="0"/>
                <w:sz w:val="32"/>
                <w:szCs w:val="32"/>
                <w:highlight w:val="none"/>
                <w:vertAlign w:val="baseline"/>
              </w:rPr>
            </w:pPr>
          </w:p>
        </w:tc>
        <w:tc>
          <w:tcPr>
            <w:tcW w:w="1260" w:type="dxa"/>
          </w:tcPr>
          <w:p w14:paraId="646AE623">
            <w:pPr>
              <w:jc w:val="center"/>
              <w:rPr>
                <w:rFonts w:ascii="仿宋_GB2312" w:hAnsi="仿宋_GB2312" w:eastAsia="仿宋_GB2312" w:cs="仿宋_GB2312"/>
                <w:b/>
                <w:color w:val="auto"/>
                <w:kern w:val="0"/>
                <w:sz w:val="32"/>
                <w:szCs w:val="32"/>
                <w:highlight w:val="none"/>
                <w:vertAlign w:val="baseline"/>
              </w:rPr>
            </w:pPr>
          </w:p>
        </w:tc>
        <w:tc>
          <w:tcPr>
            <w:tcW w:w="958" w:type="dxa"/>
          </w:tcPr>
          <w:p w14:paraId="396A795F">
            <w:pPr>
              <w:jc w:val="center"/>
              <w:rPr>
                <w:rFonts w:ascii="仿宋_GB2312" w:hAnsi="仿宋_GB2312" w:eastAsia="仿宋_GB2312" w:cs="仿宋_GB2312"/>
                <w:b/>
                <w:color w:val="auto"/>
                <w:kern w:val="0"/>
                <w:sz w:val="32"/>
                <w:szCs w:val="32"/>
                <w:highlight w:val="none"/>
                <w:vertAlign w:val="baseline"/>
              </w:rPr>
            </w:pPr>
          </w:p>
        </w:tc>
      </w:tr>
      <w:tr w14:paraId="7D4B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A4BB09B">
            <w:pPr>
              <w:jc w:val="center"/>
              <w:rPr>
                <w:rFonts w:ascii="仿宋_GB2312" w:hAnsi="仿宋_GB2312" w:eastAsia="仿宋_GB2312" w:cs="仿宋_GB2312"/>
                <w:b/>
                <w:color w:val="auto"/>
                <w:kern w:val="0"/>
                <w:sz w:val="32"/>
                <w:szCs w:val="32"/>
                <w:highlight w:val="none"/>
                <w:vertAlign w:val="baseline"/>
              </w:rPr>
            </w:pPr>
          </w:p>
        </w:tc>
        <w:tc>
          <w:tcPr>
            <w:tcW w:w="872" w:type="dxa"/>
          </w:tcPr>
          <w:p w14:paraId="3EB97EA9">
            <w:pPr>
              <w:jc w:val="center"/>
              <w:rPr>
                <w:rFonts w:ascii="仿宋_GB2312" w:hAnsi="仿宋_GB2312" w:eastAsia="仿宋_GB2312" w:cs="仿宋_GB2312"/>
                <w:b/>
                <w:color w:val="auto"/>
                <w:kern w:val="0"/>
                <w:sz w:val="32"/>
                <w:szCs w:val="32"/>
                <w:highlight w:val="none"/>
                <w:vertAlign w:val="baseline"/>
              </w:rPr>
            </w:pPr>
          </w:p>
        </w:tc>
        <w:tc>
          <w:tcPr>
            <w:tcW w:w="934" w:type="dxa"/>
          </w:tcPr>
          <w:p w14:paraId="187DC25A">
            <w:pPr>
              <w:jc w:val="center"/>
              <w:rPr>
                <w:rFonts w:ascii="仿宋_GB2312" w:hAnsi="仿宋_GB2312" w:eastAsia="仿宋_GB2312" w:cs="仿宋_GB2312"/>
                <w:b/>
                <w:color w:val="auto"/>
                <w:kern w:val="0"/>
                <w:sz w:val="32"/>
                <w:szCs w:val="32"/>
                <w:highlight w:val="none"/>
                <w:vertAlign w:val="baseline"/>
              </w:rPr>
            </w:pPr>
          </w:p>
        </w:tc>
        <w:tc>
          <w:tcPr>
            <w:tcW w:w="1289" w:type="dxa"/>
          </w:tcPr>
          <w:p w14:paraId="16DDC891">
            <w:pPr>
              <w:jc w:val="center"/>
              <w:rPr>
                <w:rFonts w:ascii="仿宋_GB2312" w:hAnsi="仿宋_GB2312" w:eastAsia="仿宋_GB2312" w:cs="仿宋_GB2312"/>
                <w:b/>
                <w:color w:val="auto"/>
                <w:kern w:val="0"/>
                <w:sz w:val="32"/>
                <w:szCs w:val="32"/>
                <w:highlight w:val="none"/>
                <w:vertAlign w:val="baseline"/>
              </w:rPr>
            </w:pPr>
          </w:p>
        </w:tc>
        <w:tc>
          <w:tcPr>
            <w:tcW w:w="957" w:type="dxa"/>
          </w:tcPr>
          <w:p w14:paraId="4C15449B">
            <w:pPr>
              <w:jc w:val="center"/>
              <w:rPr>
                <w:rFonts w:ascii="仿宋_GB2312" w:hAnsi="仿宋_GB2312" w:eastAsia="仿宋_GB2312" w:cs="仿宋_GB2312"/>
                <w:b/>
                <w:color w:val="auto"/>
                <w:kern w:val="0"/>
                <w:sz w:val="32"/>
                <w:szCs w:val="32"/>
                <w:highlight w:val="none"/>
                <w:vertAlign w:val="baseline"/>
              </w:rPr>
            </w:pPr>
          </w:p>
        </w:tc>
        <w:tc>
          <w:tcPr>
            <w:tcW w:w="957" w:type="dxa"/>
          </w:tcPr>
          <w:p w14:paraId="0391EC73">
            <w:pPr>
              <w:jc w:val="center"/>
              <w:rPr>
                <w:rFonts w:ascii="仿宋_GB2312" w:hAnsi="仿宋_GB2312" w:eastAsia="仿宋_GB2312" w:cs="仿宋_GB2312"/>
                <w:b/>
                <w:color w:val="auto"/>
                <w:kern w:val="0"/>
                <w:sz w:val="32"/>
                <w:szCs w:val="32"/>
                <w:highlight w:val="none"/>
                <w:vertAlign w:val="baseline"/>
              </w:rPr>
            </w:pPr>
          </w:p>
        </w:tc>
        <w:tc>
          <w:tcPr>
            <w:tcW w:w="765" w:type="dxa"/>
          </w:tcPr>
          <w:p w14:paraId="7B014A1A">
            <w:pPr>
              <w:jc w:val="center"/>
              <w:rPr>
                <w:rFonts w:ascii="仿宋_GB2312" w:hAnsi="仿宋_GB2312" w:eastAsia="仿宋_GB2312" w:cs="仿宋_GB2312"/>
                <w:b/>
                <w:color w:val="auto"/>
                <w:kern w:val="0"/>
                <w:sz w:val="32"/>
                <w:szCs w:val="32"/>
                <w:highlight w:val="none"/>
                <w:vertAlign w:val="baseline"/>
              </w:rPr>
            </w:pPr>
          </w:p>
        </w:tc>
        <w:tc>
          <w:tcPr>
            <w:tcW w:w="846" w:type="dxa"/>
          </w:tcPr>
          <w:p w14:paraId="66E12B35">
            <w:pPr>
              <w:jc w:val="center"/>
              <w:rPr>
                <w:rFonts w:ascii="仿宋_GB2312" w:hAnsi="仿宋_GB2312" w:eastAsia="仿宋_GB2312" w:cs="仿宋_GB2312"/>
                <w:b/>
                <w:color w:val="auto"/>
                <w:kern w:val="0"/>
                <w:sz w:val="32"/>
                <w:szCs w:val="32"/>
                <w:highlight w:val="none"/>
                <w:vertAlign w:val="baseline"/>
              </w:rPr>
            </w:pPr>
          </w:p>
        </w:tc>
        <w:tc>
          <w:tcPr>
            <w:tcW w:w="1260" w:type="dxa"/>
          </w:tcPr>
          <w:p w14:paraId="0D6EE0EA">
            <w:pPr>
              <w:jc w:val="center"/>
              <w:rPr>
                <w:rFonts w:ascii="仿宋_GB2312" w:hAnsi="仿宋_GB2312" w:eastAsia="仿宋_GB2312" w:cs="仿宋_GB2312"/>
                <w:b/>
                <w:color w:val="auto"/>
                <w:kern w:val="0"/>
                <w:sz w:val="32"/>
                <w:szCs w:val="32"/>
                <w:highlight w:val="none"/>
                <w:vertAlign w:val="baseline"/>
              </w:rPr>
            </w:pPr>
          </w:p>
        </w:tc>
        <w:tc>
          <w:tcPr>
            <w:tcW w:w="958" w:type="dxa"/>
          </w:tcPr>
          <w:p w14:paraId="7FB121F7">
            <w:pPr>
              <w:jc w:val="center"/>
              <w:rPr>
                <w:rFonts w:ascii="仿宋_GB2312" w:hAnsi="仿宋_GB2312" w:eastAsia="仿宋_GB2312" w:cs="仿宋_GB2312"/>
                <w:b/>
                <w:color w:val="auto"/>
                <w:kern w:val="0"/>
                <w:sz w:val="32"/>
                <w:szCs w:val="32"/>
                <w:highlight w:val="none"/>
                <w:vertAlign w:val="baseline"/>
              </w:rPr>
            </w:pPr>
          </w:p>
        </w:tc>
      </w:tr>
      <w:tr w14:paraId="769B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744C469">
            <w:pPr>
              <w:jc w:val="center"/>
              <w:rPr>
                <w:rFonts w:ascii="仿宋_GB2312" w:hAnsi="仿宋_GB2312" w:eastAsia="仿宋_GB2312" w:cs="仿宋_GB2312"/>
                <w:b/>
                <w:color w:val="auto"/>
                <w:kern w:val="0"/>
                <w:sz w:val="32"/>
                <w:szCs w:val="32"/>
                <w:highlight w:val="none"/>
                <w:vertAlign w:val="baseline"/>
              </w:rPr>
            </w:pPr>
          </w:p>
        </w:tc>
        <w:tc>
          <w:tcPr>
            <w:tcW w:w="872" w:type="dxa"/>
          </w:tcPr>
          <w:p w14:paraId="03703DDC">
            <w:pPr>
              <w:jc w:val="center"/>
              <w:rPr>
                <w:rFonts w:ascii="仿宋_GB2312" w:hAnsi="仿宋_GB2312" w:eastAsia="仿宋_GB2312" w:cs="仿宋_GB2312"/>
                <w:b/>
                <w:color w:val="auto"/>
                <w:kern w:val="0"/>
                <w:sz w:val="32"/>
                <w:szCs w:val="32"/>
                <w:highlight w:val="none"/>
                <w:vertAlign w:val="baseline"/>
              </w:rPr>
            </w:pPr>
          </w:p>
        </w:tc>
        <w:tc>
          <w:tcPr>
            <w:tcW w:w="934" w:type="dxa"/>
          </w:tcPr>
          <w:p w14:paraId="673426CE">
            <w:pPr>
              <w:jc w:val="center"/>
              <w:rPr>
                <w:rFonts w:ascii="仿宋_GB2312" w:hAnsi="仿宋_GB2312" w:eastAsia="仿宋_GB2312" w:cs="仿宋_GB2312"/>
                <w:b/>
                <w:color w:val="auto"/>
                <w:kern w:val="0"/>
                <w:sz w:val="32"/>
                <w:szCs w:val="32"/>
                <w:highlight w:val="none"/>
                <w:vertAlign w:val="baseline"/>
              </w:rPr>
            </w:pPr>
          </w:p>
        </w:tc>
        <w:tc>
          <w:tcPr>
            <w:tcW w:w="1289" w:type="dxa"/>
          </w:tcPr>
          <w:p w14:paraId="2FAC9C63">
            <w:pPr>
              <w:jc w:val="center"/>
              <w:rPr>
                <w:rFonts w:ascii="仿宋_GB2312" w:hAnsi="仿宋_GB2312" w:eastAsia="仿宋_GB2312" w:cs="仿宋_GB2312"/>
                <w:b/>
                <w:color w:val="auto"/>
                <w:kern w:val="0"/>
                <w:sz w:val="32"/>
                <w:szCs w:val="32"/>
                <w:highlight w:val="none"/>
                <w:vertAlign w:val="baseline"/>
              </w:rPr>
            </w:pPr>
          </w:p>
        </w:tc>
        <w:tc>
          <w:tcPr>
            <w:tcW w:w="957" w:type="dxa"/>
          </w:tcPr>
          <w:p w14:paraId="7F13C0B1">
            <w:pPr>
              <w:jc w:val="center"/>
              <w:rPr>
                <w:rFonts w:ascii="仿宋_GB2312" w:hAnsi="仿宋_GB2312" w:eastAsia="仿宋_GB2312" w:cs="仿宋_GB2312"/>
                <w:b/>
                <w:color w:val="auto"/>
                <w:kern w:val="0"/>
                <w:sz w:val="32"/>
                <w:szCs w:val="32"/>
                <w:highlight w:val="none"/>
                <w:vertAlign w:val="baseline"/>
              </w:rPr>
            </w:pPr>
          </w:p>
        </w:tc>
        <w:tc>
          <w:tcPr>
            <w:tcW w:w="957" w:type="dxa"/>
          </w:tcPr>
          <w:p w14:paraId="1906D977">
            <w:pPr>
              <w:jc w:val="center"/>
              <w:rPr>
                <w:rFonts w:ascii="仿宋_GB2312" w:hAnsi="仿宋_GB2312" w:eastAsia="仿宋_GB2312" w:cs="仿宋_GB2312"/>
                <w:b/>
                <w:color w:val="auto"/>
                <w:kern w:val="0"/>
                <w:sz w:val="32"/>
                <w:szCs w:val="32"/>
                <w:highlight w:val="none"/>
                <w:vertAlign w:val="baseline"/>
              </w:rPr>
            </w:pPr>
          </w:p>
        </w:tc>
        <w:tc>
          <w:tcPr>
            <w:tcW w:w="765" w:type="dxa"/>
          </w:tcPr>
          <w:p w14:paraId="42E493FC">
            <w:pPr>
              <w:jc w:val="center"/>
              <w:rPr>
                <w:rFonts w:ascii="仿宋_GB2312" w:hAnsi="仿宋_GB2312" w:eastAsia="仿宋_GB2312" w:cs="仿宋_GB2312"/>
                <w:b/>
                <w:color w:val="auto"/>
                <w:kern w:val="0"/>
                <w:sz w:val="32"/>
                <w:szCs w:val="32"/>
                <w:highlight w:val="none"/>
                <w:vertAlign w:val="baseline"/>
              </w:rPr>
            </w:pPr>
          </w:p>
        </w:tc>
        <w:tc>
          <w:tcPr>
            <w:tcW w:w="846" w:type="dxa"/>
          </w:tcPr>
          <w:p w14:paraId="22A483DF">
            <w:pPr>
              <w:jc w:val="center"/>
              <w:rPr>
                <w:rFonts w:ascii="仿宋_GB2312" w:hAnsi="仿宋_GB2312" w:eastAsia="仿宋_GB2312" w:cs="仿宋_GB2312"/>
                <w:b/>
                <w:color w:val="auto"/>
                <w:kern w:val="0"/>
                <w:sz w:val="32"/>
                <w:szCs w:val="32"/>
                <w:highlight w:val="none"/>
                <w:vertAlign w:val="baseline"/>
              </w:rPr>
            </w:pPr>
          </w:p>
        </w:tc>
        <w:tc>
          <w:tcPr>
            <w:tcW w:w="1260" w:type="dxa"/>
          </w:tcPr>
          <w:p w14:paraId="3DBD886A">
            <w:pPr>
              <w:jc w:val="center"/>
              <w:rPr>
                <w:rFonts w:ascii="仿宋_GB2312" w:hAnsi="仿宋_GB2312" w:eastAsia="仿宋_GB2312" w:cs="仿宋_GB2312"/>
                <w:b/>
                <w:color w:val="auto"/>
                <w:kern w:val="0"/>
                <w:sz w:val="32"/>
                <w:szCs w:val="32"/>
                <w:highlight w:val="none"/>
                <w:vertAlign w:val="baseline"/>
              </w:rPr>
            </w:pPr>
          </w:p>
        </w:tc>
        <w:tc>
          <w:tcPr>
            <w:tcW w:w="958" w:type="dxa"/>
          </w:tcPr>
          <w:p w14:paraId="36D9EADA">
            <w:pPr>
              <w:jc w:val="center"/>
              <w:rPr>
                <w:rFonts w:ascii="仿宋_GB2312" w:hAnsi="仿宋_GB2312" w:eastAsia="仿宋_GB2312" w:cs="仿宋_GB2312"/>
                <w:b/>
                <w:color w:val="auto"/>
                <w:kern w:val="0"/>
                <w:sz w:val="32"/>
                <w:szCs w:val="32"/>
                <w:highlight w:val="none"/>
                <w:vertAlign w:val="baseline"/>
              </w:rPr>
            </w:pPr>
          </w:p>
        </w:tc>
      </w:tr>
      <w:tr w14:paraId="5F46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CEC2107">
            <w:pPr>
              <w:jc w:val="center"/>
              <w:rPr>
                <w:rFonts w:ascii="仿宋_GB2312" w:hAnsi="仿宋_GB2312" w:eastAsia="仿宋_GB2312" w:cs="仿宋_GB2312"/>
                <w:b/>
                <w:color w:val="auto"/>
                <w:kern w:val="0"/>
                <w:sz w:val="32"/>
                <w:szCs w:val="32"/>
                <w:highlight w:val="none"/>
                <w:vertAlign w:val="baseline"/>
              </w:rPr>
            </w:pPr>
          </w:p>
        </w:tc>
        <w:tc>
          <w:tcPr>
            <w:tcW w:w="872" w:type="dxa"/>
          </w:tcPr>
          <w:p w14:paraId="1AE46F51">
            <w:pPr>
              <w:jc w:val="center"/>
              <w:rPr>
                <w:rFonts w:ascii="仿宋_GB2312" w:hAnsi="仿宋_GB2312" w:eastAsia="仿宋_GB2312" w:cs="仿宋_GB2312"/>
                <w:b/>
                <w:color w:val="auto"/>
                <w:kern w:val="0"/>
                <w:sz w:val="32"/>
                <w:szCs w:val="32"/>
                <w:highlight w:val="none"/>
                <w:vertAlign w:val="baseline"/>
              </w:rPr>
            </w:pPr>
          </w:p>
        </w:tc>
        <w:tc>
          <w:tcPr>
            <w:tcW w:w="934" w:type="dxa"/>
          </w:tcPr>
          <w:p w14:paraId="2F75116F">
            <w:pPr>
              <w:jc w:val="center"/>
              <w:rPr>
                <w:rFonts w:ascii="仿宋_GB2312" w:hAnsi="仿宋_GB2312" w:eastAsia="仿宋_GB2312" w:cs="仿宋_GB2312"/>
                <w:b/>
                <w:color w:val="auto"/>
                <w:kern w:val="0"/>
                <w:sz w:val="32"/>
                <w:szCs w:val="32"/>
                <w:highlight w:val="none"/>
                <w:vertAlign w:val="baseline"/>
              </w:rPr>
            </w:pPr>
          </w:p>
        </w:tc>
        <w:tc>
          <w:tcPr>
            <w:tcW w:w="1289" w:type="dxa"/>
          </w:tcPr>
          <w:p w14:paraId="05A9B132">
            <w:pPr>
              <w:jc w:val="center"/>
              <w:rPr>
                <w:rFonts w:ascii="仿宋_GB2312" w:hAnsi="仿宋_GB2312" w:eastAsia="仿宋_GB2312" w:cs="仿宋_GB2312"/>
                <w:b/>
                <w:color w:val="auto"/>
                <w:kern w:val="0"/>
                <w:sz w:val="32"/>
                <w:szCs w:val="32"/>
                <w:highlight w:val="none"/>
                <w:vertAlign w:val="baseline"/>
              </w:rPr>
            </w:pPr>
          </w:p>
        </w:tc>
        <w:tc>
          <w:tcPr>
            <w:tcW w:w="957" w:type="dxa"/>
          </w:tcPr>
          <w:p w14:paraId="240D14EA">
            <w:pPr>
              <w:jc w:val="center"/>
              <w:rPr>
                <w:rFonts w:ascii="仿宋_GB2312" w:hAnsi="仿宋_GB2312" w:eastAsia="仿宋_GB2312" w:cs="仿宋_GB2312"/>
                <w:b/>
                <w:color w:val="auto"/>
                <w:kern w:val="0"/>
                <w:sz w:val="32"/>
                <w:szCs w:val="32"/>
                <w:highlight w:val="none"/>
                <w:vertAlign w:val="baseline"/>
              </w:rPr>
            </w:pPr>
          </w:p>
        </w:tc>
        <w:tc>
          <w:tcPr>
            <w:tcW w:w="957" w:type="dxa"/>
          </w:tcPr>
          <w:p w14:paraId="0BD8F57F">
            <w:pPr>
              <w:jc w:val="center"/>
              <w:rPr>
                <w:rFonts w:ascii="仿宋_GB2312" w:hAnsi="仿宋_GB2312" w:eastAsia="仿宋_GB2312" w:cs="仿宋_GB2312"/>
                <w:b/>
                <w:color w:val="auto"/>
                <w:kern w:val="0"/>
                <w:sz w:val="32"/>
                <w:szCs w:val="32"/>
                <w:highlight w:val="none"/>
                <w:vertAlign w:val="baseline"/>
              </w:rPr>
            </w:pPr>
          </w:p>
        </w:tc>
        <w:tc>
          <w:tcPr>
            <w:tcW w:w="765" w:type="dxa"/>
          </w:tcPr>
          <w:p w14:paraId="3036A19D">
            <w:pPr>
              <w:jc w:val="center"/>
              <w:rPr>
                <w:rFonts w:ascii="仿宋_GB2312" w:hAnsi="仿宋_GB2312" w:eastAsia="仿宋_GB2312" w:cs="仿宋_GB2312"/>
                <w:b/>
                <w:color w:val="auto"/>
                <w:kern w:val="0"/>
                <w:sz w:val="32"/>
                <w:szCs w:val="32"/>
                <w:highlight w:val="none"/>
                <w:vertAlign w:val="baseline"/>
              </w:rPr>
            </w:pPr>
          </w:p>
        </w:tc>
        <w:tc>
          <w:tcPr>
            <w:tcW w:w="846" w:type="dxa"/>
          </w:tcPr>
          <w:p w14:paraId="220B5CCD">
            <w:pPr>
              <w:jc w:val="center"/>
              <w:rPr>
                <w:rFonts w:ascii="仿宋_GB2312" w:hAnsi="仿宋_GB2312" w:eastAsia="仿宋_GB2312" w:cs="仿宋_GB2312"/>
                <w:b/>
                <w:color w:val="auto"/>
                <w:kern w:val="0"/>
                <w:sz w:val="32"/>
                <w:szCs w:val="32"/>
                <w:highlight w:val="none"/>
                <w:vertAlign w:val="baseline"/>
              </w:rPr>
            </w:pPr>
          </w:p>
        </w:tc>
        <w:tc>
          <w:tcPr>
            <w:tcW w:w="1260" w:type="dxa"/>
          </w:tcPr>
          <w:p w14:paraId="7704C7FF">
            <w:pPr>
              <w:jc w:val="center"/>
              <w:rPr>
                <w:rFonts w:ascii="仿宋_GB2312" w:hAnsi="仿宋_GB2312" w:eastAsia="仿宋_GB2312" w:cs="仿宋_GB2312"/>
                <w:b/>
                <w:color w:val="auto"/>
                <w:kern w:val="0"/>
                <w:sz w:val="32"/>
                <w:szCs w:val="32"/>
                <w:highlight w:val="none"/>
                <w:vertAlign w:val="baseline"/>
              </w:rPr>
            </w:pPr>
          </w:p>
        </w:tc>
        <w:tc>
          <w:tcPr>
            <w:tcW w:w="958" w:type="dxa"/>
          </w:tcPr>
          <w:p w14:paraId="0E9BC0CE">
            <w:pPr>
              <w:jc w:val="center"/>
              <w:rPr>
                <w:rFonts w:ascii="仿宋_GB2312" w:hAnsi="仿宋_GB2312" w:eastAsia="仿宋_GB2312" w:cs="仿宋_GB2312"/>
                <w:b/>
                <w:color w:val="auto"/>
                <w:kern w:val="0"/>
                <w:sz w:val="32"/>
                <w:szCs w:val="32"/>
                <w:highlight w:val="none"/>
                <w:vertAlign w:val="baseline"/>
              </w:rPr>
            </w:pPr>
          </w:p>
        </w:tc>
      </w:tr>
      <w:tr w14:paraId="0316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D651545">
            <w:pPr>
              <w:jc w:val="center"/>
              <w:rPr>
                <w:rFonts w:ascii="仿宋_GB2312" w:hAnsi="仿宋_GB2312" w:eastAsia="仿宋_GB2312" w:cs="仿宋_GB2312"/>
                <w:b/>
                <w:color w:val="auto"/>
                <w:kern w:val="0"/>
                <w:sz w:val="32"/>
                <w:szCs w:val="32"/>
                <w:highlight w:val="none"/>
                <w:vertAlign w:val="baseline"/>
              </w:rPr>
            </w:pPr>
          </w:p>
        </w:tc>
        <w:tc>
          <w:tcPr>
            <w:tcW w:w="872" w:type="dxa"/>
          </w:tcPr>
          <w:p w14:paraId="61EA4EA5">
            <w:pPr>
              <w:jc w:val="center"/>
              <w:rPr>
                <w:rFonts w:ascii="仿宋_GB2312" w:hAnsi="仿宋_GB2312" w:eastAsia="仿宋_GB2312" w:cs="仿宋_GB2312"/>
                <w:b/>
                <w:color w:val="auto"/>
                <w:kern w:val="0"/>
                <w:sz w:val="32"/>
                <w:szCs w:val="32"/>
                <w:highlight w:val="none"/>
                <w:vertAlign w:val="baseline"/>
              </w:rPr>
            </w:pPr>
          </w:p>
        </w:tc>
        <w:tc>
          <w:tcPr>
            <w:tcW w:w="934" w:type="dxa"/>
          </w:tcPr>
          <w:p w14:paraId="2B30F80F">
            <w:pPr>
              <w:jc w:val="center"/>
              <w:rPr>
                <w:rFonts w:ascii="仿宋_GB2312" w:hAnsi="仿宋_GB2312" w:eastAsia="仿宋_GB2312" w:cs="仿宋_GB2312"/>
                <w:b/>
                <w:color w:val="auto"/>
                <w:kern w:val="0"/>
                <w:sz w:val="32"/>
                <w:szCs w:val="32"/>
                <w:highlight w:val="none"/>
                <w:vertAlign w:val="baseline"/>
              </w:rPr>
            </w:pPr>
          </w:p>
        </w:tc>
        <w:tc>
          <w:tcPr>
            <w:tcW w:w="1289" w:type="dxa"/>
          </w:tcPr>
          <w:p w14:paraId="7077D970">
            <w:pPr>
              <w:jc w:val="center"/>
              <w:rPr>
                <w:rFonts w:ascii="仿宋_GB2312" w:hAnsi="仿宋_GB2312" w:eastAsia="仿宋_GB2312" w:cs="仿宋_GB2312"/>
                <w:b/>
                <w:color w:val="auto"/>
                <w:kern w:val="0"/>
                <w:sz w:val="32"/>
                <w:szCs w:val="32"/>
                <w:highlight w:val="none"/>
                <w:vertAlign w:val="baseline"/>
              </w:rPr>
            </w:pPr>
          </w:p>
        </w:tc>
        <w:tc>
          <w:tcPr>
            <w:tcW w:w="957" w:type="dxa"/>
          </w:tcPr>
          <w:p w14:paraId="684C1530">
            <w:pPr>
              <w:jc w:val="center"/>
              <w:rPr>
                <w:rFonts w:ascii="仿宋_GB2312" w:hAnsi="仿宋_GB2312" w:eastAsia="仿宋_GB2312" w:cs="仿宋_GB2312"/>
                <w:b/>
                <w:color w:val="auto"/>
                <w:kern w:val="0"/>
                <w:sz w:val="32"/>
                <w:szCs w:val="32"/>
                <w:highlight w:val="none"/>
                <w:vertAlign w:val="baseline"/>
              </w:rPr>
            </w:pPr>
          </w:p>
        </w:tc>
        <w:tc>
          <w:tcPr>
            <w:tcW w:w="957" w:type="dxa"/>
          </w:tcPr>
          <w:p w14:paraId="388A40E1">
            <w:pPr>
              <w:jc w:val="center"/>
              <w:rPr>
                <w:rFonts w:ascii="仿宋_GB2312" w:hAnsi="仿宋_GB2312" w:eastAsia="仿宋_GB2312" w:cs="仿宋_GB2312"/>
                <w:b/>
                <w:color w:val="auto"/>
                <w:kern w:val="0"/>
                <w:sz w:val="32"/>
                <w:szCs w:val="32"/>
                <w:highlight w:val="none"/>
                <w:vertAlign w:val="baseline"/>
              </w:rPr>
            </w:pPr>
          </w:p>
        </w:tc>
        <w:tc>
          <w:tcPr>
            <w:tcW w:w="765" w:type="dxa"/>
          </w:tcPr>
          <w:p w14:paraId="56F11DEE">
            <w:pPr>
              <w:jc w:val="center"/>
              <w:rPr>
                <w:rFonts w:ascii="仿宋_GB2312" w:hAnsi="仿宋_GB2312" w:eastAsia="仿宋_GB2312" w:cs="仿宋_GB2312"/>
                <w:b/>
                <w:color w:val="auto"/>
                <w:kern w:val="0"/>
                <w:sz w:val="32"/>
                <w:szCs w:val="32"/>
                <w:highlight w:val="none"/>
                <w:vertAlign w:val="baseline"/>
              </w:rPr>
            </w:pPr>
          </w:p>
        </w:tc>
        <w:tc>
          <w:tcPr>
            <w:tcW w:w="846" w:type="dxa"/>
          </w:tcPr>
          <w:p w14:paraId="7D32F511">
            <w:pPr>
              <w:jc w:val="center"/>
              <w:rPr>
                <w:rFonts w:ascii="仿宋_GB2312" w:hAnsi="仿宋_GB2312" w:eastAsia="仿宋_GB2312" w:cs="仿宋_GB2312"/>
                <w:b/>
                <w:color w:val="auto"/>
                <w:kern w:val="0"/>
                <w:sz w:val="32"/>
                <w:szCs w:val="32"/>
                <w:highlight w:val="none"/>
                <w:vertAlign w:val="baseline"/>
              </w:rPr>
            </w:pPr>
          </w:p>
        </w:tc>
        <w:tc>
          <w:tcPr>
            <w:tcW w:w="1260" w:type="dxa"/>
          </w:tcPr>
          <w:p w14:paraId="535144BF">
            <w:pPr>
              <w:jc w:val="center"/>
              <w:rPr>
                <w:rFonts w:ascii="仿宋_GB2312" w:hAnsi="仿宋_GB2312" w:eastAsia="仿宋_GB2312" w:cs="仿宋_GB2312"/>
                <w:b/>
                <w:color w:val="auto"/>
                <w:kern w:val="0"/>
                <w:sz w:val="32"/>
                <w:szCs w:val="32"/>
                <w:highlight w:val="none"/>
                <w:vertAlign w:val="baseline"/>
              </w:rPr>
            </w:pPr>
          </w:p>
        </w:tc>
        <w:tc>
          <w:tcPr>
            <w:tcW w:w="958" w:type="dxa"/>
          </w:tcPr>
          <w:p w14:paraId="773A0F27">
            <w:pPr>
              <w:jc w:val="center"/>
              <w:rPr>
                <w:rFonts w:ascii="仿宋_GB2312" w:hAnsi="仿宋_GB2312" w:eastAsia="仿宋_GB2312" w:cs="仿宋_GB2312"/>
                <w:b/>
                <w:color w:val="auto"/>
                <w:kern w:val="0"/>
                <w:sz w:val="32"/>
                <w:szCs w:val="32"/>
                <w:highlight w:val="none"/>
                <w:vertAlign w:val="baseline"/>
              </w:rPr>
            </w:pPr>
          </w:p>
        </w:tc>
      </w:tr>
      <w:tr w14:paraId="602C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DD80465">
            <w:pPr>
              <w:jc w:val="center"/>
              <w:rPr>
                <w:rFonts w:ascii="仿宋_GB2312" w:hAnsi="仿宋_GB2312" w:eastAsia="仿宋_GB2312" w:cs="仿宋_GB2312"/>
                <w:b/>
                <w:color w:val="auto"/>
                <w:kern w:val="0"/>
                <w:sz w:val="32"/>
                <w:szCs w:val="32"/>
                <w:highlight w:val="none"/>
                <w:vertAlign w:val="baseline"/>
              </w:rPr>
            </w:pPr>
          </w:p>
        </w:tc>
        <w:tc>
          <w:tcPr>
            <w:tcW w:w="872" w:type="dxa"/>
          </w:tcPr>
          <w:p w14:paraId="6584FA7D">
            <w:pPr>
              <w:jc w:val="center"/>
              <w:rPr>
                <w:rFonts w:ascii="仿宋_GB2312" w:hAnsi="仿宋_GB2312" w:eastAsia="仿宋_GB2312" w:cs="仿宋_GB2312"/>
                <w:b/>
                <w:color w:val="auto"/>
                <w:kern w:val="0"/>
                <w:sz w:val="32"/>
                <w:szCs w:val="32"/>
                <w:highlight w:val="none"/>
                <w:vertAlign w:val="baseline"/>
              </w:rPr>
            </w:pPr>
          </w:p>
        </w:tc>
        <w:tc>
          <w:tcPr>
            <w:tcW w:w="934" w:type="dxa"/>
          </w:tcPr>
          <w:p w14:paraId="01BBAE27">
            <w:pPr>
              <w:jc w:val="center"/>
              <w:rPr>
                <w:rFonts w:ascii="仿宋_GB2312" w:hAnsi="仿宋_GB2312" w:eastAsia="仿宋_GB2312" w:cs="仿宋_GB2312"/>
                <w:b/>
                <w:color w:val="auto"/>
                <w:kern w:val="0"/>
                <w:sz w:val="32"/>
                <w:szCs w:val="32"/>
                <w:highlight w:val="none"/>
                <w:vertAlign w:val="baseline"/>
              </w:rPr>
            </w:pPr>
          </w:p>
        </w:tc>
        <w:tc>
          <w:tcPr>
            <w:tcW w:w="1289" w:type="dxa"/>
          </w:tcPr>
          <w:p w14:paraId="3AE0BC64">
            <w:pPr>
              <w:jc w:val="center"/>
              <w:rPr>
                <w:rFonts w:ascii="仿宋_GB2312" w:hAnsi="仿宋_GB2312" w:eastAsia="仿宋_GB2312" w:cs="仿宋_GB2312"/>
                <w:b/>
                <w:color w:val="auto"/>
                <w:kern w:val="0"/>
                <w:sz w:val="32"/>
                <w:szCs w:val="32"/>
                <w:highlight w:val="none"/>
                <w:vertAlign w:val="baseline"/>
              </w:rPr>
            </w:pPr>
          </w:p>
        </w:tc>
        <w:tc>
          <w:tcPr>
            <w:tcW w:w="957" w:type="dxa"/>
          </w:tcPr>
          <w:p w14:paraId="5FB65BDB">
            <w:pPr>
              <w:jc w:val="center"/>
              <w:rPr>
                <w:rFonts w:ascii="仿宋_GB2312" w:hAnsi="仿宋_GB2312" w:eastAsia="仿宋_GB2312" w:cs="仿宋_GB2312"/>
                <w:b/>
                <w:color w:val="auto"/>
                <w:kern w:val="0"/>
                <w:sz w:val="32"/>
                <w:szCs w:val="32"/>
                <w:highlight w:val="none"/>
                <w:vertAlign w:val="baseline"/>
              </w:rPr>
            </w:pPr>
          </w:p>
        </w:tc>
        <w:tc>
          <w:tcPr>
            <w:tcW w:w="957" w:type="dxa"/>
          </w:tcPr>
          <w:p w14:paraId="4641D75D">
            <w:pPr>
              <w:jc w:val="center"/>
              <w:rPr>
                <w:rFonts w:ascii="仿宋_GB2312" w:hAnsi="仿宋_GB2312" w:eastAsia="仿宋_GB2312" w:cs="仿宋_GB2312"/>
                <w:b/>
                <w:color w:val="auto"/>
                <w:kern w:val="0"/>
                <w:sz w:val="32"/>
                <w:szCs w:val="32"/>
                <w:highlight w:val="none"/>
                <w:vertAlign w:val="baseline"/>
              </w:rPr>
            </w:pPr>
          </w:p>
        </w:tc>
        <w:tc>
          <w:tcPr>
            <w:tcW w:w="765" w:type="dxa"/>
          </w:tcPr>
          <w:p w14:paraId="14467622">
            <w:pPr>
              <w:jc w:val="center"/>
              <w:rPr>
                <w:rFonts w:ascii="仿宋_GB2312" w:hAnsi="仿宋_GB2312" w:eastAsia="仿宋_GB2312" w:cs="仿宋_GB2312"/>
                <w:b/>
                <w:color w:val="auto"/>
                <w:kern w:val="0"/>
                <w:sz w:val="32"/>
                <w:szCs w:val="32"/>
                <w:highlight w:val="none"/>
                <w:vertAlign w:val="baseline"/>
              </w:rPr>
            </w:pPr>
          </w:p>
        </w:tc>
        <w:tc>
          <w:tcPr>
            <w:tcW w:w="846" w:type="dxa"/>
          </w:tcPr>
          <w:p w14:paraId="2C747DD7">
            <w:pPr>
              <w:jc w:val="center"/>
              <w:rPr>
                <w:rFonts w:ascii="仿宋_GB2312" w:hAnsi="仿宋_GB2312" w:eastAsia="仿宋_GB2312" w:cs="仿宋_GB2312"/>
                <w:b/>
                <w:color w:val="auto"/>
                <w:kern w:val="0"/>
                <w:sz w:val="32"/>
                <w:szCs w:val="32"/>
                <w:highlight w:val="none"/>
                <w:vertAlign w:val="baseline"/>
              </w:rPr>
            </w:pPr>
          </w:p>
        </w:tc>
        <w:tc>
          <w:tcPr>
            <w:tcW w:w="1260" w:type="dxa"/>
          </w:tcPr>
          <w:p w14:paraId="7191D7B5">
            <w:pPr>
              <w:jc w:val="center"/>
              <w:rPr>
                <w:rFonts w:ascii="仿宋_GB2312" w:hAnsi="仿宋_GB2312" w:eastAsia="仿宋_GB2312" w:cs="仿宋_GB2312"/>
                <w:b/>
                <w:color w:val="auto"/>
                <w:kern w:val="0"/>
                <w:sz w:val="32"/>
                <w:szCs w:val="32"/>
                <w:highlight w:val="none"/>
                <w:vertAlign w:val="baseline"/>
              </w:rPr>
            </w:pPr>
          </w:p>
        </w:tc>
        <w:tc>
          <w:tcPr>
            <w:tcW w:w="958" w:type="dxa"/>
          </w:tcPr>
          <w:p w14:paraId="6EF993C3">
            <w:pPr>
              <w:jc w:val="center"/>
              <w:rPr>
                <w:rFonts w:ascii="仿宋_GB2312" w:hAnsi="仿宋_GB2312" w:eastAsia="仿宋_GB2312" w:cs="仿宋_GB2312"/>
                <w:b/>
                <w:color w:val="auto"/>
                <w:kern w:val="0"/>
                <w:sz w:val="32"/>
                <w:szCs w:val="32"/>
                <w:highlight w:val="none"/>
                <w:vertAlign w:val="baseline"/>
              </w:rPr>
            </w:pPr>
          </w:p>
        </w:tc>
      </w:tr>
      <w:tr w14:paraId="6378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A1DBDB5">
            <w:pPr>
              <w:jc w:val="center"/>
              <w:rPr>
                <w:rFonts w:ascii="仿宋_GB2312" w:hAnsi="仿宋_GB2312" w:eastAsia="仿宋_GB2312" w:cs="仿宋_GB2312"/>
                <w:b/>
                <w:color w:val="auto"/>
                <w:kern w:val="0"/>
                <w:sz w:val="32"/>
                <w:szCs w:val="32"/>
                <w:highlight w:val="none"/>
                <w:vertAlign w:val="baseline"/>
              </w:rPr>
            </w:pPr>
          </w:p>
        </w:tc>
        <w:tc>
          <w:tcPr>
            <w:tcW w:w="872" w:type="dxa"/>
          </w:tcPr>
          <w:p w14:paraId="52B44D3B">
            <w:pPr>
              <w:jc w:val="center"/>
              <w:rPr>
                <w:rFonts w:ascii="仿宋_GB2312" w:hAnsi="仿宋_GB2312" w:eastAsia="仿宋_GB2312" w:cs="仿宋_GB2312"/>
                <w:b/>
                <w:color w:val="auto"/>
                <w:kern w:val="0"/>
                <w:sz w:val="32"/>
                <w:szCs w:val="32"/>
                <w:highlight w:val="none"/>
                <w:vertAlign w:val="baseline"/>
              </w:rPr>
            </w:pPr>
          </w:p>
        </w:tc>
        <w:tc>
          <w:tcPr>
            <w:tcW w:w="934" w:type="dxa"/>
          </w:tcPr>
          <w:p w14:paraId="37DA42EE">
            <w:pPr>
              <w:jc w:val="center"/>
              <w:rPr>
                <w:rFonts w:ascii="仿宋_GB2312" w:hAnsi="仿宋_GB2312" w:eastAsia="仿宋_GB2312" w:cs="仿宋_GB2312"/>
                <w:b/>
                <w:color w:val="auto"/>
                <w:kern w:val="0"/>
                <w:sz w:val="32"/>
                <w:szCs w:val="32"/>
                <w:highlight w:val="none"/>
                <w:vertAlign w:val="baseline"/>
              </w:rPr>
            </w:pPr>
          </w:p>
        </w:tc>
        <w:tc>
          <w:tcPr>
            <w:tcW w:w="1289" w:type="dxa"/>
          </w:tcPr>
          <w:p w14:paraId="311D393B">
            <w:pPr>
              <w:jc w:val="center"/>
              <w:rPr>
                <w:rFonts w:ascii="仿宋_GB2312" w:hAnsi="仿宋_GB2312" w:eastAsia="仿宋_GB2312" w:cs="仿宋_GB2312"/>
                <w:b/>
                <w:color w:val="auto"/>
                <w:kern w:val="0"/>
                <w:sz w:val="32"/>
                <w:szCs w:val="32"/>
                <w:highlight w:val="none"/>
                <w:vertAlign w:val="baseline"/>
              </w:rPr>
            </w:pPr>
          </w:p>
        </w:tc>
        <w:tc>
          <w:tcPr>
            <w:tcW w:w="957" w:type="dxa"/>
          </w:tcPr>
          <w:p w14:paraId="294BA3E8">
            <w:pPr>
              <w:jc w:val="center"/>
              <w:rPr>
                <w:rFonts w:ascii="仿宋_GB2312" w:hAnsi="仿宋_GB2312" w:eastAsia="仿宋_GB2312" w:cs="仿宋_GB2312"/>
                <w:b/>
                <w:color w:val="auto"/>
                <w:kern w:val="0"/>
                <w:sz w:val="32"/>
                <w:szCs w:val="32"/>
                <w:highlight w:val="none"/>
                <w:vertAlign w:val="baseline"/>
              </w:rPr>
            </w:pPr>
          </w:p>
        </w:tc>
        <w:tc>
          <w:tcPr>
            <w:tcW w:w="957" w:type="dxa"/>
          </w:tcPr>
          <w:p w14:paraId="4D108583">
            <w:pPr>
              <w:jc w:val="center"/>
              <w:rPr>
                <w:rFonts w:ascii="仿宋_GB2312" w:hAnsi="仿宋_GB2312" w:eastAsia="仿宋_GB2312" w:cs="仿宋_GB2312"/>
                <w:b/>
                <w:color w:val="auto"/>
                <w:kern w:val="0"/>
                <w:sz w:val="32"/>
                <w:szCs w:val="32"/>
                <w:highlight w:val="none"/>
                <w:vertAlign w:val="baseline"/>
              </w:rPr>
            </w:pPr>
          </w:p>
        </w:tc>
        <w:tc>
          <w:tcPr>
            <w:tcW w:w="765" w:type="dxa"/>
          </w:tcPr>
          <w:p w14:paraId="4FB96FD2">
            <w:pPr>
              <w:jc w:val="center"/>
              <w:rPr>
                <w:rFonts w:ascii="仿宋_GB2312" w:hAnsi="仿宋_GB2312" w:eastAsia="仿宋_GB2312" w:cs="仿宋_GB2312"/>
                <w:b/>
                <w:color w:val="auto"/>
                <w:kern w:val="0"/>
                <w:sz w:val="32"/>
                <w:szCs w:val="32"/>
                <w:highlight w:val="none"/>
                <w:vertAlign w:val="baseline"/>
              </w:rPr>
            </w:pPr>
          </w:p>
        </w:tc>
        <w:tc>
          <w:tcPr>
            <w:tcW w:w="846" w:type="dxa"/>
          </w:tcPr>
          <w:p w14:paraId="3437102C">
            <w:pPr>
              <w:jc w:val="center"/>
              <w:rPr>
                <w:rFonts w:ascii="仿宋_GB2312" w:hAnsi="仿宋_GB2312" w:eastAsia="仿宋_GB2312" w:cs="仿宋_GB2312"/>
                <w:b/>
                <w:color w:val="auto"/>
                <w:kern w:val="0"/>
                <w:sz w:val="32"/>
                <w:szCs w:val="32"/>
                <w:highlight w:val="none"/>
                <w:vertAlign w:val="baseline"/>
              </w:rPr>
            </w:pPr>
          </w:p>
        </w:tc>
        <w:tc>
          <w:tcPr>
            <w:tcW w:w="1260" w:type="dxa"/>
          </w:tcPr>
          <w:p w14:paraId="070E6746">
            <w:pPr>
              <w:jc w:val="center"/>
              <w:rPr>
                <w:rFonts w:ascii="仿宋_GB2312" w:hAnsi="仿宋_GB2312" w:eastAsia="仿宋_GB2312" w:cs="仿宋_GB2312"/>
                <w:b/>
                <w:color w:val="auto"/>
                <w:kern w:val="0"/>
                <w:sz w:val="32"/>
                <w:szCs w:val="32"/>
                <w:highlight w:val="none"/>
                <w:vertAlign w:val="baseline"/>
              </w:rPr>
            </w:pPr>
          </w:p>
        </w:tc>
        <w:tc>
          <w:tcPr>
            <w:tcW w:w="958" w:type="dxa"/>
          </w:tcPr>
          <w:p w14:paraId="630D8DA2">
            <w:pPr>
              <w:jc w:val="center"/>
              <w:rPr>
                <w:rFonts w:ascii="仿宋_GB2312" w:hAnsi="仿宋_GB2312" w:eastAsia="仿宋_GB2312" w:cs="仿宋_GB2312"/>
                <w:b/>
                <w:color w:val="auto"/>
                <w:kern w:val="0"/>
                <w:sz w:val="32"/>
                <w:szCs w:val="32"/>
                <w:highlight w:val="none"/>
                <w:vertAlign w:val="baseline"/>
              </w:rPr>
            </w:pPr>
          </w:p>
        </w:tc>
      </w:tr>
      <w:tr w14:paraId="57E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0F4E5A4">
            <w:pPr>
              <w:jc w:val="center"/>
              <w:rPr>
                <w:rFonts w:ascii="仿宋_GB2312" w:hAnsi="仿宋_GB2312" w:eastAsia="仿宋_GB2312" w:cs="仿宋_GB2312"/>
                <w:b/>
                <w:color w:val="auto"/>
                <w:kern w:val="0"/>
                <w:sz w:val="32"/>
                <w:szCs w:val="32"/>
                <w:highlight w:val="none"/>
                <w:vertAlign w:val="baseline"/>
              </w:rPr>
            </w:pPr>
          </w:p>
        </w:tc>
        <w:tc>
          <w:tcPr>
            <w:tcW w:w="872" w:type="dxa"/>
          </w:tcPr>
          <w:p w14:paraId="394B766D">
            <w:pPr>
              <w:jc w:val="center"/>
              <w:rPr>
                <w:rFonts w:ascii="仿宋_GB2312" w:hAnsi="仿宋_GB2312" w:eastAsia="仿宋_GB2312" w:cs="仿宋_GB2312"/>
                <w:b/>
                <w:color w:val="auto"/>
                <w:kern w:val="0"/>
                <w:sz w:val="32"/>
                <w:szCs w:val="32"/>
                <w:highlight w:val="none"/>
                <w:vertAlign w:val="baseline"/>
              </w:rPr>
            </w:pPr>
          </w:p>
        </w:tc>
        <w:tc>
          <w:tcPr>
            <w:tcW w:w="934" w:type="dxa"/>
          </w:tcPr>
          <w:p w14:paraId="7C6AE148">
            <w:pPr>
              <w:jc w:val="center"/>
              <w:rPr>
                <w:rFonts w:ascii="仿宋_GB2312" w:hAnsi="仿宋_GB2312" w:eastAsia="仿宋_GB2312" w:cs="仿宋_GB2312"/>
                <w:b/>
                <w:color w:val="auto"/>
                <w:kern w:val="0"/>
                <w:sz w:val="32"/>
                <w:szCs w:val="32"/>
                <w:highlight w:val="none"/>
                <w:vertAlign w:val="baseline"/>
              </w:rPr>
            </w:pPr>
          </w:p>
        </w:tc>
        <w:tc>
          <w:tcPr>
            <w:tcW w:w="1289" w:type="dxa"/>
          </w:tcPr>
          <w:p w14:paraId="2C7E47A3">
            <w:pPr>
              <w:jc w:val="center"/>
              <w:rPr>
                <w:rFonts w:ascii="仿宋_GB2312" w:hAnsi="仿宋_GB2312" w:eastAsia="仿宋_GB2312" w:cs="仿宋_GB2312"/>
                <w:b/>
                <w:color w:val="auto"/>
                <w:kern w:val="0"/>
                <w:sz w:val="32"/>
                <w:szCs w:val="32"/>
                <w:highlight w:val="none"/>
                <w:vertAlign w:val="baseline"/>
              </w:rPr>
            </w:pPr>
          </w:p>
        </w:tc>
        <w:tc>
          <w:tcPr>
            <w:tcW w:w="957" w:type="dxa"/>
          </w:tcPr>
          <w:p w14:paraId="02C4D879">
            <w:pPr>
              <w:jc w:val="center"/>
              <w:rPr>
                <w:rFonts w:ascii="仿宋_GB2312" w:hAnsi="仿宋_GB2312" w:eastAsia="仿宋_GB2312" w:cs="仿宋_GB2312"/>
                <w:b/>
                <w:color w:val="auto"/>
                <w:kern w:val="0"/>
                <w:sz w:val="32"/>
                <w:szCs w:val="32"/>
                <w:highlight w:val="none"/>
                <w:vertAlign w:val="baseline"/>
              </w:rPr>
            </w:pPr>
          </w:p>
        </w:tc>
        <w:tc>
          <w:tcPr>
            <w:tcW w:w="957" w:type="dxa"/>
          </w:tcPr>
          <w:p w14:paraId="5633FFDB">
            <w:pPr>
              <w:jc w:val="center"/>
              <w:rPr>
                <w:rFonts w:ascii="仿宋_GB2312" w:hAnsi="仿宋_GB2312" w:eastAsia="仿宋_GB2312" w:cs="仿宋_GB2312"/>
                <w:b/>
                <w:color w:val="auto"/>
                <w:kern w:val="0"/>
                <w:sz w:val="32"/>
                <w:szCs w:val="32"/>
                <w:highlight w:val="none"/>
                <w:vertAlign w:val="baseline"/>
              </w:rPr>
            </w:pPr>
          </w:p>
        </w:tc>
        <w:tc>
          <w:tcPr>
            <w:tcW w:w="765" w:type="dxa"/>
          </w:tcPr>
          <w:p w14:paraId="110B7749">
            <w:pPr>
              <w:jc w:val="center"/>
              <w:rPr>
                <w:rFonts w:ascii="仿宋_GB2312" w:hAnsi="仿宋_GB2312" w:eastAsia="仿宋_GB2312" w:cs="仿宋_GB2312"/>
                <w:b/>
                <w:color w:val="auto"/>
                <w:kern w:val="0"/>
                <w:sz w:val="32"/>
                <w:szCs w:val="32"/>
                <w:highlight w:val="none"/>
                <w:vertAlign w:val="baseline"/>
              </w:rPr>
            </w:pPr>
          </w:p>
        </w:tc>
        <w:tc>
          <w:tcPr>
            <w:tcW w:w="846" w:type="dxa"/>
          </w:tcPr>
          <w:p w14:paraId="4E60AA39">
            <w:pPr>
              <w:jc w:val="center"/>
              <w:rPr>
                <w:rFonts w:ascii="仿宋_GB2312" w:hAnsi="仿宋_GB2312" w:eastAsia="仿宋_GB2312" w:cs="仿宋_GB2312"/>
                <w:b/>
                <w:color w:val="auto"/>
                <w:kern w:val="0"/>
                <w:sz w:val="32"/>
                <w:szCs w:val="32"/>
                <w:highlight w:val="none"/>
                <w:vertAlign w:val="baseline"/>
              </w:rPr>
            </w:pPr>
          </w:p>
        </w:tc>
        <w:tc>
          <w:tcPr>
            <w:tcW w:w="1260" w:type="dxa"/>
          </w:tcPr>
          <w:p w14:paraId="29FC140C">
            <w:pPr>
              <w:jc w:val="center"/>
              <w:rPr>
                <w:rFonts w:ascii="仿宋_GB2312" w:hAnsi="仿宋_GB2312" w:eastAsia="仿宋_GB2312" w:cs="仿宋_GB2312"/>
                <w:b/>
                <w:color w:val="auto"/>
                <w:kern w:val="0"/>
                <w:sz w:val="32"/>
                <w:szCs w:val="32"/>
                <w:highlight w:val="none"/>
                <w:vertAlign w:val="baseline"/>
              </w:rPr>
            </w:pPr>
          </w:p>
        </w:tc>
        <w:tc>
          <w:tcPr>
            <w:tcW w:w="958" w:type="dxa"/>
          </w:tcPr>
          <w:p w14:paraId="33700B75">
            <w:pPr>
              <w:jc w:val="center"/>
              <w:rPr>
                <w:rFonts w:ascii="仿宋_GB2312" w:hAnsi="仿宋_GB2312" w:eastAsia="仿宋_GB2312" w:cs="仿宋_GB2312"/>
                <w:b/>
                <w:color w:val="auto"/>
                <w:kern w:val="0"/>
                <w:sz w:val="32"/>
                <w:szCs w:val="32"/>
                <w:highlight w:val="none"/>
                <w:vertAlign w:val="baseline"/>
              </w:rPr>
            </w:pPr>
          </w:p>
        </w:tc>
      </w:tr>
      <w:tr w14:paraId="66A9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1" w:type="dxa"/>
            <w:gridSpan w:val="10"/>
          </w:tcPr>
          <w:p w14:paraId="43D6A02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仿宋_GB2312" w:hAnsi="仿宋_GB2312" w:eastAsia="仿宋_GB2312" w:cs="仿宋_GB2312"/>
                <w:b/>
                <w:color w:val="auto"/>
                <w:kern w:val="0"/>
                <w:sz w:val="32"/>
                <w:szCs w:val="32"/>
                <w:highlight w:val="none"/>
                <w:vertAlign w:val="baseline"/>
              </w:rPr>
            </w:pPr>
            <w:r>
              <w:rPr>
                <w:rFonts w:hint="eastAsia" w:ascii="仿宋_GB2312" w:hAnsi="仿宋_GB2312" w:eastAsia="仿宋_GB2312" w:cs="仿宋_GB2312"/>
                <w:color w:val="auto"/>
                <w:sz w:val="21"/>
                <w:szCs w:val="21"/>
                <w:highlight w:val="none"/>
                <w:lang w:val="en-US" w:eastAsia="zh-CN"/>
              </w:rPr>
              <w:t>本项目一旦我单位中标，将实行项目负责人负责制，并配备上述项目团队成员。上述填报内容真实，若不真实，愿按有关规定接受处理。项目团队成员机构设置、职责分工等情况另附资料说明。</w:t>
            </w:r>
          </w:p>
        </w:tc>
      </w:tr>
    </w:tbl>
    <w:p w14:paraId="66C62D1B">
      <w:pPr>
        <w:jc w:val="center"/>
        <w:rPr>
          <w:rFonts w:ascii="仿宋_GB2312" w:hAnsi="仿宋_GB2312" w:eastAsia="仿宋_GB2312" w:cs="仿宋_GB2312"/>
          <w:b/>
          <w:color w:val="auto"/>
          <w:kern w:val="0"/>
          <w:sz w:val="32"/>
          <w:szCs w:val="32"/>
          <w:highlight w:val="none"/>
        </w:rPr>
      </w:pPr>
    </w:p>
    <w:p w14:paraId="612F6036">
      <w:pPr>
        <w:jc w:val="center"/>
        <w:rPr>
          <w:rFonts w:ascii="仿宋_GB2312" w:hAnsi="仿宋_GB2312" w:eastAsia="仿宋_GB2312" w:cs="仿宋_GB2312"/>
          <w:b/>
          <w:color w:val="auto"/>
          <w:kern w:val="0"/>
          <w:sz w:val="32"/>
          <w:szCs w:val="32"/>
          <w:highlight w:val="none"/>
        </w:rPr>
      </w:pPr>
    </w:p>
    <w:p w14:paraId="5BD005FB">
      <w:pPr>
        <w:jc w:val="center"/>
        <w:rPr>
          <w:rFonts w:ascii="仿宋_GB2312" w:hAnsi="仿宋_GB2312" w:eastAsia="仿宋_GB2312" w:cs="仿宋_GB2312"/>
          <w:b/>
          <w:color w:val="auto"/>
          <w:kern w:val="0"/>
          <w:sz w:val="32"/>
          <w:szCs w:val="32"/>
          <w:highlight w:val="none"/>
        </w:rPr>
      </w:pPr>
    </w:p>
    <w:p w14:paraId="4BFE7B2F">
      <w:pPr>
        <w:jc w:val="center"/>
        <w:rPr>
          <w:rFonts w:ascii="仿宋_GB2312" w:hAnsi="仿宋_GB2312" w:eastAsia="仿宋_GB2312" w:cs="仿宋_GB2312"/>
          <w:b/>
          <w:color w:val="auto"/>
          <w:kern w:val="0"/>
          <w:sz w:val="32"/>
          <w:szCs w:val="32"/>
          <w:highlight w:val="none"/>
        </w:rPr>
      </w:pPr>
    </w:p>
    <w:p w14:paraId="27A89D48">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6EDC6DA0">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070C3669">
      <w:pPr>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br w:type="page"/>
      </w:r>
    </w:p>
    <w:p w14:paraId="60E607E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3"/>
        <w:rPr>
          <w:rFonts w:hint="default"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（二）项目负责人简历表</w:t>
      </w:r>
    </w:p>
    <w:tbl>
      <w:tblPr>
        <w:tblStyle w:val="1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1453"/>
        <w:gridCol w:w="1453"/>
        <w:gridCol w:w="1453"/>
        <w:gridCol w:w="1578"/>
        <w:gridCol w:w="1454"/>
        <w:gridCol w:w="1454"/>
      </w:tblGrid>
      <w:tr w14:paraId="6EE8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39B2C03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姓名</w:t>
            </w:r>
          </w:p>
        </w:tc>
        <w:tc>
          <w:tcPr>
            <w:tcW w:w="1453" w:type="dxa"/>
            <w:vAlign w:val="center"/>
          </w:tcPr>
          <w:p w14:paraId="1E9DB82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A4359A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性别</w:t>
            </w:r>
          </w:p>
        </w:tc>
        <w:tc>
          <w:tcPr>
            <w:tcW w:w="1578" w:type="dxa"/>
            <w:vAlign w:val="center"/>
          </w:tcPr>
          <w:p w14:paraId="5F413F3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AF1694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年龄</w:t>
            </w:r>
          </w:p>
        </w:tc>
        <w:tc>
          <w:tcPr>
            <w:tcW w:w="1454" w:type="dxa"/>
            <w:vAlign w:val="center"/>
          </w:tcPr>
          <w:p w14:paraId="4F2D4A0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302C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17DDE83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职务</w:t>
            </w:r>
          </w:p>
        </w:tc>
        <w:tc>
          <w:tcPr>
            <w:tcW w:w="1453" w:type="dxa"/>
            <w:vAlign w:val="center"/>
          </w:tcPr>
          <w:p w14:paraId="4AE8720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6F26714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职称</w:t>
            </w:r>
          </w:p>
        </w:tc>
        <w:tc>
          <w:tcPr>
            <w:tcW w:w="1578" w:type="dxa"/>
            <w:vAlign w:val="center"/>
          </w:tcPr>
          <w:p w14:paraId="5E76914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5CA5056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学历</w:t>
            </w:r>
          </w:p>
        </w:tc>
        <w:tc>
          <w:tcPr>
            <w:tcW w:w="1454" w:type="dxa"/>
            <w:vAlign w:val="center"/>
          </w:tcPr>
          <w:p w14:paraId="597AB84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601D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2906" w:type="dxa"/>
            <w:gridSpan w:val="2"/>
            <w:vAlign w:val="center"/>
          </w:tcPr>
          <w:p w14:paraId="0BD372D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参加工作时间</w:t>
            </w:r>
          </w:p>
        </w:tc>
        <w:tc>
          <w:tcPr>
            <w:tcW w:w="1453" w:type="dxa"/>
            <w:vAlign w:val="center"/>
          </w:tcPr>
          <w:p w14:paraId="075AF0C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3032" w:type="dxa"/>
            <w:gridSpan w:val="2"/>
            <w:vAlign w:val="center"/>
          </w:tcPr>
          <w:p w14:paraId="0032969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从事项目负责人年限</w:t>
            </w:r>
          </w:p>
        </w:tc>
        <w:tc>
          <w:tcPr>
            <w:tcW w:w="1454" w:type="dxa"/>
            <w:vAlign w:val="center"/>
          </w:tcPr>
          <w:p w14:paraId="1E4CACD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1DAC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2906" w:type="dxa"/>
            <w:gridSpan w:val="2"/>
            <w:vAlign w:val="center"/>
          </w:tcPr>
          <w:p w14:paraId="7347C0F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资格证书及编号</w:t>
            </w:r>
          </w:p>
        </w:tc>
        <w:tc>
          <w:tcPr>
            <w:tcW w:w="5939" w:type="dxa"/>
            <w:gridSpan w:val="4"/>
            <w:vAlign w:val="center"/>
          </w:tcPr>
          <w:p w14:paraId="1D737B8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1EA1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8845" w:type="dxa"/>
            <w:gridSpan w:val="6"/>
            <w:vAlign w:val="center"/>
          </w:tcPr>
          <w:p w14:paraId="1088322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在建和已完项目情况</w:t>
            </w:r>
          </w:p>
        </w:tc>
      </w:tr>
      <w:tr w14:paraId="4EE8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009E201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业主单位</w:t>
            </w:r>
          </w:p>
        </w:tc>
        <w:tc>
          <w:tcPr>
            <w:tcW w:w="1453" w:type="dxa"/>
            <w:vAlign w:val="center"/>
          </w:tcPr>
          <w:p w14:paraId="6827A83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项目名称</w:t>
            </w:r>
          </w:p>
        </w:tc>
        <w:tc>
          <w:tcPr>
            <w:tcW w:w="1453" w:type="dxa"/>
            <w:vAlign w:val="center"/>
          </w:tcPr>
          <w:p w14:paraId="7D27D65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项目规模</w:t>
            </w:r>
          </w:p>
        </w:tc>
        <w:tc>
          <w:tcPr>
            <w:tcW w:w="1578" w:type="dxa"/>
            <w:vAlign w:val="center"/>
          </w:tcPr>
          <w:p w14:paraId="47B850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开始、结束日期</w:t>
            </w:r>
          </w:p>
        </w:tc>
        <w:tc>
          <w:tcPr>
            <w:tcW w:w="1454" w:type="dxa"/>
            <w:vAlign w:val="center"/>
          </w:tcPr>
          <w:p w14:paraId="01E419A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在建或已完</w:t>
            </w:r>
          </w:p>
        </w:tc>
        <w:tc>
          <w:tcPr>
            <w:tcW w:w="1454" w:type="dxa"/>
            <w:vAlign w:val="center"/>
          </w:tcPr>
          <w:p w14:paraId="1E14387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项目质量</w:t>
            </w:r>
          </w:p>
        </w:tc>
      </w:tr>
      <w:tr w14:paraId="2BAF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422896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6F5F7B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28ECFC2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42891D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A846DB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F21333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7203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403B9CA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0807E06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2500DE6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260E7DE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6B64758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5CC0C5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1205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7FB6DC0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291D42B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588FFAA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4B328E2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731275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4BC23EC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57F0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2FAB3B1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0835D7F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533024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5E30FD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78A645A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44982A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4F93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7E0D39D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3F4EC51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63A9E4D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FC871F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5E6DE9E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2D59E6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057F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23FF9A0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0980BA9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277A01E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26F7277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2ED0B4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4F2C52D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53F5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451A848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53EA021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793B745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BD9C6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9E49FC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3B677C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1A97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47BD54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BA26F1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2999246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41467A2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AE3913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92AC13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36E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695353B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6813A2A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3BF0161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34FEBD4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4C2581A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328792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7AB0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6A4F3D7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23409F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BEC67D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0837F8C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CA3AB2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337C50D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6ECA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2C557EA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3E60CB0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6409E2F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6A40A1C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7AEA3BD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98516E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bl>
    <w:p w14:paraId="45A03152">
      <w:pPr>
        <w:jc w:val="center"/>
        <w:rPr>
          <w:rFonts w:ascii="仿宋_GB2312" w:hAnsi="仿宋_GB2312" w:eastAsia="仿宋_GB2312" w:cs="仿宋_GB2312"/>
          <w:b/>
          <w:color w:val="auto"/>
          <w:kern w:val="0"/>
          <w:sz w:val="32"/>
          <w:szCs w:val="32"/>
          <w:highlight w:val="none"/>
        </w:rPr>
      </w:pPr>
    </w:p>
    <w:p w14:paraId="6A931261">
      <w:pPr>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br w:type="page"/>
      </w:r>
    </w:p>
    <w:p w14:paraId="3984E09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3"/>
        <w:rPr>
          <w:rFonts w:hint="default"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（三）项目技术负责人简历表</w:t>
      </w:r>
    </w:p>
    <w:tbl>
      <w:tblPr>
        <w:tblStyle w:val="1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1453"/>
        <w:gridCol w:w="1453"/>
        <w:gridCol w:w="1453"/>
        <w:gridCol w:w="1578"/>
        <w:gridCol w:w="1454"/>
        <w:gridCol w:w="1454"/>
      </w:tblGrid>
      <w:tr w14:paraId="58EE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651A4E9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姓名</w:t>
            </w:r>
          </w:p>
        </w:tc>
        <w:tc>
          <w:tcPr>
            <w:tcW w:w="1453" w:type="dxa"/>
            <w:vAlign w:val="center"/>
          </w:tcPr>
          <w:p w14:paraId="7294C7A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4E5472E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性别</w:t>
            </w:r>
          </w:p>
        </w:tc>
        <w:tc>
          <w:tcPr>
            <w:tcW w:w="1578" w:type="dxa"/>
            <w:vAlign w:val="center"/>
          </w:tcPr>
          <w:p w14:paraId="1E2040C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119CCE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年龄</w:t>
            </w:r>
          </w:p>
        </w:tc>
        <w:tc>
          <w:tcPr>
            <w:tcW w:w="1454" w:type="dxa"/>
            <w:vAlign w:val="center"/>
          </w:tcPr>
          <w:p w14:paraId="2C56330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34B9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619F035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职务</w:t>
            </w:r>
          </w:p>
        </w:tc>
        <w:tc>
          <w:tcPr>
            <w:tcW w:w="1453" w:type="dxa"/>
            <w:vAlign w:val="center"/>
          </w:tcPr>
          <w:p w14:paraId="74A4B0E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5DEFBA8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职称</w:t>
            </w:r>
          </w:p>
        </w:tc>
        <w:tc>
          <w:tcPr>
            <w:tcW w:w="1578" w:type="dxa"/>
            <w:vAlign w:val="center"/>
          </w:tcPr>
          <w:p w14:paraId="745C15C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E8E02B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学历</w:t>
            </w:r>
          </w:p>
        </w:tc>
        <w:tc>
          <w:tcPr>
            <w:tcW w:w="1454" w:type="dxa"/>
            <w:vAlign w:val="center"/>
          </w:tcPr>
          <w:p w14:paraId="6F72AB3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1D6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2906" w:type="dxa"/>
            <w:gridSpan w:val="2"/>
            <w:vAlign w:val="center"/>
          </w:tcPr>
          <w:p w14:paraId="3D0D38C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参加工作时间</w:t>
            </w:r>
          </w:p>
        </w:tc>
        <w:tc>
          <w:tcPr>
            <w:tcW w:w="1453" w:type="dxa"/>
            <w:vAlign w:val="center"/>
          </w:tcPr>
          <w:p w14:paraId="5E43752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3032" w:type="dxa"/>
            <w:gridSpan w:val="2"/>
            <w:vAlign w:val="center"/>
          </w:tcPr>
          <w:p w14:paraId="6A5D117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从事项目技术负责人年限</w:t>
            </w:r>
          </w:p>
        </w:tc>
        <w:tc>
          <w:tcPr>
            <w:tcW w:w="1454" w:type="dxa"/>
            <w:vAlign w:val="center"/>
          </w:tcPr>
          <w:p w14:paraId="4F7A1E4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423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2906" w:type="dxa"/>
            <w:gridSpan w:val="2"/>
            <w:vAlign w:val="center"/>
          </w:tcPr>
          <w:p w14:paraId="53AAAE1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资格证书及编号</w:t>
            </w:r>
          </w:p>
        </w:tc>
        <w:tc>
          <w:tcPr>
            <w:tcW w:w="5939" w:type="dxa"/>
            <w:gridSpan w:val="4"/>
            <w:vAlign w:val="center"/>
          </w:tcPr>
          <w:p w14:paraId="0ECEAFB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3282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8845" w:type="dxa"/>
            <w:gridSpan w:val="6"/>
            <w:vAlign w:val="center"/>
          </w:tcPr>
          <w:p w14:paraId="467F9E9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在建和已完项目情况</w:t>
            </w:r>
          </w:p>
        </w:tc>
      </w:tr>
      <w:tr w14:paraId="62D3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4301803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业主单位</w:t>
            </w:r>
          </w:p>
        </w:tc>
        <w:tc>
          <w:tcPr>
            <w:tcW w:w="1453" w:type="dxa"/>
            <w:vAlign w:val="center"/>
          </w:tcPr>
          <w:p w14:paraId="40CE86F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项目名称</w:t>
            </w:r>
          </w:p>
        </w:tc>
        <w:tc>
          <w:tcPr>
            <w:tcW w:w="1453" w:type="dxa"/>
            <w:vAlign w:val="center"/>
          </w:tcPr>
          <w:p w14:paraId="2F7C1B4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项目规模</w:t>
            </w:r>
          </w:p>
        </w:tc>
        <w:tc>
          <w:tcPr>
            <w:tcW w:w="1578" w:type="dxa"/>
            <w:vAlign w:val="center"/>
          </w:tcPr>
          <w:p w14:paraId="78C5680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开始、结束日期</w:t>
            </w:r>
          </w:p>
        </w:tc>
        <w:tc>
          <w:tcPr>
            <w:tcW w:w="1454" w:type="dxa"/>
            <w:vAlign w:val="center"/>
          </w:tcPr>
          <w:p w14:paraId="443F5B2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在建或已完</w:t>
            </w:r>
          </w:p>
        </w:tc>
        <w:tc>
          <w:tcPr>
            <w:tcW w:w="1454" w:type="dxa"/>
            <w:vAlign w:val="center"/>
          </w:tcPr>
          <w:p w14:paraId="4DBF11D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项目质量</w:t>
            </w:r>
          </w:p>
        </w:tc>
      </w:tr>
      <w:tr w14:paraId="6F57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16E4DBB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48CB6D0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094CC85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49998CE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66664E5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615DFB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37A4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176B3F0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358B235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01F7A99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42C0AD7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46098A8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06D701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5B84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6A00916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7808F4A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0A24F55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FE7970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A907B5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4F8D25C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5638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3D978CC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4401F8B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3DF91C9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40F300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2062571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4DCFB06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3C7E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155864A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4C1BD6E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6BF4A77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D1332B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76F8513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56367F1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6C55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2E1F2AC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717D4B2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26E675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8C6C25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F36A7B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44D695E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6937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2AEBEA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50AA27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7ABA7DE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0ED6E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12AB43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F6B83D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559C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70FAF2A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3F6A71C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22403C8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585EF1B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71FCB69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0A23AA3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0E0C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690B3D4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53A683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367207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3A10573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3613E5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2AF4E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3DDF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43B1F67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585FB00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10726C8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79D342B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5F56132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61F229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r w14:paraId="0374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 w:hRule="atLeast"/>
          <w:jc w:val="center"/>
        </w:trPr>
        <w:tc>
          <w:tcPr>
            <w:tcW w:w="1453" w:type="dxa"/>
            <w:vAlign w:val="center"/>
          </w:tcPr>
          <w:p w14:paraId="65BFB5F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74C38D8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3" w:type="dxa"/>
            <w:vAlign w:val="center"/>
          </w:tcPr>
          <w:p w14:paraId="0FFA21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578" w:type="dxa"/>
            <w:vAlign w:val="center"/>
          </w:tcPr>
          <w:p w14:paraId="0245F71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5EB8671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1454" w:type="dxa"/>
            <w:vAlign w:val="center"/>
          </w:tcPr>
          <w:p w14:paraId="11F7838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bl>
    <w:p w14:paraId="73872433">
      <w:pPr>
        <w:jc w:val="center"/>
        <w:rPr>
          <w:rFonts w:ascii="仿宋_GB2312" w:hAnsi="仿宋_GB2312" w:eastAsia="仿宋_GB2312" w:cs="仿宋_GB2312"/>
          <w:b/>
          <w:color w:val="auto"/>
          <w:kern w:val="0"/>
          <w:sz w:val="32"/>
          <w:szCs w:val="32"/>
          <w:highlight w:val="none"/>
        </w:rPr>
      </w:pPr>
    </w:p>
    <w:p w14:paraId="7167DE56">
      <w:pPr>
        <w:jc w:val="center"/>
        <w:rPr>
          <w:rFonts w:ascii="仿宋_GB2312" w:hAnsi="仿宋_GB2312" w:eastAsia="仿宋_GB2312" w:cs="仿宋_GB2312"/>
          <w:b/>
          <w:color w:val="auto"/>
          <w:kern w:val="0"/>
          <w:sz w:val="32"/>
          <w:szCs w:val="32"/>
          <w:highlight w:val="none"/>
        </w:rPr>
      </w:pPr>
    </w:p>
    <w:p w14:paraId="3AC3A678">
      <w:pPr>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br w:type="page"/>
      </w:r>
    </w:p>
    <w:p w14:paraId="65AD8D4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3"/>
        <w:rPr>
          <w:rFonts w:hint="default"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（四）拟派项目团队成员情况辅助说明资料</w:t>
      </w:r>
    </w:p>
    <w:tbl>
      <w:tblPr>
        <w:tblStyle w:val="1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8845"/>
      </w:tblGrid>
      <w:tr w14:paraId="7B64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295" w:hRule="atLeast"/>
          <w:jc w:val="center"/>
        </w:trPr>
        <w:tc>
          <w:tcPr>
            <w:tcW w:w="8845" w:type="dxa"/>
            <w:vAlign w:val="center"/>
          </w:tcPr>
          <w:p w14:paraId="48F30E4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r>
    </w:tbl>
    <w:p w14:paraId="37000FF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注：1、辅助说明资料主要包括拟派项目团队机构设置、职责分工、有关复印证明资料以及投标人认为有必要提供的资料。辅助说明资料格式不做统一规定，由投标人自行设计。</w:t>
      </w:r>
    </w:p>
    <w:p w14:paraId="4B0A642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2、拟派项目团队配备情况辅助说明资料另附。</w:t>
      </w:r>
    </w:p>
    <w:p w14:paraId="718F5045">
      <w:pPr>
        <w:jc w:val="center"/>
        <w:rPr>
          <w:rFonts w:ascii="仿宋_GB2312" w:hAnsi="仿宋_GB2312" w:eastAsia="仿宋_GB2312" w:cs="仿宋_GB2312"/>
          <w:b/>
          <w:color w:val="auto"/>
          <w:kern w:val="0"/>
          <w:sz w:val="32"/>
          <w:szCs w:val="32"/>
          <w:highlight w:val="none"/>
        </w:rPr>
      </w:pPr>
    </w:p>
    <w:p w14:paraId="56A5A5C3">
      <w:pPr>
        <w:rPr>
          <w:rFonts w:hint="eastAsia" w:ascii="仿宋_GB2312" w:hAnsi="仿宋_GB2312" w:eastAsia="仿宋_GB2312" w:cs="仿宋_GB2312"/>
          <w:b/>
          <w:color w:val="auto"/>
          <w:kern w:val="2"/>
          <w:sz w:val="32"/>
          <w:szCs w:val="20"/>
          <w:highlight w:val="none"/>
          <w:lang w:val="en-US" w:eastAsia="zh-CN"/>
        </w:rPr>
      </w:pPr>
      <w:r>
        <w:rPr>
          <w:rFonts w:hint="eastAsia" w:ascii="仿宋_GB2312" w:hAnsi="仿宋_GB2312" w:eastAsia="仿宋_GB2312" w:cs="仿宋_GB2312"/>
          <w:b/>
          <w:color w:val="auto"/>
          <w:kern w:val="2"/>
          <w:sz w:val="32"/>
          <w:szCs w:val="20"/>
          <w:highlight w:val="none"/>
          <w:lang w:val="en-US" w:eastAsia="zh-CN"/>
        </w:rPr>
        <w:br w:type="page"/>
      </w:r>
    </w:p>
    <w:p w14:paraId="27B6ACA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3"/>
        <w:rPr>
          <w:rFonts w:hint="eastAsia" w:ascii="仿宋_GB2312" w:hAnsi="仿宋_GB2312" w:eastAsia="仿宋_GB2312" w:cs="仿宋_GB2312"/>
          <w:b/>
          <w:color w:val="auto"/>
          <w:kern w:val="2"/>
          <w:sz w:val="32"/>
          <w:szCs w:val="20"/>
          <w:highlight w:val="none"/>
          <w:lang w:val="en-US" w:eastAsia="zh-CN"/>
        </w:rPr>
      </w:pPr>
      <w:r>
        <w:rPr>
          <w:rFonts w:hint="eastAsia" w:ascii="仿宋_GB2312" w:hAnsi="仿宋_GB2312" w:eastAsia="仿宋_GB2312" w:cs="仿宋_GB2312"/>
          <w:b/>
          <w:color w:val="auto"/>
          <w:kern w:val="2"/>
          <w:sz w:val="32"/>
          <w:szCs w:val="20"/>
          <w:highlight w:val="none"/>
          <w:lang w:val="en-US" w:eastAsia="zh-CN"/>
        </w:rPr>
        <w:t>（五）评分业绩汇总表</w:t>
      </w:r>
    </w:p>
    <w:tbl>
      <w:tblPr>
        <w:tblStyle w:val="14"/>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591"/>
        <w:gridCol w:w="2447"/>
        <w:gridCol w:w="1889"/>
        <w:gridCol w:w="1732"/>
        <w:gridCol w:w="1551"/>
        <w:gridCol w:w="1114"/>
      </w:tblGrid>
      <w:tr w14:paraId="5181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900" w:hRule="atLeast"/>
          <w:jc w:val="center"/>
        </w:trPr>
        <w:tc>
          <w:tcPr>
            <w:tcW w:w="591" w:type="dxa"/>
            <w:vAlign w:val="center"/>
          </w:tcPr>
          <w:p w14:paraId="30E68A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序号</w:t>
            </w:r>
          </w:p>
        </w:tc>
        <w:tc>
          <w:tcPr>
            <w:tcW w:w="2447" w:type="dxa"/>
            <w:vAlign w:val="center"/>
          </w:tcPr>
          <w:p w14:paraId="5FB5B4E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项目名称</w:t>
            </w:r>
          </w:p>
        </w:tc>
        <w:tc>
          <w:tcPr>
            <w:tcW w:w="1889" w:type="dxa"/>
            <w:vAlign w:val="center"/>
          </w:tcPr>
          <w:p w14:paraId="54E8216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项目业主</w:t>
            </w:r>
          </w:p>
        </w:tc>
        <w:tc>
          <w:tcPr>
            <w:tcW w:w="1732" w:type="dxa"/>
            <w:vAlign w:val="center"/>
          </w:tcPr>
          <w:p w14:paraId="15C4FD4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与评审有关的时间、规模、技术指标及其他要求</w:t>
            </w:r>
          </w:p>
        </w:tc>
        <w:tc>
          <w:tcPr>
            <w:tcW w:w="1551" w:type="dxa"/>
            <w:vAlign w:val="center"/>
          </w:tcPr>
          <w:p w14:paraId="2020972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提交证明材料内容</w:t>
            </w:r>
          </w:p>
        </w:tc>
        <w:tc>
          <w:tcPr>
            <w:tcW w:w="1114" w:type="dxa"/>
            <w:vAlign w:val="center"/>
          </w:tcPr>
          <w:p w14:paraId="00B377B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在投标文件的位置</w:t>
            </w:r>
          </w:p>
        </w:tc>
      </w:tr>
      <w:tr w14:paraId="24C8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772" w:hRule="atLeast"/>
          <w:jc w:val="center"/>
        </w:trPr>
        <w:tc>
          <w:tcPr>
            <w:tcW w:w="591" w:type="dxa"/>
            <w:vAlign w:val="center"/>
          </w:tcPr>
          <w:p w14:paraId="0808E0E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1</w:t>
            </w:r>
          </w:p>
        </w:tc>
        <w:tc>
          <w:tcPr>
            <w:tcW w:w="2447" w:type="dxa"/>
            <w:vAlign w:val="center"/>
          </w:tcPr>
          <w:p w14:paraId="3D88D76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例如：XX项目等</w:t>
            </w:r>
          </w:p>
        </w:tc>
        <w:tc>
          <w:tcPr>
            <w:tcW w:w="1889" w:type="dxa"/>
            <w:vAlign w:val="center"/>
          </w:tcPr>
          <w:p w14:paraId="5EB82BC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例如：XX公司或指挥部等</w:t>
            </w:r>
          </w:p>
        </w:tc>
        <w:tc>
          <w:tcPr>
            <w:tcW w:w="1732" w:type="dxa"/>
            <w:vAlign w:val="center"/>
          </w:tcPr>
          <w:p w14:paraId="0EC3463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例如：X年X月X日签订等</w:t>
            </w:r>
          </w:p>
        </w:tc>
        <w:tc>
          <w:tcPr>
            <w:tcW w:w="1551" w:type="dxa"/>
            <w:vAlign w:val="center"/>
          </w:tcPr>
          <w:p w14:paraId="7202804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例如：提供中标（成交）通知书、合同复印件和履约验收相关资料（履约验收相关资料须有业主盖章）等</w:t>
            </w:r>
          </w:p>
        </w:tc>
        <w:tc>
          <w:tcPr>
            <w:tcW w:w="1114" w:type="dxa"/>
            <w:vAlign w:val="center"/>
          </w:tcPr>
          <w:p w14:paraId="16155D8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例如：投标文件第X页</w:t>
            </w:r>
          </w:p>
        </w:tc>
      </w:tr>
      <w:tr w14:paraId="647F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63" w:hRule="atLeast"/>
          <w:jc w:val="center"/>
        </w:trPr>
        <w:tc>
          <w:tcPr>
            <w:tcW w:w="591" w:type="dxa"/>
            <w:vAlign w:val="center"/>
          </w:tcPr>
          <w:p w14:paraId="6C08072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2</w:t>
            </w:r>
          </w:p>
        </w:tc>
        <w:tc>
          <w:tcPr>
            <w:tcW w:w="2447" w:type="dxa"/>
            <w:vAlign w:val="center"/>
          </w:tcPr>
          <w:p w14:paraId="454F3CC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889" w:type="dxa"/>
            <w:vAlign w:val="center"/>
          </w:tcPr>
          <w:p w14:paraId="6B69ADD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732" w:type="dxa"/>
            <w:vAlign w:val="center"/>
          </w:tcPr>
          <w:p w14:paraId="025F021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551" w:type="dxa"/>
            <w:vAlign w:val="center"/>
          </w:tcPr>
          <w:p w14:paraId="0D41843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114" w:type="dxa"/>
            <w:vAlign w:val="center"/>
          </w:tcPr>
          <w:p w14:paraId="1514547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r>
      <w:tr w14:paraId="5754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06" w:hRule="atLeast"/>
          <w:jc w:val="center"/>
        </w:trPr>
        <w:tc>
          <w:tcPr>
            <w:tcW w:w="591" w:type="dxa"/>
            <w:vAlign w:val="center"/>
          </w:tcPr>
          <w:p w14:paraId="3CB0760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w:t>
            </w:r>
          </w:p>
        </w:tc>
        <w:tc>
          <w:tcPr>
            <w:tcW w:w="2447" w:type="dxa"/>
            <w:vAlign w:val="center"/>
          </w:tcPr>
          <w:p w14:paraId="4ACAEEE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889" w:type="dxa"/>
            <w:vAlign w:val="center"/>
          </w:tcPr>
          <w:p w14:paraId="3E80889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732" w:type="dxa"/>
            <w:vAlign w:val="center"/>
          </w:tcPr>
          <w:p w14:paraId="7887B7E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551" w:type="dxa"/>
            <w:vAlign w:val="center"/>
          </w:tcPr>
          <w:p w14:paraId="560726A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c>
          <w:tcPr>
            <w:tcW w:w="1114" w:type="dxa"/>
            <w:vAlign w:val="center"/>
          </w:tcPr>
          <w:p w14:paraId="052B03C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rPr>
            </w:pPr>
          </w:p>
        </w:tc>
      </w:tr>
    </w:tbl>
    <w:p w14:paraId="15B6FE9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备注：附相关业绩的证明材料，且需要准确详细列入，不录入此表的不作为评审依据。</w:t>
      </w:r>
    </w:p>
    <w:p w14:paraId="1C6BF72C">
      <w:pPr>
        <w:jc w:val="center"/>
        <w:rPr>
          <w:rFonts w:ascii="仿宋_GB2312" w:hAnsi="仿宋_GB2312" w:eastAsia="仿宋_GB2312" w:cs="仿宋_GB2312"/>
          <w:b/>
          <w:color w:val="auto"/>
          <w:kern w:val="0"/>
          <w:sz w:val="32"/>
          <w:szCs w:val="32"/>
          <w:highlight w:val="none"/>
        </w:rPr>
      </w:pPr>
    </w:p>
    <w:p w14:paraId="6EA3A038">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1FF273D1">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006F795D">
      <w:pP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7E3DCAF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五、投标标的清单</w:t>
      </w:r>
    </w:p>
    <w:p w14:paraId="567255ED">
      <w:pPr>
        <w:adjustRightInd/>
        <w:spacing w:line="440" w:lineRule="exact"/>
        <w:rPr>
          <w:rFonts w:hint="eastAsia" w:ascii="仿宋_GB2312" w:hAnsi="仿宋_GB2312" w:eastAsia="仿宋_GB2312" w:cs="仿宋_GB2312"/>
          <w:color w:val="auto"/>
          <w:sz w:val="24"/>
          <w:highlight w:val="none"/>
          <w:lang w:val="en-US"/>
        </w:rPr>
      </w:pPr>
    </w:p>
    <w:tbl>
      <w:tblPr>
        <w:tblStyle w:val="14"/>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7"/>
        <w:gridCol w:w="1904"/>
        <w:gridCol w:w="1587"/>
        <w:gridCol w:w="1350"/>
        <w:gridCol w:w="1106"/>
        <w:gridCol w:w="1882"/>
      </w:tblGrid>
      <w:tr w14:paraId="65B5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18AFAC7">
            <w:pPr>
              <w:adjustRightInd/>
              <w:spacing w:line="440" w:lineRule="exact"/>
              <w:jc w:val="center"/>
              <w:rPr>
                <w:rFonts w:ascii="仿宋_GB2312" w:hAnsi="仿宋_GB2312" w:eastAsia="仿宋_GB2312" w:cs="仿宋_GB2312"/>
                <w:b/>
                <w:color w:val="auto"/>
                <w:spacing w:val="0"/>
                <w:sz w:val="24"/>
                <w:highlight w:val="none"/>
              </w:rPr>
            </w:pPr>
            <w:r>
              <w:rPr>
                <w:rFonts w:hint="eastAsia" w:ascii="仿宋_GB2312" w:hAnsi="仿宋_GB2312" w:eastAsia="仿宋_GB2312" w:cs="仿宋_GB2312"/>
                <w:b/>
                <w:color w:val="auto"/>
                <w:spacing w:val="0"/>
                <w:sz w:val="24"/>
                <w:highlight w:val="none"/>
              </w:rPr>
              <w:t>序号</w:t>
            </w:r>
          </w:p>
        </w:tc>
        <w:tc>
          <w:tcPr>
            <w:tcW w:w="997" w:type="dxa"/>
            <w:tcBorders>
              <w:top w:val="single" w:color="auto" w:sz="4" w:space="0"/>
              <w:left w:val="single" w:color="auto" w:sz="4" w:space="0"/>
              <w:bottom w:val="single" w:color="auto" w:sz="4" w:space="0"/>
              <w:right w:val="single" w:color="auto" w:sz="4" w:space="0"/>
            </w:tcBorders>
            <w:vAlign w:val="center"/>
          </w:tcPr>
          <w:p w14:paraId="38DF56A1">
            <w:pPr>
              <w:adjustRightInd/>
              <w:spacing w:line="440" w:lineRule="exact"/>
              <w:jc w:val="center"/>
              <w:rPr>
                <w:rFonts w:ascii="仿宋_GB2312" w:hAnsi="仿宋_GB2312" w:eastAsia="仿宋_GB2312" w:cs="仿宋_GB2312"/>
                <w:b/>
                <w:color w:val="auto"/>
                <w:spacing w:val="0"/>
                <w:sz w:val="24"/>
                <w:highlight w:val="none"/>
              </w:rPr>
            </w:pPr>
            <w:r>
              <w:rPr>
                <w:rFonts w:hint="eastAsia" w:ascii="仿宋_GB2312" w:hAnsi="仿宋_GB2312" w:eastAsia="仿宋_GB2312" w:cs="仿宋_GB2312"/>
                <w:b/>
                <w:color w:val="auto"/>
                <w:spacing w:val="0"/>
                <w:sz w:val="24"/>
                <w:highlight w:val="none"/>
              </w:rPr>
              <w:t>名称</w:t>
            </w:r>
          </w:p>
        </w:tc>
        <w:tc>
          <w:tcPr>
            <w:tcW w:w="1904" w:type="dxa"/>
            <w:tcBorders>
              <w:top w:val="single" w:color="auto" w:sz="4" w:space="0"/>
              <w:left w:val="single" w:color="auto" w:sz="4" w:space="0"/>
              <w:bottom w:val="single" w:color="auto" w:sz="4" w:space="0"/>
              <w:right w:val="single" w:color="auto" w:sz="4" w:space="0"/>
            </w:tcBorders>
            <w:vAlign w:val="center"/>
          </w:tcPr>
          <w:p w14:paraId="66FEB084">
            <w:pPr>
              <w:adjustRightInd/>
              <w:spacing w:line="440" w:lineRule="exact"/>
              <w:jc w:val="center"/>
              <w:rPr>
                <w:rFonts w:ascii="仿宋_GB2312" w:hAnsi="仿宋_GB2312" w:eastAsia="仿宋_GB2312" w:cs="仿宋_GB2312"/>
                <w:b/>
                <w:color w:val="auto"/>
                <w:spacing w:val="0"/>
                <w:sz w:val="24"/>
                <w:highlight w:val="none"/>
              </w:rPr>
            </w:pPr>
            <w:r>
              <w:rPr>
                <w:rFonts w:hint="eastAsia" w:ascii="仿宋_GB2312" w:hAnsi="仿宋_GB2312" w:eastAsia="仿宋_GB2312" w:cs="仿宋_GB2312"/>
                <w:b/>
                <w:color w:val="auto"/>
                <w:spacing w:val="0"/>
                <w:sz w:val="24"/>
                <w:highlight w:val="none"/>
              </w:rPr>
              <w:t>品牌（如果有）</w:t>
            </w:r>
          </w:p>
        </w:tc>
        <w:tc>
          <w:tcPr>
            <w:tcW w:w="1587" w:type="dxa"/>
            <w:tcBorders>
              <w:top w:val="single" w:color="auto" w:sz="4" w:space="0"/>
              <w:left w:val="single" w:color="auto" w:sz="4" w:space="0"/>
              <w:bottom w:val="single" w:color="auto" w:sz="4" w:space="0"/>
              <w:right w:val="single" w:color="auto" w:sz="4" w:space="0"/>
            </w:tcBorders>
            <w:vAlign w:val="center"/>
          </w:tcPr>
          <w:p w14:paraId="51A7DF73">
            <w:pPr>
              <w:adjustRightInd/>
              <w:spacing w:line="440" w:lineRule="exact"/>
              <w:jc w:val="center"/>
              <w:rPr>
                <w:rFonts w:ascii="仿宋_GB2312" w:hAnsi="仿宋_GB2312" w:eastAsia="仿宋_GB2312" w:cs="仿宋_GB2312"/>
                <w:b/>
                <w:color w:val="auto"/>
                <w:spacing w:val="0"/>
                <w:sz w:val="24"/>
                <w:highlight w:val="none"/>
              </w:rPr>
            </w:pPr>
            <w:r>
              <w:rPr>
                <w:rFonts w:hint="eastAsia" w:ascii="仿宋_GB2312" w:hAnsi="仿宋_GB2312" w:eastAsia="仿宋_GB2312" w:cs="仿宋_GB2312"/>
                <w:b/>
                <w:color w:val="auto"/>
                <w:spacing w:val="0"/>
                <w:sz w:val="24"/>
                <w:highlight w:val="none"/>
              </w:rPr>
              <w:t>规格型号</w:t>
            </w:r>
          </w:p>
        </w:tc>
        <w:tc>
          <w:tcPr>
            <w:tcW w:w="1350" w:type="dxa"/>
            <w:tcBorders>
              <w:top w:val="single" w:color="auto" w:sz="4" w:space="0"/>
              <w:left w:val="single" w:color="auto" w:sz="4" w:space="0"/>
              <w:bottom w:val="single" w:color="auto" w:sz="4" w:space="0"/>
              <w:right w:val="single" w:color="auto" w:sz="4" w:space="0"/>
            </w:tcBorders>
            <w:vAlign w:val="center"/>
          </w:tcPr>
          <w:p w14:paraId="49ACE174">
            <w:pPr>
              <w:adjustRightInd/>
              <w:spacing w:line="440" w:lineRule="exact"/>
              <w:jc w:val="center"/>
              <w:rPr>
                <w:rFonts w:hint="eastAsia" w:ascii="仿宋_GB2312" w:hAnsi="仿宋_GB2312" w:eastAsia="仿宋_GB2312" w:cs="仿宋_GB2312"/>
                <w:b/>
                <w:color w:val="auto"/>
                <w:spacing w:val="0"/>
                <w:sz w:val="24"/>
                <w:highlight w:val="none"/>
                <w:lang w:eastAsia="zh-CN"/>
              </w:rPr>
            </w:pPr>
            <w:r>
              <w:rPr>
                <w:rFonts w:hint="eastAsia" w:ascii="仿宋_GB2312" w:hAnsi="仿宋_GB2312" w:eastAsia="仿宋_GB2312" w:cs="仿宋_GB2312"/>
                <w:b/>
                <w:color w:val="auto"/>
                <w:spacing w:val="0"/>
                <w:sz w:val="24"/>
                <w:highlight w:val="none"/>
                <w:lang w:val="en-US" w:eastAsia="zh-CN"/>
              </w:rPr>
              <w:t>参数指标</w:t>
            </w:r>
          </w:p>
        </w:tc>
        <w:tc>
          <w:tcPr>
            <w:tcW w:w="1106" w:type="dxa"/>
            <w:tcBorders>
              <w:top w:val="single" w:color="auto" w:sz="4" w:space="0"/>
              <w:left w:val="single" w:color="auto" w:sz="4" w:space="0"/>
              <w:bottom w:val="single" w:color="auto" w:sz="4" w:space="0"/>
              <w:right w:val="single" w:color="auto" w:sz="4" w:space="0"/>
            </w:tcBorders>
            <w:vAlign w:val="center"/>
          </w:tcPr>
          <w:p w14:paraId="111D2286">
            <w:pPr>
              <w:adjustRightInd/>
              <w:spacing w:line="440" w:lineRule="exact"/>
              <w:jc w:val="center"/>
              <w:rPr>
                <w:rFonts w:ascii="仿宋_GB2312" w:hAnsi="仿宋_GB2312" w:eastAsia="仿宋_GB2312" w:cs="仿宋_GB2312"/>
                <w:b/>
                <w:color w:val="auto"/>
                <w:spacing w:val="0"/>
                <w:sz w:val="24"/>
                <w:highlight w:val="none"/>
              </w:rPr>
            </w:pPr>
            <w:r>
              <w:rPr>
                <w:rFonts w:hint="eastAsia" w:ascii="仿宋_GB2312" w:hAnsi="仿宋_GB2312" w:eastAsia="仿宋_GB2312" w:cs="仿宋_GB2312"/>
                <w:b/>
                <w:color w:val="auto"/>
                <w:spacing w:val="0"/>
                <w:sz w:val="24"/>
                <w:highlight w:val="none"/>
              </w:rPr>
              <w:t>数量</w:t>
            </w:r>
          </w:p>
        </w:tc>
        <w:tc>
          <w:tcPr>
            <w:tcW w:w="1882" w:type="dxa"/>
            <w:tcBorders>
              <w:top w:val="single" w:color="auto" w:sz="4" w:space="0"/>
              <w:left w:val="single" w:color="auto" w:sz="4" w:space="0"/>
              <w:bottom w:val="single" w:color="auto" w:sz="4" w:space="0"/>
              <w:right w:val="single" w:color="auto" w:sz="4" w:space="0"/>
            </w:tcBorders>
            <w:vAlign w:val="center"/>
          </w:tcPr>
          <w:p w14:paraId="3C340B52">
            <w:pPr>
              <w:adjustRightInd/>
              <w:spacing w:line="440" w:lineRule="exact"/>
              <w:jc w:val="center"/>
              <w:rPr>
                <w:rFonts w:ascii="仿宋_GB2312" w:hAnsi="仿宋_GB2312" w:eastAsia="仿宋_GB2312" w:cs="仿宋_GB2312"/>
                <w:b/>
                <w:color w:val="auto"/>
                <w:spacing w:val="0"/>
                <w:sz w:val="24"/>
                <w:highlight w:val="none"/>
              </w:rPr>
            </w:pPr>
            <w:r>
              <w:rPr>
                <w:rFonts w:hint="eastAsia" w:ascii="仿宋_GB2312" w:hAnsi="仿宋_GB2312" w:eastAsia="仿宋_GB2312" w:cs="仿宋_GB2312"/>
                <w:b/>
                <w:color w:val="auto"/>
                <w:spacing w:val="0"/>
                <w:sz w:val="24"/>
                <w:highlight w:val="none"/>
              </w:rPr>
              <w:t>备注（如果有）</w:t>
            </w:r>
          </w:p>
        </w:tc>
      </w:tr>
      <w:tr w14:paraId="3129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AAF82D5">
            <w:pPr>
              <w:adjustRightInd/>
              <w:spacing w:line="440" w:lineRule="exact"/>
              <w:jc w:val="center"/>
              <w:rPr>
                <w:rFonts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1</w:t>
            </w:r>
          </w:p>
        </w:tc>
        <w:tc>
          <w:tcPr>
            <w:tcW w:w="997" w:type="dxa"/>
            <w:tcBorders>
              <w:top w:val="single" w:color="auto" w:sz="4" w:space="0"/>
              <w:left w:val="single" w:color="auto" w:sz="4" w:space="0"/>
              <w:bottom w:val="single" w:color="auto" w:sz="4" w:space="0"/>
              <w:right w:val="single" w:color="auto" w:sz="4" w:space="0"/>
            </w:tcBorders>
            <w:vAlign w:val="center"/>
          </w:tcPr>
          <w:p w14:paraId="4659D482">
            <w:pPr>
              <w:adjustRightInd/>
              <w:spacing w:line="440" w:lineRule="exact"/>
              <w:jc w:val="center"/>
              <w:rPr>
                <w:rFonts w:ascii="仿宋_GB2312" w:hAnsi="仿宋_GB2312" w:eastAsia="仿宋_GB2312" w:cs="仿宋_GB2312"/>
                <w:color w:val="auto"/>
                <w:spacing w:val="0"/>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58F8C0B6">
            <w:pPr>
              <w:adjustRightInd/>
              <w:spacing w:line="440" w:lineRule="exact"/>
              <w:jc w:val="center"/>
              <w:rPr>
                <w:rFonts w:ascii="仿宋_GB2312" w:hAnsi="仿宋_GB2312" w:eastAsia="仿宋_GB2312" w:cs="仿宋_GB2312"/>
                <w:color w:val="auto"/>
                <w:spacing w:val="0"/>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717A0D73">
            <w:pPr>
              <w:adjustRightInd/>
              <w:spacing w:line="440" w:lineRule="exact"/>
              <w:jc w:val="center"/>
              <w:rPr>
                <w:rFonts w:ascii="仿宋_GB2312" w:hAnsi="仿宋_GB2312" w:eastAsia="仿宋_GB2312" w:cs="仿宋_GB2312"/>
                <w:color w:val="auto"/>
                <w:spacing w:val="0"/>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16B55814">
            <w:pPr>
              <w:adjustRightInd/>
              <w:spacing w:line="440" w:lineRule="exact"/>
              <w:jc w:val="center"/>
              <w:rPr>
                <w:rFonts w:ascii="仿宋_GB2312" w:hAnsi="仿宋_GB2312" w:eastAsia="仿宋_GB2312" w:cs="仿宋_GB2312"/>
                <w:color w:val="auto"/>
                <w:spacing w:val="0"/>
                <w:sz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0E046120">
            <w:pPr>
              <w:adjustRightInd/>
              <w:spacing w:line="440" w:lineRule="exact"/>
              <w:jc w:val="center"/>
              <w:rPr>
                <w:rFonts w:ascii="仿宋_GB2312" w:hAnsi="仿宋_GB2312" w:eastAsia="仿宋_GB2312" w:cs="仿宋_GB2312"/>
                <w:color w:val="auto"/>
                <w:spacing w:val="0"/>
                <w:sz w:val="24"/>
                <w:highlight w:val="none"/>
              </w:rPr>
            </w:pPr>
          </w:p>
        </w:tc>
        <w:tc>
          <w:tcPr>
            <w:tcW w:w="1882" w:type="dxa"/>
            <w:tcBorders>
              <w:top w:val="single" w:color="auto" w:sz="4" w:space="0"/>
              <w:left w:val="single" w:color="auto" w:sz="4" w:space="0"/>
              <w:bottom w:val="single" w:color="auto" w:sz="4" w:space="0"/>
              <w:right w:val="single" w:color="auto" w:sz="4" w:space="0"/>
            </w:tcBorders>
            <w:vAlign w:val="center"/>
          </w:tcPr>
          <w:p w14:paraId="12135408">
            <w:pPr>
              <w:adjustRightInd/>
              <w:spacing w:line="440" w:lineRule="exact"/>
              <w:jc w:val="center"/>
              <w:rPr>
                <w:rFonts w:ascii="仿宋_GB2312" w:hAnsi="仿宋_GB2312" w:eastAsia="仿宋_GB2312" w:cs="仿宋_GB2312"/>
                <w:color w:val="auto"/>
                <w:spacing w:val="0"/>
                <w:sz w:val="24"/>
                <w:highlight w:val="none"/>
              </w:rPr>
            </w:pPr>
          </w:p>
        </w:tc>
      </w:tr>
      <w:tr w14:paraId="7398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34B32A4">
            <w:pPr>
              <w:adjustRightInd/>
              <w:spacing w:line="440" w:lineRule="exact"/>
              <w:jc w:val="center"/>
              <w:rPr>
                <w:rFonts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2</w:t>
            </w:r>
          </w:p>
        </w:tc>
        <w:tc>
          <w:tcPr>
            <w:tcW w:w="997" w:type="dxa"/>
            <w:tcBorders>
              <w:top w:val="single" w:color="auto" w:sz="4" w:space="0"/>
              <w:left w:val="single" w:color="auto" w:sz="4" w:space="0"/>
              <w:bottom w:val="single" w:color="auto" w:sz="4" w:space="0"/>
              <w:right w:val="single" w:color="auto" w:sz="4" w:space="0"/>
            </w:tcBorders>
            <w:vAlign w:val="center"/>
          </w:tcPr>
          <w:p w14:paraId="50918299">
            <w:pPr>
              <w:adjustRightInd/>
              <w:spacing w:line="440" w:lineRule="exact"/>
              <w:jc w:val="center"/>
              <w:rPr>
                <w:rFonts w:ascii="仿宋_GB2312" w:hAnsi="仿宋_GB2312" w:eastAsia="仿宋_GB2312" w:cs="仿宋_GB2312"/>
                <w:color w:val="auto"/>
                <w:spacing w:val="0"/>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AEDC61E">
            <w:pPr>
              <w:adjustRightInd/>
              <w:spacing w:line="440" w:lineRule="exact"/>
              <w:jc w:val="center"/>
              <w:rPr>
                <w:rFonts w:ascii="仿宋_GB2312" w:hAnsi="仿宋_GB2312" w:eastAsia="仿宋_GB2312" w:cs="仿宋_GB2312"/>
                <w:color w:val="auto"/>
                <w:spacing w:val="0"/>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054369A2">
            <w:pPr>
              <w:adjustRightInd/>
              <w:spacing w:line="440" w:lineRule="exact"/>
              <w:jc w:val="center"/>
              <w:rPr>
                <w:rFonts w:ascii="仿宋_GB2312" w:hAnsi="仿宋_GB2312" w:eastAsia="仿宋_GB2312" w:cs="仿宋_GB2312"/>
                <w:color w:val="auto"/>
                <w:spacing w:val="0"/>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15F3487B">
            <w:pPr>
              <w:adjustRightInd/>
              <w:spacing w:line="440" w:lineRule="exact"/>
              <w:jc w:val="center"/>
              <w:rPr>
                <w:rFonts w:ascii="仿宋_GB2312" w:hAnsi="仿宋_GB2312" w:eastAsia="仿宋_GB2312" w:cs="仿宋_GB2312"/>
                <w:color w:val="auto"/>
                <w:spacing w:val="0"/>
                <w:sz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3B5F186D">
            <w:pPr>
              <w:adjustRightInd/>
              <w:spacing w:line="440" w:lineRule="exact"/>
              <w:jc w:val="center"/>
              <w:rPr>
                <w:rFonts w:ascii="仿宋_GB2312" w:hAnsi="仿宋_GB2312" w:eastAsia="仿宋_GB2312" w:cs="仿宋_GB2312"/>
                <w:color w:val="auto"/>
                <w:spacing w:val="0"/>
                <w:sz w:val="24"/>
                <w:highlight w:val="none"/>
              </w:rPr>
            </w:pPr>
          </w:p>
        </w:tc>
        <w:tc>
          <w:tcPr>
            <w:tcW w:w="1882" w:type="dxa"/>
            <w:tcBorders>
              <w:top w:val="single" w:color="auto" w:sz="4" w:space="0"/>
              <w:left w:val="single" w:color="auto" w:sz="4" w:space="0"/>
              <w:bottom w:val="single" w:color="auto" w:sz="4" w:space="0"/>
              <w:right w:val="single" w:color="auto" w:sz="4" w:space="0"/>
            </w:tcBorders>
            <w:vAlign w:val="center"/>
          </w:tcPr>
          <w:p w14:paraId="400B1729">
            <w:pPr>
              <w:adjustRightInd/>
              <w:spacing w:line="440" w:lineRule="exact"/>
              <w:jc w:val="center"/>
              <w:rPr>
                <w:rFonts w:ascii="仿宋_GB2312" w:hAnsi="仿宋_GB2312" w:eastAsia="仿宋_GB2312" w:cs="仿宋_GB2312"/>
                <w:color w:val="auto"/>
                <w:spacing w:val="0"/>
                <w:sz w:val="24"/>
                <w:highlight w:val="none"/>
              </w:rPr>
            </w:pPr>
          </w:p>
        </w:tc>
      </w:tr>
      <w:tr w14:paraId="092F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02B64B">
            <w:pPr>
              <w:adjustRightInd/>
              <w:spacing w:line="440" w:lineRule="exact"/>
              <w:jc w:val="center"/>
              <w:rPr>
                <w:rFonts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w:t>
            </w:r>
          </w:p>
        </w:tc>
        <w:tc>
          <w:tcPr>
            <w:tcW w:w="997" w:type="dxa"/>
            <w:tcBorders>
              <w:top w:val="single" w:color="auto" w:sz="4" w:space="0"/>
              <w:left w:val="single" w:color="auto" w:sz="4" w:space="0"/>
              <w:bottom w:val="single" w:color="auto" w:sz="4" w:space="0"/>
              <w:right w:val="single" w:color="auto" w:sz="4" w:space="0"/>
            </w:tcBorders>
            <w:vAlign w:val="center"/>
          </w:tcPr>
          <w:p w14:paraId="6F8E889E">
            <w:pPr>
              <w:adjustRightInd/>
              <w:spacing w:line="440" w:lineRule="exact"/>
              <w:jc w:val="center"/>
              <w:rPr>
                <w:rFonts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w:t>
            </w:r>
          </w:p>
        </w:tc>
        <w:tc>
          <w:tcPr>
            <w:tcW w:w="1904" w:type="dxa"/>
            <w:tcBorders>
              <w:top w:val="single" w:color="auto" w:sz="4" w:space="0"/>
              <w:left w:val="single" w:color="auto" w:sz="4" w:space="0"/>
              <w:bottom w:val="single" w:color="auto" w:sz="4" w:space="0"/>
              <w:right w:val="single" w:color="auto" w:sz="4" w:space="0"/>
            </w:tcBorders>
            <w:vAlign w:val="center"/>
          </w:tcPr>
          <w:p w14:paraId="66E61584">
            <w:pPr>
              <w:adjustRightInd/>
              <w:spacing w:line="440" w:lineRule="exact"/>
              <w:jc w:val="center"/>
              <w:rPr>
                <w:rFonts w:ascii="仿宋_GB2312" w:hAnsi="仿宋_GB2312" w:eastAsia="仿宋_GB2312" w:cs="仿宋_GB2312"/>
                <w:color w:val="auto"/>
                <w:spacing w:val="0"/>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26AA6766">
            <w:pPr>
              <w:adjustRightInd/>
              <w:spacing w:line="440" w:lineRule="exact"/>
              <w:jc w:val="center"/>
              <w:rPr>
                <w:rFonts w:ascii="仿宋_GB2312" w:hAnsi="仿宋_GB2312" w:eastAsia="仿宋_GB2312" w:cs="仿宋_GB2312"/>
                <w:color w:val="auto"/>
                <w:spacing w:val="0"/>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45DFA932">
            <w:pPr>
              <w:adjustRightInd/>
              <w:spacing w:line="440" w:lineRule="exact"/>
              <w:jc w:val="center"/>
              <w:rPr>
                <w:rFonts w:ascii="仿宋_GB2312" w:hAnsi="仿宋_GB2312" w:eastAsia="仿宋_GB2312" w:cs="仿宋_GB2312"/>
                <w:color w:val="auto"/>
                <w:spacing w:val="0"/>
                <w:sz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523B1DC3">
            <w:pPr>
              <w:adjustRightInd/>
              <w:spacing w:line="440" w:lineRule="exact"/>
              <w:jc w:val="center"/>
              <w:rPr>
                <w:rFonts w:ascii="仿宋_GB2312" w:hAnsi="仿宋_GB2312" w:eastAsia="仿宋_GB2312" w:cs="仿宋_GB2312"/>
                <w:color w:val="auto"/>
                <w:spacing w:val="0"/>
                <w:sz w:val="24"/>
                <w:highlight w:val="none"/>
              </w:rPr>
            </w:pPr>
          </w:p>
        </w:tc>
        <w:tc>
          <w:tcPr>
            <w:tcW w:w="1882" w:type="dxa"/>
            <w:tcBorders>
              <w:top w:val="single" w:color="auto" w:sz="4" w:space="0"/>
              <w:left w:val="single" w:color="auto" w:sz="4" w:space="0"/>
              <w:bottom w:val="single" w:color="auto" w:sz="4" w:space="0"/>
              <w:right w:val="single" w:color="auto" w:sz="4" w:space="0"/>
            </w:tcBorders>
            <w:vAlign w:val="center"/>
          </w:tcPr>
          <w:p w14:paraId="03C7A168">
            <w:pPr>
              <w:adjustRightInd/>
              <w:spacing w:line="440" w:lineRule="exact"/>
              <w:jc w:val="center"/>
              <w:rPr>
                <w:rFonts w:ascii="仿宋_GB2312" w:hAnsi="仿宋_GB2312" w:eastAsia="仿宋_GB2312" w:cs="仿宋_GB2312"/>
                <w:color w:val="auto"/>
                <w:spacing w:val="0"/>
                <w:sz w:val="24"/>
                <w:highlight w:val="none"/>
              </w:rPr>
            </w:pPr>
          </w:p>
        </w:tc>
      </w:tr>
    </w:tbl>
    <w:p w14:paraId="759DA176">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注：按本格式和要求提供。</w:t>
      </w:r>
    </w:p>
    <w:p w14:paraId="0D2CA5BF">
      <w:pPr>
        <w:jc w:val="center"/>
        <w:rPr>
          <w:rFonts w:ascii="仿宋_GB2312" w:hAnsi="仿宋_GB2312" w:eastAsia="仿宋_GB2312" w:cs="仿宋_GB2312"/>
          <w:b/>
          <w:color w:val="auto"/>
          <w:kern w:val="0"/>
          <w:sz w:val="32"/>
          <w:szCs w:val="32"/>
          <w:highlight w:val="none"/>
        </w:rPr>
      </w:pPr>
    </w:p>
    <w:p w14:paraId="1904169A">
      <w:pPr>
        <w:jc w:val="center"/>
        <w:rPr>
          <w:rFonts w:ascii="仿宋_GB2312" w:hAnsi="仿宋_GB2312" w:eastAsia="仿宋_GB2312" w:cs="仿宋_GB2312"/>
          <w:b/>
          <w:color w:val="auto"/>
          <w:kern w:val="0"/>
          <w:sz w:val="32"/>
          <w:szCs w:val="32"/>
          <w:highlight w:val="none"/>
        </w:rPr>
      </w:pPr>
    </w:p>
    <w:p w14:paraId="69618B2A">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68C23D32">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35311089">
      <w:pPr>
        <w:rPr>
          <w:rFonts w:ascii="宋体" w:hAnsi="宋体" w:cs="仿宋"/>
          <w:b/>
          <w:color w:val="auto"/>
          <w:sz w:val="24"/>
          <w:highlight w:val="none"/>
        </w:rPr>
      </w:pPr>
      <w:r>
        <w:rPr>
          <w:rFonts w:hint="eastAsia" w:ascii="仿宋_GB2312" w:hAnsi="仿宋_GB2312" w:eastAsia="仿宋_GB2312" w:cs="仿宋_GB2312"/>
          <w:b/>
          <w:color w:val="auto"/>
          <w:kern w:val="0"/>
          <w:sz w:val="32"/>
          <w:szCs w:val="32"/>
          <w:highlight w:val="none"/>
        </w:rPr>
        <w:br w:type="page"/>
      </w:r>
    </w:p>
    <w:p w14:paraId="4E97D87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bookmarkStart w:id="379" w:name="_Toc29010"/>
      <w:bookmarkStart w:id="380" w:name="_Toc11163"/>
      <w:r>
        <w:rPr>
          <w:rFonts w:hint="eastAsia" w:ascii="仿宋_GB2312" w:hAnsi="仿宋_GB2312" w:eastAsia="仿宋_GB2312" w:cs="仿宋_GB2312"/>
          <w:b/>
          <w:color w:val="auto"/>
          <w:sz w:val="32"/>
          <w:szCs w:val="20"/>
          <w:highlight w:val="none"/>
          <w:lang w:val="en-US" w:eastAsia="zh-CN"/>
        </w:rPr>
        <w:t>六、</w:t>
      </w:r>
      <w:bookmarkEnd w:id="379"/>
      <w:bookmarkEnd w:id="380"/>
      <w:r>
        <w:rPr>
          <w:rFonts w:hint="eastAsia" w:ascii="仿宋_GB2312" w:hAnsi="仿宋_GB2312" w:eastAsia="仿宋_GB2312" w:cs="仿宋_GB2312"/>
          <w:b/>
          <w:color w:val="auto"/>
          <w:sz w:val="32"/>
          <w:szCs w:val="20"/>
          <w:highlight w:val="none"/>
          <w:lang w:val="en-US" w:eastAsia="zh-CN"/>
        </w:rPr>
        <w:t>商务技术偏离表</w:t>
      </w:r>
    </w:p>
    <w:tbl>
      <w:tblPr>
        <w:tblStyle w:val="15"/>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505"/>
        <w:gridCol w:w="3515"/>
        <w:gridCol w:w="1290"/>
      </w:tblGrid>
      <w:tr w14:paraId="75A1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2C3AE25">
            <w:pPr>
              <w:adjustRightInd/>
              <w:spacing w:line="4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3505" w:type="dxa"/>
          </w:tcPr>
          <w:p w14:paraId="129C655B">
            <w:pPr>
              <w:adjustRightInd/>
              <w:spacing w:line="4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招标文件章节及具体内容</w:t>
            </w:r>
          </w:p>
        </w:tc>
        <w:tc>
          <w:tcPr>
            <w:tcW w:w="3515" w:type="dxa"/>
          </w:tcPr>
          <w:p w14:paraId="43487724">
            <w:pPr>
              <w:adjustRightInd/>
              <w:spacing w:line="4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投标文件章节及具体内容</w:t>
            </w:r>
          </w:p>
        </w:tc>
        <w:tc>
          <w:tcPr>
            <w:tcW w:w="1290" w:type="dxa"/>
          </w:tcPr>
          <w:p w14:paraId="4055DB6A">
            <w:pPr>
              <w:adjustRightInd/>
              <w:spacing w:line="4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偏离说明</w:t>
            </w:r>
          </w:p>
        </w:tc>
      </w:tr>
      <w:tr w14:paraId="1A7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4294490">
            <w:pPr>
              <w:adjustRightInd/>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505" w:type="dxa"/>
          </w:tcPr>
          <w:p w14:paraId="4AA3E7E1">
            <w:pPr>
              <w:adjustRightInd/>
              <w:spacing w:line="440" w:lineRule="exact"/>
              <w:jc w:val="center"/>
              <w:rPr>
                <w:rFonts w:ascii="仿宋_GB2312" w:hAnsi="仿宋_GB2312" w:eastAsia="仿宋_GB2312" w:cs="仿宋_GB2312"/>
                <w:b/>
                <w:color w:val="auto"/>
                <w:kern w:val="0"/>
                <w:sz w:val="32"/>
                <w:szCs w:val="32"/>
                <w:highlight w:val="none"/>
              </w:rPr>
            </w:pPr>
          </w:p>
        </w:tc>
        <w:tc>
          <w:tcPr>
            <w:tcW w:w="3515" w:type="dxa"/>
          </w:tcPr>
          <w:p w14:paraId="5D6BB062">
            <w:pPr>
              <w:adjustRightInd/>
              <w:spacing w:line="440" w:lineRule="exact"/>
              <w:jc w:val="center"/>
              <w:rPr>
                <w:rFonts w:ascii="仿宋_GB2312" w:hAnsi="仿宋_GB2312" w:eastAsia="仿宋_GB2312" w:cs="仿宋_GB2312"/>
                <w:b/>
                <w:color w:val="auto"/>
                <w:kern w:val="0"/>
                <w:sz w:val="32"/>
                <w:szCs w:val="32"/>
                <w:highlight w:val="none"/>
              </w:rPr>
            </w:pPr>
          </w:p>
        </w:tc>
        <w:tc>
          <w:tcPr>
            <w:tcW w:w="1290" w:type="dxa"/>
          </w:tcPr>
          <w:p w14:paraId="77F4A646">
            <w:pPr>
              <w:adjustRightInd/>
              <w:spacing w:line="440" w:lineRule="exact"/>
              <w:jc w:val="center"/>
              <w:rPr>
                <w:rFonts w:ascii="仿宋_GB2312" w:hAnsi="仿宋_GB2312" w:eastAsia="仿宋_GB2312" w:cs="仿宋_GB2312"/>
                <w:b/>
                <w:color w:val="auto"/>
                <w:kern w:val="0"/>
                <w:sz w:val="32"/>
                <w:szCs w:val="32"/>
                <w:highlight w:val="none"/>
              </w:rPr>
            </w:pPr>
          </w:p>
        </w:tc>
      </w:tr>
      <w:tr w14:paraId="75C2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A3A092A">
            <w:pPr>
              <w:adjustRightInd/>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505" w:type="dxa"/>
          </w:tcPr>
          <w:p w14:paraId="7F65A9CB">
            <w:pPr>
              <w:adjustRightInd/>
              <w:spacing w:line="440" w:lineRule="exact"/>
              <w:jc w:val="center"/>
              <w:rPr>
                <w:rFonts w:ascii="仿宋_GB2312" w:hAnsi="仿宋_GB2312" w:eastAsia="仿宋_GB2312" w:cs="仿宋_GB2312"/>
                <w:b/>
                <w:color w:val="auto"/>
                <w:kern w:val="0"/>
                <w:sz w:val="32"/>
                <w:szCs w:val="32"/>
                <w:highlight w:val="none"/>
              </w:rPr>
            </w:pPr>
          </w:p>
        </w:tc>
        <w:tc>
          <w:tcPr>
            <w:tcW w:w="3515" w:type="dxa"/>
          </w:tcPr>
          <w:p w14:paraId="6CBC2583">
            <w:pPr>
              <w:adjustRightInd/>
              <w:spacing w:line="440" w:lineRule="exact"/>
              <w:jc w:val="center"/>
              <w:rPr>
                <w:rFonts w:ascii="仿宋_GB2312" w:hAnsi="仿宋_GB2312" w:eastAsia="仿宋_GB2312" w:cs="仿宋_GB2312"/>
                <w:b/>
                <w:color w:val="auto"/>
                <w:kern w:val="0"/>
                <w:sz w:val="32"/>
                <w:szCs w:val="32"/>
                <w:highlight w:val="none"/>
              </w:rPr>
            </w:pPr>
          </w:p>
        </w:tc>
        <w:tc>
          <w:tcPr>
            <w:tcW w:w="1290" w:type="dxa"/>
          </w:tcPr>
          <w:p w14:paraId="5BDF4F67">
            <w:pPr>
              <w:adjustRightInd/>
              <w:spacing w:line="440" w:lineRule="exact"/>
              <w:jc w:val="center"/>
              <w:rPr>
                <w:rFonts w:ascii="仿宋_GB2312" w:hAnsi="仿宋_GB2312" w:eastAsia="仿宋_GB2312" w:cs="仿宋_GB2312"/>
                <w:b/>
                <w:color w:val="auto"/>
                <w:kern w:val="0"/>
                <w:sz w:val="32"/>
                <w:szCs w:val="32"/>
                <w:highlight w:val="none"/>
              </w:rPr>
            </w:pPr>
          </w:p>
        </w:tc>
      </w:tr>
      <w:tr w14:paraId="561C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87A3D8C">
            <w:pPr>
              <w:adjustRightInd/>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tc>
        <w:tc>
          <w:tcPr>
            <w:tcW w:w="3505" w:type="dxa"/>
          </w:tcPr>
          <w:p w14:paraId="42357EF2">
            <w:pPr>
              <w:adjustRightInd/>
              <w:spacing w:line="440" w:lineRule="exact"/>
              <w:jc w:val="center"/>
              <w:rPr>
                <w:rFonts w:ascii="仿宋_GB2312" w:hAnsi="仿宋_GB2312" w:eastAsia="仿宋_GB2312" w:cs="仿宋_GB2312"/>
                <w:b/>
                <w:color w:val="auto"/>
                <w:kern w:val="0"/>
                <w:sz w:val="32"/>
                <w:szCs w:val="32"/>
                <w:highlight w:val="none"/>
              </w:rPr>
            </w:pPr>
          </w:p>
        </w:tc>
        <w:tc>
          <w:tcPr>
            <w:tcW w:w="3515" w:type="dxa"/>
          </w:tcPr>
          <w:p w14:paraId="73617084">
            <w:pPr>
              <w:adjustRightInd/>
              <w:spacing w:line="440" w:lineRule="exact"/>
              <w:jc w:val="center"/>
              <w:rPr>
                <w:rFonts w:ascii="仿宋_GB2312" w:hAnsi="仿宋_GB2312" w:eastAsia="仿宋_GB2312" w:cs="仿宋_GB2312"/>
                <w:b/>
                <w:color w:val="auto"/>
                <w:kern w:val="0"/>
                <w:sz w:val="32"/>
                <w:szCs w:val="32"/>
                <w:highlight w:val="none"/>
              </w:rPr>
            </w:pPr>
          </w:p>
        </w:tc>
        <w:tc>
          <w:tcPr>
            <w:tcW w:w="1290" w:type="dxa"/>
          </w:tcPr>
          <w:p w14:paraId="5FDC8C65">
            <w:pPr>
              <w:adjustRightInd/>
              <w:spacing w:line="440" w:lineRule="exact"/>
              <w:jc w:val="center"/>
              <w:rPr>
                <w:rFonts w:ascii="仿宋_GB2312" w:hAnsi="仿宋_GB2312" w:eastAsia="仿宋_GB2312" w:cs="仿宋_GB2312"/>
                <w:b/>
                <w:color w:val="auto"/>
                <w:kern w:val="0"/>
                <w:sz w:val="32"/>
                <w:szCs w:val="32"/>
                <w:highlight w:val="none"/>
              </w:rPr>
            </w:pPr>
          </w:p>
        </w:tc>
      </w:tr>
    </w:tbl>
    <w:p w14:paraId="6AEBE9A9">
      <w:pPr>
        <w:adjustRightInd/>
        <w:spacing w:line="440" w:lineRule="exac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投标人保证：除商务技术偏离表列出的偏离外，投标人响应招标文件的全部要求</w:t>
      </w:r>
      <w:r>
        <w:rPr>
          <w:rFonts w:hint="eastAsia" w:ascii="仿宋_GB2312" w:hAnsi="仿宋_GB2312" w:eastAsia="仿宋_GB2312" w:cs="仿宋_GB2312"/>
          <w:color w:val="auto"/>
          <w:sz w:val="24"/>
          <w:highlight w:val="none"/>
          <w:lang w:eastAsia="zh-CN"/>
        </w:rPr>
        <w:t>。</w:t>
      </w:r>
    </w:p>
    <w:p w14:paraId="30EA20B9">
      <w:pPr>
        <w:adjustRightInd/>
        <w:spacing w:line="440" w:lineRule="exact"/>
        <w:rPr>
          <w:rFonts w:hint="eastAsia" w:ascii="仿宋_GB2312" w:hAnsi="仿宋_GB2312" w:eastAsia="仿宋_GB2312" w:cs="仿宋_GB2312"/>
          <w:color w:val="auto"/>
          <w:sz w:val="24"/>
          <w:highlight w:val="none"/>
        </w:rPr>
      </w:pPr>
    </w:p>
    <w:p w14:paraId="2744441B">
      <w:pPr>
        <w:adjustRightInd/>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注：1.按本格式和要求提供。</w:t>
      </w:r>
    </w:p>
    <w:p w14:paraId="4024316B">
      <w:pPr>
        <w:adjustRightInd/>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2.本表格所反映的偏离情况与“符合性审查资料”、“评标标准相应的商务技术资料”不一致的，以“符合性审查资料”、“评标标准相应的商务技术资料”为准。</w:t>
      </w:r>
    </w:p>
    <w:p w14:paraId="5D1F37AE">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3.投标人须保证：除商务技术偏离表列出的偏离外，投标人响应招标文件的全部非实质性要求。</w:t>
      </w:r>
    </w:p>
    <w:p w14:paraId="314453DB">
      <w:pPr>
        <w:adjustRightInd/>
        <w:spacing w:line="440" w:lineRule="exact"/>
        <w:ind w:firstLine="4800" w:firstLineChars="2000"/>
        <w:rPr>
          <w:rFonts w:hint="eastAsia" w:ascii="仿宋_GB2312" w:hAnsi="仿宋_GB2312" w:eastAsia="仿宋_GB2312" w:cs="仿宋_GB2312"/>
          <w:color w:val="auto"/>
          <w:kern w:val="0"/>
          <w:sz w:val="24"/>
          <w:highlight w:val="none"/>
          <w:lang w:val="zh-CN"/>
        </w:rPr>
      </w:pPr>
    </w:p>
    <w:p w14:paraId="175C4826">
      <w:pPr>
        <w:adjustRightInd/>
        <w:spacing w:line="440" w:lineRule="exact"/>
        <w:ind w:firstLine="4800" w:firstLineChars="2000"/>
        <w:rPr>
          <w:rFonts w:hint="eastAsia" w:ascii="仿宋_GB2312" w:hAnsi="仿宋_GB2312" w:eastAsia="仿宋_GB2312" w:cs="仿宋_GB2312"/>
          <w:color w:val="auto"/>
          <w:kern w:val="0"/>
          <w:sz w:val="24"/>
          <w:highlight w:val="none"/>
          <w:lang w:val="zh-CN"/>
        </w:rPr>
      </w:pPr>
    </w:p>
    <w:p w14:paraId="1562235E">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556F14A4">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4A1666A5">
      <w:pPr>
        <w:rPr>
          <w:rFonts w:ascii="仿宋_GB2312" w:hAnsi="仿宋_GB2312" w:eastAsia="仿宋_GB2312" w:cs="仿宋_GB2312"/>
          <w:b/>
          <w:bCs/>
          <w:color w:val="auto"/>
          <w:sz w:val="32"/>
          <w:szCs w:val="32"/>
          <w:highlight w:val="none"/>
        </w:rPr>
      </w:pPr>
    </w:p>
    <w:p w14:paraId="5DD78751">
      <w:pP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18001C7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七、</w:t>
      </w:r>
      <w:r>
        <w:rPr>
          <w:rFonts w:hint="eastAsia" w:ascii="仿宋_GB2312" w:hAnsi="仿宋_GB2312" w:eastAsia="仿宋_GB2312" w:cs="仿宋_GB2312"/>
          <w:b/>
          <w:color w:val="auto"/>
          <w:sz w:val="32"/>
          <w:szCs w:val="20"/>
          <w:highlight w:val="none"/>
          <w:lang w:val="zh-CN" w:eastAsia="zh-CN"/>
        </w:rPr>
        <w:t>政府采购供应商廉洁自律承诺书</w:t>
      </w:r>
    </w:p>
    <w:p w14:paraId="37DF584B">
      <w:pPr>
        <w:snapToGrid w:val="0"/>
        <w:spacing w:line="360" w:lineRule="auto"/>
        <w:rPr>
          <w:rFonts w:ascii="仿宋_GB2312" w:hAnsi="仿宋_GB2312" w:eastAsia="仿宋_GB2312" w:cs="仿宋_GB2312"/>
          <w:color w:val="auto"/>
          <w:sz w:val="24"/>
          <w:highlight w:val="none"/>
        </w:rPr>
      </w:pPr>
    </w:p>
    <w:p w14:paraId="142EDDAB">
      <w:pPr>
        <w:adjustRightInd/>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u w:val="single"/>
          <w:lang w:eastAsia="zh-CN"/>
        </w:rPr>
        <w:t>宁波市北仑区公共项目建设管理中心、浙江省成套招标代理有限公司</w:t>
      </w:r>
      <w:r>
        <w:rPr>
          <w:rFonts w:hint="eastAsia" w:ascii="仿宋_GB2312" w:hAnsi="仿宋_GB2312" w:eastAsia="仿宋_GB2312" w:cs="仿宋_GB2312"/>
          <w:color w:val="auto"/>
          <w:sz w:val="24"/>
          <w:highlight w:val="none"/>
        </w:rPr>
        <w:t>：</w:t>
      </w:r>
    </w:p>
    <w:p w14:paraId="457F9241">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我单位响应你</w:t>
      </w: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kern w:val="0"/>
          <w:sz w:val="24"/>
          <w:highlight w:val="none"/>
          <w:lang w:val="zh-CN"/>
        </w:rPr>
        <w:t>项目招标要求参加投标。在这次投标过程中和中标后，我们将严格遵守国家法律法规要求，并郑重承诺：</w:t>
      </w:r>
    </w:p>
    <w:p w14:paraId="454F5EA9">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一、不向项目有关人员及部门赠送礼金礼物、有价证券、回扣以及中介费、介绍费、咨询费等好处费；</w:t>
      </w:r>
    </w:p>
    <w:p w14:paraId="24E6320A">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二、不为项目有关人员及部门报销应由你方单位或个人支付的费用；</w:t>
      </w:r>
    </w:p>
    <w:p w14:paraId="228FCDDA">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三、不向项目有关人员及部门提供有可能影响公正的宴请和健身娱乐等活动；</w:t>
      </w:r>
    </w:p>
    <w:p w14:paraId="7E2803E4">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四、不为项目有关人员及部门出国（境）、旅游等提供方便；</w:t>
      </w:r>
    </w:p>
    <w:p w14:paraId="2A6DC4E3">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五、不为项目有关人员个人装修住房、婚丧嫁娶、配偶子女工作安排等提供好处；</w:t>
      </w:r>
    </w:p>
    <w:p w14:paraId="366265D3">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六、严格遵守《中华人民共和国政府采购法》《中华人民共和国招标投标法》《中华人民共和国民法典》等法律法规，诚实守信，合法经营，坚决抵制各种违法违纪行为。</w:t>
      </w:r>
    </w:p>
    <w:p w14:paraId="74C38E59">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如违反上述承诺，你</w:t>
      </w: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kern w:val="0"/>
          <w:sz w:val="24"/>
          <w:highlight w:val="none"/>
          <w:lang w:val="zh-CN"/>
        </w:rPr>
        <w:t>有权立即取消我单位投标、中标或在建项目的建设资格，有权拒绝我单位在一定时期内进入你</w:t>
      </w: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kern w:val="0"/>
          <w:sz w:val="24"/>
          <w:highlight w:val="none"/>
          <w:lang w:val="zh-CN"/>
        </w:rPr>
        <w:t>进行项目建设或其他经营活动，并通报市财政局。由此引起的相应损失均由我单位承担。</w:t>
      </w:r>
    </w:p>
    <w:p w14:paraId="7FB227B7">
      <w:pPr>
        <w:autoSpaceDE w:val="0"/>
        <w:autoSpaceDN w:val="0"/>
        <w:spacing w:line="360" w:lineRule="auto"/>
        <w:ind w:left="2"/>
        <w:jc w:val="left"/>
        <w:rPr>
          <w:rFonts w:ascii="仿宋_GB2312" w:hAnsi="仿宋_GB2312" w:eastAsia="仿宋_GB2312" w:cs="仿宋_GB2312"/>
          <w:color w:val="auto"/>
          <w:kern w:val="0"/>
          <w:sz w:val="24"/>
          <w:highlight w:val="none"/>
          <w:lang w:val="zh-CN"/>
        </w:rPr>
      </w:pPr>
    </w:p>
    <w:p w14:paraId="3E8B4E0D">
      <w:pPr>
        <w:autoSpaceDE w:val="0"/>
        <w:autoSpaceDN w:val="0"/>
        <w:spacing w:line="360" w:lineRule="auto"/>
        <w:ind w:left="2"/>
        <w:jc w:val="left"/>
        <w:rPr>
          <w:rFonts w:ascii="仿宋_GB2312" w:hAnsi="仿宋_GB2312" w:eastAsia="仿宋_GB2312" w:cs="仿宋_GB2312"/>
          <w:color w:val="auto"/>
          <w:kern w:val="0"/>
          <w:sz w:val="24"/>
          <w:highlight w:val="none"/>
          <w:lang w:val="zh-CN"/>
        </w:rPr>
      </w:pPr>
    </w:p>
    <w:p w14:paraId="021D5B9A">
      <w:pPr>
        <w:autoSpaceDE w:val="0"/>
        <w:autoSpaceDN w:val="0"/>
        <w:spacing w:line="360" w:lineRule="auto"/>
        <w:ind w:left="2"/>
        <w:jc w:val="left"/>
        <w:rPr>
          <w:rFonts w:ascii="仿宋_GB2312" w:hAnsi="仿宋_GB2312" w:eastAsia="仿宋_GB2312" w:cs="仿宋_GB2312"/>
          <w:color w:val="auto"/>
          <w:kern w:val="0"/>
          <w:sz w:val="24"/>
          <w:highlight w:val="none"/>
          <w:lang w:val="zh-CN"/>
        </w:rPr>
      </w:pPr>
    </w:p>
    <w:p w14:paraId="2BE78F91">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w:t>
      </w:r>
      <w:r>
        <w:rPr>
          <w:rFonts w:hint="eastAsia" w:ascii="仿宋_GB2312" w:hAnsi="仿宋_GB2312" w:eastAsia="仿宋_GB2312" w:cs="仿宋_GB2312"/>
          <w:color w:val="auto"/>
          <w:sz w:val="24"/>
          <w:highlight w:val="none"/>
        </w:rPr>
        <w:t>电子签名</w:t>
      </w:r>
      <w:r>
        <w:rPr>
          <w:rFonts w:hint="eastAsia" w:ascii="仿宋_GB2312" w:hAnsi="仿宋_GB2312" w:eastAsia="仿宋_GB2312" w:cs="仿宋_GB2312"/>
          <w:color w:val="auto"/>
          <w:kern w:val="0"/>
          <w:sz w:val="24"/>
          <w:highlight w:val="none"/>
          <w:lang w:val="zh-CN"/>
        </w:rPr>
        <w:t>）：</w:t>
      </w:r>
    </w:p>
    <w:p w14:paraId="365203CF">
      <w:pPr>
        <w:adjustRightInd/>
        <w:spacing w:line="440" w:lineRule="exact"/>
        <w:ind w:firstLine="4800" w:firstLineChars="20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zh-CN"/>
        </w:rPr>
        <w:t>日期</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zh-CN"/>
        </w:rPr>
        <w:t xml:space="preserve">   年   月   日</w:t>
      </w:r>
    </w:p>
    <w:p w14:paraId="2AFC231D">
      <w:pPr>
        <w:autoSpaceDE w:val="0"/>
        <w:autoSpaceDN w:val="0"/>
        <w:adjustRightInd/>
        <w:spacing w:line="440" w:lineRule="exact"/>
        <w:ind w:firstLine="480" w:firstLineChars="200"/>
        <w:jc w:val="left"/>
        <w:rPr>
          <w:rFonts w:ascii="仿宋_GB2312" w:hAnsi="仿宋_GB2312" w:eastAsia="仿宋_GB2312" w:cs="仿宋_GB2312"/>
          <w:color w:val="auto"/>
          <w:kern w:val="0"/>
          <w:sz w:val="24"/>
          <w:highlight w:val="none"/>
          <w:lang w:val="zh-CN"/>
        </w:rPr>
      </w:pPr>
    </w:p>
    <w:p w14:paraId="3AEDAABB">
      <w:pPr>
        <w:autoSpaceDE w:val="0"/>
        <w:autoSpaceDN w:val="0"/>
        <w:adjustRightInd/>
        <w:spacing w:line="440" w:lineRule="exact"/>
        <w:jc w:val="left"/>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注：按本格式和要求提供。</w:t>
      </w:r>
    </w:p>
    <w:p w14:paraId="242EE3D7">
      <w:pPr>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br w:type="page"/>
      </w:r>
    </w:p>
    <w:p w14:paraId="6772B61F">
      <w:pPr>
        <w:adjustRightInd/>
        <w:spacing w:line="440" w:lineRule="exact"/>
        <w:jc w:val="center"/>
        <w:outlineLvl w:val="1"/>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报价文件部分</w:t>
      </w:r>
    </w:p>
    <w:p w14:paraId="013EEC4F">
      <w:pPr>
        <w:adjustRightInd/>
        <w:spacing w:line="440" w:lineRule="exact"/>
        <w:jc w:val="center"/>
        <w:rPr>
          <w:rFonts w:ascii="仿宋_GB2312" w:hAnsi="仿宋_GB2312" w:eastAsia="仿宋_GB2312" w:cs="仿宋_GB2312"/>
          <w:b/>
          <w:color w:val="auto"/>
          <w:kern w:val="0"/>
          <w:sz w:val="36"/>
          <w:szCs w:val="36"/>
          <w:highlight w:val="none"/>
        </w:rPr>
      </w:pPr>
    </w:p>
    <w:p w14:paraId="08BC87D8">
      <w:pPr>
        <w:adjustRightInd/>
        <w:spacing w:line="440" w:lineRule="exact"/>
        <w:jc w:val="center"/>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目录</w:t>
      </w:r>
    </w:p>
    <w:p w14:paraId="75DC0639">
      <w:pPr>
        <w:adjustRightInd/>
        <w:spacing w:line="440" w:lineRule="exact"/>
        <w:jc w:val="center"/>
        <w:rPr>
          <w:rFonts w:ascii="仿宋_GB2312" w:hAnsi="仿宋_GB2312" w:eastAsia="仿宋_GB2312" w:cs="仿宋_GB2312"/>
          <w:b/>
          <w:color w:val="auto"/>
          <w:kern w:val="0"/>
          <w:sz w:val="36"/>
          <w:szCs w:val="36"/>
          <w:highlight w:val="none"/>
        </w:rPr>
      </w:pPr>
    </w:p>
    <w:p w14:paraId="46624D15">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开标一览表（报价表）………………………………………………………（页码）</w:t>
      </w:r>
    </w:p>
    <w:p w14:paraId="250769F7">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中小企业声明函</w:t>
      </w:r>
      <w:r>
        <w:rPr>
          <w:rFonts w:hint="eastAsia" w:ascii="仿宋_GB2312" w:hAnsi="仿宋_GB2312" w:eastAsia="仿宋_GB2312" w:cs="仿宋_GB2312"/>
          <w:color w:val="auto"/>
          <w:sz w:val="24"/>
          <w:highlight w:val="none"/>
        </w:rPr>
        <w:t>………………………………………………………………（页码）</w:t>
      </w:r>
    </w:p>
    <w:p w14:paraId="6126187D">
      <w:pPr>
        <w:snapToGrid w:val="0"/>
        <w:spacing w:line="360" w:lineRule="auto"/>
        <w:ind w:right="480"/>
        <w:jc w:val="center"/>
        <w:rPr>
          <w:rFonts w:ascii="仿宋_GB2312" w:hAnsi="仿宋_GB2312" w:eastAsia="仿宋_GB2312" w:cs="仿宋_GB2312"/>
          <w:b/>
          <w:color w:val="auto"/>
          <w:kern w:val="0"/>
          <w:sz w:val="32"/>
          <w:szCs w:val="32"/>
          <w:highlight w:val="none"/>
        </w:rPr>
      </w:pPr>
    </w:p>
    <w:p w14:paraId="31588EB2">
      <w:pPr>
        <w:snapToGrid w:val="0"/>
        <w:spacing w:line="360" w:lineRule="auto"/>
        <w:ind w:right="480"/>
        <w:jc w:val="center"/>
        <w:rPr>
          <w:rFonts w:ascii="仿宋_GB2312" w:hAnsi="仿宋_GB2312" w:eastAsia="仿宋_GB2312" w:cs="仿宋_GB2312"/>
          <w:b/>
          <w:color w:val="auto"/>
          <w:kern w:val="0"/>
          <w:sz w:val="32"/>
          <w:szCs w:val="32"/>
          <w:highlight w:val="none"/>
        </w:rPr>
      </w:pPr>
    </w:p>
    <w:p w14:paraId="1DB28E28">
      <w:pPr>
        <w:rPr>
          <w:rFonts w:ascii="仿宋_GB2312" w:hAnsi="仿宋_GB2312" w:eastAsia="仿宋_GB2312" w:cs="仿宋_GB2312"/>
          <w:b/>
          <w:color w:val="auto"/>
          <w:kern w:val="0"/>
          <w:sz w:val="32"/>
          <w:szCs w:val="32"/>
          <w:highlight w:val="none"/>
        </w:rPr>
      </w:pPr>
      <w:r>
        <w:rPr>
          <w:rFonts w:ascii="仿宋_GB2312" w:hAnsi="仿宋_GB2312" w:eastAsia="仿宋_GB2312" w:cs="仿宋_GB2312"/>
          <w:b/>
          <w:color w:val="auto"/>
          <w:kern w:val="0"/>
          <w:sz w:val="32"/>
          <w:szCs w:val="32"/>
          <w:highlight w:val="none"/>
        </w:rPr>
        <w:br w:type="page"/>
      </w:r>
    </w:p>
    <w:p w14:paraId="06B8722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一、开标一览表（报价表）</w:t>
      </w:r>
    </w:p>
    <w:p w14:paraId="0A33A225">
      <w:pPr>
        <w:keepNext w:val="0"/>
        <w:keepLines w:val="0"/>
        <w:pageBreakBefore w:val="0"/>
        <w:kinsoku/>
        <w:wordWrap/>
        <w:overflowPunct/>
        <w:topLinePunct w:val="0"/>
        <w:bidi w:val="0"/>
        <w:snapToGrid w:val="0"/>
        <w:spacing w:line="440" w:lineRule="exact"/>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u w:val="single"/>
          <w:lang w:eastAsia="zh-CN"/>
        </w:rPr>
        <w:t>宁波市北仑区公共项目建设管理中心、浙江省成套招标代理有限公司</w:t>
      </w:r>
      <w:r>
        <w:rPr>
          <w:rFonts w:hint="eastAsia" w:ascii="仿宋_GB2312" w:hAnsi="仿宋_GB2312" w:eastAsia="仿宋_GB2312" w:cs="仿宋_GB2312"/>
          <w:color w:val="auto"/>
          <w:kern w:val="0"/>
          <w:sz w:val="24"/>
          <w:szCs w:val="24"/>
          <w:highlight w:val="none"/>
          <w:lang w:val="zh-CN"/>
        </w:rPr>
        <w:t>：</w:t>
      </w:r>
    </w:p>
    <w:p w14:paraId="2C37B55C">
      <w:pPr>
        <w:keepNext w:val="0"/>
        <w:keepLines w:val="0"/>
        <w:pageBreakBefore w:val="0"/>
        <w:kinsoku/>
        <w:wordWrap/>
        <w:overflowPunct/>
        <w:topLinePunct w:val="0"/>
        <w:bidi w:val="0"/>
        <w:adjustRightInd/>
        <w:spacing w:line="440" w:lineRule="exact"/>
        <w:ind w:firstLine="480" w:firstLineChars="200"/>
        <w:textAlignment w:val="auto"/>
        <w:rPr>
          <w:rFonts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按你方招标文件要求，我</w:t>
      </w:r>
      <w:r>
        <w:rPr>
          <w:rFonts w:hint="eastAsia" w:ascii="仿宋_GB2312" w:hAnsi="仿宋_GB2312" w:eastAsia="仿宋_GB2312" w:cs="仿宋_GB2312"/>
          <w:color w:val="auto"/>
          <w:kern w:val="0"/>
          <w:sz w:val="24"/>
          <w:szCs w:val="24"/>
          <w:highlight w:val="none"/>
        </w:rPr>
        <w:t>方</w:t>
      </w:r>
      <w:r>
        <w:rPr>
          <w:rFonts w:hint="eastAsia" w:ascii="仿宋_GB2312" w:hAnsi="仿宋_GB2312" w:eastAsia="仿宋_GB2312" w:cs="仿宋_GB2312"/>
          <w:color w:val="auto"/>
          <w:kern w:val="0"/>
          <w:sz w:val="24"/>
          <w:szCs w:val="24"/>
          <w:highlight w:val="none"/>
          <w:lang w:val="zh-CN"/>
        </w:rPr>
        <w:t>，本投标文件签字方，谨此向你方发出要约如下：如你方接受本投标，我方承诺按照如下开标一览表（报价表）的价格完成</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新碶综合文化活动中心音视频系统采购</w:t>
      </w:r>
      <w:r>
        <w:rPr>
          <w:rFonts w:hint="eastAsia" w:ascii="仿宋_GB2312" w:hAnsi="仿宋_GB2312" w:eastAsia="仿宋_GB2312" w:cs="仿宋_GB2312"/>
          <w:color w:val="auto"/>
          <w:sz w:val="24"/>
          <w:szCs w:val="24"/>
          <w:highlight w:val="none"/>
          <w:u w:val="single"/>
        </w:rPr>
        <w:t xml:space="preserve">项目 </w:t>
      </w:r>
      <w:r>
        <w:rPr>
          <w:rFonts w:hint="eastAsia" w:ascii="仿宋_GB2312" w:hAnsi="仿宋_GB2312" w:eastAsia="仿宋_GB2312" w:cs="仿宋_GB2312"/>
          <w:color w:val="auto"/>
          <w:sz w:val="24"/>
          <w:szCs w:val="24"/>
          <w:highlight w:val="none"/>
        </w:rPr>
        <w:t>（项目名称）【项目编号：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CTZB-2026030392</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】的实施</w:t>
      </w:r>
      <w:r>
        <w:rPr>
          <w:rFonts w:hint="eastAsia" w:ascii="仿宋_GB2312" w:hAnsi="仿宋_GB2312" w:eastAsia="仿宋_GB2312" w:cs="仿宋_GB2312"/>
          <w:color w:val="auto"/>
          <w:kern w:val="0"/>
          <w:sz w:val="24"/>
          <w:szCs w:val="24"/>
          <w:highlight w:val="none"/>
          <w:lang w:val="zh-CN"/>
        </w:rPr>
        <w:t>。</w:t>
      </w:r>
    </w:p>
    <w:p w14:paraId="7655DC9B">
      <w:pPr>
        <w:keepNext w:val="0"/>
        <w:keepLines w:val="0"/>
        <w:pageBreakBefore w:val="0"/>
        <w:kinsoku/>
        <w:wordWrap/>
        <w:overflowPunct/>
        <w:topLinePunct w:val="0"/>
        <w:bidi w:val="0"/>
        <w:adjustRightInd/>
        <w:spacing w:line="440" w:lineRule="exact"/>
        <w:jc w:val="center"/>
        <w:textAlignment w:val="auto"/>
        <w:rPr>
          <w:rFonts w:ascii="仿宋_GB2312" w:hAnsi="仿宋_GB2312" w:eastAsia="仿宋_GB2312" w:cs="仿宋_GB2312"/>
          <w:b/>
          <w:color w:val="auto"/>
          <w:kern w:val="0"/>
          <w:sz w:val="24"/>
          <w:szCs w:val="24"/>
          <w:highlight w:val="none"/>
          <w:lang w:val="zh-CN"/>
        </w:rPr>
      </w:pPr>
      <w:r>
        <w:rPr>
          <w:rFonts w:hint="eastAsia" w:ascii="仿宋_GB2312" w:hAnsi="仿宋_GB2312" w:eastAsia="仿宋_GB2312" w:cs="仿宋_GB2312"/>
          <w:b/>
          <w:color w:val="auto"/>
          <w:kern w:val="0"/>
          <w:sz w:val="24"/>
          <w:szCs w:val="24"/>
          <w:highlight w:val="none"/>
          <w:lang w:val="zh-CN"/>
        </w:rPr>
        <w:t>开标一览表（报价表）（</w:t>
      </w:r>
      <w:r>
        <w:rPr>
          <w:rFonts w:hint="eastAsia" w:ascii="仿宋_GB2312" w:hAnsi="仿宋_GB2312" w:eastAsia="仿宋_GB2312" w:cs="仿宋_GB2312"/>
          <w:b/>
          <w:color w:val="auto"/>
          <w:kern w:val="0"/>
          <w:sz w:val="24"/>
          <w:szCs w:val="24"/>
          <w:highlight w:val="none"/>
        </w:rPr>
        <w:t>金额</w:t>
      </w:r>
      <w:r>
        <w:rPr>
          <w:rFonts w:hint="eastAsia" w:ascii="仿宋_GB2312" w:hAnsi="仿宋_GB2312" w:eastAsia="仿宋_GB2312" w:cs="仿宋_GB2312"/>
          <w:b/>
          <w:color w:val="auto"/>
          <w:kern w:val="0"/>
          <w:sz w:val="24"/>
          <w:szCs w:val="24"/>
          <w:highlight w:val="none"/>
          <w:lang w:val="zh-CN"/>
        </w:rPr>
        <w:t>单位均为人民币元）</w:t>
      </w:r>
    </w:p>
    <w:tbl>
      <w:tblPr>
        <w:tblStyle w:val="14"/>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48"/>
        <w:gridCol w:w="1560"/>
        <w:gridCol w:w="1388"/>
        <w:gridCol w:w="1023"/>
        <w:gridCol w:w="900"/>
        <w:gridCol w:w="1050"/>
        <w:gridCol w:w="1550"/>
      </w:tblGrid>
      <w:tr w14:paraId="4DD1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677796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序号</w:t>
            </w:r>
          </w:p>
        </w:tc>
        <w:tc>
          <w:tcPr>
            <w:tcW w:w="1248" w:type="dxa"/>
            <w:vAlign w:val="center"/>
          </w:tcPr>
          <w:p w14:paraId="382F33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名称</w:t>
            </w:r>
          </w:p>
        </w:tc>
        <w:tc>
          <w:tcPr>
            <w:tcW w:w="1560" w:type="dxa"/>
            <w:vAlign w:val="center"/>
          </w:tcPr>
          <w:p w14:paraId="41FA13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品牌（如果有）</w:t>
            </w:r>
          </w:p>
        </w:tc>
        <w:tc>
          <w:tcPr>
            <w:tcW w:w="1388" w:type="dxa"/>
            <w:vAlign w:val="center"/>
          </w:tcPr>
          <w:p w14:paraId="04C35C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规格型号</w:t>
            </w:r>
          </w:p>
        </w:tc>
        <w:tc>
          <w:tcPr>
            <w:tcW w:w="1023" w:type="dxa"/>
            <w:vAlign w:val="center"/>
          </w:tcPr>
          <w:p w14:paraId="04E038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数量</w:t>
            </w:r>
          </w:p>
        </w:tc>
        <w:tc>
          <w:tcPr>
            <w:tcW w:w="900" w:type="dxa"/>
            <w:vAlign w:val="center"/>
          </w:tcPr>
          <w:p w14:paraId="78CECB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单价</w:t>
            </w:r>
          </w:p>
        </w:tc>
        <w:tc>
          <w:tcPr>
            <w:tcW w:w="1050" w:type="dxa"/>
            <w:vAlign w:val="center"/>
          </w:tcPr>
          <w:p w14:paraId="720D3D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合计</w:t>
            </w:r>
          </w:p>
        </w:tc>
        <w:tc>
          <w:tcPr>
            <w:tcW w:w="1550" w:type="dxa"/>
            <w:vAlign w:val="center"/>
          </w:tcPr>
          <w:p w14:paraId="599DC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备注（如果有）</w:t>
            </w:r>
          </w:p>
        </w:tc>
      </w:tr>
      <w:tr w14:paraId="7090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6137F0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1</w:t>
            </w:r>
          </w:p>
        </w:tc>
        <w:tc>
          <w:tcPr>
            <w:tcW w:w="1248" w:type="dxa"/>
            <w:vAlign w:val="center"/>
          </w:tcPr>
          <w:p w14:paraId="4F6F6C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60" w:type="dxa"/>
            <w:vAlign w:val="center"/>
          </w:tcPr>
          <w:p w14:paraId="41EC56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388" w:type="dxa"/>
            <w:vAlign w:val="center"/>
          </w:tcPr>
          <w:p w14:paraId="1F33E0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23" w:type="dxa"/>
            <w:vAlign w:val="center"/>
          </w:tcPr>
          <w:p w14:paraId="55AF2F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900" w:type="dxa"/>
            <w:vAlign w:val="center"/>
          </w:tcPr>
          <w:p w14:paraId="739874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50" w:type="dxa"/>
            <w:vAlign w:val="center"/>
          </w:tcPr>
          <w:p w14:paraId="74C551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50" w:type="dxa"/>
            <w:vAlign w:val="center"/>
          </w:tcPr>
          <w:p w14:paraId="688001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78BE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3D78C5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2</w:t>
            </w:r>
          </w:p>
        </w:tc>
        <w:tc>
          <w:tcPr>
            <w:tcW w:w="1248" w:type="dxa"/>
            <w:vAlign w:val="center"/>
          </w:tcPr>
          <w:p w14:paraId="669DF0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60" w:type="dxa"/>
            <w:vAlign w:val="center"/>
          </w:tcPr>
          <w:p w14:paraId="6C47B9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388" w:type="dxa"/>
            <w:vAlign w:val="center"/>
          </w:tcPr>
          <w:p w14:paraId="2DF9D1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23" w:type="dxa"/>
            <w:vAlign w:val="center"/>
          </w:tcPr>
          <w:p w14:paraId="759BC9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900" w:type="dxa"/>
            <w:vAlign w:val="center"/>
          </w:tcPr>
          <w:p w14:paraId="43FBBE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50" w:type="dxa"/>
            <w:vAlign w:val="center"/>
          </w:tcPr>
          <w:p w14:paraId="51E611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50" w:type="dxa"/>
            <w:vAlign w:val="center"/>
          </w:tcPr>
          <w:p w14:paraId="143C06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0223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3881A8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w:t>
            </w:r>
          </w:p>
        </w:tc>
        <w:tc>
          <w:tcPr>
            <w:tcW w:w="1248" w:type="dxa"/>
            <w:vAlign w:val="center"/>
          </w:tcPr>
          <w:p w14:paraId="79AE45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w:t>
            </w:r>
          </w:p>
        </w:tc>
        <w:tc>
          <w:tcPr>
            <w:tcW w:w="1560" w:type="dxa"/>
            <w:vAlign w:val="center"/>
          </w:tcPr>
          <w:p w14:paraId="0DB1DE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388" w:type="dxa"/>
            <w:vAlign w:val="center"/>
          </w:tcPr>
          <w:p w14:paraId="57257B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23" w:type="dxa"/>
            <w:vAlign w:val="center"/>
          </w:tcPr>
          <w:p w14:paraId="70DDA1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900" w:type="dxa"/>
            <w:vAlign w:val="center"/>
          </w:tcPr>
          <w:p w14:paraId="43CA55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50" w:type="dxa"/>
            <w:vAlign w:val="center"/>
          </w:tcPr>
          <w:p w14:paraId="489549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50" w:type="dxa"/>
            <w:vAlign w:val="center"/>
          </w:tcPr>
          <w:p w14:paraId="256A7D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698B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11D324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248" w:type="dxa"/>
            <w:vAlign w:val="center"/>
          </w:tcPr>
          <w:p w14:paraId="6530BC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60" w:type="dxa"/>
            <w:vAlign w:val="center"/>
          </w:tcPr>
          <w:p w14:paraId="6D86D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388" w:type="dxa"/>
            <w:vAlign w:val="center"/>
          </w:tcPr>
          <w:p w14:paraId="7CBA5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23" w:type="dxa"/>
            <w:vAlign w:val="center"/>
          </w:tcPr>
          <w:p w14:paraId="356433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900" w:type="dxa"/>
            <w:vAlign w:val="center"/>
          </w:tcPr>
          <w:p w14:paraId="35C40E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50" w:type="dxa"/>
            <w:vAlign w:val="center"/>
          </w:tcPr>
          <w:p w14:paraId="1743F2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50" w:type="dxa"/>
            <w:vAlign w:val="center"/>
          </w:tcPr>
          <w:p w14:paraId="379FBA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51FD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0BB02F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248" w:type="dxa"/>
            <w:vAlign w:val="center"/>
          </w:tcPr>
          <w:p w14:paraId="6704EA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60" w:type="dxa"/>
            <w:vAlign w:val="center"/>
          </w:tcPr>
          <w:p w14:paraId="6EE748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388" w:type="dxa"/>
            <w:vAlign w:val="center"/>
          </w:tcPr>
          <w:p w14:paraId="22524A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23" w:type="dxa"/>
            <w:vAlign w:val="center"/>
          </w:tcPr>
          <w:p w14:paraId="55A2C7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900" w:type="dxa"/>
            <w:vAlign w:val="center"/>
          </w:tcPr>
          <w:p w14:paraId="203E8E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050" w:type="dxa"/>
            <w:vAlign w:val="center"/>
          </w:tcPr>
          <w:p w14:paraId="259E6D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c>
          <w:tcPr>
            <w:tcW w:w="1550" w:type="dxa"/>
            <w:vAlign w:val="center"/>
          </w:tcPr>
          <w:p w14:paraId="23A1F8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502B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7" w:type="dxa"/>
            <w:gridSpan w:val="4"/>
            <w:vAlign w:val="center"/>
          </w:tcPr>
          <w:p w14:paraId="624DB5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投标报价（小写）</w:t>
            </w:r>
          </w:p>
        </w:tc>
        <w:tc>
          <w:tcPr>
            <w:tcW w:w="4523" w:type="dxa"/>
            <w:gridSpan w:val="4"/>
            <w:vAlign w:val="center"/>
          </w:tcPr>
          <w:p w14:paraId="7F3635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1098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7" w:type="dxa"/>
            <w:gridSpan w:val="4"/>
            <w:vAlign w:val="center"/>
          </w:tcPr>
          <w:p w14:paraId="0A19D0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rPr>
            </w:pPr>
            <w:r>
              <w:rPr>
                <w:rFonts w:hint="eastAsia" w:ascii="仿宋_GB2312" w:hAnsi="仿宋_GB2312" w:eastAsia="仿宋_GB2312" w:cs="仿宋_GB2312"/>
                <w:b/>
                <w:color w:val="auto"/>
                <w:spacing w:val="0"/>
                <w:sz w:val="21"/>
                <w:szCs w:val="21"/>
                <w:highlight w:val="none"/>
              </w:rPr>
              <w:t>投标报价（大写）</w:t>
            </w:r>
          </w:p>
        </w:tc>
        <w:tc>
          <w:tcPr>
            <w:tcW w:w="4523" w:type="dxa"/>
            <w:gridSpan w:val="4"/>
            <w:vAlign w:val="center"/>
          </w:tcPr>
          <w:p w14:paraId="0AC3EB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5959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7" w:type="dxa"/>
            <w:gridSpan w:val="4"/>
            <w:vAlign w:val="center"/>
          </w:tcPr>
          <w:p w14:paraId="183B6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lang w:val="en-US" w:eastAsia="zh-CN"/>
              </w:rPr>
            </w:pPr>
            <w:r>
              <w:rPr>
                <w:rFonts w:hint="eastAsia" w:ascii="仿宋_GB2312" w:hAnsi="仿宋_GB2312" w:eastAsia="仿宋_GB2312" w:cs="仿宋_GB2312"/>
                <w:b/>
                <w:color w:val="auto"/>
                <w:spacing w:val="0"/>
                <w:sz w:val="21"/>
                <w:szCs w:val="21"/>
                <w:highlight w:val="none"/>
                <w:lang w:val="en-US" w:eastAsia="zh-CN"/>
              </w:rPr>
              <w:t>交货期</w:t>
            </w:r>
          </w:p>
        </w:tc>
        <w:tc>
          <w:tcPr>
            <w:tcW w:w="4523" w:type="dxa"/>
            <w:gridSpan w:val="4"/>
            <w:vAlign w:val="center"/>
          </w:tcPr>
          <w:p w14:paraId="57264B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5BD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7" w:type="dxa"/>
            <w:gridSpan w:val="4"/>
            <w:vAlign w:val="center"/>
          </w:tcPr>
          <w:p w14:paraId="567662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color w:val="auto"/>
                <w:spacing w:val="0"/>
                <w:sz w:val="21"/>
                <w:szCs w:val="21"/>
                <w:highlight w:val="none"/>
                <w:lang w:val="en-US" w:eastAsia="zh-CN"/>
              </w:rPr>
            </w:pPr>
            <w:r>
              <w:rPr>
                <w:rFonts w:hint="eastAsia" w:ascii="仿宋_GB2312" w:hAnsi="仿宋_GB2312" w:eastAsia="仿宋_GB2312" w:cs="仿宋_GB2312"/>
                <w:b/>
                <w:color w:val="auto"/>
                <w:spacing w:val="0"/>
                <w:sz w:val="21"/>
                <w:szCs w:val="21"/>
                <w:highlight w:val="none"/>
                <w:lang w:val="en-US" w:eastAsia="zh-CN"/>
              </w:rPr>
              <w:t>质保期</w:t>
            </w:r>
          </w:p>
        </w:tc>
        <w:tc>
          <w:tcPr>
            <w:tcW w:w="4523" w:type="dxa"/>
            <w:gridSpan w:val="4"/>
            <w:vAlign w:val="center"/>
          </w:tcPr>
          <w:p w14:paraId="73DD85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5F5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7" w:type="dxa"/>
            <w:gridSpan w:val="4"/>
            <w:vAlign w:val="center"/>
          </w:tcPr>
          <w:p w14:paraId="3B0074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color w:val="auto"/>
                <w:spacing w:val="0"/>
                <w:sz w:val="21"/>
                <w:szCs w:val="21"/>
                <w:highlight w:val="none"/>
                <w:lang w:val="en-US" w:eastAsia="zh-CN"/>
              </w:rPr>
            </w:pPr>
            <w:r>
              <w:rPr>
                <w:rFonts w:hint="eastAsia" w:ascii="仿宋_GB2312" w:hAnsi="仿宋_GB2312" w:eastAsia="仿宋_GB2312" w:cs="仿宋_GB2312"/>
                <w:b/>
                <w:color w:val="auto"/>
                <w:spacing w:val="0"/>
                <w:sz w:val="21"/>
                <w:szCs w:val="21"/>
                <w:highlight w:val="none"/>
                <w:lang w:val="en-US" w:eastAsia="zh-CN"/>
              </w:rPr>
              <w:t>项目负责人</w:t>
            </w:r>
          </w:p>
        </w:tc>
        <w:tc>
          <w:tcPr>
            <w:tcW w:w="4523" w:type="dxa"/>
            <w:gridSpan w:val="4"/>
            <w:vAlign w:val="center"/>
          </w:tcPr>
          <w:p w14:paraId="7524F4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r w14:paraId="356D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7" w:type="dxa"/>
            <w:gridSpan w:val="4"/>
            <w:vAlign w:val="center"/>
          </w:tcPr>
          <w:p w14:paraId="6DD27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pacing w:val="0"/>
                <w:sz w:val="21"/>
                <w:szCs w:val="21"/>
                <w:highlight w:val="none"/>
                <w:lang w:val="en-US" w:eastAsia="zh-CN"/>
              </w:rPr>
            </w:pPr>
            <w:r>
              <w:rPr>
                <w:rFonts w:hint="eastAsia" w:ascii="仿宋_GB2312" w:hAnsi="仿宋_GB2312" w:eastAsia="仿宋_GB2312" w:cs="仿宋_GB2312"/>
                <w:b/>
                <w:color w:val="auto"/>
                <w:spacing w:val="0"/>
                <w:sz w:val="21"/>
                <w:szCs w:val="21"/>
                <w:highlight w:val="none"/>
                <w:lang w:val="en-US" w:eastAsia="zh-CN"/>
              </w:rPr>
              <w:t>投标声明（如有）</w:t>
            </w:r>
          </w:p>
        </w:tc>
        <w:tc>
          <w:tcPr>
            <w:tcW w:w="4523" w:type="dxa"/>
            <w:gridSpan w:val="4"/>
            <w:vAlign w:val="center"/>
          </w:tcPr>
          <w:p w14:paraId="0B1BDC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1"/>
                <w:szCs w:val="21"/>
                <w:highlight w:val="none"/>
              </w:rPr>
            </w:pPr>
          </w:p>
        </w:tc>
      </w:tr>
    </w:tbl>
    <w:p w14:paraId="0E039AAE">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投标人名称（电子签名）：</w:t>
      </w:r>
    </w:p>
    <w:p w14:paraId="4DC8CDD0">
      <w:pPr>
        <w:adjustRightInd/>
        <w:spacing w:line="440" w:lineRule="exact"/>
        <w:ind w:firstLine="4800" w:firstLineChars="2000"/>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日期：  年  月   日</w:t>
      </w:r>
    </w:p>
    <w:p w14:paraId="6A75A0D7">
      <w:pPr>
        <w:adjustRightInd/>
        <w:spacing w:line="440" w:lineRule="exact"/>
        <w:jc w:val="center"/>
        <w:rPr>
          <w:rFonts w:hint="eastAsia" w:ascii="宋体" w:hAnsi="宋体" w:cs="仿宋"/>
          <w:b/>
          <w:color w:val="auto"/>
          <w:sz w:val="24"/>
          <w:highlight w:val="none"/>
          <w:lang w:val="zh-CN"/>
        </w:rPr>
      </w:pPr>
    </w:p>
    <w:p w14:paraId="42FBAEC7">
      <w:pPr>
        <w:keepNext w:val="0"/>
        <w:keepLines w:val="0"/>
        <w:pageBreakBefore w:val="0"/>
        <w:widowControl w:val="0"/>
        <w:kinsoku/>
        <w:wordWrap/>
        <w:overflowPunct/>
        <w:topLinePunct w:val="0"/>
        <w:autoSpaceDE/>
        <w:autoSpaceDN/>
        <w:bidi w:val="0"/>
        <w:adjustRightInd w:val="0"/>
        <w:snapToGrid/>
        <w:spacing w:line="440" w:lineRule="exact"/>
        <w:ind w:left="0" w:leftChars="0" w:firstLine="422" w:firstLineChars="200"/>
        <w:textAlignment w:val="auto"/>
        <w:rPr>
          <w:rFonts w:ascii="仿宋_GB2312" w:hAnsi="仿宋_GB2312" w:eastAsia="仿宋_GB2312" w:cs="仿宋_GB2312"/>
          <w:b/>
          <w:color w:val="auto"/>
          <w:kern w:val="0"/>
          <w:sz w:val="21"/>
          <w:szCs w:val="21"/>
          <w:highlight w:val="none"/>
          <w:lang w:val="zh-CN"/>
        </w:rPr>
      </w:pPr>
      <w:r>
        <w:rPr>
          <w:rFonts w:hint="eastAsia" w:ascii="仿宋_GB2312" w:hAnsi="仿宋_GB2312" w:eastAsia="仿宋_GB2312" w:cs="仿宋_GB2312"/>
          <w:b/>
          <w:color w:val="auto"/>
          <w:kern w:val="0"/>
          <w:sz w:val="21"/>
          <w:szCs w:val="21"/>
          <w:highlight w:val="none"/>
          <w:lang w:val="zh-CN"/>
        </w:rPr>
        <w:t>注：</w:t>
      </w:r>
    </w:p>
    <w:p w14:paraId="5C408E6D">
      <w:pPr>
        <w:keepNext w:val="0"/>
        <w:keepLines w:val="0"/>
        <w:pageBreakBefore w:val="0"/>
        <w:widowControl w:val="0"/>
        <w:kinsoku/>
        <w:wordWrap/>
        <w:overflowPunct/>
        <w:topLinePunct w:val="0"/>
        <w:autoSpaceDE/>
        <w:autoSpaceDN/>
        <w:bidi w:val="0"/>
        <w:adjustRightInd w:val="0"/>
        <w:snapToGrid/>
        <w:spacing w:line="440" w:lineRule="exact"/>
        <w:ind w:left="0" w:leftChars="0" w:firstLine="420" w:firstLineChars="200"/>
        <w:textAlignment w:val="auto"/>
        <w:rPr>
          <w:rFonts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1、投标人需按本表格式填写，</w:t>
      </w:r>
      <w:r>
        <w:rPr>
          <w:rFonts w:hint="eastAsia" w:ascii="仿宋_GB2312" w:hAnsi="仿宋_GB2312" w:eastAsia="仿宋_GB2312" w:cs="仿宋_GB2312"/>
          <w:b/>
          <w:bCs/>
          <w:color w:val="auto"/>
          <w:kern w:val="0"/>
          <w:sz w:val="21"/>
          <w:szCs w:val="21"/>
          <w:highlight w:val="none"/>
          <w:lang w:val="zh-CN"/>
        </w:rPr>
        <w:t>否则视为投标文件含有采购人不能接受的附加条件，投标无效</w:t>
      </w:r>
      <w:r>
        <w:rPr>
          <w:rFonts w:hint="eastAsia" w:ascii="仿宋_GB2312" w:hAnsi="仿宋_GB2312" w:eastAsia="仿宋_GB2312" w:cs="仿宋_GB2312"/>
          <w:color w:val="auto"/>
          <w:kern w:val="0"/>
          <w:sz w:val="21"/>
          <w:szCs w:val="21"/>
          <w:highlight w:val="none"/>
          <w:lang w:val="zh-CN"/>
        </w:rPr>
        <w:t>。</w:t>
      </w:r>
    </w:p>
    <w:p w14:paraId="48B37EFA">
      <w:pPr>
        <w:keepNext w:val="0"/>
        <w:keepLines w:val="0"/>
        <w:pageBreakBefore w:val="0"/>
        <w:widowControl w:val="0"/>
        <w:kinsoku/>
        <w:wordWrap/>
        <w:overflowPunct/>
        <w:topLinePunct w:val="0"/>
        <w:autoSpaceDE/>
        <w:autoSpaceDN/>
        <w:bidi w:val="0"/>
        <w:adjustRightInd w:val="0"/>
        <w:snapToGrid/>
        <w:spacing w:line="440" w:lineRule="exact"/>
        <w:ind w:left="0" w:leftChars="0" w:firstLine="420" w:firstLineChars="200"/>
        <w:textAlignment w:val="auto"/>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仿宋_GB2312" w:hAnsi="仿宋_GB2312" w:eastAsia="仿宋_GB2312" w:cs="仿宋_GB2312"/>
          <w:b/>
          <w:bCs/>
          <w:color w:val="auto"/>
          <w:kern w:val="0"/>
          <w:sz w:val="21"/>
          <w:szCs w:val="21"/>
          <w:highlight w:val="none"/>
          <w:lang w:val="zh-CN"/>
        </w:rPr>
        <w:t>采购内容未包含在《开标一览表（报价表）》名称栏中，投标人不能作出合理解释的，视为投标文件含有采购人不能接受的附加条件的，投标无效</w:t>
      </w:r>
      <w:r>
        <w:rPr>
          <w:rFonts w:hint="eastAsia" w:ascii="仿宋_GB2312" w:hAnsi="仿宋_GB2312" w:eastAsia="仿宋_GB2312" w:cs="仿宋_GB2312"/>
          <w:b/>
          <w:bCs/>
          <w:color w:val="auto"/>
          <w:sz w:val="21"/>
          <w:szCs w:val="21"/>
          <w:highlight w:val="none"/>
        </w:rPr>
        <w:t>。</w:t>
      </w:r>
    </w:p>
    <w:p w14:paraId="13F99D8C">
      <w:pPr>
        <w:keepNext w:val="0"/>
        <w:keepLines w:val="0"/>
        <w:pageBreakBefore w:val="0"/>
        <w:kinsoku/>
        <w:wordWrap/>
        <w:overflowPunct/>
        <w:topLinePunct w:val="0"/>
        <w:bidi w:val="0"/>
        <w:spacing w:line="440" w:lineRule="exact"/>
        <w:ind w:firstLine="420" w:firstLineChars="200"/>
        <w:jc w:val="left"/>
        <w:textAlignment w:val="auto"/>
        <w:rPr>
          <w:rFonts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rPr>
        <w:t>3</w:t>
      </w:r>
      <w:r>
        <w:rPr>
          <w:rFonts w:hint="eastAsia" w:ascii="仿宋_GB2312" w:hAnsi="仿宋_GB2312" w:eastAsia="仿宋_GB2312" w:cs="仿宋_GB2312"/>
          <w:color w:val="auto"/>
          <w:kern w:val="0"/>
          <w:sz w:val="21"/>
          <w:szCs w:val="21"/>
          <w:highlight w:val="none"/>
          <w:lang w:val="zh-CN"/>
        </w:rPr>
        <w:t>、特别提示：采购代理机构将对项目名称和项目编号，中标供应商名称、地址和中标金额，主要中标标的名称、品牌（如果有）、规格型号、数量、单价等予以公示。</w:t>
      </w:r>
    </w:p>
    <w:p w14:paraId="064B5F8B">
      <w:pPr>
        <w:rPr>
          <w:color w:val="auto"/>
          <w:highlight w:val="none"/>
          <w:lang w:val="zh-CN"/>
        </w:rPr>
      </w:pPr>
      <w:r>
        <w:rPr>
          <w:color w:val="auto"/>
          <w:highlight w:val="none"/>
          <w:lang w:val="zh-CN"/>
        </w:rPr>
        <w:br w:type="page"/>
      </w:r>
    </w:p>
    <w:p w14:paraId="5BCF9CE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二、中小企业声明函</w:t>
      </w:r>
    </w:p>
    <w:p w14:paraId="55B2A5F3">
      <w:pPr>
        <w:adjustRightInd/>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w:t>
      </w:r>
    </w:p>
    <w:p w14:paraId="3F154D68">
      <w:pPr>
        <w:adjustRightInd/>
        <w:spacing w:line="440" w:lineRule="exact"/>
        <w:jc w:val="center"/>
        <w:rPr>
          <w:rFonts w:ascii="仿宋_GB2312" w:hAnsi="仿宋_GB2312" w:eastAsia="仿宋_GB2312" w:cs="仿宋_GB2312"/>
          <w:b/>
          <w:color w:val="auto"/>
          <w:sz w:val="32"/>
          <w:szCs w:val="32"/>
          <w:highlight w:val="none"/>
        </w:rPr>
      </w:pPr>
    </w:p>
    <w:p w14:paraId="4565F685">
      <w:pPr>
        <w:adjustRightInd/>
        <w:spacing w:line="440" w:lineRule="exact"/>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中小企业声明函（</w:t>
      </w:r>
      <w:r>
        <w:rPr>
          <w:rFonts w:hint="eastAsia" w:ascii="仿宋_GB2312" w:hAnsi="仿宋_GB2312" w:eastAsia="仿宋_GB2312" w:cs="仿宋_GB2312"/>
          <w:b/>
          <w:color w:val="auto"/>
          <w:sz w:val="32"/>
          <w:szCs w:val="32"/>
          <w:highlight w:val="none"/>
          <w:lang w:val="en-US" w:eastAsia="zh-CN"/>
        </w:rPr>
        <w:t>货物</w:t>
      </w:r>
      <w:r>
        <w:rPr>
          <w:rFonts w:hint="eastAsia" w:ascii="仿宋_GB2312" w:hAnsi="仿宋_GB2312" w:eastAsia="仿宋_GB2312" w:cs="仿宋_GB2312"/>
          <w:b/>
          <w:color w:val="auto"/>
          <w:sz w:val="32"/>
          <w:szCs w:val="32"/>
          <w:highlight w:val="none"/>
        </w:rPr>
        <w:t>）</w:t>
      </w:r>
    </w:p>
    <w:p w14:paraId="356A28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本公司（联合体）郑重声明，根据《政府采购促进中小企业发展管理办法》（财库〔20</w:t>
      </w:r>
      <w:r>
        <w:rPr>
          <w:rFonts w:hint="eastAsia" w:ascii="仿宋_GB2312" w:hAnsi="仿宋_GB2312" w:eastAsia="仿宋_GB2312" w:cs="仿宋_GB2312"/>
          <w:color w:val="auto"/>
          <w:spacing w:val="0"/>
          <w:sz w:val="24"/>
          <w:szCs w:val="24"/>
          <w:highlight w:val="none"/>
          <w:lang w:val="en-US" w:eastAsia="zh-CN"/>
        </w:rPr>
        <w:t>20</w:t>
      </w:r>
      <w:r>
        <w:rPr>
          <w:rFonts w:hint="eastAsia" w:ascii="仿宋_GB2312" w:hAnsi="仿宋_GB2312" w:eastAsia="仿宋_GB2312" w:cs="仿宋_GB2312"/>
          <w:color w:val="auto"/>
          <w:spacing w:val="0"/>
          <w:sz w:val="24"/>
          <w:szCs w:val="24"/>
          <w:highlight w:val="none"/>
        </w:rPr>
        <w:t>〕46号）的规定，本公司（联合体）参加</w:t>
      </w:r>
      <w:r>
        <w:rPr>
          <w:rFonts w:hint="eastAsia" w:ascii="仿宋_GB2312" w:hAnsi="仿宋_GB2312" w:eastAsia="仿宋_GB2312" w:cs="仿宋_GB2312"/>
          <w:color w:val="auto"/>
          <w:spacing w:val="0"/>
          <w:sz w:val="24"/>
          <w:szCs w:val="24"/>
          <w:highlight w:val="none"/>
          <w:u w:val="single"/>
        </w:rPr>
        <w:t xml:space="preserve">   （采购人）</w:t>
      </w:r>
      <w:r>
        <w:rPr>
          <w:rFonts w:hint="eastAsia" w:ascii="仿宋_GB2312" w:hAnsi="仿宋_GB2312" w:eastAsia="仿宋_GB2312" w:cs="仿宋_GB2312"/>
          <w:color w:val="auto"/>
          <w:spacing w:val="0"/>
          <w:sz w:val="24"/>
          <w:szCs w:val="24"/>
          <w:highlight w:val="none"/>
        </w:rPr>
        <w:t>的</w:t>
      </w:r>
      <w:r>
        <w:rPr>
          <w:rFonts w:hint="eastAsia" w:ascii="仿宋_GB2312" w:hAnsi="仿宋_GB2312" w:eastAsia="仿宋_GB2312" w:cs="仿宋_GB2312"/>
          <w:color w:val="auto"/>
          <w:spacing w:val="0"/>
          <w:sz w:val="24"/>
          <w:szCs w:val="24"/>
          <w:highlight w:val="none"/>
          <w:u w:val="single"/>
        </w:rPr>
        <w:t xml:space="preserve">   （项目名称）</w:t>
      </w:r>
      <w:r>
        <w:rPr>
          <w:rFonts w:hint="eastAsia" w:ascii="仿宋_GB2312" w:hAnsi="仿宋_GB2312" w:eastAsia="仿宋_GB2312" w:cs="仿宋_GB2312"/>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0D5952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r>
        <w:rPr>
          <w:rFonts w:hint="eastAsia" w:ascii="仿宋_GB2312" w:hAnsi="仿宋_GB2312" w:eastAsia="仿宋_GB2312" w:cs="仿宋_GB2312"/>
          <w:color w:val="auto"/>
          <w:spacing w:val="0"/>
          <w:sz w:val="24"/>
          <w:szCs w:val="24"/>
          <w:highlight w:val="none"/>
          <w:u w:val="single"/>
        </w:rPr>
        <w:t xml:space="preserve">   （标的名称）</w:t>
      </w:r>
      <w:r>
        <w:rPr>
          <w:rFonts w:hint="eastAsia" w:ascii="仿宋_GB2312" w:hAnsi="仿宋_GB2312" w:eastAsia="仿宋_GB2312" w:cs="仿宋_GB2312"/>
          <w:color w:val="auto"/>
          <w:spacing w:val="0"/>
          <w:sz w:val="24"/>
          <w:szCs w:val="24"/>
          <w:highlight w:val="none"/>
        </w:rPr>
        <w:t>，属于</w:t>
      </w:r>
      <w:r>
        <w:rPr>
          <w:rFonts w:hint="eastAsia" w:ascii="仿宋_GB2312" w:hAnsi="仿宋_GB2312" w:eastAsia="仿宋_GB2312" w:cs="仿宋_GB2312"/>
          <w:color w:val="auto"/>
          <w:spacing w:val="0"/>
          <w:sz w:val="24"/>
          <w:szCs w:val="24"/>
          <w:highlight w:val="none"/>
          <w:u w:val="single"/>
        </w:rPr>
        <w:t xml:space="preserve">    （采购文件中明确的所属行业）</w:t>
      </w:r>
      <w:r>
        <w:rPr>
          <w:rFonts w:hint="eastAsia" w:ascii="仿宋_GB2312" w:hAnsi="仿宋_GB2312" w:eastAsia="仿宋_GB2312" w:cs="仿宋_GB2312"/>
          <w:color w:val="auto"/>
          <w:spacing w:val="0"/>
          <w:sz w:val="24"/>
          <w:szCs w:val="24"/>
          <w:highlight w:val="none"/>
        </w:rPr>
        <w:t>行业；制造商为</w:t>
      </w:r>
      <w:r>
        <w:rPr>
          <w:rFonts w:hint="eastAsia" w:ascii="仿宋_GB2312" w:hAnsi="仿宋_GB2312" w:eastAsia="仿宋_GB2312" w:cs="仿宋_GB2312"/>
          <w:color w:val="auto"/>
          <w:spacing w:val="0"/>
          <w:sz w:val="24"/>
          <w:szCs w:val="24"/>
          <w:highlight w:val="none"/>
          <w:u w:val="single"/>
        </w:rPr>
        <w:t xml:space="preserve">    （企业名称）</w:t>
      </w:r>
      <w:r>
        <w:rPr>
          <w:rFonts w:hint="eastAsia" w:ascii="仿宋_GB2312" w:hAnsi="仿宋_GB2312" w:eastAsia="仿宋_GB2312" w:cs="仿宋_GB2312"/>
          <w:color w:val="auto"/>
          <w:spacing w:val="0"/>
          <w:sz w:val="24"/>
          <w:szCs w:val="24"/>
          <w:highlight w:val="none"/>
        </w:rPr>
        <w:t>，从业人员</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人，营业收入为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万元，资产总额为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万元，属于</w:t>
      </w:r>
      <w:r>
        <w:rPr>
          <w:rFonts w:hint="eastAsia" w:ascii="仿宋_GB2312" w:hAnsi="仿宋_GB2312" w:eastAsia="仿宋_GB2312" w:cs="仿宋_GB2312"/>
          <w:color w:val="auto"/>
          <w:spacing w:val="0"/>
          <w:sz w:val="24"/>
          <w:szCs w:val="24"/>
          <w:highlight w:val="none"/>
          <w:u w:val="single"/>
        </w:rPr>
        <w:t xml:space="preserve"> （中型企业、小型企业、微型企业）</w:t>
      </w:r>
      <w:r>
        <w:rPr>
          <w:rFonts w:hint="eastAsia" w:ascii="仿宋_GB2312" w:hAnsi="仿宋_GB2312" w:eastAsia="仿宋_GB2312" w:cs="仿宋_GB2312"/>
          <w:color w:val="auto"/>
          <w:spacing w:val="0"/>
          <w:sz w:val="24"/>
          <w:szCs w:val="24"/>
          <w:highlight w:val="none"/>
        </w:rPr>
        <w:t>；</w:t>
      </w:r>
    </w:p>
    <w:p w14:paraId="5FA20A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r>
        <w:rPr>
          <w:rFonts w:hint="eastAsia" w:ascii="仿宋_GB2312" w:hAnsi="仿宋_GB2312" w:eastAsia="仿宋_GB2312" w:cs="仿宋_GB2312"/>
          <w:color w:val="auto"/>
          <w:spacing w:val="0"/>
          <w:sz w:val="24"/>
          <w:szCs w:val="24"/>
          <w:highlight w:val="none"/>
          <w:u w:val="single"/>
        </w:rPr>
        <w:t xml:space="preserve">   （标的名称）</w:t>
      </w:r>
      <w:r>
        <w:rPr>
          <w:rFonts w:hint="eastAsia" w:ascii="仿宋_GB2312" w:hAnsi="仿宋_GB2312" w:eastAsia="仿宋_GB2312" w:cs="仿宋_GB2312"/>
          <w:color w:val="auto"/>
          <w:spacing w:val="0"/>
          <w:sz w:val="24"/>
          <w:szCs w:val="24"/>
          <w:highlight w:val="none"/>
        </w:rPr>
        <w:t>，属于</w:t>
      </w:r>
      <w:r>
        <w:rPr>
          <w:rFonts w:hint="eastAsia" w:ascii="仿宋_GB2312" w:hAnsi="仿宋_GB2312" w:eastAsia="仿宋_GB2312" w:cs="仿宋_GB2312"/>
          <w:color w:val="auto"/>
          <w:spacing w:val="0"/>
          <w:sz w:val="24"/>
          <w:szCs w:val="24"/>
          <w:highlight w:val="none"/>
          <w:u w:val="single"/>
        </w:rPr>
        <w:t xml:space="preserve">    （采购文件中明确的所属行业）</w:t>
      </w:r>
      <w:r>
        <w:rPr>
          <w:rFonts w:hint="eastAsia" w:ascii="仿宋_GB2312" w:hAnsi="仿宋_GB2312" w:eastAsia="仿宋_GB2312" w:cs="仿宋_GB2312"/>
          <w:color w:val="auto"/>
          <w:spacing w:val="0"/>
          <w:sz w:val="24"/>
          <w:szCs w:val="24"/>
          <w:highlight w:val="none"/>
        </w:rPr>
        <w:t>行业；制造商为</w:t>
      </w:r>
      <w:r>
        <w:rPr>
          <w:rFonts w:hint="eastAsia" w:ascii="仿宋_GB2312" w:hAnsi="仿宋_GB2312" w:eastAsia="仿宋_GB2312" w:cs="仿宋_GB2312"/>
          <w:color w:val="auto"/>
          <w:spacing w:val="0"/>
          <w:sz w:val="24"/>
          <w:szCs w:val="24"/>
          <w:highlight w:val="none"/>
          <w:u w:val="single"/>
        </w:rPr>
        <w:t xml:space="preserve">    （企业名称）</w:t>
      </w:r>
      <w:r>
        <w:rPr>
          <w:rFonts w:hint="eastAsia" w:ascii="仿宋_GB2312" w:hAnsi="仿宋_GB2312" w:eastAsia="仿宋_GB2312" w:cs="仿宋_GB2312"/>
          <w:color w:val="auto"/>
          <w:spacing w:val="0"/>
          <w:sz w:val="24"/>
          <w:szCs w:val="24"/>
          <w:highlight w:val="none"/>
        </w:rPr>
        <w:t>，从业人员</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人，营业收入为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万元，资产总额为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万元，属于</w:t>
      </w:r>
      <w:r>
        <w:rPr>
          <w:rFonts w:hint="eastAsia" w:ascii="仿宋_GB2312" w:hAnsi="仿宋_GB2312" w:eastAsia="仿宋_GB2312" w:cs="仿宋_GB2312"/>
          <w:color w:val="auto"/>
          <w:spacing w:val="0"/>
          <w:sz w:val="24"/>
          <w:szCs w:val="24"/>
          <w:highlight w:val="none"/>
          <w:u w:val="single"/>
        </w:rPr>
        <w:t xml:space="preserve"> （中型企业、小型企业、微型企业）</w:t>
      </w:r>
      <w:r>
        <w:rPr>
          <w:rFonts w:hint="eastAsia" w:ascii="仿宋_GB2312" w:hAnsi="仿宋_GB2312" w:eastAsia="仿宋_GB2312" w:cs="仿宋_GB2312"/>
          <w:color w:val="auto"/>
          <w:spacing w:val="0"/>
          <w:sz w:val="24"/>
          <w:szCs w:val="24"/>
          <w:highlight w:val="none"/>
        </w:rPr>
        <w:t>；</w:t>
      </w:r>
    </w:p>
    <w:p w14:paraId="681D04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p>
    <w:p w14:paraId="3C018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以上企业，不属于大企业的分支机构，不存在控股股东为大企业的情形，也不存在与大企业的负责人为同一人的情形。</w:t>
      </w:r>
    </w:p>
    <w:p w14:paraId="3896EB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本企业对上述声明内容的真实性负责。如有虚假，将依法承担相应责任。</w:t>
      </w:r>
    </w:p>
    <w:p w14:paraId="3725AD6F">
      <w:pPr>
        <w:adjustRightInd/>
        <w:spacing w:line="440" w:lineRule="exact"/>
        <w:ind w:firstLine="480" w:firstLineChars="200"/>
        <w:rPr>
          <w:rFonts w:ascii="仿宋_GB2312" w:hAnsi="仿宋_GB2312" w:eastAsia="仿宋_GB2312" w:cs="仿宋_GB2312"/>
          <w:color w:val="auto"/>
          <w:sz w:val="24"/>
          <w:highlight w:val="none"/>
        </w:rPr>
      </w:pPr>
    </w:p>
    <w:p w14:paraId="11FB40D5">
      <w:pPr>
        <w:adjustRightInd/>
        <w:spacing w:line="440" w:lineRule="exact"/>
        <w:ind w:firstLine="4800" w:firstLineChars="20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投标人名称（电子签名）：</w:t>
      </w:r>
    </w:p>
    <w:p w14:paraId="117784A8">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  年  月   日</w:t>
      </w:r>
    </w:p>
    <w:p w14:paraId="0DD70820">
      <w:pPr>
        <w:adjustRightInd/>
        <w:spacing w:line="440" w:lineRule="exact"/>
        <w:ind w:firstLine="310" w:firstLineChars="147"/>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从业人员、营业收入、资产总额填报上一年度数据，无上一年度数据的新成立企业可不填报。</w:t>
      </w:r>
    </w:p>
    <w:p w14:paraId="4D6D2C9D">
      <w:pPr>
        <w:adjustRightInd/>
        <w:spacing w:line="440" w:lineRule="exact"/>
        <w:rPr>
          <w:rFonts w:ascii="仿宋_GB2312" w:hAnsi="仿宋_GB2312" w:eastAsia="仿宋_GB2312" w:cs="仿宋_GB2312"/>
          <w:color w:val="auto"/>
          <w:sz w:val="24"/>
          <w:highlight w:val="none"/>
        </w:rPr>
      </w:pPr>
    </w:p>
    <w:p w14:paraId="665EB482">
      <w:pPr>
        <w:adjustRightInd/>
        <w:spacing w:line="440" w:lineRule="exac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sz w:val="21"/>
          <w:szCs w:val="21"/>
          <w:highlight w:val="none"/>
          <w:lang w:val="en-US" w:eastAsia="zh-CN"/>
        </w:rPr>
        <w:t>①</w:t>
      </w:r>
      <w:r>
        <w:rPr>
          <w:rFonts w:hint="eastAsia" w:ascii="仿宋_GB2312" w:hAnsi="仿宋_GB2312" w:eastAsia="仿宋_GB2312" w:cs="仿宋_GB2312"/>
          <w:color w:val="auto"/>
          <w:sz w:val="21"/>
          <w:szCs w:val="21"/>
          <w:highlight w:val="none"/>
        </w:rPr>
        <w:t>从业人员、营业收入、资产总额填报上一年度数据，无上一年度数据的新成立企业可不填报。②《中小企业声明函》中“标的名称”、“采购文件中明确的所属行业”依据招标文件第二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投标人须知前附表中“采购标的及其对应的中小企业划分标准所属行业”的指引，逐一填写，不得缺漏。</w:t>
      </w:r>
    </w:p>
    <w:p w14:paraId="41CE2612">
      <w:pPr>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br w:type="page"/>
      </w:r>
    </w:p>
    <w:p w14:paraId="1305E76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三、关于符合本国产品标准的声明函或财政部会同有关部门规定的有关证明文件（如适用）</w:t>
      </w:r>
    </w:p>
    <w:p w14:paraId="377B87FF">
      <w:pPr>
        <w:adjustRightInd/>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[符合《国务院办公厅关于在政府采购中实施本国产品标准及相关政策的通知》规定的本国产品拟享受价格扣除政策的，需提供《关于符合本国产品标准的声明函》（附件</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）或财政部会同有关部门规定的有关证明文件。注：投标人既未提供符合要求的《关于符合本国产品标准的声明函》，也未提供财政部会同有关部门规定的有关证明文件的，不享受该价格扣除政策。]</w:t>
      </w:r>
    </w:p>
    <w:p w14:paraId="4495778B">
      <w:pPr>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br w:type="page"/>
      </w:r>
    </w:p>
    <w:p w14:paraId="5DDF6DA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四、关于本国产品成本比例的声明函</w:t>
      </w:r>
    </w:p>
    <w:p w14:paraId="0BE8CA91">
      <w:pPr>
        <w:widowControl/>
        <w:adjustRightInd/>
        <w:spacing w:line="360" w:lineRule="auto"/>
        <w:jc w:val="center"/>
        <w:rPr>
          <w:rFonts w:hint="eastAsia"/>
          <w:b/>
          <w:color w:val="auto"/>
          <w:highlight w:val="none"/>
        </w:rPr>
      </w:pPr>
    </w:p>
    <w:p w14:paraId="68B949DB">
      <w:pPr>
        <w:adjustRightInd/>
        <w:spacing w:line="440" w:lineRule="exact"/>
        <w:jc w:val="center"/>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关于本国产品成本比例的声明函</w:t>
      </w:r>
    </w:p>
    <w:p w14:paraId="481666F9">
      <w:pPr>
        <w:adjustRightInd/>
        <w:spacing w:line="440" w:lineRule="exact"/>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（当采购项目或者采购包中含有多种产品时）</w:t>
      </w:r>
    </w:p>
    <w:p w14:paraId="755181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p>
    <w:p w14:paraId="037C48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仿宋_GB2312" w:hAnsi="仿宋_GB2312" w:eastAsia="仿宋_GB2312" w:cs="仿宋_GB2312"/>
          <w:color w:val="auto"/>
          <w:spacing w:val="0"/>
          <w:sz w:val="24"/>
          <w:szCs w:val="24"/>
          <w:highlight w:val="none"/>
          <w:u w:val="single"/>
          <w:lang w:val="en-US" w:eastAsia="zh-CN"/>
        </w:rPr>
        <w:t xml:space="preserve">    </w:t>
      </w: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auto"/>
          <w:spacing w:val="0"/>
          <w:sz w:val="24"/>
          <w:szCs w:val="24"/>
          <w:highlight w:val="none"/>
          <w:lang w:val="en-US" w:eastAsia="zh-CN"/>
        </w:rPr>
        <w:t>以上</w:t>
      </w:r>
      <w:r>
        <w:rPr>
          <w:rFonts w:hint="eastAsia" w:ascii="仿宋_GB2312" w:hAnsi="仿宋_GB2312" w:eastAsia="仿宋_GB2312" w:cs="仿宋_GB2312"/>
          <w:color w:val="auto"/>
          <w:spacing w:val="0"/>
          <w:sz w:val="24"/>
          <w:szCs w:val="24"/>
          <w:highlight w:val="none"/>
        </w:rPr>
        <w:t>。</w:t>
      </w:r>
    </w:p>
    <w:p w14:paraId="3B5B74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本公司（单位）对上述声明内容的真实性负责。如有虚假，愿承担相应法律责任。</w:t>
      </w:r>
    </w:p>
    <w:p w14:paraId="23CB45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p>
    <w:p w14:paraId="5B3AF4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p>
    <w:p w14:paraId="5FE45A90">
      <w:pPr>
        <w:adjustRightInd/>
        <w:spacing w:line="440" w:lineRule="exact"/>
        <w:ind w:firstLine="4800" w:firstLineChars="20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投标人名称（电子签名）：</w:t>
      </w:r>
    </w:p>
    <w:p w14:paraId="598BF746">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  年  月   日</w:t>
      </w:r>
    </w:p>
    <w:p w14:paraId="148963FB">
      <w:pPr>
        <w:adjustRightInd/>
        <w:spacing w:line="440" w:lineRule="exact"/>
        <w:ind w:firstLine="480" w:firstLineChars="200"/>
        <w:rPr>
          <w:rFonts w:hint="eastAsia" w:ascii="仿宋_GB2312" w:hAnsi="仿宋_GB2312" w:eastAsia="仿宋_GB2312" w:cs="仿宋_GB2312"/>
          <w:color w:val="auto"/>
          <w:sz w:val="24"/>
          <w:highlight w:val="none"/>
        </w:rPr>
      </w:pPr>
    </w:p>
    <w:p w14:paraId="5EF68E8F">
      <w:pPr>
        <w:rPr>
          <w:rFonts w:hint="eastAsia" w:ascii="仿宋_GB2312" w:hAnsi="仿宋_GB2312" w:eastAsia="仿宋_GB2312" w:cs="仿宋_GB2312"/>
          <w:b/>
          <w:color w:val="auto"/>
          <w:kern w:val="0"/>
          <w:sz w:val="36"/>
          <w:szCs w:val="36"/>
          <w:highlight w:val="none"/>
        </w:rPr>
      </w:pPr>
      <w:bookmarkStart w:id="381" w:name="_Toc465665161"/>
      <w:r>
        <w:rPr>
          <w:rFonts w:hint="eastAsia" w:ascii="仿宋_GB2312" w:hAnsi="仿宋_GB2312" w:eastAsia="仿宋_GB2312" w:cs="仿宋_GB2312"/>
          <w:b/>
          <w:color w:val="auto"/>
          <w:kern w:val="0"/>
          <w:sz w:val="36"/>
          <w:szCs w:val="36"/>
          <w:highlight w:val="none"/>
        </w:rPr>
        <w:br w:type="page"/>
      </w:r>
    </w:p>
    <w:p w14:paraId="54B7E2C4">
      <w:pPr>
        <w:adjustRightInd/>
        <w:spacing w:line="440" w:lineRule="exact"/>
        <w:jc w:val="center"/>
        <w:outlineLvl w:val="1"/>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附件</w:t>
      </w:r>
      <w:bookmarkEnd w:id="381"/>
    </w:p>
    <w:p w14:paraId="671C1B70">
      <w:pPr>
        <w:adjustRightInd/>
        <w:spacing w:line="440" w:lineRule="exact"/>
        <w:outlineLvl w:val="2"/>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附件1：残疾人福利性单位声明函</w:t>
      </w:r>
    </w:p>
    <w:p w14:paraId="2D026210">
      <w:pPr>
        <w:adjustRightInd/>
        <w:spacing w:line="440" w:lineRule="exact"/>
        <w:jc w:val="center"/>
        <w:rPr>
          <w:rFonts w:hint="eastAsia" w:ascii="仿宋_GB2312" w:hAnsi="仿宋_GB2312" w:eastAsia="仿宋_GB2312" w:cs="仿宋_GB2312"/>
          <w:b/>
          <w:color w:val="auto"/>
          <w:spacing w:val="6"/>
          <w:sz w:val="32"/>
          <w:szCs w:val="32"/>
          <w:highlight w:val="none"/>
        </w:rPr>
      </w:pPr>
    </w:p>
    <w:p w14:paraId="40E3AC6B">
      <w:pPr>
        <w:adjustRightInd/>
        <w:spacing w:line="440" w:lineRule="exact"/>
        <w:jc w:val="center"/>
        <w:rPr>
          <w:rFonts w:ascii="仿宋_GB2312" w:hAnsi="仿宋_GB2312" w:eastAsia="仿宋_GB2312" w:cs="仿宋_GB2312"/>
          <w:b/>
          <w:color w:val="auto"/>
          <w:spacing w:val="6"/>
          <w:sz w:val="30"/>
          <w:szCs w:val="30"/>
          <w:highlight w:val="none"/>
        </w:rPr>
      </w:pPr>
      <w:r>
        <w:rPr>
          <w:rFonts w:hint="eastAsia" w:ascii="仿宋_GB2312" w:hAnsi="仿宋_GB2312" w:eastAsia="仿宋_GB2312" w:cs="仿宋_GB2312"/>
          <w:b/>
          <w:color w:val="auto"/>
          <w:spacing w:val="6"/>
          <w:sz w:val="32"/>
          <w:szCs w:val="32"/>
          <w:highlight w:val="none"/>
        </w:rPr>
        <w:t>残疾人福利性单位声明函</w:t>
      </w:r>
    </w:p>
    <w:p w14:paraId="4F0A6086">
      <w:pPr>
        <w:adjustRightInd/>
        <w:spacing w:line="440" w:lineRule="exact"/>
        <w:ind w:firstLine="480" w:firstLineChars="200"/>
        <w:rPr>
          <w:rFonts w:hint="eastAsia" w:ascii="仿宋_GB2312" w:hAnsi="仿宋_GB2312" w:eastAsia="仿宋_GB2312" w:cs="仿宋_GB2312"/>
          <w:color w:val="auto"/>
          <w:sz w:val="24"/>
          <w:highlight w:val="none"/>
        </w:rPr>
      </w:pPr>
    </w:p>
    <w:p w14:paraId="60ECD7BB">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ED3CA16">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14:paraId="704DB036">
      <w:pPr>
        <w:adjustRightInd/>
        <w:spacing w:line="440" w:lineRule="exact"/>
        <w:ind w:firstLine="480" w:firstLineChars="200"/>
        <w:rPr>
          <w:rFonts w:ascii="仿宋_GB2312" w:hAnsi="仿宋_GB2312" w:eastAsia="仿宋_GB2312" w:cs="仿宋_GB2312"/>
          <w:color w:val="auto"/>
          <w:sz w:val="24"/>
          <w:highlight w:val="none"/>
        </w:rPr>
      </w:pPr>
    </w:p>
    <w:p w14:paraId="649B7266">
      <w:pPr>
        <w:adjustRightInd/>
        <w:spacing w:line="440" w:lineRule="exact"/>
        <w:ind w:firstLine="480" w:firstLineChars="200"/>
        <w:rPr>
          <w:rFonts w:ascii="仿宋_GB2312" w:hAnsi="仿宋_GB2312" w:eastAsia="仿宋_GB2312" w:cs="仿宋_GB2312"/>
          <w:color w:val="auto"/>
          <w:sz w:val="24"/>
          <w:highlight w:val="none"/>
        </w:rPr>
      </w:pPr>
    </w:p>
    <w:p w14:paraId="03BB34DB">
      <w:pPr>
        <w:tabs>
          <w:tab w:val="left" w:pos="4860"/>
        </w:tabs>
        <w:adjustRightInd/>
        <w:spacing w:line="440" w:lineRule="exact"/>
        <w:ind w:firstLine="4800" w:firstLineChars="20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zh-CN"/>
        </w:rPr>
        <w:t>投标人名称（电子签名）</w:t>
      </w:r>
      <w:r>
        <w:rPr>
          <w:rFonts w:hint="eastAsia" w:ascii="仿宋_GB2312" w:hAnsi="仿宋_GB2312" w:eastAsia="仿宋_GB2312" w:cs="仿宋_GB2312"/>
          <w:color w:val="auto"/>
          <w:sz w:val="24"/>
          <w:highlight w:val="none"/>
        </w:rPr>
        <w:t>：</w:t>
      </w:r>
    </w:p>
    <w:p w14:paraId="72D5C62F">
      <w:pPr>
        <w:tabs>
          <w:tab w:val="left" w:pos="4860"/>
        </w:tabs>
        <w:adjustRightInd/>
        <w:spacing w:line="440" w:lineRule="exact"/>
        <w:ind w:firstLine="4800" w:firstLineChars="20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p>
    <w:p w14:paraId="57C5A250">
      <w:pPr>
        <w:spacing w:line="360" w:lineRule="auto"/>
        <w:ind w:firstLine="480" w:firstLineChars="200"/>
        <w:rPr>
          <w:rFonts w:ascii="仿宋_GB2312" w:hAnsi="仿宋_GB2312" w:eastAsia="仿宋_GB2312" w:cs="仿宋_GB2312"/>
          <w:color w:val="auto"/>
          <w:sz w:val="24"/>
          <w:highlight w:val="none"/>
        </w:rPr>
      </w:pPr>
    </w:p>
    <w:p w14:paraId="4EDDED19">
      <w:pPr>
        <w:spacing w:line="360" w:lineRule="auto"/>
        <w:rPr>
          <w:rFonts w:ascii="仿宋_GB2312" w:hAnsi="仿宋_GB2312" w:eastAsia="仿宋_GB2312" w:cs="仿宋_GB2312"/>
          <w:b/>
          <w:color w:val="auto"/>
          <w:sz w:val="24"/>
          <w:highlight w:val="none"/>
        </w:rPr>
      </w:pPr>
    </w:p>
    <w:p w14:paraId="2682BF57">
      <w:pPr>
        <w:spacing w:line="360" w:lineRule="auto"/>
        <w:rPr>
          <w:rFonts w:ascii="仿宋_GB2312" w:hAnsi="仿宋_GB2312" w:eastAsia="仿宋_GB2312" w:cs="仿宋_GB2312"/>
          <w:b/>
          <w:color w:val="auto"/>
          <w:sz w:val="24"/>
          <w:highlight w:val="none"/>
        </w:rPr>
      </w:pPr>
    </w:p>
    <w:p w14:paraId="3EBEC4C6">
      <w:pPr>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br w:type="page"/>
      </w:r>
    </w:p>
    <w:p w14:paraId="7ADF6A4B">
      <w:pPr>
        <w:adjustRightInd/>
        <w:spacing w:line="440" w:lineRule="exact"/>
        <w:outlineLvl w:val="2"/>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附件2：质疑函范本及制作说明</w:t>
      </w:r>
    </w:p>
    <w:p w14:paraId="03DFCF84">
      <w:pPr>
        <w:spacing w:line="440" w:lineRule="exact"/>
        <w:jc w:val="center"/>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质疑函范本</w:t>
      </w:r>
    </w:p>
    <w:p w14:paraId="316405F3">
      <w:pPr>
        <w:spacing w:line="440" w:lineRule="exac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一、质疑供应商基本信息</w:t>
      </w:r>
    </w:p>
    <w:p w14:paraId="06F62F3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质疑供应商：</w:t>
      </w:r>
      <w:r>
        <w:rPr>
          <w:rFonts w:hint="eastAsia" w:ascii="仿宋_GB2312" w:hAnsi="仿宋_GB2312" w:eastAsia="仿宋_GB2312" w:cs="仿宋_GB2312"/>
          <w:color w:val="auto"/>
          <w:sz w:val="24"/>
          <w:highlight w:val="none"/>
          <w:u w:val="dotted"/>
        </w:rPr>
        <w:t xml:space="preserve">                                        </w:t>
      </w:r>
    </w:p>
    <w:p w14:paraId="42F5CFF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14:paraId="6E56610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14:paraId="4EB0B6F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u w:val="dotted"/>
        </w:rPr>
        <w:t xml:space="preserve">                                          </w:t>
      </w:r>
    </w:p>
    <w:p w14:paraId="22C1874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 xml:space="preserve"> </w:t>
      </w:r>
    </w:p>
    <w:p w14:paraId="65C2698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 xml:space="preserve">地址： </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14:paraId="75570D5E">
      <w:pPr>
        <w:spacing w:line="440" w:lineRule="exac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二、质疑项目基本情况</w:t>
      </w:r>
    </w:p>
    <w:p w14:paraId="6E8498F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w:t>
      </w:r>
      <w:r>
        <w:rPr>
          <w:rFonts w:hint="eastAsia" w:ascii="仿宋_GB2312" w:hAnsi="仿宋_GB2312" w:eastAsia="仿宋_GB2312" w:cs="仿宋_GB2312"/>
          <w:color w:val="auto"/>
          <w:sz w:val="24"/>
          <w:highlight w:val="none"/>
          <w:u w:val="dotted"/>
        </w:rPr>
        <w:t xml:space="preserve">                                      </w:t>
      </w:r>
    </w:p>
    <w:p w14:paraId="1905EED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质疑项目的编号：</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包号：</w:t>
      </w:r>
      <w:r>
        <w:rPr>
          <w:rFonts w:hint="eastAsia" w:ascii="仿宋_GB2312" w:hAnsi="仿宋_GB2312" w:eastAsia="仿宋_GB2312" w:cs="仿宋_GB2312"/>
          <w:color w:val="auto"/>
          <w:sz w:val="24"/>
          <w:highlight w:val="none"/>
          <w:u w:val="dotted"/>
        </w:rPr>
        <w:t xml:space="preserve">                 </w:t>
      </w:r>
    </w:p>
    <w:p w14:paraId="25499A4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采购人名称：</w:t>
      </w:r>
      <w:r>
        <w:rPr>
          <w:rFonts w:hint="eastAsia" w:ascii="仿宋_GB2312" w:hAnsi="仿宋_GB2312" w:eastAsia="仿宋_GB2312" w:cs="仿宋_GB2312"/>
          <w:color w:val="auto"/>
          <w:sz w:val="24"/>
          <w:highlight w:val="none"/>
          <w:u w:val="dotted"/>
        </w:rPr>
        <w:t xml:space="preserve">                                         </w:t>
      </w:r>
    </w:p>
    <w:p w14:paraId="7AC1D98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采购文件获取日期：</w:t>
      </w:r>
      <w:r>
        <w:rPr>
          <w:rFonts w:hint="eastAsia" w:ascii="仿宋_GB2312" w:hAnsi="仿宋_GB2312" w:eastAsia="仿宋_GB2312" w:cs="仿宋_GB2312"/>
          <w:color w:val="auto"/>
          <w:sz w:val="24"/>
          <w:highlight w:val="none"/>
          <w:u w:val="dotted"/>
        </w:rPr>
        <w:t xml:space="preserve">                                           </w:t>
      </w:r>
    </w:p>
    <w:p w14:paraId="4680D270">
      <w:pPr>
        <w:spacing w:line="440" w:lineRule="exac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三、质疑事项具体内容</w:t>
      </w:r>
    </w:p>
    <w:p w14:paraId="71283EF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质疑事项1：</w:t>
      </w:r>
      <w:r>
        <w:rPr>
          <w:rFonts w:hint="eastAsia" w:ascii="仿宋_GB2312" w:hAnsi="仿宋_GB2312" w:eastAsia="仿宋_GB2312" w:cs="仿宋_GB2312"/>
          <w:color w:val="auto"/>
          <w:sz w:val="24"/>
          <w:highlight w:val="none"/>
          <w:u w:val="dotted"/>
        </w:rPr>
        <w:t xml:space="preserve">                                         </w:t>
      </w:r>
    </w:p>
    <w:p w14:paraId="372B263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事实依据：</w:t>
      </w:r>
      <w:r>
        <w:rPr>
          <w:rFonts w:hint="eastAsia" w:ascii="仿宋_GB2312" w:hAnsi="仿宋_GB2312" w:eastAsia="仿宋_GB2312" w:cs="仿宋_GB2312"/>
          <w:color w:val="auto"/>
          <w:sz w:val="24"/>
          <w:highlight w:val="none"/>
          <w:u w:val="dotted"/>
        </w:rPr>
        <w:t xml:space="preserve">                                          </w:t>
      </w:r>
    </w:p>
    <w:p w14:paraId="46847E6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dotted"/>
        </w:rPr>
        <w:t xml:space="preserve">                                                       </w:t>
      </w:r>
    </w:p>
    <w:p w14:paraId="5136E6D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法律依据：</w:t>
      </w:r>
      <w:r>
        <w:rPr>
          <w:rFonts w:hint="eastAsia" w:ascii="仿宋_GB2312" w:hAnsi="仿宋_GB2312" w:eastAsia="仿宋_GB2312" w:cs="仿宋_GB2312"/>
          <w:color w:val="auto"/>
          <w:sz w:val="24"/>
          <w:highlight w:val="none"/>
          <w:u w:val="dotted"/>
        </w:rPr>
        <w:t xml:space="preserve">                                          </w:t>
      </w:r>
    </w:p>
    <w:p w14:paraId="07B6593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u w:val="dotted"/>
        </w:rPr>
        <w:t xml:space="preserve">                                                     </w:t>
      </w:r>
    </w:p>
    <w:p w14:paraId="740AA5E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质疑事项2</w:t>
      </w:r>
    </w:p>
    <w:p w14:paraId="0E85E33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p w14:paraId="248ECB70">
      <w:pPr>
        <w:spacing w:line="440" w:lineRule="exac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四、与质疑事项相关的质疑请求</w:t>
      </w:r>
    </w:p>
    <w:p w14:paraId="655EF26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请求：</w:t>
      </w:r>
      <w:r>
        <w:rPr>
          <w:rFonts w:hint="eastAsia" w:ascii="仿宋_GB2312" w:hAnsi="仿宋_GB2312" w:eastAsia="仿宋_GB2312" w:cs="仿宋_GB2312"/>
          <w:color w:val="auto"/>
          <w:sz w:val="24"/>
          <w:highlight w:val="none"/>
          <w:u w:val="dotted"/>
        </w:rPr>
        <w:t xml:space="preserve">                                               </w:t>
      </w:r>
    </w:p>
    <w:p w14:paraId="6C11126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签字（签章）：                   公章：</w:t>
      </w:r>
    </w:p>
    <w:p w14:paraId="1B7CA0C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p>
    <w:p w14:paraId="2C374B3C">
      <w:pPr>
        <w:spacing w:line="44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p>
    <w:p w14:paraId="2906EB8F">
      <w:pPr>
        <w:spacing w:line="44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质疑函制作说明：</w:t>
      </w:r>
    </w:p>
    <w:p w14:paraId="772D2E3C">
      <w:pPr>
        <w:widowControl/>
        <w:spacing w:line="44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1.供应商提出质疑时，应提交质疑函和必要的证明材料。</w:t>
      </w:r>
    </w:p>
    <w:p w14:paraId="5823F530">
      <w:pPr>
        <w:widowControl/>
        <w:spacing w:line="44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2.质疑供应商若委托代理人进行质疑的，质疑函应按要求列明“授权代表”的有关内容，并在附件中提交由质疑</w:t>
      </w:r>
      <w:r>
        <w:rPr>
          <w:rFonts w:hint="eastAsia" w:ascii="仿宋_GB2312" w:hAnsi="仿宋_GB2312" w:eastAsia="仿宋_GB2312" w:cs="仿宋_GB2312"/>
          <w:color w:val="auto"/>
          <w:kern w:val="0"/>
          <w:sz w:val="24"/>
          <w:highlight w:val="none"/>
        </w:rPr>
        <w:t>供应商签署的授权委托书。授权委托书应载明代理人的姓名或者名称、代理事项、具体权限、期限和相关事项。</w:t>
      </w:r>
    </w:p>
    <w:p w14:paraId="6D10034E">
      <w:pPr>
        <w:widowControl/>
        <w:spacing w:line="44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3.质疑供应商若对项目的某一分包进行质疑，质疑函中应列明具体分包号。</w:t>
      </w:r>
    </w:p>
    <w:p w14:paraId="1807B42C">
      <w:pPr>
        <w:widowControl/>
        <w:spacing w:line="44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4.质疑函的质疑事项应具体、明确，并有必要的事实依据和法律依据。</w:t>
      </w:r>
    </w:p>
    <w:p w14:paraId="5BEFF47B">
      <w:pPr>
        <w:widowControl/>
        <w:spacing w:line="44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5.质疑函的质疑请求应与质疑事项相关。</w:t>
      </w:r>
    </w:p>
    <w:p w14:paraId="3196E829">
      <w:pPr>
        <w:widowControl/>
        <w:spacing w:line="44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6.质疑供应商为自然人的，质疑函应由本人签字；质疑供应商为法人或者其他组织的，质疑函应由法定代表人、主要负责人，或者其授权代表签字或者盖章，并加盖公章。</w:t>
      </w:r>
    </w:p>
    <w:p w14:paraId="1036ED6F">
      <w:pPr>
        <w:widowControl/>
        <w:spacing w:line="440" w:lineRule="exact"/>
        <w:ind w:firstLine="600" w:firstLineChars="200"/>
        <w:jc w:val="left"/>
        <w:rPr>
          <w:rFonts w:ascii="仿宋_GB2312" w:hAnsi="仿宋_GB2312" w:eastAsia="仿宋_GB2312" w:cs="仿宋_GB2312"/>
          <w:color w:val="auto"/>
          <w:sz w:val="30"/>
          <w:szCs w:val="30"/>
          <w:highlight w:val="none"/>
        </w:rPr>
      </w:pPr>
    </w:p>
    <w:p w14:paraId="15F74215">
      <w:pPr>
        <w:spacing w:line="360" w:lineRule="auto"/>
        <w:jc w:val="center"/>
        <w:rPr>
          <w:rFonts w:ascii="仿宋_GB2312" w:hAnsi="仿宋_GB2312" w:eastAsia="仿宋_GB2312" w:cs="仿宋_GB2312"/>
          <w:b/>
          <w:color w:val="auto"/>
          <w:spacing w:val="6"/>
          <w:sz w:val="32"/>
          <w:szCs w:val="32"/>
          <w:highlight w:val="none"/>
        </w:rPr>
      </w:pPr>
    </w:p>
    <w:p w14:paraId="42EFA568">
      <w:pPr>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br w:type="page"/>
      </w:r>
    </w:p>
    <w:p w14:paraId="32DD9997">
      <w:pPr>
        <w:adjustRightInd/>
        <w:spacing w:line="440" w:lineRule="exact"/>
        <w:outlineLvl w:val="2"/>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附件3：投诉书范本及制作说明</w:t>
      </w:r>
    </w:p>
    <w:p w14:paraId="5206FA4E">
      <w:pPr>
        <w:spacing w:line="440" w:lineRule="exact"/>
        <w:jc w:val="center"/>
        <w:rPr>
          <w:rFonts w:ascii="仿宋_GB2312" w:hAnsi="仿宋_GB2312" w:eastAsia="仿宋_GB2312" w:cs="仿宋_GB2312"/>
          <w:b/>
          <w:color w:val="auto"/>
          <w:sz w:val="24"/>
          <w:highlight w:val="none"/>
        </w:rPr>
      </w:pPr>
    </w:p>
    <w:p w14:paraId="75B0F1E2">
      <w:pPr>
        <w:spacing w:line="440" w:lineRule="exact"/>
        <w:jc w:val="center"/>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投诉书范本</w:t>
      </w:r>
    </w:p>
    <w:p w14:paraId="3D769306">
      <w:pPr>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一、投诉相关主体基本情况</w:t>
      </w:r>
    </w:p>
    <w:p w14:paraId="6279CDC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投诉人：</w:t>
      </w:r>
      <w:r>
        <w:rPr>
          <w:rFonts w:hint="eastAsia" w:ascii="仿宋_GB2312" w:hAnsi="仿宋_GB2312" w:eastAsia="仿宋_GB2312" w:cs="仿宋_GB2312"/>
          <w:color w:val="auto"/>
          <w:sz w:val="24"/>
          <w:highlight w:val="none"/>
          <w:u w:val="dotted"/>
        </w:rPr>
        <w:t xml:space="preserve">                                               </w:t>
      </w:r>
    </w:p>
    <w:p w14:paraId="74FD60D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地     址：</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14:paraId="495E3E0D">
      <w:pPr>
        <w:keepNext w:val="0"/>
        <w:keepLines w:val="0"/>
        <w:pageBreakBefore w:val="0"/>
        <w:widowControl w:val="0"/>
        <w:tabs>
          <w:tab w:val="left" w:pos="6510"/>
        </w:tabs>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法定代表人/主要负责人：</w:t>
      </w:r>
      <w:r>
        <w:rPr>
          <w:rFonts w:hint="eastAsia" w:ascii="仿宋_GB2312" w:hAnsi="仿宋_GB2312" w:eastAsia="仿宋_GB2312" w:cs="仿宋_GB2312"/>
          <w:color w:val="auto"/>
          <w:sz w:val="24"/>
          <w:highlight w:val="none"/>
          <w:u w:val="dotted"/>
        </w:rPr>
        <w:t xml:space="preserve">                                 </w:t>
      </w:r>
    </w:p>
    <w:p w14:paraId="37B1633B">
      <w:pPr>
        <w:keepNext w:val="0"/>
        <w:keepLines w:val="0"/>
        <w:pageBreakBefore w:val="0"/>
        <w:widowControl w:val="0"/>
        <w:tabs>
          <w:tab w:val="left" w:pos="6510"/>
        </w:tabs>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14:paraId="4AEABF1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14:paraId="79E35AC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地     址：</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14:paraId="52D0893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被投诉人1：</w:t>
      </w:r>
      <w:r>
        <w:rPr>
          <w:rFonts w:hint="eastAsia" w:ascii="仿宋_GB2312" w:hAnsi="仿宋_GB2312" w:eastAsia="仿宋_GB2312" w:cs="仿宋_GB2312"/>
          <w:color w:val="auto"/>
          <w:sz w:val="24"/>
          <w:highlight w:val="none"/>
          <w:u w:val="dotted"/>
        </w:rPr>
        <w:t xml:space="preserve">                                           </w:t>
      </w:r>
    </w:p>
    <w:p w14:paraId="6E396A4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地     址：</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14:paraId="4E45FFA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14:paraId="3B17029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被投诉人2</w:t>
      </w:r>
    </w:p>
    <w:p w14:paraId="25C26FA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w:t>
      </w:r>
    </w:p>
    <w:p w14:paraId="1D65872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相关供应商：</w:t>
      </w:r>
      <w:r>
        <w:rPr>
          <w:rFonts w:hint="eastAsia" w:ascii="仿宋_GB2312" w:hAnsi="仿宋_GB2312" w:eastAsia="仿宋_GB2312" w:cs="仿宋_GB2312"/>
          <w:color w:val="auto"/>
          <w:sz w:val="24"/>
          <w:highlight w:val="none"/>
          <w:u w:val="dotted"/>
        </w:rPr>
        <w:t xml:space="preserve">                                           </w:t>
      </w:r>
    </w:p>
    <w:p w14:paraId="7108582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地     址：</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14:paraId="22B7817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14:paraId="33A5B460">
      <w:pPr>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二、投诉项目基本情况</w:t>
      </w:r>
    </w:p>
    <w:p w14:paraId="6452356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采购项目名称：</w:t>
      </w:r>
      <w:r>
        <w:rPr>
          <w:rFonts w:hint="eastAsia" w:ascii="仿宋_GB2312" w:hAnsi="仿宋_GB2312" w:eastAsia="仿宋_GB2312" w:cs="仿宋_GB2312"/>
          <w:color w:val="auto"/>
          <w:sz w:val="24"/>
          <w:highlight w:val="none"/>
          <w:u w:val="dotted"/>
        </w:rPr>
        <w:t xml:space="preserve">                                        </w:t>
      </w:r>
    </w:p>
    <w:p w14:paraId="7354435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采购项目编号：</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包号：</w:t>
      </w:r>
      <w:r>
        <w:rPr>
          <w:rFonts w:hint="eastAsia" w:ascii="仿宋_GB2312" w:hAnsi="仿宋_GB2312" w:eastAsia="仿宋_GB2312" w:cs="仿宋_GB2312"/>
          <w:color w:val="auto"/>
          <w:sz w:val="24"/>
          <w:highlight w:val="none"/>
          <w:u w:val="dotted"/>
        </w:rPr>
        <w:t xml:space="preserve">              </w:t>
      </w:r>
    </w:p>
    <w:p w14:paraId="5D16467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采购人名称：</w:t>
      </w:r>
      <w:r>
        <w:rPr>
          <w:rFonts w:hint="eastAsia" w:ascii="仿宋_GB2312" w:hAnsi="仿宋_GB2312" w:eastAsia="仿宋_GB2312" w:cs="仿宋_GB2312"/>
          <w:color w:val="auto"/>
          <w:sz w:val="24"/>
          <w:highlight w:val="none"/>
          <w:u w:val="dotted"/>
        </w:rPr>
        <w:t xml:space="preserve">                                           </w:t>
      </w:r>
    </w:p>
    <w:p w14:paraId="1D7FC66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代理机构名称：</w:t>
      </w:r>
      <w:r>
        <w:rPr>
          <w:rFonts w:hint="eastAsia" w:ascii="仿宋_GB2312" w:hAnsi="仿宋_GB2312" w:eastAsia="仿宋_GB2312" w:cs="仿宋_GB2312"/>
          <w:color w:val="auto"/>
          <w:sz w:val="24"/>
          <w:highlight w:val="none"/>
          <w:u w:val="dotted"/>
        </w:rPr>
        <w:t xml:space="preserve">                                         </w:t>
      </w:r>
    </w:p>
    <w:p w14:paraId="697D06C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采购文件公告：</w:t>
      </w:r>
      <w:r>
        <w:rPr>
          <w:rFonts w:hint="eastAsia" w:ascii="仿宋_GB2312" w:hAnsi="仿宋_GB2312" w:eastAsia="仿宋_GB2312" w:cs="仿宋_GB2312"/>
          <w:color w:val="auto"/>
          <w:sz w:val="24"/>
          <w:highlight w:val="none"/>
          <w:u w:val="dotted"/>
        </w:rPr>
        <w:t xml:space="preserve">是/否 </w:t>
      </w:r>
      <w:r>
        <w:rPr>
          <w:rFonts w:hint="eastAsia" w:ascii="仿宋_GB2312" w:hAnsi="仿宋_GB2312" w:eastAsia="仿宋_GB2312" w:cs="仿宋_GB2312"/>
          <w:color w:val="auto"/>
          <w:sz w:val="24"/>
          <w:highlight w:val="none"/>
        </w:rPr>
        <w:t>公告期限：</w:t>
      </w:r>
      <w:r>
        <w:rPr>
          <w:rFonts w:hint="eastAsia" w:ascii="仿宋_GB2312" w:hAnsi="仿宋_GB2312" w:eastAsia="仿宋_GB2312" w:cs="仿宋_GB2312"/>
          <w:color w:val="auto"/>
          <w:sz w:val="24"/>
          <w:highlight w:val="none"/>
          <w:u w:val="dotted"/>
        </w:rPr>
        <w:t xml:space="preserve">                          </w:t>
      </w:r>
    </w:p>
    <w:p w14:paraId="532A659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采购结果公告：</w:t>
      </w:r>
      <w:r>
        <w:rPr>
          <w:rFonts w:hint="eastAsia" w:ascii="仿宋_GB2312" w:hAnsi="仿宋_GB2312" w:eastAsia="仿宋_GB2312" w:cs="仿宋_GB2312"/>
          <w:color w:val="auto"/>
          <w:sz w:val="24"/>
          <w:highlight w:val="none"/>
          <w:u w:val="dotted"/>
        </w:rPr>
        <w:t xml:space="preserve">是/否 </w:t>
      </w:r>
      <w:r>
        <w:rPr>
          <w:rFonts w:hint="eastAsia" w:ascii="仿宋_GB2312" w:hAnsi="仿宋_GB2312" w:eastAsia="仿宋_GB2312" w:cs="仿宋_GB2312"/>
          <w:color w:val="auto"/>
          <w:sz w:val="24"/>
          <w:highlight w:val="none"/>
        </w:rPr>
        <w:t>公告期限：</w:t>
      </w:r>
      <w:r>
        <w:rPr>
          <w:rFonts w:hint="eastAsia" w:ascii="仿宋_GB2312" w:hAnsi="仿宋_GB2312" w:eastAsia="仿宋_GB2312" w:cs="仿宋_GB2312"/>
          <w:color w:val="auto"/>
          <w:sz w:val="24"/>
          <w:highlight w:val="none"/>
          <w:u w:val="dotted"/>
        </w:rPr>
        <w:t xml:space="preserve">                        </w:t>
      </w:r>
    </w:p>
    <w:p w14:paraId="11C2AAFE">
      <w:pPr>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三、质疑基本情况</w:t>
      </w:r>
    </w:p>
    <w:p w14:paraId="37B6EB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投诉人于</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日，向</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提出质疑，质疑事项为：</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u w:val="dotted"/>
          <w:lang w:val="en-US" w:eastAsia="zh-CN"/>
        </w:rPr>
        <w:t xml:space="preserve">   </w:t>
      </w:r>
      <w:r>
        <w:rPr>
          <w:rFonts w:hint="eastAsia" w:ascii="仿宋_GB2312" w:hAnsi="仿宋_GB2312" w:eastAsia="仿宋_GB2312" w:cs="仿宋_GB2312"/>
          <w:color w:val="auto"/>
          <w:sz w:val="24"/>
          <w:highlight w:val="none"/>
          <w:u w:val="dotted"/>
        </w:rPr>
        <w:t xml:space="preserve"> </w:t>
      </w:r>
    </w:p>
    <w:p w14:paraId="3C1849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dotted"/>
        </w:rPr>
        <w:t>采购人/代理机构</w:t>
      </w:r>
      <w:r>
        <w:rPr>
          <w:rFonts w:hint="eastAsia" w:ascii="仿宋_GB2312" w:hAnsi="仿宋_GB2312" w:eastAsia="仿宋_GB2312" w:cs="仿宋_GB2312"/>
          <w:color w:val="auto"/>
          <w:sz w:val="24"/>
          <w:highlight w:val="none"/>
        </w:rPr>
        <w:t>于</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日，就质疑事项作出了答复/没有在法定期限内作出答复。</w:t>
      </w:r>
    </w:p>
    <w:p w14:paraId="2DFA68E1">
      <w:pPr>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四、投诉事项具体内容</w:t>
      </w:r>
    </w:p>
    <w:p w14:paraId="3372B6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投诉事项1：</w:t>
      </w:r>
      <w:r>
        <w:rPr>
          <w:rFonts w:hint="eastAsia" w:ascii="仿宋_GB2312" w:hAnsi="仿宋_GB2312" w:eastAsia="仿宋_GB2312" w:cs="仿宋_GB2312"/>
          <w:color w:val="auto"/>
          <w:sz w:val="24"/>
          <w:highlight w:val="none"/>
          <w:u w:val="dotted"/>
        </w:rPr>
        <w:t xml:space="preserve">                                       </w:t>
      </w:r>
    </w:p>
    <w:p w14:paraId="2AB922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事实依据：</w:t>
      </w:r>
      <w:r>
        <w:rPr>
          <w:rFonts w:hint="eastAsia" w:ascii="仿宋_GB2312" w:hAnsi="仿宋_GB2312" w:eastAsia="仿宋_GB2312" w:cs="仿宋_GB2312"/>
          <w:color w:val="auto"/>
          <w:sz w:val="24"/>
          <w:highlight w:val="none"/>
          <w:u w:val="dotted"/>
        </w:rPr>
        <w:t xml:space="preserve">                                         </w:t>
      </w:r>
    </w:p>
    <w:p w14:paraId="2211D6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u w:val="dotted"/>
        </w:rPr>
        <w:t xml:space="preserve">                                                      </w:t>
      </w:r>
    </w:p>
    <w:p w14:paraId="297FC7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法律依据：</w:t>
      </w:r>
      <w:r>
        <w:rPr>
          <w:rFonts w:hint="eastAsia" w:ascii="仿宋_GB2312" w:hAnsi="仿宋_GB2312" w:eastAsia="仿宋_GB2312" w:cs="仿宋_GB2312"/>
          <w:color w:val="auto"/>
          <w:sz w:val="24"/>
          <w:highlight w:val="none"/>
          <w:u w:val="dotted"/>
        </w:rPr>
        <w:t xml:space="preserve">                                          </w:t>
      </w:r>
    </w:p>
    <w:p w14:paraId="175816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u w:val="dotted"/>
        </w:rPr>
        <w:t xml:space="preserve">                                                      </w:t>
      </w:r>
    </w:p>
    <w:p w14:paraId="5A7AC3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投诉事项2</w:t>
      </w:r>
    </w:p>
    <w:p w14:paraId="6FCD16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w:t>
      </w:r>
    </w:p>
    <w:p w14:paraId="5F340DF4">
      <w:pPr>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五、与投诉事项相关的投诉请求</w:t>
      </w:r>
    </w:p>
    <w:p w14:paraId="27179EF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请求：</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 xml:space="preserve"> </w:t>
      </w:r>
    </w:p>
    <w:p w14:paraId="688B5A3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w:t>
      </w:r>
    </w:p>
    <w:p w14:paraId="647AD4D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签字（签章）：                   公章：</w:t>
      </w:r>
    </w:p>
    <w:p w14:paraId="077BBD0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p>
    <w:p w14:paraId="555ECEAC">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rPr>
          <w:rFonts w:ascii="仿宋_GB2312" w:hAnsi="仿宋_GB2312" w:eastAsia="仿宋_GB2312" w:cs="仿宋_GB2312"/>
          <w:b/>
          <w:color w:val="auto"/>
          <w:sz w:val="24"/>
          <w:highlight w:val="none"/>
        </w:rPr>
      </w:pPr>
    </w:p>
    <w:p w14:paraId="1951E38E">
      <w:pPr>
        <w:spacing w:line="440" w:lineRule="exact"/>
        <w:rPr>
          <w:rFonts w:ascii="仿宋_GB2312" w:hAnsi="仿宋_GB2312" w:eastAsia="仿宋_GB2312" w:cs="仿宋_GB2312"/>
          <w:b/>
          <w:color w:val="auto"/>
          <w:sz w:val="24"/>
          <w:highlight w:val="none"/>
        </w:rPr>
      </w:pPr>
    </w:p>
    <w:p w14:paraId="63EFB6B6">
      <w:pPr>
        <w:spacing w:line="44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p>
    <w:p w14:paraId="528BF297">
      <w:pPr>
        <w:spacing w:line="44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投诉书制作说明：</w:t>
      </w:r>
    </w:p>
    <w:p w14:paraId="2CE27CC5">
      <w:pPr>
        <w:widowControl/>
        <w:adjustRightInd/>
        <w:spacing w:line="44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1.投诉人提起投诉时，应当提交投诉书和必要的证明材料，并按照被投诉人和与投诉事项有关的供应商数量提供投诉书副本。</w:t>
      </w:r>
    </w:p>
    <w:p w14:paraId="3E166F97">
      <w:pPr>
        <w:widowControl/>
        <w:adjustRightInd/>
        <w:spacing w:line="44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2.投诉人若委托代理人进行投诉的，投诉书应按照要求列明“授权代表”的有关内容，并在附件中提交由</w:t>
      </w:r>
      <w:r>
        <w:rPr>
          <w:rFonts w:hint="eastAsia" w:ascii="仿宋_GB2312" w:hAnsi="仿宋_GB2312" w:eastAsia="仿宋_GB2312" w:cs="仿宋_GB2312"/>
          <w:color w:val="auto"/>
          <w:kern w:val="0"/>
          <w:sz w:val="24"/>
          <w:highlight w:val="none"/>
        </w:rPr>
        <w:t>投诉人签署的授权委托书。授权委托书应当载明代理人的姓名或者名称、代理事项、具体权限、期限和相关事项。</w:t>
      </w:r>
    </w:p>
    <w:p w14:paraId="437496CA">
      <w:pPr>
        <w:widowControl/>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3.投诉人若对项目的某一分包进行投诉，投诉书应列明具体分包号。</w:t>
      </w:r>
    </w:p>
    <w:p w14:paraId="26DFE25E">
      <w:pPr>
        <w:widowControl/>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4.投诉书应简要列明质疑事项，质疑函、质疑答复等作为附件材料提供。</w:t>
      </w:r>
    </w:p>
    <w:p w14:paraId="017D9233">
      <w:pPr>
        <w:widowControl/>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5.投诉书的投诉事项应具体、明确，并有必要的事实依据和法律依据。</w:t>
      </w:r>
    </w:p>
    <w:p w14:paraId="01266AF6">
      <w:pPr>
        <w:widowControl/>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6.投诉书的投诉请求应与投诉事项相关。</w:t>
      </w:r>
    </w:p>
    <w:p w14:paraId="2DF3FD57">
      <w:pPr>
        <w:widowControl/>
        <w:adjustRightInd/>
        <w:spacing w:line="44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7.投诉人为自然人的，投诉书应当由本人签字；投诉人为法人或者其他组织的，投诉书应当由法定代表人、主要负责人，或者其授权代表签字或者盖章，并加盖公章。</w:t>
      </w:r>
    </w:p>
    <w:p w14:paraId="15EAFAEF">
      <w:pPr>
        <w:spacing w:line="440" w:lineRule="exact"/>
        <w:rPr>
          <w:rFonts w:ascii="仿宋_GB2312" w:hAnsi="仿宋_GB2312" w:eastAsia="仿宋_GB2312" w:cs="仿宋_GB2312"/>
          <w:b/>
          <w:color w:val="auto"/>
          <w:sz w:val="24"/>
          <w:highlight w:val="none"/>
        </w:rPr>
      </w:pPr>
    </w:p>
    <w:p w14:paraId="6ABFD623">
      <w:pPr>
        <w:autoSpaceDE w:val="0"/>
        <w:autoSpaceDN w:val="0"/>
        <w:spacing w:line="440" w:lineRule="exact"/>
        <w:jc w:val="center"/>
        <w:rPr>
          <w:rFonts w:ascii="仿宋_GB2312" w:hAnsi="仿宋_GB2312" w:eastAsia="仿宋_GB2312" w:cs="仿宋_GB2312"/>
          <w:b/>
          <w:color w:val="auto"/>
          <w:spacing w:val="6"/>
          <w:sz w:val="32"/>
          <w:szCs w:val="32"/>
          <w:highlight w:val="none"/>
        </w:rPr>
      </w:pPr>
    </w:p>
    <w:p w14:paraId="6C7B98D9">
      <w:pPr>
        <w:autoSpaceDE w:val="0"/>
        <w:autoSpaceDN w:val="0"/>
        <w:jc w:val="center"/>
        <w:rPr>
          <w:rFonts w:ascii="仿宋_GB2312" w:hAnsi="仿宋_GB2312" w:eastAsia="仿宋_GB2312" w:cs="仿宋_GB2312"/>
          <w:b/>
          <w:color w:val="auto"/>
          <w:spacing w:val="6"/>
          <w:sz w:val="32"/>
          <w:szCs w:val="32"/>
          <w:highlight w:val="none"/>
        </w:rPr>
      </w:pPr>
    </w:p>
    <w:p w14:paraId="47C09B01">
      <w:pPr>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br w:type="page"/>
      </w:r>
    </w:p>
    <w:p w14:paraId="4CE0E68E">
      <w:pPr>
        <w:adjustRightInd/>
        <w:spacing w:line="440" w:lineRule="exact"/>
        <w:outlineLvl w:val="2"/>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附件4：业务专用章使用说明函</w:t>
      </w:r>
    </w:p>
    <w:p w14:paraId="194B0B54">
      <w:pPr>
        <w:adjustRightInd/>
        <w:spacing w:line="44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b/>
          <w:color w:val="auto"/>
          <w:spacing w:val="6"/>
          <w:sz w:val="32"/>
          <w:szCs w:val="32"/>
          <w:highlight w:val="none"/>
        </w:rPr>
        <w:t>业务专用章使用说明函</w:t>
      </w:r>
    </w:p>
    <w:p w14:paraId="414754F9">
      <w:pPr>
        <w:adjustRightInd/>
        <w:spacing w:line="440" w:lineRule="exac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u w:val="single"/>
          <w:lang w:eastAsia="zh-CN"/>
        </w:rPr>
        <w:t>宁波市北仑区公共项目建设管理中心、浙江省成套招标代理有限公司</w:t>
      </w:r>
    </w:p>
    <w:p w14:paraId="2F7C87A5">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zh-CN"/>
        </w:rPr>
        <w:t>我方</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投标人全称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是中华人民共和国依法登记注册的合法企业，</w:t>
      </w:r>
      <w:r>
        <w:rPr>
          <w:rFonts w:hint="eastAsia" w:ascii="仿宋_GB2312" w:hAnsi="仿宋_GB2312" w:eastAsia="仿宋_GB2312" w:cs="仿宋_GB2312"/>
          <w:bCs/>
          <w:color w:val="auto"/>
          <w:sz w:val="24"/>
          <w:highlight w:val="none"/>
        </w:rPr>
        <w:t>在参加</w:t>
      </w:r>
      <w:r>
        <w:rPr>
          <w:rFonts w:hint="eastAsia" w:ascii="仿宋_GB2312" w:hAnsi="仿宋_GB2312" w:eastAsia="仿宋_GB2312" w:cs="仿宋_GB2312"/>
          <w:color w:val="auto"/>
          <w:sz w:val="24"/>
          <w:highlight w:val="none"/>
        </w:rPr>
        <w:t>你方组织的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（项目名称）项目【项目编号：</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u w:val="single"/>
          <w:lang w:val="en-US" w:eastAsia="zh-CN"/>
        </w:rPr>
        <w:t xml:space="preserve">  </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Cs/>
          <w:color w:val="auto"/>
          <w:sz w:val="24"/>
          <w:highlight w:val="none"/>
        </w:rPr>
        <w:t>投标活动中作如下说明：</w:t>
      </w:r>
      <w:r>
        <w:rPr>
          <w:rFonts w:hint="eastAsia" w:ascii="仿宋_GB2312" w:hAnsi="仿宋_GB2312" w:eastAsia="仿宋_GB2312" w:cs="仿宋_GB2312"/>
          <w:color w:val="auto"/>
          <w:sz w:val="24"/>
          <w:highlight w:val="none"/>
        </w:rPr>
        <w:t>我方所使用的“XX专用章”与法定名称章具有同等的法律效力，对使用“XX专用章”的行为予以完全承认，并愿意承担相应责任。</w:t>
      </w:r>
    </w:p>
    <w:p w14:paraId="000EE8B9">
      <w:pPr>
        <w:adjustRightInd/>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特此说明。</w:t>
      </w:r>
    </w:p>
    <w:p w14:paraId="6D95EF98">
      <w:pPr>
        <w:adjustRightInd/>
        <w:spacing w:line="440" w:lineRule="exact"/>
        <w:ind w:firstLine="494"/>
        <w:rPr>
          <w:rFonts w:ascii="仿宋_GB2312" w:hAnsi="仿宋_GB2312" w:eastAsia="仿宋_GB2312" w:cs="仿宋_GB2312"/>
          <w:color w:val="auto"/>
          <w:sz w:val="24"/>
          <w:highlight w:val="none"/>
        </w:rPr>
      </w:pPr>
    </w:p>
    <w:p w14:paraId="00EF04A9">
      <w:pPr>
        <w:adjustRightInd/>
        <w:spacing w:line="440" w:lineRule="exact"/>
        <w:ind w:firstLine="494"/>
        <w:rPr>
          <w:rFonts w:ascii="仿宋_GB2312" w:hAnsi="仿宋_GB2312" w:eastAsia="仿宋_GB2312" w:cs="仿宋_GB2312"/>
          <w:color w:val="auto"/>
          <w:sz w:val="24"/>
          <w:highlight w:val="none"/>
        </w:rPr>
      </w:pPr>
    </w:p>
    <w:p w14:paraId="19FD4001">
      <w:pPr>
        <w:adjustRightInd/>
        <w:spacing w:line="440" w:lineRule="exact"/>
        <w:ind w:firstLine="494"/>
        <w:rPr>
          <w:rFonts w:ascii="仿宋_GB2312" w:hAnsi="仿宋_GB2312" w:eastAsia="仿宋_GB2312" w:cs="仿宋_GB2312"/>
          <w:color w:val="auto"/>
          <w:sz w:val="24"/>
          <w:highlight w:val="none"/>
        </w:rPr>
      </w:pPr>
    </w:p>
    <w:p w14:paraId="23166123">
      <w:pPr>
        <w:adjustRightInd/>
        <w:spacing w:line="440" w:lineRule="exact"/>
        <w:ind w:firstLine="494"/>
        <w:rPr>
          <w:rFonts w:ascii="仿宋_GB2312" w:hAnsi="仿宋_GB2312" w:eastAsia="仿宋_GB2312" w:cs="仿宋_GB2312"/>
          <w:color w:val="auto"/>
          <w:sz w:val="24"/>
          <w:highlight w:val="none"/>
        </w:rPr>
      </w:pPr>
    </w:p>
    <w:p w14:paraId="118AECA1">
      <w:pPr>
        <w:adjustRightInd/>
        <w:spacing w:line="440" w:lineRule="exact"/>
        <w:ind w:firstLine="4800" w:firstLineChars="20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投标单位（法定名称章）：</w:t>
      </w:r>
    </w:p>
    <w:p w14:paraId="3F4F0B21">
      <w:pPr>
        <w:adjustRightInd/>
        <w:spacing w:line="440" w:lineRule="exact"/>
        <w:ind w:firstLine="4800" w:firstLineChars="20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23DCBBBF">
      <w:pPr>
        <w:adjustRightInd/>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附：</w:t>
      </w:r>
    </w:p>
    <w:p w14:paraId="0C79D86D">
      <w:pPr>
        <w:adjustRightInd/>
        <w:spacing w:line="440" w:lineRule="exact"/>
        <w:rPr>
          <w:rFonts w:ascii="仿宋_GB2312" w:hAnsi="仿宋_GB2312" w:eastAsia="仿宋_GB2312" w:cs="仿宋_GB2312"/>
          <w:bCs/>
          <w:color w:val="auto"/>
          <w:sz w:val="24"/>
          <w:highlight w:val="none"/>
        </w:rPr>
      </w:pPr>
      <w:r>
        <w:rPr>
          <w:rFonts w:hint="eastAsia" w:ascii="仿宋_GB2312" w:hAnsi="仿宋_GB2312" w:eastAsia="仿宋_GB2312" w:cs="仿宋_GB2312"/>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no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ed="f" stroked="t" coordsize="21600,21600" o:gfxdata="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qr&#10;YArXAAAACgEAAA8AAAAAAAAAAQAgAAAAIgAAAGRycy9kb3ducmV2LnhtbFBLAQIUABQAAAAIAIdO&#10;4kDAEE/2JAIAAEsEAAAOAAAAAAAAAAEAIAAAACYBAABkcnMvZTJvRG9jLnhtbFBLBQYAAAAABgAG&#10;AFkBAAC8BQAAAAA=&#10;">
                <v:fill on="f" focussize="0,0"/>
                <v:stroke color="#000000" miterlimit="2" joinstyle="miter"/>
                <v:imagedata o:title=""/>
                <o:lock v:ext="edit" aspectratio="f"/>
              </v:rect>
            </w:pict>
          </mc:Fallback>
        </mc:AlternateContent>
      </w:r>
      <w:r>
        <w:rPr>
          <w:rFonts w:hint="eastAsia" w:ascii="仿宋_GB2312" w:hAnsi="仿宋_GB2312" w:eastAsia="仿宋_GB2312" w:cs="仿宋_GB2312"/>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noFill/>
                        <a:ln w="9525">
                          <a:solidFill>
                            <a:srgbClr val="000000"/>
                          </a:solidFill>
                          <a:miter lim="200000"/>
                        </a:ln>
                      </wps:spPr>
                      <wps:txbx>
                        <w:txbxContent>
                          <w:p w14:paraId="74FD3716">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ed="f" stroked="t" coordsize="21600,21600" o:gfxdata="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tyiT1gAAAAoBAAAPAAAAAAAAAAEAIAAAACIAAABkcnMvZG93bnJldi54bWxQSwECFAAUAAAA&#10;CACHTuJAHs+ikSkCAABWBAAADgAAAAAAAAABACAAAAAlAQAAZHJzL2Uyb0RvYy54bWxQSwUGAAAA&#10;AAYABgBZAQAAwAUAAAAA&#10;">
                <v:fill on="f" focussize="0,0"/>
                <v:stroke color="#000000" miterlimit="2" joinstyle="miter"/>
                <v:imagedata o:title=""/>
                <o:lock v:ext="edit" aspectratio="f"/>
                <v:textbox>
                  <w:txbxContent>
                    <w:p w14:paraId="74FD3716">
                      <w:pPr>
                        <w:jc w:val="center"/>
                      </w:pPr>
                    </w:p>
                  </w:txbxContent>
                </v:textbox>
              </v:rect>
            </w:pict>
          </mc:Fallback>
        </mc:AlternateContent>
      </w:r>
      <w:r>
        <w:rPr>
          <w:rFonts w:hint="eastAsia" w:ascii="仿宋_GB2312" w:hAnsi="仿宋_GB2312" w:eastAsia="仿宋_GB2312" w:cs="仿宋_GB2312"/>
          <w:color w:val="auto"/>
          <w:sz w:val="24"/>
          <w:highlight w:val="none"/>
        </w:rPr>
        <w:t>投标单位法定名称章（印模）                投标单位“XX专用章”（印模）</w:t>
      </w:r>
    </w:p>
    <w:p w14:paraId="324168C5">
      <w:pPr>
        <w:autoSpaceDE w:val="0"/>
        <w:autoSpaceDN w:val="0"/>
        <w:jc w:val="center"/>
        <w:rPr>
          <w:rFonts w:ascii="仿宋_GB2312" w:hAnsi="仿宋_GB2312" w:eastAsia="仿宋_GB2312" w:cs="仿宋_GB2312"/>
          <w:b/>
          <w:color w:val="auto"/>
          <w:spacing w:val="6"/>
          <w:sz w:val="32"/>
          <w:szCs w:val="32"/>
          <w:highlight w:val="none"/>
        </w:rPr>
      </w:pPr>
    </w:p>
    <w:p w14:paraId="712C2EF7">
      <w:pPr>
        <w:autoSpaceDE w:val="0"/>
        <w:autoSpaceDN w:val="0"/>
        <w:jc w:val="center"/>
        <w:rPr>
          <w:rFonts w:ascii="仿宋_GB2312" w:hAnsi="仿宋_GB2312" w:eastAsia="仿宋_GB2312" w:cs="仿宋_GB2312"/>
          <w:b/>
          <w:color w:val="auto"/>
          <w:spacing w:val="6"/>
          <w:sz w:val="32"/>
          <w:szCs w:val="32"/>
          <w:highlight w:val="none"/>
        </w:rPr>
      </w:pPr>
    </w:p>
    <w:p w14:paraId="07EA15D3">
      <w:pPr>
        <w:autoSpaceDE w:val="0"/>
        <w:autoSpaceDN w:val="0"/>
        <w:jc w:val="center"/>
        <w:rPr>
          <w:rFonts w:ascii="仿宋_GB2312" w:hAnsi="仿宋_GB2312" w:eastAsia="仿宋_GB2312" w:cs="仿宋_GB2312"/>
          <w:b/>
          <w:color w:val="auto"/>
          <w:spacing w:val="6"/>
          <w:sz w:val="32"/>
          <w:szCs w:val="32"/>
          <w:highlight w:val="none"/>
        </w:rPr>
      </w:pPr>
    </w:p>
    <w:p w14:paraId="1EDD984E">
      <w:pPr>
        <w:autoSpaceDE w:val="0"/>
        <w:autoSpaceDN w:val="0"/>
        <w:jc w:val="center"/>
        <w:rPr>
          <w:rFonts w:ascii="仿宋_GB2312" w:hAnsi="仿宋_GB2312" w:eastAsia="仿宋_GB2312" w:cs="仿宋_GB2312"/>
          <w:b/>
          <w:color w:val="auto"/>
          <w:spacing w:val="6"/>
          <w:sz w:val="32"/>
          <w:szCs w:val="32"/>
          <w:highlight w:val="none"/>
        </w:rPr>
      </w:pPr>
    </w:p>
    <w:p w14:paraId="180C43BC">
      <w:pPr>
        <w:autoSpaceDE w:val="0"/>
        <w:autoSpaceDN w:val="0"/>
        <w:jc w:val="center"/>
        <w:rPr>
          <w:rFonts w:ascii="仿宋_GB2312" w:hAnsi="仿宋_GB2312" w:eastAsia="仿宋_GB2312" w:cs="仿宋_GB2312"/>
          <w:b/>
          <w:color w:val="auto"/>
          <w:spacing w:val="6"/>
          <w:sz w:val="32"/>
          <w:szCs w:val="32"/>
          <w:highlight w:val="none"/>
        </w:rPr>
      </w:pPr>
    </w:p>
    <w:p w14:paraId="5CF47D4D">
      <w:pPr>
        <w:autoSpaceDE w:val="0"/>
        <w:autoSpaceDN w:val="0"/>
        <w:jc w:val="center"/>
        <w:rPr>
          <w:rFonts w:ascii="仿宋_GB2312" w:hAnsi="仿宋_GB2312" w:eastAsia="仿宋_GB2312" w:cs="仿宋_GB2312"/>
          <w:b/>
          <w:color w:val="auto"/>
          <w:spacing w:val="6"/>
          <w:sz w:val="32"/>
          <w:szCs w:val="32"/>
          <w:highlight w:val="none"/>
        </w:rPr>
      </w:pPr>
    </w:p>
    <w:p w14:paraId="6A5F15CD">
      <w:pPr>
        <w:autoSpaceDE w:val="0"/>
        <w:autoSpaceDN w:val="0"/>
        <w:jc w:val="center"/>
        <w:rPr>
          <w:rFonts w:ascii="仿宋_GB2312" w:hAnsi="仿宋_GB2312" w:eastAsia="仿宋_GB2312" w:cs="仿宋_GB2312"/>
          <w:b/>
          <w:color w:val="auto"/>
          <w:spacing w:val="6"/>
          <w:sz w:val="32"/>
          <w:szCs w:val="32"/>
          <w:highlight w:val="none"/>
        </w:rPr>
      </w:pPr>
    </w:p>
    <w:p w14:paraId="4D412724">
      <w:pPr>
        <w:autoSpaceDE w:val="0"/>
        <w:autoSpaceDN w:val="0"/>
        <w:jc w:val="center"/>
        <w:rPr>
          <w:rFonts w:ascii="仿宋_GB2312" w:hAnsi="仿宋_GB2312" w:eastAsia="仿宋_GB2312" w:cs="仿宋_GB2312"/>
          <w:b/>
          <w:color w:val="auto"/>
          <w:spacing w:val="6"/>
          <w:sz w:val="32"/>
          <w:szCs w:val="32"/>
          <w:highlight w:val="none"/>
        </w:rPr>
      </w:pPr>
    </w:p>
    <w:p w14:paraId="37DE345A">
      <w:pPr>
        <w:autoSpaceDE w:val="0"/>
        <w:autoSpaceDN w:val="0"/>
        <w:jc w:val="center"/>
        <w:rPr>
          <w:rFonts w:ascii="仿宋_GB2312" w:hAnsi="仿宋_GB2312" w:eastAsia="仿宋_GB2312" w:cs="仿宋_GB2312"/>
          <w:b/>
          <w:color w:val="auto"/>
          <w:spacing w:val="6"/>
          <w:sz w:val="32"/>
          <w:szCs w:val="32"/>
          <w:highlight w:val="none"/>
        </w:rPr>
      </w:pPr>
    </w:p>
    <w:p w14:paraId="50203C8A">
      <w:pPr>
        <w:autoSpaceDE w:val="0"/>
        <w:autoSpaceDN w:val="0"/>
        <w:jc w:val="center"/>
        <w:rPr>
          <w:rFonts w:ascii="仿宋_GB2312" w:hAnsi="仿宋_GB2312" w:eastAsia="仿宋_GB2312" w:cs="仿宋_GB2312"/>
          <w:b/>
          <w:color w:val="auto"/>
          <w:spacing w:val="6"/>
          <w:sz w:val="32"/>
          <w:szCs w:val="32"/>
          <w:highlight w:val="none"/>
        </w:rPr>
      </w:pPr>
    </w:p>
    <w:p w14:paraId="2CB6A27F">
      <w:pPr>
        <w:autoSpaceDE w:val="0"/>
        <w:autoSpaceDN w:val="0"/>
        <w:jc w:val="center"/>
        <w:rPr>
          <w:rFonts w:ascii="仿宋_GB2312" w:hAnsi="仿宋_GB2312" w:eastAsia="仿宋_GB2312" w:cs="仿宋_GB2312"/>
          <w:b/>
          <w:color w:val="auto"/>
          <w:spacing w:val="6"/>
          <w:sz w:val="32"/>
          <w:szCs w:val="32"/>
          <w:highlight w:val="none"/>
        </w:rPr>
      </w:pPr>
    </w:p>
    <w:p w14:paraId="76E68478">
      <w:pPr>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br w:type="page"/>
      </w:r>
    </w:p>
    <w:p w14:paraId="043BC395">
      <w:pPr>
        <w:adjustRightInd/>
        <w:spacing w:line="440" w:lineRule="exact"/>
        <w:outlineLvl w:val="2"/>
        <w:rPr>
          <w:rFonts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附件5：中小企业声明函</w:t>
      </w:r>
    </w:p>
    <w:p w14:paraId="1C0E9AD3">
      <w:pPr>
        <w:adjustRightInd/>
        <w:spacing w:line="440" w:lineRule="exact"/>
        <w:jc w:val="center"/>
        <w:rPr>
          <w:rFonts w:ascii="仿宋_GB2312" w:hAnsi="仿宋_GB2312" w:eastAsia="仿宋_GB2312" w:cs="仿宋_GB2312"/>
          <w:b/>
          <w:color w:val="auto"/>
          <w:sz w:val="32"/>
          <w:szCs w:val="32"/>
          <w:highlight w:val="none"/>
        </w:rPr>
      </w:pPr>
    </w:p>
    <w:p w14:paraId="4AA39A1C">
      <w:pPr>
        <w:adjustRightInd/>
        <w:spacing w:line="440" w:lineRule="exact"/>
        <w:jc w:val="center"/>
        <w:rPr>
          <w:rFonts w:ascii="仿宋_GB2312" w:hAnsi="仿宋_GB2312" w:eastAsia="仿宋_GB2312" w:cs="仿宋_GB2312"/>
          <w:b/>
          <w:color w:val="auto"/>
          <w:sz w:val="32"/>
          <w:szCs w:val="32"/>
          <w:highlight w:val="none"/>
        </w:rPr>
      </w:pPr>
      <w:bookmarkStart w:id="382" w:name="_Toc9699"/>
      <w:r>
        <w:rPr>
          <w:rFonts w:hint="eastAsia" w:ascii="仿宋_GB2312" w:hAnsi="仿宋_GB2312" w:eastAsia="仿宋_GB2312" w:cs="仿宋_GB2312"/>
          <w:b/>
          <w:color w:val="auto"/>
          <w:sz w:val="32"/>
          <w:szCs w:val="32"/>
          <w:highlight w:val="none"/>
        </w:rPr>
        <w:t>中小企业声明函（</w:t>
      </w:r>
      <w:r>
        <w:rPr>
          <w:rFonts w:hint="eastAsia" w:ascii="仿宋_GB2312" w:hAnsi="仿宋_GB2312" w:eastAsia="仿宋_GB2312" w:cs="仿宋_GB2312"/>
          <w:b/>
          <w:color w:val="auto"/>
          <w:sz w:val="32"/>
          <w:szCs w:val="32"/>
          <w:highlight w:val="none"/>
          <w:lang w:val="en-US" w:eastAsia="zh-CN"/>
        </w:rPr>
        <w:t>货物</w:t>
      </w:r>
      <w:r>
        <w:rPr>
          <w:rFonts w:hint="eastAsia" w:ascii="仿宋_GB2312" w:hAnsi="仿宋_GB2312" w:eastAsia="仿宋_GB2312" w:cs="仿宋_GB2312"/>
          <w:b/>
          <w:color w:val="auto"/>
          <w:sz w:val="32"/>
          <w:szCs w:val="32"/>
          <w:highlight w:val="none"/>
        </w:rPr>
        <w:t>）</w:t>
      </w:r>
    </w:p>
    <w:p w14:paraId="2B55D1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color w:val="auto"/>
          <w:spacing w:val="0"/>
          <w:sz w:val="24"/>
          <w:szCs w:val="24"/>
          <w:highlight w:val="none"/>
          <w:u w:val="single"/>
        </w:rPr>
        <w:t xml:space="preserve">   （采购人）</w:t>
      </w:r>
      <w:r>
        <w:rPr>
          <w:rFonts w:hint="eastAsia" w:ascii="仿宋_GB2312" w:hAnsi="仿宋_GB2312" w:eastAsia="仿宋_GB2312" w:cs="仿宋_GB2312"/>
          <w:color w:val="auto"/>
          <w:spacing w:val="0"/>
          <w:sz w:val="24"/>
          <w:szCs w:val="24"/>
          <w:highlight w:val="none"/>
        </w:rPr>
        <w:t>的</w:t>
      </w:r>
      <w:r>
        <w:rPr>
          <w:rFonts w:hint="eastAsia" w:ascii="仿宋_GB2312" w:hAnsi="仿宋_GB2312" w:eastAsia="仿宋_GB2312" w:cs="仿宋_GB2312"/>
          <w:color w:val="auto"/>
          <w:spacing w:val="0"/>
          <w:sz w:val="24"/>
          <w:szCs w:val="24"/>
          <w:highlight w:val="none"/>
          <w:u w:val="single"/>
        </w:rPr>
        <w:t xml:space="preserve">   （项目名称）</w:t>
      </w:r>
      <w:r>
        <w:rPr>
          <w:rFonts w:hint="eastAsia" w:ascii="仿宋_GB2312" w:hAnsi="仿宋_GB2312" w:eastAsia="仿宋_GB2312" w:cs="仿宋_GB2312"/>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01A8E6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r>
        <w:rPr>
          <w:rFonts w:hint="eastAsia" w:ascii="仿宋_GB2312" w:hAnsi="仿宋_GB2312" w:eastAsia="仿宋_GB2312" w:cs="仿宋_GB2312"/>
          <w:color w:val="auto"/>
          <w:spacing w:val="0"/>
          <w:sz w:val="24"/>
          <w:szCs w:val="24"/>
          <w:highlight w:val="none"/>
          <w:u w:val="single"/>
        </w:rPr>
        <w:t xml:space="preserve">   （标的名称）</w:t>
      </w:r>
      <w:r>
        <w:rPr>
          <w:rFonts w:hint="eastAsia" w:ascii="仿宋_GB2312" w:hAnsi="仿宋_GB2312" w:eastAsia="仿宋_GB2312" w:cs="仿宋_GB2312"/>
          <w:color w:val="auto"/>
          <w:spacing w:val="0"/>
          <w:sz w:val="24"/>
          <w:szCs w:val="24"/>
          <w:highlight w:val="none"/>
        </w:rPr>
        <w:t>，属于</w:t>
      </w:r>
      <w:r>
        <w:rPr>
          <w:rFonts w:hint="eastAsia" w:ascii="仿宋_GB2312" w:hAnsi="仿宋_GB2312" w:eastAsia="仿宋_GB2312" w:cs="仿宋_GB2312"/>
          <w:color w:val="auto"/>
          <w:spacing w:val="0"/>
          <w:sz w:val="24"/>
          <w:szCs w:val="24"/>
          <w:highlight w:val="none"/>
          <w:u w:val="single"/>
        </w:rPr>
        <w:t xml:space="preserve">    （采购文件中明确的所属行业）</w:t>
      </w:r>
      <w:r>
        <w:rPr>
          <w:rFonts w:hint="eastAsia" w:ascii="仿宋_GB2312" w:hAnsi="仿宋_GB2312" w:eastAsia="仿宋_GB2312" w:cs="仿宋_GB2312"/>
          <w:color w:val="auto"/>
          <w:spacing w:val="0"/>
          <w:sz w:val="24"/>
          <w:szCs w:val="24"/>
          <w:highlight w:val="none"/>
        </w:rPr>
        <w:t>行业；制造商为</w:t>
      </w:r>
      <w:r>
        <w:rPr>
          <w:rFonts w:hint="eastAsia" w:ascii="仿宋_GB2312" w:hAnsi="仿宋_GB2312" w:eastAsia="仿宋_GB2312" w:cs="仿宋_GB2312"/>
          <w:color w:val="auto"/>
          <w:spacing w:val="0"/>
          <w:sz w:val="24"/>
          <w:szCs w:val="24"/>
          <w:highlight w:val="none"/>
          <w:u w:val="single"/>
        </w:rPr>
        <w:t xml:space="preserve">    （企业名称）</w:t>
      </w:r>
      <w:r>
        <w:rPr>
          <w:rFonts w:hint="eastAsia" w:ascii="仿宋_GB2312" w:hAnsi="仿宋_GB2312" w:eastAsia="仿宋_GB2312" w:cs="仿宋_GB2312"/>
          <w:color w:val="auto"/>
          <w:spacing w:val="0"/>
          <w:sz w:val="24"/>
          <w:szCs w:val="24"/>
          <w:highlight w:val="none"/>
        </w:rPr>
        <w:t>，从业人员</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人，营业收入为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万元，资产总额为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万元，属于</w:t>
      </w:r>
      <w:r>
        <w:rPr>
          <w:rFonts w:hint="eastAsia" w:ascii="仿宋_GB2312" w:hAnsi="仿宋_GB2312" w:eastAsia="仿宋_GB2312" w:cs="仿宋_GB2312"/>
          <w:color w:val="auto"/>
          <w:spacing w:val="0"/>
          <w:sz w:val="24"/>
          <w:szCs w:val="24"/>
          <w:highlight w:val="none"/>
          <w:u w:val="single"/>
        </w:rPr>
        <w:t xml:space="preserve"> （中型企业、小型企业、微型企业）</w:t>
      </w:r>
      <w:r>
        <w:rPr>
          <w:rFonts w:hint="eastAsia" w:ascii="仿宋_GB2312" w:hAnsi="仿宋_GB2312" w:eastAsia="仿宋_GB2312" w:cs="仿宋_GB2312"/>
          <w:color w:val="auto"/>
          <w:spacing w:val="0"/>
          <w:sz w:val="24"/>
          <w:szCs w:val="24"/>
          <w:highlight w:val="none"/>
        </w:rPr>
        <w:t>；</w:t>
      </w:r>
    </w:p>
    <w:p w14:paraId="2545FA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r>
        <w:rPr>
          <w:rFonts w:hint="eastAsia" w:ascii="仿宋_GB2312" w:hAnsi="仿宋_GB2312" w:eastAsia="仿宋_GB2312" w:cs="仿宋_GB2312"/>
          <w:color w:val="auto"/>
          <w:spacing w:val="0"/>
          <w:sz w:val="24"/>
          <w:szCs w:val="24"/>
          <w:highlight w:val="none"/>
          <w:u w:val="single"/>
        </w:rPr>
        <w:t xml:space="preserve">   （标的名称）</w:t>
      </w:r>
      <w:r>
        <w:rPr>
          <w:rFonts w:hint="eastAsia" w:ascii="仿宋_GB2312" w:hAnsi="仿宋_GB2312" w:eastAsia="仿宋_GB2312" w:cs="仿宋_GB2312"/>
          <w:color w:val="auto"/>
          <w:spacing w:val="0"/>
          <w:sz w:val="24"/>
          <w:szCs w:val="24"/>
          <w:highlight w:val="none"/>
        </w:rPr>
        <w:t>，属于</w:t>
      </w:r>
      <w:r>
        <w:rPr>
          <w:rFonts w:hint="eastAsia" w:ascii="仿宋_GB2312" w:hAnsi="仿宋_GB2312" w:eastAsia="仿宋_GB2312" w:cs="仿宋_GB2312"/>
          <w:color w:val="auto"/>
          <w:spacing w:val="0"/>
          <w:sz w:val="24"/>
          <w:szCs w:val="24"/>
          <w:highlight w:val="none"/>
          <w:u w:val="single"/>
        </w:rPr>
        <w:t xml:space="preserve">    （采购文件中明确的所属行业）</w:t>
      </w:r>
      <w:r>
        <w:rPr>
          <w:rFonts w:hint="eastAsia" w:ascii="仿宋_GB2312" w:hAnsi="仿宋_GB2312" w:eastAsia="仿宋_GB2312" w:cs="仿宋_GB2312"/>
          <w:color w:val="auto"/>
          <w:spacing w:val="0"/>
          <w:sz w:val="24"/>
          <w:szCs w:val="24"/>
          <w:highlight w:val="none"/>
        </w:rPr>
        <w:t>行业；制造商为</w:t>
      </w:r>
      <w:r>
        <w:rPr>
          <w:rFonts w:hint="eastAsia" w:ascii="仿宋_GB2312" w:hAnsi="仿宋_GB2312" w:eastAsia="仿宋_GB2312" w:cs="仿宋_GB2312"/>
          <w:color w:val="auto"/>
          <w:spacing w:val="0"/>
          <w:sz w:val="24"/>
          <w:szCs w:val="24"/>
          <w:highlight w:val="none"/>
          <w:u w:val="single"/>
        </w:rPr>
        <w:t xml:space="preserve">    （企业名称）</w:t>
      </w:r>
      <w:r>
        <w:rPr>
          <w:rFonts w:hint="eastAsia" w:ascii="仿宋_GB2312" w:hAnsi="仿宋_GB2312" w:eastAsia="仿宋_GB2312" w:cs="仿宋_GB2312"/>
          <w:color w:val="auto"/>
          <w:spacing w:val="0"/>
          <w:sz w:val="24"/>
          <w:szCs w:val="24"/>
          <w:highlight w:val="none"/>
        </w:rPr>
        <w:t>，从业人员</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人，营业收入为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万元，资产总额为</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万元，属于</w:t>
      </w:r>
      <w:r>
        <w:rPr>
          <w:rFonts w:hint="eastAsia" w:ascii="仿宋_GB2312" w:hAnsi="仿宋_GB2312" w:eastAsia="仿宋_GB2312" w:cs="仿宋_GB2312"/>
          <w:color w:val="auto"/>
          <w:spacing w:val="0"/>
          <w:sz w:val="24"/>
          <w:szCs w:val="24"/>
          <w:highlight w:val="none"/>
          <w:u w:val="single"/>
        </w:rPr>
        <w:t xml:space="preserve"> （中型企业、小型企业、微型企业）</w:t>
      </w:r>
      <w:r>
        <w:rPr>
          <w:rFonts w:hint="eastAsia" w:ascii="仿宋_GB2312" w:hAnsi="仿宋_GB2312" w:eastAsia="仿宋_GB2312" w:cs="仿宋_GB2312"/>
          <w:color w:val="auto"/>
          <w:spacing w:val="0"/>
          <w:sz w:val="24"/>
          <w:szCs w:val="24"/>
          <w:highlight w:val="none"/>
        </w:rPr>
        <w:t>；</w:t>
      </w:r>
    </w:p>
    <w:p w14:paraId="3973DC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p>
    <w:p w14:paraId="1D74B1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以上企业，不属于大企业的分支机构，不存在控股股东为大企业的情形，也不存在与大企业的负责人为同一人的情形。</w:t>
      </w:r>
    </w:p>
    <w:p w14:paraId="5A2760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本企业对上述声明内容的真实性负责。如有虚假，将依法承担相应责任。</w:t>
      </w:r>
    </w:p>
    <w:p w14:paraId="2903C3BD">
      <w:pPr>
        <w:adjustRightInd/>
        <w:spacing w:line="440" w:lineRule="exact"/>
        <w:ind w:firstLine="480" w:firstLineChars="200"/>
        <w:rPr>
          <w:rFonts w:ascii="仿宋_GB2312" w:hAnsi="仿宋_GB2312" w:eastAsia="仿宋_GB2312" w:cs="仿宋_GB2312"/>
          <w:color w:val="auto"/>
          <w:sz w:val="24"/>
          <w:highlight w:val="none"/>
        </w:rPr>
      </w:pPr>
    </w:p>
    <w:p w14:paraId="2AFCA6ED">
      <w:pPr>
        <w:adjustRightInd/>
        <w:spacing w:line="440" w:lineRule="exact"/>
        <w:ind w:firstLine="4800" w:firstLineChars="20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投标人名称（电子签名）：</w:t>
      </w:r>
    </w:p>
    <w:p w14:paraId="42FE2435">
      <w:pPr>
        <w:adjustRightInd/>
        <w:spacing w:line="440" w:lineRule="exact"/>
        <w:ind w:firstLine="4800" w:firstLineChars="20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  年  月   日</w:t>
      </w:r>
    </w:p>
    <w:p w14:paraId="054F3C85">
      <w:pPr>
        <w:adjustRightInd/>
        <w:spacing w:line="440" w:lineRule="exact"/>
        <w:ind w:firstLine="310" w:firstLineChars="147"/>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从业人员、营业收入、资产总额填报上一年度数据，无上一年度数据的新成立企业可不填报。</w:t>
      </w:r>
    </w:p>
    <w:p w14:paraId="569AB709">
      <w:pPr>
        <w:adjustRightInd/>
        <w:spacing w:line="440" w:lineRule="exact"/>
        <w:rPr>
          <w:rFonts w:ascii="仿宋_GB2312" w:hAnsi="仿宋_GB2312" w:eastAsia="仿宋_GB2312" w:cs="仿宋_GB2312"/>
          <w:color w:val="auto"/>
          <w:sz w:val="24"/>
          <w:highlight w:val="none"/>
        </w:rPr>
      </w:pPr>
    </w:p>
    <w:p w14:paraId="01DA3B5F">
      <w:pPr>
        <w:adjustRightInd/>
        <w:spacing w:line="440" w:lineRule="exac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sz w:val="21"/>
          <w:szCs w:val="21"/>
          <w:highlight w:val="none"/>
          <w:lang w:val="en-US" w:eastAsia="zh-CN"/>
        </w:rPr>
        <w:t>①</w:t>
      </w:r>
      <w:r>
        <w:rPr>
          <w:rFonts w:hint="eastAsia" w:ascii="仿宋_GB2312" w:hAnsi="仿宋_GB2312" w:eastAsia="仿宋_GB2312" w:cs="仿宋_GB2312"/>
          <w:color w:val="auto"/>
          <w:sz w:val="21"/>
          <w:szCs w:val="21"/>
          <w:highlight w:val="none"/>
        </w:rPr>
        <w:t>从业人员、营业收入、资产总额填报上一年度数据，无上一年度数据的新成立企业可不填报。②《中小企业声明函》中“标的名称”、“采购文件中明确的所属行业”依据招标文件第二</w:t>
      </w:r>
      <w:r>
        <w:rPr>
          <w:rFonts w:hint="eastAsia" w:ascii="仿宋_GB2312" w:hAnsi="仿宋_GB2312" w:eastAsia="仿宋_GB2312" w:cs="仿宋_GB2312"/>
          <w:color w:val="auto"/>
          <w:sz w:val="21"/>
          <w:szCs w:val="21"/>
          <w:highlight w:val="none"/>
          <w:lang w:val="en-US" w:eastAsia="zh-CN"/>
        </w:rPr>
        <w:t>章</w:t>
      </w:r>
      <w:r>
        <w:rPr>
          <w:rFonts w:hint="eastAsia" w:ascii="仿宋_GB2312" w:hAnsi="仿宋_GB2312" w:eastAsia="仿宋_GB2312" w:cs="仿宋_GB2312"/>
          <w:color w:val="auto"/>
          <w:sz w:val="21"/>
          <w:szCs w:val="21"/>
          <w:highlight w:val="none"/>
        </w:rPr>
        <w:t>投标人须知前附表中“采购标的及其对应的中小企业划分标准所属行业”的指引，逐一填写，不得缺漏。</w:t>
      </w:r>
    </w:p>
    <w:p w14:paraId="6FB37397">
      <w:pPr>
        <w:adjustRightInd/>
        <w:spacing w:line="440" w:lineRule="exact"/>
        <w:ind w:firstLine="480" w:firstLineChars="200"/>
        <w:rPr>
          <w:rFonts w:hint="eastAsia" w:ascii="仿宋_GB2312" w:hAnsi="仿宋_GB2312" w:eastAsia="仿宋_GB2312" w:cs="仿宋_GB2312"/>
          <w:color w:val="auto"/>
          <w:sz w:val="24"/>
          <w:highlight w:val="none"/>
        </w:rPr>
      </w:pPr>
    </w:p>
    <w:p w14:paraId="7CB66D9F">
      <w:pPr>
        <w:adjustRightInd/>
        <w:spacing w:line="440" w:lineRule="exact"/>
        <w:outlineLvl w:val="2"/>
        <w:rPr>
          <w:rFonts w:hint="eastAsia"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br w:type="page"/>
      </w:r>
      <w:r>
        <w:rPr>
          <w:rFonts w:hint="eastAsia" w:ascii="仿宋_GB2312" w:hAnsi="仿宋_GB2312" w:eastAsia="仿宋_GB2312" w:cs="仿宋_GB2312"/>
          <w:b/>
          <w:color w:val="auto"/>
          <w:spacing w:val="6"/>
          <w:sz w:val="32"/>
          <w:szCs w:val="32"/>
          <w:highlight w:val="none"/>
        </w:rPr>
        <w:t>附件</w:t>
      </w:r>
      <w:r>
        <w:rPr>
          <w:rFonts w:hint="eastAsia" w:ascii="仿宋_GB2312" w:hAnsi="仿宋_GB2312" w:eastAsia="仿宋_GB2312" w:cs="仿宋_GB2312"/>
          <w:b/>
          <w:color w:val="auto"/>
          <w:spacing w:val="6"/>
          <w:sz w:val="32"/>
          <w:szCs w:val="32"/>
          <w:highlight w:val="none"/>
          <w:lang w:val="en-US" w:eastAsia="zh-CN"/>
        </w:rPr>
        <w:t>6</w:t>
      </w:r>
      <w:r>
        <w:rPr>
          <w:rFonts w:hint="eastAsia" w:ascii="仿宋_GB2312" w:hAnsi="仿宋_GB2312" w:eastAsia="仿宋_GB2312" w:cs="仿宋_GB2312"/>
          <w:b/>
          <w:color w:val="auto"/>
          <w:spacing w:val="6"/>
          <w:sz w:val="32"/>
          <w:szCs w:val="32"/>
          <w:highlight w:val="none"/>
        </w:rPr>
        <w:t>：联合协议</w:t>
      </w:r>
    </w:p>
    <w:p w14:paraId="57EB57F5">
      <w:pPr>
        <w:adjustRightInd/>
        <w:spacing w:line="440" w:lineRule="exact"/>
        <w:rPr>
          <w:rFonts w:hint="eastAsia" w:ascii="仿宋_GB2312" w:hAnsi="仿宋_GB2312" w:eastAsia="仿宋_GB2312" w:cs="仿宋_GB2312"/>
          <w:b/>
          <w:bCs/>
          <w:color w:val="auto"/>
          <w:sz w:val="24"/>
          <w:highlight w:val="none"/>
        </w:rPr>
      </w:pPr>
    </w:p>
    <w:p w14:paraId="027AFC3E">
      <w:pPr>
        <w:adjustRightInd/>
        <w:spacing w:line="440" w:lineRule="exac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[以联合体形式投标的，提供联合协议（附件</w:t>
      </w:r>
      <w:r>
        <w:rPr>
          <w:rFonts w:hint="eastAsia" w:ascii="仿宋_GB2312" w:hAnsi="仿宋_GB2312" w:eastAsia="仿宋_GB2312" w:cs="仿宋_GB2312"/>
          <w:b/>
          <w:bCs/>
          <w:color w:val="auto"/>
          <w:sz w:val="24"/>
          <w:highlight w:val="none"/>
          <w:lang w:val="en-US" w:eastAsia="zh-CN"/>
        </w:rPr>
        <w:t>6</w:t>
      </w:r>
      <w:r>
        <w:rPr>
          <w:rFonts w:hint="eastAsia" w:ascii="仿宋_GB2312" w:hAnsi="仿宋_GB2312" w:eastAsia="仿宋_GB2312" w:cs="仿宋_GB2312"/>
          <w:b/>
          <w:bCs/>
          <w:color w:val="auto"/>
          <w:sz w:val="24"/>
          <w:highlight w:val="none"/>
        </w:rPr>
        <w:t>）；本项目不接受联合体投标或者投标人不以联合体形式投标的，则不需要提供）]</w:t>
      </w:r>
    </w:p>
    <w:p w14:paraId="09B6ED5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b/>
          <w:color w:val="auto"/>
          <w:sz w:val="32"/>
          <w:szCs w:val="32"/>
          <w:highlight w:val="none"/>
        </w:rPr>
      </w:pPr>
    </w:p>
    <w:p w14:paraId="50B346E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联合协议</w:t>
      </w:r>
    </w:p>
    <w:p w14:paraId="191C131C">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 xml:space="preserve">               （联合体所有成员名称）</w:t>
      </w:r>
      <w:r>
        <w:rPr>
          <w:rFonts w:hint="eastAsia" w:ascii="仿宋_GB2312" w:hAnsi="仿宋_GB2312" w:eastAsia="仿宋_GB2312" w:cs="仿宋_GB2312"/>
          <w:color w:val="auto"/>
          <w:kern w:val="0"/>
          <w:sz w:val="24"/>
          <w:szCs w:val="24"/>
          <w:highlight w:val="none"/>
        </w:rPr>
        <w:t>自愿</w:t>
      </w:r>
      <w:r>
        <w:rPr>
          <w:rFonts w:hint="eastAsia" w:ascii="仿宋_GB2312" w:hAnsi="仿宋_GB2312" w:eastAsia="仿宋_GB2312" w:cs="仿宋_GB2312"/>
          <w:color w:val="auto"/>
          <w:kern w:val="0"/>
          <w:sz w:val="24"/>
          <w:szCs w:val="24"/>
          <w:highlight w:val="none"/>
          <w:lang w:val="zh-CN"/>
        </w:rPr>
        <w:t>组成一个联合体，以一个投标人的身份</w:t>
      </w:r>
      <w:r>
        <w:rPr>
          <w:rFonts w:hint="eastAsia" w:ascii="仿宋_GB2312" w:hAnsi="仿宋_GB2312" w:eastAsia="仿宋_GB2312" w:cs="仿宋_GB2312"/>
          <w:color w:val="auto"/>
          <w:kern w:val="0"/>
          <w:sz w:val="24"/>
          <w:szCs w:val="24"/>
          <w:highlight w:val="none"/>
        </w:rPr>
        <w:t>参加</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（项目名称）【</w:t>
      </w:r>
      <w:r>
        <w:rPr>
          <w:rFonts w:hint="eastAsia" w:ascii="仿宋_GB2312" w:hAnsi="仿宋_GB2312" w:eastAsia="仿宋_GB2312" w:cs="仿宋_GB2312"/>
          <w:color w:val="auto"/>
          <w:kern w:val="0"/>
          <w:sz w:val="24"/>
          <w:szCs w:val="24"/>
          <w:highlight w:val="none"/>
          <w:lang w:val="en-US" w:eastAsia="zh-CN"/>
        </w:rPr>
        <w:t>项目</w:t>
      </w:r>
      <w:r>
        <w:rPr>
          <w:rFonts w:hint="eastAsia" w:ascii="仿宋_GB2312" w:hAnsi="仿宋_GB2312" w:eastAsia="仿宋_GB2312" w:cs="仿宋_GB2312"/>
          <w:color w:val="auto"/>
          <w:kern w:val="0"/>
          <w:sz w:val="24"/>
          <w:szCs w:val="24"/>
          <w:highlight w:val="none"/>
        </w:rPr>
        <w:t>编号：</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zh-CN"/>
        </w:rPr>
        <w:t>投标。</w:t>
      </w:r>
    </w:p>
    <w:p w14:paraId="765FF71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一、各方一致决定，</w:t>
      </w:r>
      <w:r>
        <w:rPr>
          <w:rFonts w:hint="eastAsia" w:ascii="仿宋_GB2312" w:hAnsi="仿宋_GB2312" w:eastAsia="仿宋_GB2312" w:cs="仿宋_GB2312"/>
          <w:color w:val="auto"/>
          <w:kern w:val="0"/>
          <w:sz w:val="24"/>
          <w:szCs w:val="24"/>
          <w:highlight w:val="none"/>
          <w:u w:val="single"/>
        </w:rPr>
        <w:t xml:space="preserve">     （某联合体成员名称）</w:t>
      </w:r>
      <w:r>
        <w:rPr>
          <w:rFonts w:hint="eastAsia" w:ascii="仿宋_GB2312" w:hAnsi="仿宋_GB2312" w:eastAsia="仿宋_GB2312" w:cs="仿宋_GB2312"/>
          <w:color w:val="auto"/>
          <w:kern w:val="0"/>
          <w:sz w:val="24"/>
          <w:szCs w:val="24"/>
          <w:highlight w:val="none"/>
        </w:rPr>
        <w:t>为联合体</w:t>
      </w:r>
      <w:r>
        <w:rPr>
          <w:rFonts w:hint="eastAsia" w:ascii="仿宋_GB2312" w:hAnsi="仿宋_GB2312" w:eastAsia="仿宋_GB2312" w:cs="仿宋_GB2312"/>
          <w:color w:val="auto"/>
          <w:kern w:val="0"/>
          <w:sz w:val="24"/>
          <w:szCs w:val="24"/>
          <w:highlight w:val="none"/>
          <w:lang w:val="zh-CN"/>
        </w:rPr>
        <w:t>牵头人</w:t>
      </w:r>
      <w:r>
        <w:rPr>
          <w:rFonts w:hint="eastAsia" w:ascii="仿宋_GB2312" w:hAnsi="仿宋_GB2312" w:eastAsia="仿宋_GB2312" w:cs="仿宋_GB2312"/>
          <w:color w:val="auto"/>
          <w:kern w:val="0"/>
          <w:sz w:val="24"/>
          <w:szCs w:val="24"/>
          <w:highlight w:val="none"/>
        </w:rPr>
        <w:t>，代表所有联合体成员负责投标和合同实施阶段的主办、协调工作</w:t>
      </w:r>
      <w:r>
        <w:rPr>
          <w:rFonts w:hint="eastAsia" w:ascii="仿宋_GB2312" w:hAnsi="仿宋_GB2312" w:eastAsia="仿宋_GB2312" w:cs="仿宋_GB2312"/>
          <w:color w:val="auto"/>
          <w:kern w:val="0"/>
          <w:sz w:val="24"/>
          <w:szCs w:val="24"/>
          <w:highlight w:val="none"/>
          <w:lang w:val="zh-CN"/>
        </w:rPr>
        <w:t>。</w:t>
      </w:r>
    </w:p>
    <w:p w14:paraId="0265AEC5">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二、</w:t>
      </w:r>
      <w:r>
        <w:rPr>
          <w:rFonts w:hint="eastAsia" w:ascii="仿宋_GB2312" w:hAnsi="仿宋_GB2312" w:eastAsia="仿宋_GB2312" w:cs="仿宋_GB2312"/>
          <w:color w:val="auto"/>
          <w:kern w:val="0"/>
          <w:sz w:val="24"/>
          <w:szCs w:val="24"/>
          <w:highlight w:val="none"/>
        </w:rPr>
        <w:t>所有联合体成员各方签署授权书，授权书载明的</w:t>
      </w:r>
      <w:r>
        <w:rPr>
          <w:rFonts w:hint="eastAsia" w:ascii="仿宋_GB2312" w:hAnsi="仿宋_GB2312" w:eastAsia="仿宋_GB2312" w:cs="仿宋_GB2312"/>
          <w:color w:val="auto"/>
          <w:kern w:val="0"/>
          <w:sz w:val="24"/>
          <w:szCs w:val="24"/>
          <w:highlight w:val="none"/>
          <w:lang w:val="zh-CN"/>
        </w:rPr>
        <w:t>授权代表根据招标文件规定及投标内容而对采购人、采购代理机构所作的任何合法承诺，包括书面澄清及响应等均对联合投标各方产生约束力。</w:t>
      </w:r>
    </w:p>
    <w:p w14:paraId="3335FF5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三、本次联合投标中，分工如下：</w:t>
      </w:r>
    </w:p>
    <w:p w14:paraId="05C7902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 xml:space="preserve">     （联合体成员1）</w:t>
      </w:r>
      <w:r>
        <w:rPr>
          <w:rFonts w:hint="eastAsia" w:ascii="仿宋_GB2312" w:hAnsi="仿宋_GB2312" w:eastAsia="仿宋_GB2312" w:cs="仿宋_GB2312"/>
          <w:color w:val="auto"/>
          <w:kern w:val="0"/>
          <w:sz w:val="24"/>
          <w:szCs w:val="24"/>
          <w:highlight w:val="none"/>
          <w:lang w:val="zh-CN"/>
        </w:rPr>
        <w:t>承担的工作和义务为：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lang w:val="zh-CN"/>
        </w:rPr>
        <w:t>；</w:t>
      </w:r>
    </w:p>
    <w:p w14:paraId="1226DB35">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 xml:space="preserve">     （联合体成员2）</w:t>
      </w:r>
      <w:r>
        <w:rPr>
          <w:rFonts w:hint="eastAsia" w:ascii="仿宋_GB2312" w:hAnsi="仿宋_GB2312" w:eastAsia="仿宋_GB2312" w:cs="仿宋_GB2312"/>
          <w:color w:val="auto"/>
          <w:kern w:val="0"/>
          <w:sz w:val="24"/>
          <w:szCs w:val="24"/>
          <w:highlight w:val="none"/>
          <w:lang w:val="zh-CN"/>
        </w:rPr>
        <w:t>承担的工作和义务为：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lang w:val="zh-CN"/>
        </w:rPr>
        <w:t>；</w:t>
      </w:r>
    </w:p>
    <w:p w14:paraId="2937DC6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w:t>
      </w:r>
    </w:p>
    <w:p w14:paraId="68771EB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四、联合体成员中小企业合同份额。</w:t>
      </w:r>
    </w:p>
    <w:p w14:paraId="3B6EB13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b/>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w:t>
      </w:r>
      <w:r>
        <w:rPr>
          <w:rFonts w:hint="eastAsia" w:ascii="仿宋_GB2312" w:hAnsi="仿宋_GB2312" w:eastAsia="仿宋_GB2312" w:cs="仿宋_GB2312"/>
          <w:color w:val="auto"/>
          <w:kern w:val="0"/>
          <w:sz w:val="24"/>
          <w:szCs w:val="24"/>
          <w:highlight w:val="none"/>
          <w:u w:val="single"/>
        </w:rPr>
        <w:t>（</w:t>
      </w:r>
      <w:bookmarkStart w:id="383" w:name="_Hlk101131882"/>
      <w:r>
        <w:rPr>
          <w:rFonts w:hint="eastAsia" w:ascii="仿宋_GB2312" w:hAnsi="仿宋_GB2312" w:eastAsia="仿宋_GB2312" w:cs="仿宋_GB2312"/>
          <w:color w:val="auto"/>
          <w:kern w:val="0"/>
          <w:sz w:val="24"/>
          <w:szCs w:val="24"/>
          <w:highlight w:val="none"/>
          <w:u w:val="single"/>
        </w:rPr>
        <w:t>联合体成员X</w:t>
      </w:r>
      <w:r>
        <w:rPr>
          <w:rFonts w:hint="eastAsia" w:ascii="仿宋_GB2312" w:hAnsi="仿宋_GB2312" w:eastAsia="仿宋_GB2312" w:cs="仿宋_GB2312"/>
          <w:color w:val="auto"/>
          <w:kern w:val="0"/>
          <w:sz w:val="24"/>
          <w:szCs w:val="24"/>
          <w:highlight w:val="none"/>
          <w:u w:val="single"/>
          <w:lang w:eastAsia="zh-CN"/>
        </w:rPr>
        <w:t>，</w:t>
      </w:r>
      <w:bookmarkEnd w:id="383"/>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提供的服务由小微企业承接，其合同份额占到合同总金额</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%以上</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b/>
          <w:color w:val="auto"/>
          <w:kern w:val="0"/>
          <w:sz w:val="24"/>
          <w:szCs w:val="24"/>
          <w:highlight w:val="none"/>
          <w:lang w:val="zh-CN"/>
        </w:rPr>
        <w:t>（</w:t>
      </w:r>
      <w:bookmarkStart w:id="384" w:name="_Hlk101133598"/>
      <w:r>
        <w:rPr>
          <w:rFonts w:hint="eastAsia" w:ascii="仿宋_GB2312" w:hAnsi="仿宋_GB2312" w:eastAsia="仿宋_GB2312" w:cs="仿宋_GB2312"/>
          <w:b/>
          <w:color w:val="auto"/>
          <w:kern w:val="0"/>
          <w:sz w:val="24"/>
          <w:szCs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_GB2312" w:hAnsi="仿宋_GB2312" w:eastAsia="仿宋_GB2312" w:cs="仿宋_GB2312"/>
          <w:b/>
          <w:color w:val="auto"/>
          <w:kern w:val="0"/>
          <w:sz w:val="24"/>
          <w:szCs w:val="24"/>
          <w:highlight w:val="none"/>
        </w:rPr>
        <w:t>拟享受以上价格扣除政策的，填写有关内容。</w:t>
      </w:r>
      <w:bookmarkEnd w:id="384"/>
      <w:r>
        <w:rPr>
          <w:rFonts w:hint="eastAsia" w:ascii="仿宋_GB2312" w:hAnsi="仿宋_GB2312" w:eastAsia="仿宋_GB2312" w:cs="仿宋_GB2312"/>
          <w:b/>
          <w:color w:val="auto"/>
          <w:kern w:val="0"/>
          <w:sz w:val="24"/>
          <w:szCs w:val="24"/>
          <w:highlight w:val="none"/>
          <w:lang w:val="zh-CN"/>
        </w:rPr>
        <w:t>）</w:t>
      </w:r>
    </w:p>
    <w:p w14:paraId="027E3C91">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b/>
          <w:bCs/>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rPr>
        <w:t>2、</w:t>
      </w:r>
      <w:bookmarkStart w:id="385" w:name="_Hlk101133173"/>
      <w:r>
        <w:rPr>
          <w:rFonts w:hint="eastAsia" w:ascii="仿宋_GB2312" w:hAnsi="仿宋_GB2312" w:eastAsia="仿宋_GB2312" w:cs="仿宋_GB2312"/>
          <w:color w:val="auto"/>
          <w:kern w:val="0"/>
          <w:sz w:val="24"/>
          <w:szCs w:val="24"/>
          <w:highlight w:val="none"/>
        </w:rPr>
        <w:t>中小企业合同金额达到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%，其中小微企业合同金额达到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b/>
          <w:bCs/>
          <w:color w:val="auto"/>
          <w:kern w:val="0"/>
          <w:sz w:val="24"/>
          <w:szCs w:val="24"/>
          <w:highlight w:val="none"/>
          <w:lang w:val="zh-CN"/>
        </w:rPr>
        <w:t>（</w:t>
      </w:r>
      <w:r>
        <w:rPr>
          <w:rFonts w:hint="eastAsia" w:ascii="仿宋_GB2312" w:hAnsi="仿宋_GB2312" w:eastAsia="仿宋_GB2312" w:cs="仿宋_GB2312"/>
          <w:b/>
          <w:bCs/>
          <w:color w:val="auto"/>
          <w:kern w:val="0"/>
          <w:sz w:val="24"/>
          <w:szCs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_GB2312" w:hAnsi="仿宋_GB2312" w:eastAsia="仿宋_GB2312" w:cs="仿宋_GB2312"/>
          <w:b/>
          <w:bCs/>
          <w:color w:val="auto"/>
          <w:kern w:val="0"/>
          <w:sz w:val="24"/>
          <w:szCs w:val="24"/>
          <w:highlight w:val="none"/>
          <w:lang w:val="zh-CN"/>
        </w:rPr>
        <w:t>）</w:t>
      </w:r>
      <w:bookmarkEnd w:id="385"/>
    </w:p>
    <w:p w14:paraId="02BC4C75">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五、如果中标，</w:t>
      </w:r>
      <w:r>
        <w:rPr>
          <w:rFonts w:hint="eastAsia" w:ascii="仿宋_GB2312" w:hAnsi="仿宋_GB2312" w:eastAsia="仿宋_GB2312" w:cs="仿宋_GB2312"/>
          <w:color w:val="auto"/>
          <w:kern w:val="0"/>
          <w:sz w:val="24"/>
          <w:szCs w:val="24"/>
          <w:highlight w:val="none"/>
        </w:rPr>
        <w:t>联合体各成员方共同与采购人签订合同，并就采购合同约定的事项对采购人承担连带责任。</w:t>
      </w:r>
    </w:p>
    <w:p w14:paraId="5D6E0DDC">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六、有关本次联合投标的其他事宜：</w:t>
      </w:r>
    </w:p>
    <w:p w14:paraId="07C8AE6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1、联合体各方不再单独参加或者与其他供应商另外组成联合体参加同一合同项下的政府采购活动。</w:t>
      </w:r>
    </w:p>
    <w:p w14:paraId="3366FA9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2、联合体中有同类资质的各方按照联合体分工承担相同工作的，按照资质等级较低的供应商确定资质等级。</w:t>
      </w:r>
    </w:p>
    <w:p w14:paraId="730DD81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3、本协议提交采购人、采购代理机构后，联合体各方不得以任何形式对上述内容进行修改或撤销。</w:t>
      </w:r>
    </w:p>
    <w:p w14:paraId="18DEE0A3">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p>
    <w:p w14:paraId="47C0549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p>
    <w:p w14:paraId="485643CC">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p>
    <w:p w14:paraId="29F8B824">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联合体成员名称（电子签名/公章）：</w:t>
      </w:r>
    </w:p>
    <w:p w14:paraId="39C67ABD">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联合体成员名称（电子签名/公章）：</w:t>
      </w:r>
    </w:p>
    <w:p w14:paraId="75FD97D7">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w:t>
      </w:r>
    </w:p>
    <w:p w14:paraId="6396631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日期：  年  月   日</w:t>
      </w:r>
    </w:p>
    <w:p w14:paraId="39580DB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注：按本格式和要求提供。</w:t>
      </w:r>
    </w:p>
    <w:p w14:paraId="5B218383">
      <w:pPr>
        <w:adjustRightInd/>
        <w:spacing w:line="440" w:lineRule="exact"/>
        <w:rPr>
          <w:rFonts w:ascii="仿宋_GB2312" w:hAnsi="仿宋_GB2312" w:eastAsia="仿宋_GB2312" w:cs="仿宋_GB2312"/>
          <w:color w:val="auto"/>
          <w:sz w:val="24"/>
          <w:highlight w:val="none"/>
          <w:lang w:val="zh-CN"/>
        </w:rPr>
      </w:pPr>
    </w:p>
    <w:p w14:paraId="67ED7AF5">
      <w:pPr>
        <w:rPr>
          <w:rFonts w:hint="eastAsia" w:ascii="仿宋_GB2312" w:hAnsi="仿宋_GB2312" w:eastAsia="仿宋_GB2312" w:cs="仿宋_GB2312"/>
          <w:b/>
          <w:color w:val="auto"/>
          <w:spacing w:val="6"/>
          <w:sz w:val="32"/>
          <w:szCs w:val="32"/>
          <w:highlight w:val="none"/>
        </w:rPr>
      </w:pPr>
    </w:p>
    <w:p w14:paraId="7F1624ED">
      <w:pPr>
        <w:rPr>
          <w:rFonts w:hint="eastAsia"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br w:type="page"/>
      </w:r>
    </w:p>
    <w:p w14:paraId="1AF4D00E">
      <w:pPr>
        <w:adjustRightInd/>
        <w:spacing w:line="440" w:lineRule="exact"/>
        <w:outlineLvl w:val="2"/>
        <w:rPr>
          <w:rFonts w:hint="eastAsia"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附件</w:t>
      </w:r>
      <w:r>
        <w:rPr>
          <w:rFonts w:hint="eastAsia" w:ascii="仿宋_GB2312" w:hAnsi="仿宋_GB2312" w:eastAsia="仿宋_GB2312" w:cs="仿宋_GB2312"/>
          <w:b/>
          <w:color w:val="auto"/>
          <w:spacing w:val="6"/>
          <w:sz w:val="32"/>
          <w:szCs w:val="32"/>
          <w:highlight w:val="none"/>
          <w:lang w:val="en-US" w:eastAsia="zh-CN"/>
        </w:rPr>
        <w:t>7</w:t>
      </w:r>
      <w:r>
        <w:rPr>
          <w:rFonts w:hint="eastAsia" w:ascii="仿宋_GB2312" w:hAnsi="仿宋_GB2312" w:eastAsia="仿宋_GB2312" w:cs="仿宋_GB2312"/>
          <w:b/>
          <w:color w:val="auto"/>
          <w:spacing w:val="6"/>
          <w:sz w:val="32"/>
          <w:szCs w:val="32"/>
          <w:highlight w:val="none"/>
        </w:rPr>
        <w:t>：政府采购活动现场确认声明书</w:t>
      </w:r>
      <w:bookmarkEnd w:id="382"/>
    </w:p>
    <w:p w14:paraId="018A860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b/>
          <w:color w:val="auto"/>
          <w:sz w:val="32"/>
          <w:szCs w:val="32"/>
          <w:highlight w:val="none"/>
        </w:rPr>
      </w:pPr>
    </w:p>
    <w:p w14:paraId="23AED09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政府采购活动现场确认声明书</w:t>
      </w:r>
    </w:p>
    <w:p w14:paraId="34CE2391">
      <w:pPr>
        <w:keepNext w:val="0"/>
        <w:keepLines w:val="0"/>
        <w:pageBreakBefore w:val="0"/>
        <w:kinsoku/>
        <w:wordWrap/>
        <w:overflowPunct/>
        <w:topLinePunct w:val="0"/>
        <w:bidi w:val="0"/>
        <w:adjustRightInd/>
        <w:snapToGrid/>
        <w:spacing w:beforeAutospacing="0" w:afterAutospacing="0" w:line="440" w:lineRule="exact"/>
        <w:ind w:firstLine="480" w:firstLineChars="200"/>
        <w:jc w:val="both"/>
        <w:textAlignment w:val="auto"/>
        <w:rPr>
          <w:rFonts w:hint="eastAsia" w:ascii="仿宋_GB2312" w:hAnsi="仿宋_GB2312" w:eastAsia="仿宋_GB2312" w:cs="仿宋_GB2312"/>
          <w:color w:val="auto"/>
          <w:sz w:val="24"/>
          <w:highlight w:val="none"/>
        </w:rPr>
      </w:pPr>
    </w:p>
    <w:p w14:paraId="67E16456">
      <w:pPr>
        <w:keepNext w:val="0"/>
        <w:keepLines w:val="0"/>
        <w:pageBreakBefore w:val="0"/>
        <w:kinsoku/>
        <w:wordWrap/>
        <w:overflowPunct/>
        <w:topLinePunct w:val="0"/>
        <w:bidi w:val="0"/>
        <w:adjustRightInd/>
        <w:snapToGrid/>
        <w:spacing w:line="440" w:lineRule="exact"/>
        <w:jc w:val="both"/>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CN"/>
        </w:rPr>
        <w:t>浙江省成套招标代理有限公司</w:t>
      </w:r>
      <w:r>
        <w:rPr>
          <w:rFonts w:hint="eastAsia" w:ascii="仿宋_GB2312" w:hAnsi="仿宋_GB2312" w:eastAsia="仿宋_GB2312" w:cs="仿宋_GB2312"/>
          <w:color w:val="auto"/>
          <w:sz w:val="24"/>
          <w:szCs w:val="24"/>
          <w:highlight w:val="none"/>
        </w:rPr>
        <w:t>：</w:t>
      </w:r>
    </w:p>
    <w:p w14:paraId="73986AA2">
      <w:pPr>
        <w:keepNext w:val="0"/>
        <w:keepLines w:val="0"/>
        <w:pageBreakBefore w:val="0"/>
        <w:kinsoku/>
        <w:wordWrap/>
        <w:overflowPunct/>
        <w:topLinePunct w:val="0"/>
        <w:bidi w:val="0"/>
        <w:adjustRightInd/>
        <w:snapToGrid/>
        <w:spacing w:line="440" w:lineRule="exact"/>
        <w:ind w:firstLine="504" w:firstLineChars="200"/>
        <w:jc w:val="both"/>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本人</w:t>
      </w:r>
      <w:r>
        <w:rPr>
          <w:rFonts w:hint="eastAsia" w:ascii="仿宋_GB2312" w:hAnsi="仿宋_GB2312" w:eastAsia="仿宋_GB2312" w:cs="仿宋_GB2312"/>
          <w:color w:val="auto"/>
          <w:spacing w:val="6"/>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（授权代表姓名），经由</w:t>
      </w:r>
      <w:r>
        <w:rPr>
          <w:rFonts w:hint="eastAsia" w:ascii="仿宋_GB2312" w:hAnsi="仿宋_GB2312" w:eastAsia="仿宋_GB2312" w:cs="仿宋_GB2312"/>
          <w:color w:val="auto"/>
          <w:spacing w:val="6"/>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（单位）</w:t>
      </w:r>
      <w:r>
        <w:rPr>
          <w:rFonts w:hint="eastAsia" w:ascii="仿宋_GB2312" w:hAnsi="仿宋_GB2312" w:eastAsia="仿宋_GB2312" w:cs="仿宋_GB2312"/>
          <w:color w:val="auto"/>
          <w:spacing w:val="6"/>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（法定代表人姓名）合法授权参加</w:t>
      </w:r>
      <w:r>
        <w:rPr>
          <w:rFonts w:hint="eastAsia" w:ascii="仿宋_GB2312" w:hAnsi="仿宋_GB2312" w:eastAsia="仿宋_GB2312" w:cs="仿宋_GB2312"/>
          <w:color w:val="auto"/>
          <w:spacing w:val="6"/>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（编号：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）政府采购活动，经与本单位法人代表（负责人）联系确认，现就有关公平竞争事项郑重声明如下：</w:t>
      </w:r>
    </w:p>
    <w:p w14:paraId="2AAA7567">
      <w:pPr>
        <w:keepNext w:val="0"/>
        <w:keepLines w:val="0"/>
        <w:pageBreakBefore w:val="0"/>
        <w:widowControl/>
        <w:numPr>
          <w:ilvl w:val="0"/>
          <w:numId w:val="5"/>
        </w:numPr>
        <w:kinsoku/>
        <w:wordWrap/>
        <w:overflowPunct/>
        <w:topLinePunct w:val="0"/>
        <w:bidi w:val="0"/>
        <w:adjustRightInd/>
        <w:snapToGrid/>
        <w:spacing w:line="440" w:lineRule="exact"/>
        <w:ind w:firstLine="453" w:firstLineChars="189"/>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本单位与采购人之间 □不存在利害关系 □存在下列利害关系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64700E9E">
      <w:pPr>
        <w:keepNext w:val="0"/>
        <w:keepLines w:val="0"/>
        <w:pageBreakBefore w:val="0"/>
        <w:widowControl/>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A.投资关系    B.行政隶属关系    C.业务指导关系</w:t>
      </w:r>
    </w:p>
    <w:p w14:paraId="7D586AFE">
      <w:pPr>
        <w:keepNext w:val="0"/>
        <w:keepLines w:val="0"/>
        <w:pageBreakBefore w:val="0"/>
        <w:widowControl/>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D.其他可能影响采购公正的利害关系（如有，请如实说明）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44543AA">
      <w:pPr>
        <w:keepNext w:val="0"/>
        <w:keepLines w:val="0"/>
        <w:pageBreakBefore w:val="0"/>
        <w:widowControl/>
        <w:numPr>
          <w:ilvl w:val="0"/>
          <w:numId w:val="5"/>
        </w:numPr>
        <w:kinsoku/>
        <w:wordWrap/>
        <w:overflowPunct/>
        <w:topLinePunct w:val="0"/>
        <w:bidi w:val="0"/>
        <w:adjustRightInd/>
        <w:snapToGrid/>
        <w:spacing w:line="440" w:lineRule="exact"/>
        <w:ind w:firstLine="453" w:firstLineChars="189"/>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现已清楚知道参加本项目采购活动的其他所有供应商名称，本单位 □与其他所有供应商之间均不存在利害关系 □与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（供应商名称）之间存在下列利害关系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8FD8AF7">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A.法定代表人或负责人或实际控制人是同一人</w:t>
      </w:r>
    </w:p>
    <w:p w14:paraId="0EACF0FF">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z w:val="24"/>
          <w:szCs w:val="24"/>
          <w:highlight w:val="none"/>
        </w:rPr>
        <w:t>B.法定代表人或负责人或实际控制人是夫妻关系</w:t>
      </w:r>
    </w:p>
    <w:p w14:paraId="41957596">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z w:val="24"/>
          <w:szCs w:val="24"/>
          <w:highlight w:val="none"/>
        </w:rPr>
        <w:t>C.法定代表人或负责人或实际控制人是直系血亲关系</w:t>
      </w:r>
    </w:p>
    <w:p w14:paraId="11FC12D9">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z w:val="24"/>
          <w:szCs w:val="24"/>
          <w:highlight w:val="none"/>
        </w:rPr>
        <w:t>D.法定代表人或负责人或实际控制人存在三代以内旁系血亲关系</w:t>
      </w:r>
    </w:p>
    <w:p w14:paraId="5734E837">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E.法定代表人或负责人或实际控制人存在近姻亲关系</w:t>
      </w:r>
    </w:p>
    <w:p w14:paraId="4AAD6349">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F.法定代表人或负责人或实际控制人存在股份控制或实际控制关系</w:t>
      </w:r>
    </w:p>
    <w:p w14:paraId="6A391508">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G.存在共同直接或间接投资设立子公司、联营企业和合营企业情况</w:t>
      </w:r>
    </w:p>
    <w:p w14:paraId="6C65E206">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H.存在分级代理或代销关系、同一生产制造商关系、管理关系、重要业务（占主营业务收入50%以上）或重要财务往来关系（如融资）等其他实质性控制关系</w:t>
      </w:r>
    </w:p>
    <w:p w14:paraId="7B374377">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z w:val="24"/>
          <w:szCs w:val="24"/>
          <w:highlight w:val="none"/>
        </w:rPr>
        <w:t>I.其他利害关系情况</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BA77EEC">
      <w:pPr>
        <w:keepNext w:val="0"/>
        <w:keepLines w:val="0"/>
        <w:pageBreakBefore w:val="0"/>
        <w:widowControl/>
        <w:numPr>
          <w:ilvl w:val="0"/>
          <w:numId w:val="6"/>
        </w:numPr>
        <w:kinsoku/>
        <w:wordWrap/>
        <w:overflowPunct/>
        <w:topLinePunct w:val="0"/>
        <w:bidi w:val="0"/>
        <w:adjustRightInd/>
        <w:snapToGrid/>
        <w:spacing w:line="440" w:lineRule="exact"/>
        <w:ind w:firstLine="453" w:firstLineChars="189"/>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现已清楚知道并严格遵守政府采购法律法规和现场纪律。</w:t>
      </w:r>
    </w:p>
    <w:p w14:paraId="08BECDDF">
      <w:pPr>
        <w:keepNext w:val="0"/>
        <w:keepLines w:val="0"/>
        <w:pageBreakBefore w:val="0"/>
        <w:widowControl/>
        <w:numPr>
          <w:ilvl w:val="0"/>
          <w:numId w:val="6"/>
        </w:numPr>
        <w:kinsoku/>
        <w:wordWrap/>
        <w:overflowPunct/>
        <w:topLinePunct w:val="0"/>
        <w:bidi w:val="0"/>
        <w:adjustRightInd/>
        <w:snapToGrid/>
        <w:spacing w:line="440" w:lineRule="exact"/>
        <w:ind w:firstLine="453" w:firstLineChars="189"/>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我发现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供应商之间存在或可能存在上述第二条第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项利害关系</w:t>
      </w:r>
    </w:p>
    <w:p w14:paraId="72289888">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（供应商代表签名）：</w:t>
      </w:r>
      <w:r>
        <w:rPr>
          <w:rFonts w:hint="eastAsia" w:ascii="仿宋_GB2312" w:hAnsi="仿宋_GB2312" w:eastAsia="仿宋_GB2312" w:cs="仿宋_GB2312"/>
          <w:color w:val="auto"/>
          <w:sz w:val="24"/>
          <w:szCs w:val="24"/>
          <w:highlight w:val="none"/>
          <w:u w:val="single"/>
        </w:rPr>
        <w:t xml:space="preserve">        </w:t>
      </w:r>
    </w:p>
    <w:p w14:paraId="4A4A7FD8">
      <w:pPr>
        <w:keepNext w:val="0"/>
        <w:keepLines w:val="0"/>
        <w:pageBreakBefore w:val="0"/>
        <w:widowControl w:val="0"/>
        <w:kinsoku/>
        <w:wordWrap/>
        <w:overflowPunct/>
        <w:topLinePunct w:val="0"/>
        <w:autoSpaceDE/>
        <w:autoSpaceDN/>
        <w:bidi w:val="0"/>
        <w:adjustRightInd/>
        <w:snapToGrid/>
        <w:spacing w:line="440" w:lineRule="exact"/>
        <w:ind w:firstLine="4800" w:firstLineChars="20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71254E38">
      <w:pPr>
        <w:keepNext w:val="0"/>
        <w:keepLines w:val="0"/>
        <w:pageBreakBefore w:val="0"/>
        <w:kinsoku/>
        <w:wordWrap/>
        <w:overflowPunct/>
        <w:topLinePunct w:val="0"/>
        <w:bidi w:val="0"/>
        <w:adjustRightInd/>
        <w:snapToGrid/>
        <w:spacing w:line="440" w:lineRule="exact"/>
        <w:ind w:firstLine="470" w:firstLineChars="195"/>
        <w:jc w:val="both"/>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注：（1）供应商解密投标文件及获知其他供应商信息进行如实声明并盖章或授权代表签名后，以扫描件形式通过邮件方式发送至邮箱：</w:t>
      </w:r>
      <w:r>
        <w:rPr>
          <w:rFonts w:hint="eastAsia" w:ascii="仿宋_GB2312" w:hAnsi="仿宋_GB2312" w:eastAsia="仿宋_GB2312" w:cs="仿宋_GB2312"/>
          <w:b/>
          <w:color w:val="auto"/>
          <w:sz w:val="24"/>
          <w:szCs w:val="24"/>
          <w:highlight w:val="none"/>
          <w:lang w:val="en-US" w:eastAsia="zh-CN"/>
        </w:rPr>
        <w:t>409689007</w:t>
      </w:r>
      <w:r>
        <w:rPr>
          <w:rFonts w:hint="eastAsia" w:ascii="仿宋_GB2312" w:hAnsi="仿宋_GB2312" w:eastAsia="仿宋_GB2312" w:cs="仿宋_GB2312"/>
          <w:b/>
          <w:color w:val="auto"/>
          <w:sz w:val="24"/>
          <w:szCs w:val="24"/>
          <w:highlight w:val="none"/>
        </w:rPr>
        <w:t>@qq.com。</w:t>
      </w:r>
    </w:p>
    <w:p w14:paraId="02A23833">
      <w:pPr>
        <w:keepNext w:val="0"/>
        <w:keepLines w:val="0"/>
        <w:pageBreakBefore w:val="0"/>
        <w:kinsoku/>
        <w:wordWrap/>
        <w:overflowPunct/>
        <w:topLinePunct w:val="0"/>
        <w:bidi w:val="0"/>
        <w:adjustRightInd/>
        <w:snapToGrid/>
        <w:spacing w:line="440" w:lineRule="exact"/>
        <w:ind w:firstLine="470" w:firstLineChars="195"/>
        <w:jc w:val="both"/>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在电子投标文件解密后供应商可看到所参与标项的供应商名称，在确认与采购人和其他供应商不在存声明书中所列利害关系的情况下，请在一中的“□不存在利害关系”打钩，二中的“□与其他所有供应商之间均不存在利害关系”打钩，四中的2个下划线用斜杠“/”划掉。</w:t>
      </w:r>
    </w:p>
    <w:p w14:paraId="345D18CC">
      <w:pPr>
        <w:keepNext w:val="0"/>
        <w:keepLines w:val="0"/>
        <w:pageBreakBefore w:val="0"/>
        <w:kinsoku/>
        <w:wordWrap/>
        <w:overflowPunct/>
        <w:topLinePunct w:val="0"/>
        <w:bidi w:val="0"/>
        <w:adjustRightInd/>
        <w:snapToGrid/>
        <w:spacing w:line="440" w:lineRule="exact"/>
        <w:ind w:firstLine="470" w:firstLineChars="195"/>
        <w:jc w:val="both"/>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（3）此声明书非</w:t>
      </w:r>
      <w:r>
        <w:rPr>
          <w:rFonts w:hint="eastAsia" w:ascii="仿宋_GB2312" w:hAnsi="仿宋_GB2312" w:eastAsia="仿宋_GB2312" w:cs="仿宋_GB2312"/>
          <w:b/>
          <w:color w:val="auto"/>
          <w:sz w:val="24"/>
          <w:szCs w:val="24"/>
          <w:highlight w:val="none"/>
          <w:lang w:val="en-US" w:eastAsia="zh-CN"/>
        </w:rPr>
        <w:t>投标</w:t>
      </w:r>
      <w:r>
        <w:rPr>
          <w:rFonts w:hint="eastAsia" w:ascii="仿宋_GB2312" w:hAnsi="仿宋_GB2312" w:eastAsia="仿宋_GB2312" w:cs="仿宋_GB2312"/>
          <w:b/>
          <w:color w:val="auto"/>
          <w:sz w:val="24"/>
          <w:szCs w:val="24"/>
          <w:highlight w:val="none"/>
        </w:rPr>
        <w:t>文件的组成内容，无需编入</w:t>
      </w:r>
      <w:r>
        <w:rPr>
          <w:rFonts w:hint="eastAsia" w:ascii="仿宋_GB2312" w:hAnsi="仿宋_GB2312" w:eastAsia="仿宋_GB2312" w:cs="仿宋_GB2312"/>
          <w:b/>
          <w:color w:val="auto"/>
          <w:sz w:val="24"/>
          <w:szCs w:val="24"/>
          <w:highlight w:val="none"/>
          <w:lang w:val="en-US" w:eastAsia="zh-CN"/>
        </w:rPr>
        <w:t>投标</w:t>
      </w:r>
      <w:r>
        <w:rPr>
          <w:rFonts w:hint="eastAsia" w:ascii="仿宋_GB2312" w:hAnsi="仿宋_GB2312" w:eastAsia="仿宋_GB2312" w:cs="仿宋_GB2312"/>
          <w:b/>
          <w:color w:val="auto"/>
          <w:sz w:val="24"/>
          <w:szCs w:val="24"/>
          <w:highlight w:val="none"/>
        </w:rPr>
        <w:t>文件</w:t>
      </w:r>
      <w:r>
        <w:rPr>
          <w:rFonts w:hint="eastAsia" w:ascii="仿宋_GB2312" w:hAnsi="仿宋_GB2312" w:eastAsia="仿宋_GB2312" w:cs="仿宋_GB2312"/>
          <w:b/>
          <w:color w:val="auto"/>
          <w:sz w:val="24"/>
          <w:szCs w:val="24"/>
          <w:highlight w:val="none"/>
          <w:lang w:eastAsia="zh-CN"/>
        </w:rPr>
        <w:t>。</w:t>
      </w:r>
    </w:p>
    <w:p w14:paraId="6F6F0BB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14:paraId="37E41321">
      <w:pPr>
        <w:adjustRightInd/>
        <w:spacing w:line="440" w:lineRule="exact"/>
        <w:outlineLvl w:val="2"/>
        <w:rPr>
          <w:rFonts w:hint="eastAsia" w:ascii="仿宋_GB2312" w:hAnsi="仿宋_GB2312" w:eastAsia="仿宋_GB2312" w:cs="仿宋_GB2312"/>
          <w:b/>
          <w:color w:val="auto"/>
          <w:spacing w:val="6"/>
          <w:sz w:val="32"/>
          <w:szCs w:val="32"/>
          <w:highlight w:val="none"/>
        </w:rPr>
      </w:pPr>
      <w:r>
        <w:rPr>
          <w:rFonts w:hint="eastAsia" w:ascii="仿宋_GB2312" w:hAnsi="仿宋_GB2312" w:eastAsia="仿宋_GB2312" w:cs="仿宋_GB2312"/>
          <w:b/>
          <w:color w:val="auto"/>
          <w:spacing w:val="6"/>
          <w:sz w:val="32"/>
          <w:szCs w:val="32"/>
          <w:highlight w:val="none"/>
        </w:rPr>
        <w:t>附件</w:t>
      </w:r>
      <w:r>
        <w:rPr>
          <w:rFonts w:hint="eastAsia" w:ascii="仿宋_GB2312" w:hAnsi="仿宋_GB2312" w:eastAsia="仿宋_GB2312" w:cs="仿宋_GB2312"/>
          <w:b/>
          <w:color w:val="auto"/>
          <w:spacing w:val="6"/>
          <w:sz w:val="32"/>
          <w:szCs w:val="32"/>
          <w:highlight w:val="none"/>
          <w:lang w:val="en-US" w:eastAsia="zh-CN"/>
        </w:rPr>
        <w:t>8</w:t>
      </w:r>
      <w:r>
        <w:rPr>
          <w:rFonts w:hint="eastAsia" w:ascii="仿宋_GB2312" w:hAnsi="仿宋_GB2312" w:eastAsia="仿宋_GB2312" w:cs="仿宋_GB2312"/>
          <w:b/>
          <w:color w:val="auto"/>
          <w:spacing w:val="6"/>
          <w:sz w:val="32"/>
          <w:szCs w:val="32"/>
          <w:highlight w:val="none"/>
        </w:rPr>
        <w:t>：关于符合本国产品标准的声明函</w:t>
      </w:r>
    </w:p>
    <w:p w14:paraId="5D179D2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b/>
          <w:color w:val="auto"/>
          <w:sz w:val="32"/>
          <w:szCs w:val="32"/>
          <w:highlight w:val="none"/>
        </w:rPr>
      </w:pPr>
    </w:p>
    <w:p w14:paraId="6063587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关于符合本国产品标准的声明函</w:t>
      </w:r>
    </w:p>
    <w:p w14:paraId="6E203ED1">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p>
    <w:p w14:paraId="211D5BAD">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826B537">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（产品名称1）</w:t>
      </w:r>
      <w:r>
        <w:rPr>
          <w:rFonts w:hint="eastAsia" w:ascii="仿宋_GB2312" w:hAnsi="仿宋_GB2312" w:eastAsia="仿宋_GB2312" w:cs="仿宋_GB2312"/>
          <w:i/>
          <w:iCs/>
          <w:color w:val="auto"/>
          <w:sz w:val="24"/>
          <w:szCs w:val="24"/>
          <w:highlight w:val="none"/>
          <w:u w:val="single"/>
          <w:lang w:val="en-US" w:eastAsia="zh-CN"/>
        </w:rPr>
        <w:t xml:space="preserve">  </w:t>
      </w:r>
      <w:r>
        <w:rPr>
          <w:rStyle w:val="22"/>
          <w:rFonts w:hint="eastAsia" w:ascii="仿宋_GB2312" w:hAnsi="仿宋_GB2312" w:eastAsia="仿宋_GB2312" w:cs="仿宋_GB2312"/>
          <w:color w:val="auto"/>
          <w:sz w:val="32"/>
          <w:szCs w:val="32"/>
          <w:highlight w:val="none"/>
          <w:u w:val="single"/>
        </w:rPr>
        <w:footnoteReference w:id="0"/>
      </w:r>
      <w:r>
        <w:rPr>
          <w:rFonts w:hint="eastAsia" w:ascii="仿宋_GB2312" w:hAnsi="仿宋_GB2312" w:eastAsia="仿宋_GB2312" w:cs="仿宋_GB2312"/>
          <w:color w:val="auto"/>
          <w:sz w:val="24"/>
          <w:szCs w:val="24"/>
          <w:highlight w:val="none"/>
        </w:rPr>
        <w:t>，生产厂为</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（厂名）</w:t>
      </w:r>
      <w:r>
        <w:rPr>
          <w:rFonts w:hint="eastAsia" w:ascii="仿宋_GB2312" w:hAnsi="仿宋_GB2312" w:eastAsia="仿宋_GB2312" w:cs="仿宋_GB2312"/>
          <w:i/>
          <w:iCs/>
          <w:color w:val="auto"/>
          <w:sz w:val="24"/>
          <w:szCs w:val="24"/>
          <w:highlight w:val="none"/>
          <w:u w:val="single"/>
          <w:lang w:val="en-US" w:eastAsia="zh-CN"/>
        </w:rPr>
        <w:t xml:space="preserve">  </w:t>
      </w:r>
      <w:r>
        <w:rPr>
          <w:rStyle w:val="22"/>
          <w:rFonts w:hint="eastAsia" w:ascii="仿宋_GB2312" w:hAnsi="仿宋_GB2312" w:eastAsia="仿宋_GB2312" w:cs="仿宋_GB2312"/>
          <w:color w:val="auto"/>
          <w:sz w:val="32"/>
          <w:szCs w:val="32"/>
          <w:highlight w:val="none"/>
          <w:u w:val="single"/>
        </w:rPr>
        <w:footnoteReference w:id="1"/>
      </w:r>
      <w:r>
        <w:rPr>
          <w:rFonts w:hint="eastAsia" w:ascii="仿宋_GB2312" w:hAnsi="仿宋_GB2312" w:eastAsia="仿宋_GB2312" w:cs="仿宋_GB2312"/>
          <w:color w:val="auto"/>
          <w:sz w:val="24"/>
          <w:szCs w:val="24"/>
          <w:highlight w:val="none"/>
        </w:rPr>
        <w:t>，厂址为</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（生产厂址）</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14:paraId="5D2F1AB3">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（产品名称1）</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的中国境内生产的组件成本占比≥</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（规定比例）</w:t>
      </w:r>
      <w:r>
        <w:rPr>
          <w:rFonts w:hint="eastAsia" w:ascii="仿宋_GB2312" w:hAnsi="仿宋_GB2312" w:eastAsia="仿宋_GB2312" w:cs="仿宋_GB2312"/>
          <w:i/>
          <w:iCs/>
          <w:color w:val="auto"/>
          <w:sz w:val="24"/>
          <w:szCs w:val="24"/>
          <w:highlight w:val="none"/>
          <w:u w:val="single"/>
          <w:lang w:val="en-US" w:eastAsia="zh-CN"/>
        </w:rPr>
        <w:t xml:space="preserve">  </w:t>
      </w:r>
      <w:r>
        <w:rPr>
          <w:rStyle w:val="22"/>
          <w:rFonts w:hint="eastAsia" w:ascii="仿宋_GB2312" w:hAnsi="仿宋_GB2312" w:eastAsia="仿宋_GB2312" w:cs="仿宋_GB2312"/>
          <w:color w:val="auto"/>
          <w:sz w:val="32"/>
          <w:szCs w:val="32"/>
          <w:highlight w:val="none"/>
          <w:u w:val="single"/>
        </w:rPr>
        <w:footnoteReference w:id="2"/>
      </w:r>
      <w:r>
        <w:rPr>
          <w:rFonts w:hint="eastAsia" w:ascii="仿宋_GB2312" w:hAnsi="仿宋_GB2312" w:eastAsia="仿宋_GB2312" w:cs="仿宋_GB2312"/>
          <w:b/>
          <w:bCs/>
          <w:color w:val="auto"/>
          <w:sz w:val="24"/>
          <w:szCs w:val="24"/>
          <w:highlight w:val="none"/>
        </w:rPr>
        <w:t>（尚未实施）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（产品名称1）</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（关键组件）</w:t>
      </w:r>
      <w:r>
        <w:rPr>
          <w:rFonts w:hint="eastAsia" w:ascii="仿宋_GB2312" w:hAnsi="仿宋_GB2312" w:eastAsia="仿宋_GB2312" w:cs="仿宋_GB2312"/>
          <w:i/>
          <w:iCs/>
          <w:color w:val="auto"/>
          <w:sz w:val="24"/>
          <w:szCs w:val="24"/>
          <w:highlight w:val="none"/>
          <w:u w:val="single"/>
          <w:lang w:val="en-US" w:eastAsia="zh-CN"/>
        </w:rPr>
        <w:t xml:space="preserve">  </w:t>
      </w:r>
      <w:r>
        <w:rPr>
          <w:rStyle w:val="22"/>
          <w:rFonts w:hint="eastAsia" w:ascii="仿宋_GB2312" w:hAnsi="仿宋_GB2312" w:eastAsia="仿宋_GB2312" w:cs="仿宋_GB2312"/>
          <w:i w:val="0"/>
          <w:iCs w:val="0"/>
          <w:color w:val="auto"/>
          <w:sz w:val="32"/>
          <w:szCs w:val="32"/>
          <w:highlight w:val="none"/>
          <w:u w:val="single"/>
          <w:lang w:val="en-US" w:eastAsia="zh-CN"/>
        </w:rPr>
        <w:footnoteReference w:id="3"/>
      </w:r>
      <w:r>
        <w:rPr>
          <w:rFonts w:hint="eastAsia" w:ascii="仿宋_GB2312" w:hAnsi="仿宋_GB2312" w:eastAsia="仿宋_GB2312" w:cs="仿宋_GB2312"/>
          <w:color w:val="auto"/>
          <w:sz w:val="24"/>
          <w:szCs w:val="24"/>
          <w:highlight w:val="none"/>
        </w:rPr>
        <w:t>在中国境内生产</w:t>
      </w:r>
      <w:r>
        <w:rPr>
          <w:rFonts w:hint="eastAsia" w:ascii="仿宋_GB2312" w:hAnsi="仿宋_GB2312" w:eastAsia="仿宋_GB2312" w:cs="仿宋_GB2312"/>
          <w:b/>
          <w:bCs/>
          <w:color w:val="auto"/>
          <w:sz w:val="24"/>
          <w:szCs w:val="24"/>
          <w:highlight w:val="none"/>
        </w:rPr>
        <w:t>（尚未实施）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（产品名称1）</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（关键工序）</w:t>
      </w:r>
      <w:r>
        <w:rPr>
          <w:rFonts w:hint="eastAsia" w:ascii="仿宋_GB2312" w:hAnsi="仿宋_GB2312" w:eastAsia="仿宋_GB2312" w:cs="仿宋_GB2312"/>
          <w:i/>
          <w:iCs/>
          <w:color w:val="auto"/>
          <w:sz w:val="24"/>
          <w:szCs w:val="24"/>
          <w:highlight w:val="none"/>
          <w:u w:val="single"/>
          <w:lang w:val="en-US" w:eastAsia="zh-CN"/>
        </w:rPr>
        <w:t xml:space="preserve">  </w:t>
      </w:r>
      <w:r>
        <w:rPr>
          <w:rStyle w:val="22"/>
          <w:rFonts w:hint="eastAsia" w:ascii="仿宋_GB2312" w:hAnsi="仿宋_GB2312" w:eastAsia="仿宋_GB2312" w:cs="仿宋_GB2312"/>
          <w:i w:val="0"/>
          <w:iCs w:val="0"/>
          <w:color w:val="auto"/>
          <w:sz w:val="32"/>
          <w:szCs w:val="32"/>
          <w:highlight w:val="none"/>
          <w:u w:val="single"/>
          <w:lang w:val="en-US" w:eastAsia="zh-CN"/>
        </w:rPr>
        <w:footnoteReference w:id="4"/>
      </w:r>
      <w:r>
        <w:rPr>
          <w:rFonts w:hint="eastAsia" w:ascii="仿宋_GB2312" w:hAnsi="仿宋_GB2312" w:eastAsia="仿宋_GB2312" w:cs="仿宋_GB2312"/>
          <w:color w:val="auto"/>
          <w:sz w:val="24"/>
          <w:szCs w:val="24"/>
          <w:highlight w:val="none"/>
        </w:rPr>
        <w:t>在中国境内完成</w:t>
      </w:r>
      <w:r>
        <w:rPr>
          <w:rFonts w:hint="eastAsia" w:ascii="仿宋_GB2312" w:hAnsi="仿宋_GB2312" w:eastAsia="仿宋_GB2312" w:cs="仿宋_GB2312"/>
          <w:b/>
          <w:bCs/>
          <w:color w:val="auto"/>
          <w:sz w:val="24"/>
          <w:szCs w:val="24"/>
          <w:highlight w:val="none"/>
        </w:rPr>
        <w:t>（尚未实施）</w:t>
      </w:r>
      <w:r>
        <w:rPr>
          <w:rFonts w:hint="eastAsia" w:ascii="仿宋_GB2312" w:hAnsi="仿宋_GB2312" w:eastAsia="仿宋_GB2312" w:cs="仿宋_GB2312"/>
          <w:color w:val="auto"/>
          <w:sz w:val="24"/>
          <w:szCs w:val="24"/>
          <w:highlight w:val="none"/>
        </w:rPr>
        <w:t>。</w:t>
      </w:r>
    </w:p>
    <w:p w14:paraId="1D083678">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w:t>
      </w:r>
      <w:r>
        <w:rPr>
          <w:rFonts w:hint="eastAsia" w:ascii="仿宋_GB2312" w:hAnsi="仿宋_GB2312" w:eastAsia="仿宋_GB2312" w:cs="仿宋_GB2312"/>
          <w:i/>
          <w:iCs/>
          <w:color w:val="auto"/>
          <w:sz w:val="24"/>
          <w:szCs w:val="24"/>
          <w:highlight w:val="none"/>
          <w:u w:val="single"/>
          <w:lang w:val="en-US" w:eastAsia="zh-CN"/>
        </w:rPr>
        <w:t>2</w:t>
      </w:r>
      <w:r>
        <w:rPr>
          <w:rFonts w:hint="eastAsia" w:ascii="仿宋_GB2312" w:hAnsi="仿宋_GB2312" w:eastAsia="仿宋_GB2312" w:cs="仿宋_GB2312"/>
          <w:i/>
          <w:iCs/>
          <w:color w:val="auto"/>
          <w:sz w:val="24"/>
          <w:szCs w:val="24"/>
          <w:highlight w:val="none"/>
          <w:u w:val="singl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，生产厂为</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（厂名）</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，厂址为</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（生产厂址）</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14:paraId="1F2135A4">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w:t>
      </w:r>
      <w:r>
        <w:rPr>
          <w:rFonts w:hint="eastAsia" w:ascii="仿宋_GB2312" w:hAnsi="仿宋_GB2312" w:eastAsia="仿宋_GB2312" w:cs="仿宋_GB2312"/>
          <w:i/>
          <w:iCs/>
          <w:color w:val="auto"/>
          <w:sz w:val="24"/>
          <w:szCs w:val="24"/>
          <w:highlight w:val="none"/>
          <w:u w:val="single"/>
          <w:lang w:val="en-US" w:eastAsia="zh-CN"/>
        </w:rPr>
        <w:t>2</w:t>
      </w:r>
      <w:r>
        <w:rPr>
          <w:rFonts w:hint="eastAsia" w:ascii="仿宋_GB2312" w:hAnsi="仿宋_GB2312" w:eastAsia="仿宋_GB2312" w:cs="仿宋_GB2312"/>
          <w:i/>
          <w:iCs/>
          <w:color w:val="auto"/>
          <w:sz w:val="24"/>
          <w:szCs w:val="24"/>
          <w:highlight w:val="none"/>
          <w:u w:val="singl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的中国境内生产的组件成本占比≥</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（规定比例）</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b/>
          <w:bCs/>
          <w:color w:val="auto"/>
          <w:sz w:val="24"/>
          <w:szCs w:val="24"/>
          <w:highlight w:val="none"/>
        </w:rPr>
        <w:t>（尚未实施）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w:t>
      </w:r>
      <w:r>
        <w:rPr>
          <w:rFonts w:hint="eastAsia" w:ascii="仿宋_GB2312" w:hAnsi="仿宋_GB2312" w:eastAsia="仿宋_GB2312" w:cs="仿宋_GB2312"/>
          <w:i/>
          <w:iCs/>
          <w:color w:val="auto"/>
          <w:sz w:val="24"/>
          <w:szCs w:val="24"/>
          <w:highlight w:val="none"/>
          <w:u w:val="single"/>
          <w:lang w:val="en-US" w:eastAsia="zh-CN"/>
        </w:rPr>
        <w:t>2</w:t>
      </w:r>
      <w:r>
        <w:rPr>
          <w:rFonts w:hint="eastAsia" w:ascii="仿宋_GB2312" w:hAnsi="仿宋_GB2312" w:eastAsia="仿宋_GB2312" w:cs="仿宋_GB2312"/>
          <w:i/>
          <w:iCs/>
          <w:color w:val="auto"/>
          <w:sz w:val="24"/>
          <w:szCs w:val="24"/>
          <w:highlight w:val="none"/>
          <w:u w:val="singl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（关键组件）</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在中国境内生产</w:t>
      </w:r>
      <w:r>
        <w:rPr>
          <w:rFonts w:hint="eastAsia" w:ascii="仿宋_GB2312" w:hAnsi="仿宋_GB2312" w:eastAsia="仿宋_GB2312" w:cs="仿宋_GB2312"/>
          <w:b/>
          <w:bCs/>
          <w:color w:val="auto"/>
          <w:sz w:val="24"/>
          <w:szCs w:val="24"/>
          <w:highlight w:val="none"/>
        </w:rPr>
        <w:t>（尚未实施）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（产品名称</w:t>
      </w:r>
      <w:r>
        <w:rPr>
          <w:rFonts w:hint="eastAsia" w:ascii="仿宋_GB2312" w:hAnsi="仿宋_GB2312" w:eastAsia="仿宋_GB2312" w:cs="仿宋_GB2312"/>
          <w:i/>
          <w:iCs/>
          <w:color w:val="auto"/>
          <w:sz w:val="24"/>
          <w:szCs w:val="24"/>
          <w:highlight w:val="none"/>
          <w:u w:val="single"/>
          <w:lang w:val="en-US" w:eastAsia="zh-CN"/>
        </w:rPr>
        <w:t>2</w:t>
      </w:r>
      <w:r>
        <w:rPr>
          <w:rFonts w:hint="eastAsia" w:ascii="仿宋_GB2312" w:hAnsi="仿宋_GB2312" w:eastAsia="仿宋_GB2312" w:cs="仿宋_GB2312"/>
          <w:i/>
          <w:iCs/>
          <w:color w:val="auto"/>
          <w:sz w:val="24"/>
          <w:szCs w:val="24"/>
          <w:highlight w:val="none"/>
          <w:u w:val="single"/>
        </w:rPr>
        <w:t>）</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i/>
          <w:iCs/>
          <w:color w:val="auto"/>
          <w:sz w:val="24"/>
          <w:szCs w:val="24"/>
          <w:highlight w:val="none"/>
          <w:u w:val="single"/>
        </w:rPr>
        <w:t>（关键工序）</w:t>
      </w:r>
      <w:r>
        <w:rPr>
          <w:rFonts w:hint="eastAsia" w:ascii="仿宋_GB2312" w:hAnsi="仿宋_GB2312" w:eastAsia="仿宋_GB2312" w:cs="仿宋_GB2312"/>
          <w:i/>
          <w:i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在中国境内完成</w:t>
      </w:r>
      <w:r>
        <w:rPr>
          <w:rFonts w:hint="eastAsia" w:ascii="仿宋_GB2312" w:hAnsi="仿宋_GB2312" w:eastAsia="仿宋_GB2312" w:cs="仿宋_GB2312"/>
          <w:b/>
          <w:bCs/>
          <w:color w:val="auto"/>
          <w:sz w:val="24"/>
          <w:szCs w:val="24"/>
          <w:highlight w:val="none"/>
        </w:rPr>
        <w:t>（尚未实施）</w:t>
      </w:r>
      <w:r>
        <w:rPr>
          <w:rFonts w:hint="eastAsia" w:ascii="仿宋_GB2312" w:hAnsi="仿宋_GB2312" w:eastAsia="仿宋_GB2312" w:cs="仿宋_GB2312"/>
          <w:color w:val="auto"/>
          <w:sz w:val="24"/>
          <w:szCs w:val="24"/>
          <w:highlight w:val="none"/>
        </w:rPr>
        <w:t>。</w:t>
      </w:r>
    </w:p>
    <w:p w14:paraId="366B1428">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p w14:paraId="646C42BB">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本公司（单位）对上述声明内容的真实性负责。如有虚假，愿承担相应法律责任。</w:t>
      </w:r>
    </w:p>
    <w:p w14:paraId="7BA8D279">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公司（单位）名称（盖章）：</w:t>
      </w:r>
    </w:p>
    <w:p w14:paraId="195A5789">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p w14:paraId="200A8415">
      <w:pPr>
        <w:keepNext w:val="0"/>
        <w:keepLines w:val="0"/>
        <w:pageBreakBefore w:val="0"/>
        <w:kinsoku/>
        <w:wordWrap/>
        <w:overflowPunct/>
        <w:topLinePunct w:val="0"/>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rPr>
      </w:pPr>
    </w:p>
    <w:sectPr>
      <w:footnotePr>
        <w:numFmt w:val="decimalEnclosedCircleChinese"/>
        <w:numRestart w:val="eachSect"/>
      </w:footnotePr>
      <w:pgSz w:w="11906" w:h="16838"/>
      <w:pgMar w:top="1417" w:right="1134" w:bottom="1417" w:left="1417" w:header="1304"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Neue Light">
    <w:altName w:val="Segoe Print"/>
    <w:panose1 w:val="00000000000000000000"/>
    <w:charset w:val="00"/>
    <w:family w:val="swiss"/>
    <w:pitch w:val="default"/>
    <w:sig w:usb0="00000000" w:usb1="00000000" w:usb2="00000002" w:usb3="00000000" w:csb0="00000007" w:csb1="00000000"/>
  </w:font>
  <w:font w:name="Segoe Print">
    <w:panose1 w:val="02000600000000000000"/>
    <w:charset w:val="00"/>
    <w:family w:val="auto"/>
    <w:pitch w:val="default"/>
    <w:sig w:usb0="0000028F" w:usb1="00000000" w:usb2="00000000" w:usb3="00000000" w:csb0="2000009F" w:csb1="47010000"/>
  </w:font>
  <w:font w:name="ヒラギノ角ゴ Pro W3">
    <w:altName w:val="MS Gothic"/>
    <w:panose1 w:val="00000000000000000000"/>
    <w:charset w:val="80"/>
    <w:family w:val="swiss"/>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58E23">
    <w:pPr>
      <w:pStyle w:val="7"/>
      <w:framePr w:wrap="around" w:vAnchor="text" w:hAnchor="margin" w:xAlign="right" w:y="1"/>
      <w:rPr>
        <w:rStyle w:val="18"/>
      </w:rPr>
    </w:pPr>
    <w:r>
      <w:fldChar w:fldCharType="begin"/>
    </w:r>
    <w:r>
      <w:rPr>
        <w:rStyle w:val="18"/>
      </w:rPr>
      <w:instrText xml:space="preserve">PAGE  </w:instrText>
    </w:r>
    <w:r>
      <w:fldChar w:fldCharType="end"/>
    </w:r>
  </w:p>
  <w:p w14:paraId="41F67648">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EE1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3C76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43C76E">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5D2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DC18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1DC18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3D5656B">
      <w:pPr>
        <w:pStyle w:val="9"/>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宋体" w:hAnsi="宋体" w:eastAsia="宋体" w:cs="宋体"/>
          <w:sz w:val="21"/>
          <w:szCs w:val="21"/>
        </w:rPr>
      </w:pPr>
      <w:r>
        <w:rPr>
          <w:rStyle w:val="22"/>
          <w:rFonts w:hint="eastAsia" w:ascii="宋体" w:hAnsi="宋体" w:eastAsia="宋体" w:cs="宋体"/>
          <w:sz w:val="21"/>
          <w:szCs w:val="21"/>
          <w:vertAlign w:val="baseline"/>
        </w:rPr>
        <w:footnoteRef/>
      </w:r>
      <w:r>
        <w:rPr>
          <w:rFonts w:hint="eastAsia" w:ascii="宋体" w:hAnsi="宋体" w:eastAsia="宋体" w:cs="宋体"/>
          <w:sz w:val="21"/>
          <w:szCs w:val="21"/>
        </w:rPr>
        <w:t>产品如有型号，请在“产品名称”栏一并填写。</w:t>
      </w:r>
    </w:p>
  </w:footnote>
  <w:footnote w:id="1">
    <w:p w14:paraId="3D32539C">
      <w:pPr>
        <w:pStyle w:val="9"/>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宋体" w:hAnsi="宋体" w:eastAsia="宋体" w:cs="宋体"/>
          <w:sz w:val="21"/>
          <w:szCs w:val="21"/>
        </w:rPr>
      </w:pPr>
      <w:r>
        <w:rPr>
          <w:rStyle w:val="22"/>
          <w:rFonts w:hint="eastAsia" w:ascii="宋体" w:hAnsi="宋体" w:eastAsia="宋体" w:cs="宋体"/>
          <w:sz w:val="21"/>
          <w:szCs w:val="21"/>
          <w:vertAlign w:val="baseline"/>
        </w:rPr>
        <w:footnoteRef/>
      </w:r>
      <w:r>
        <w:rPr>
          <w:rFonts w:hint="eastAsia" w:ascii="宋体" w:hAnsi="宋体" w:eastAsia="宋体" w:cs="宋体"/>
          <w:sz w:val="21"/>
          <w:szCs w:val="21"/>
        </w:rPr>
        <w:t>生产厂名与厂址应与生产厂营业执照载明的相关信息保持一致。</w:t>
      </w:r>
    </w:p>
  </w:footnote>
  <w:footnote w:id="2">
    <w:p w14:paraId="11772CBC">
      <w:pPr>
        <w:pStyle w:val="9"/>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宋体" w:hAnsi="宋体" w:eastAsia="宋体" w:cs="宋体"/>
          <w:sz w:val="21"/>
          <w:szCs w:val="21"/>
        </w:rPr>
      </w:pPr>
      <w:r>
        <w:rPr>
          <w:rStyle w:val="22"/>
          <w:rFonts w:hint="eastAsia" w:ascii="宋体" w:hAnsi="宋体" w:eastAsia="宋体" w:cs="宋体"/>
          <w:sz w:val="21"/>
          <w:szCs w:val="21"/>
          <w:vertAlign w:val="baseline"/>
        </w:rPr>
        <w:footnoteRef/>
      </w:r>
      <w:r>
        <w:rPr>
          <w:rFonts w:hint="eastAsia" w:ascii="宋体" w:hAnsi="宋体" w:eastAsia="宋体" w:cs="宋体"/>
          <w:sz w:val="21"/>
          <w:szCs w:val="21"/>
        </w:rPr>
        <w:t>该产品的中国境内生产的组件成本占比相关要求实施前，“规定比例”栏可不填，下同。</w:t>
      </w:r>
    </w:p>
  </w:footnote>
  <w:footnote w:id="3">
    <w:p w14:paraId="10D0F30E">
      <w:pPr>
        <w:pStyle w:val="9"/>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宋体" w:hAnsi="宋体" w:eastAsia="宋体" w:cs="宋体"/>
          <w:sz w:val="21"/>
          <w:szCs w:val="21"/>
        </w:rPr>
      </w:pPr>
      <w:r>
        <w:rPr>
          <w:rStyle w:val="22"/>
          <w:rFonts w:hint="eastAsia" w:ascii="宋体" w:hAnsi="宋体" w:eastAsia="宋体" w:cs="宋体"/>
          <w:sz w:val="21"/>
          <w:szCs w:val="21"/>
          <w:vertAlign w:val="baseline"/>
        </w:rPr>
        <w:footnoteRef/>
      </w:r>
      <w:r>
        <w:rPr>
          <w:rFonts w:hint="eastAsia" w:ascii="宋体" w:hAnsi="宋体" w:eastAsia="宋体" w:cs="宋体"/>
          <w:sz w:val="21"/>
          <w:szCs w:val="21"/>
        </w:rPr>
        <w:t>该产品的关键组件要求实施前，“关键组件”栏可不填，下同。</w:t>
      </w:r>
    </w:p>
  </w:footnote>
  <w:footnote w:id="4">
    <w:p w14:paraId="5C6F1774">
      <w:pPr>
        <w:pStyle w:val="9"/>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宋体" w:hAnsi="宋体" w:eastAsia="宋体" w:cs="宋体"/>
          <w:sz w:val="21"/>
          <w:szCs w:val="21"/>
        </w:rPr>
      </w:pPr>
      <w:r>
        <w:rPr>
          <w:rStyle w:val="22"/>
          <w:rFonts w:hint="eastAsia" w:ascii="宋体" w:hAnsi="宋体" w:eastAsia="宋体" w:cs="宋体"/>
          <w:sz w:val="21"/>
          <w:szCs w:val="21"/>
          <w:vertAlign w:val="baseline"/>
        </w:rPr>
        <w:footnoteRef/>
      </w:r>
      <w:r>
        <w:rPr>
          <w:rFonts w:hint="eastAsia" w:ascii="宋体" w:hAnsi="宋体" w:eastAsia="宋体" w:cs="宋体"/>
          <w:sz w:val="21"/>
          <w:szCs w:val="21"/>
        </w:rPr>
        <w:t>该产品的关键工序要求实施前，“关键工序”栏可不填，下同。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BD9F8"/>
    <w:multiLevelType w:val="singleLevel"/>
    <w:tmpl w:val="FE9BD9F8"/>
    <w:lvl w:ilvl="0" w:tentative="0">
      <w:start w:val="1"/>
      <w:numFmt w:val="decimal"/>
      <w:suff w:val="nothing"/>
      <w:lvlText w:val="（%1）"/>
      <w:lvlJc w:val="left"/>
    </w:lvl>
  </w:abstractNum>
  <w:abstractNum w:abstractNumId="1">
    <w:nsid w:val="00000025"/>
    <w:multiLevelType w:val="singleLevel"/>
    <w:tmpl w:val="00000025"/>
    <w:lvl w:ilvl="0" w:tentative="0">
      <w:start w:val="1"/>
      <w:numFmt w:val="decimal"/>
      <w:suff w:val="nothing"/>
      <w:lvlText w:val="（%1）"/>
      <w:lvlJc w:val="left"/>
    </w:lvl>
  </w:abstractNum>
  <w:abstractNum w:abstractNumId="2">
    <w:nsid w:val="0ABC8DE6"/>
    <w:multiLevelType w:val="singleLevel"/>
    <w:tmpl w:val="0ABC8DE6"/>
    <w:lvl w:ilvl="0" w:tentative="0">
      <w:start w:val="1"/>
      <w:numFmt w:val="decimal"/>
      <w:suff w:val="nothing"/>
      <w:lvlText w:val="（%1）"/>
      <w:lvlJc w:val="left"/>
    </w:lvl>
  </w:abstractNum>
  <w:abstractNum w:abstractNumId="3">
    <w:nsid w:val="54CCB9A6"/>
    <w:multiLevelType w:val="singleLevel"/>
    <w:tmpl w:val="54CCB9A6"/>
    <w:lvl w:ilvl="0" w:tentative="0">
      <w:start w:val="1"/>
      <w:numFmt w:val="decimal"/>
      <w:suff w:val="nothing"/>
      <w:lvlText w:val="（%1）"/>
      <w:lvlJc w:val="left"/>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207EB"/>
    <w:rsid w:val="099E0898"/>
    <w:rsid w:val="179B0D80"/>
    <w:rsid w:val="1912663D"/>
    <w:rsid w:val="24172B97"/>
    <w:rsid w:val="25943EAE"/>
    <w:rsid w:val="2A786630"/>
    <w:rsid w:val="2CFF1BE6"/>
    <w:rsid w:val="326649B8"/>
    <w:rsid w:val="3C9809F8"/>
    <w:rsid w:val="476748ED"/>
    <w:rsid w:val="59E533D5"/>
    <w:rsid w:val="5B4A60E6"/>
    <w:rsid w:val="5E5110A5"/>
    <w:rsid w:val="5ED91A04"/>
    <w:rsid w:val="65E91EDD"/>
    <w:rsid w:val="68F01674"/>
    <w:rsid w:val="74C0592E"/>
    <w:rsid w:val="7F2566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rFonts w:ascii="Times New Roman" w:hAnsi="Times New Roman"/>
      <w:kern w:val="0"/>
      <w:sz w:val="28"/>
    </w:rPr>
  </w:style>
  <w:style w:type="paragraph" w:styleId="5">
    <w:name w:val="index 4"/>
    <w:basedOn w:val="1"/>
    <w:next w:val="1"/>
    <w:unhideWhenUsed/>
    <w:qFormat/>
    <w:uiPriority w:val="99"/>
    <w:pPr>
      <w:ind w:left="600" w:leftChars="600"/>
    </w:pPr>
  </w:style>
  <w:style w:type="paragraph" w:styleId="6">
    <w:name w:val="Plain Text"/>
    <w:basedOn w:val="1"/>
    <w:qFormat/>
    <w:uiPriority w:val="0"/>
    <w:rPr>
      <w:rFonts w:ascii="宋体" w:hAnsi="Courier New" w:cs="Arial"/>
      <w:snapToGrid w:val="0"/>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toc 6"/>
    <w:basedOn w:val="1"/>
    <w:next w:val="1"/>
    <w:semiHidden/>
    <w:qFormat/>
    <w:uiPriority w:val="0"/>
    <w:pPr>
      <w:ind w:left="2100" w:leftChars="1000"/>
    </w:pPr>
  </w:style>
  <w:style w:type="paragraph" w:styleId="11">
    <w:name w:val="Body Text Indent 3"/>
    <w:basedOn w:val="1"/>
    <w:qFormat/>
    <w:uiPriority w:val="0"/>
    <w:pPr>
      <w:snapToGrid w:val="0"/>
      <w:jc w:val="left"/>
    </w:pPr>
    <w:rPr>
      <w:rFonts w:ascii="仿宋_GB2312" w:hAnsi="Times New Roman" w:eastAsia="仿宋_GB2312"/>
      <w:color w:val="000000"/>
      <w:kern w:val="0"/>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4"/>
    <w:next w:val="1"/>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rPr>
      <w:rFonts w:ascii="Arial" w:hAnsi="Arial" w:eastAsia="黑体" w:cs="Arial"/>
      <w:snapToGrid w:val="0"/>
      <w:kern w:val="0"/>
      <w:szCs w:val="21"/>
    </w:rPr>
  </w:style>
  <w:style w:type="character" w:styleId="19">
    <w:name w:val="Emphasis"/>
    <w:basedOn w:val="16"/>
    <w:qFormat/>
    <w:uiPriority w:val="0"/>
    <w:rPr>
      <w:i/>
    </w:rPr>
  </w:style>
  <w:style w:type="character" w:styleId="20">
    <w:name w:val="Hyperlink"/>
    <w:basedOn w:val="16"/>
    <w:qFormat/>
    <w:uiPriority w:val="0"/>
    <w:rPr>
      <w:color w:val="0000FF"/>
      <w:u w:val="single"/>
    </w:rPr>
  </w:style>
  <w:style w:type="character" w:styleId="21">
    <w:name w:val="annotation reference"/>
    <w:qFormat/>
    <w:uiPriority w:val="0"/>
    <w:rPr>
      <w:sz w:val="21"/>
      <w:szCs w:val="21"/>
    </w:rPr>
  </w:style>
  <w:style w:type="character" w:styleId="22">
    <w:name w:val="footnote reference"/>
    <w:basedOn w:val="16"/>
    <w:qFormat/>
    <w:uiPriority w:val="0"/>
    <w:rPr>
      <w:vertAlign w:val="superscript"/>
    </w:rPr>
  </w:style>
  <w:style w:type="paragraph" w:customStyle="1" w:styleId="23">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148</Pages>
  <Words>39477</Words>
  <Characters>45689</Characters>
  <Lines>0</Lines>
  <Paragraphs>0</Paragraphs>
  <TotalTime>41</TotalTime>
  <ScaleCrop>false</ScaleCrop>
  <LinksUpToDate>false</LinksUpToDate>
  <CharactersWithSpaces>46035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2025-06-27T02:51:00Z</dcterms:created>
  <dc:creator>xirui</dc:creator>
  <cp:lastModifiedBy>Riciao</cp:lastModifiedBy>
  <cp:lastPrinted>2026-03-15T10:44:00Z</cp:lastPrinted>
  <dcterms:modified xsi:type="dcterms:W3CDTF">2026-05-28T02:21:09Z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eyJoZGlkIjoiYzFhZGY0ZTViYWQyN2I0ZGJhNDk0OThkMjNkNmQ2MDYiLCJ1c2VySWQiOiIyMDcwOTk0OTMifQ==</vt:lpwstr>
  </property>
  <property fmtid="{D5CDD505-2E9C-101B-9397-08002B2CF9AE}" pid="4" name="ICV">
    <vt:lpwstr>4C0E31DC29C548F1AC6B7811756E6CE6_13</vt:lpwstr>
  </property>
</Properties>
</file>