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6936D">
      <w:pPr>
        <w:pStyle w:val="26"/>
        <w:spacing w:line="360" w:lineRule="auto"/>
        <w:ind w:left="0" w:leftChars="0" w:firstLine="0" w:firstLineChars="0"/>
        <w:jc w:val="center"/>
        <w:outlineLvl w:val="0"/>
        <w:rPr>
          <w:rFonts w:hint="eastAsia" w:ascii="宋体" w:hAnsi="宋体" w:eastAsia="宋体" w:cs="宋体"/>
          <w:color w:val="auto"/>
          <w:sz w:val="48"/>
          <w:szCs w:val="48"/>
          <w:highlight w:val="none"/>
        </w:rPr>
      </w:pPr>
      <w:r>
        <w:rPr>
          <w:rFonts w:hint="eastAsia" w:ascii="宋体" w:hAnsi="宋体" w:eastAsia="宋体" w:cs="宋体"/>
          <w:b/>
          <w:color w:val="auto"/>
          <w:sz w:val="48"/>
          <w:szCs w:val="48"/>
          <w:highlight w:val="none"/>
          <w:lang w:val="en-US" w:eastAsia="zh-CN"/>
        </w:rPr>
        <w:t>红河县车古乡利博村委会至龙腾公路工程建设项目</w:t>
      </w:r>
    </w:p>
    <w:p w14:paraId="201913F3">
      <w:pPr>
        <w:pStyle w:val="26"/>
        <w:ind w:left="0" w:leftChars="0" w:firstLine="0" w:firstLineChars="0"/>
        <w:rPr>
          <w:rFonts w:hint="eastAsia" w:ascii="宋体" w:hAnsi="宋体" w:eastAsia="宋体" w:cs="宋体"/>
          <w:color w:val="auto"/>
          <w:highlight w:val="none"/>
        </w:rPr>
      </w:pPr>
    </w:p>
    <w:p w14:paraId="7C9C0D5E">
      <w:pPr>
        <w:pStyle w:val="26"/>
        <w:ind w:left="0" w:leftChars="0" w:firstLine="0" w:firstLineChars="0"/>
        <w:rPr>
          <w:rFonts w:hint="eastAsia" w:ascii="宋体" w:hAnsi="宋体" w:eastAsia="宋体" w:cs="宋体"/>
          <w:color w:val="auto"/>
          <w:highlight w:val="none"/>
        </w:rPr>
      </w:pPr>
    </w:p>
    <w:p w14:paraId="159C7F68">
      <w:pPr>
        <w:spacing w:line="480" w:lineRule="auto"/>
        <w:rPr>
          <w:rFonts w:hint="eastAsia" w:ascii="宋体" w:hAnsi="宋体" w:eastAsia="宋体" w:cs="宋体"/>
          <w:b/>
          <w:color w:val="auto"/>
          <w:sz w:val="32"/>
          <w:szCs w:val="32"/>
          <w:highlight w:val="none"/>
        </w:rPr>
      </w:pPr>
    </w:p>
    <w:p w14:paraId="2F20D253">
      <w:pPr>
        <w:spacing w:line="360" w:lineRule="auto"/>
        <w:jc w:val="center"/>
        <w:outlineLvl w:val="0"/>
        <w:rPr>
          <w:rFonts w:hint="eastAsia" w:ascii="宋体" w:hAnsi="宋体" w:eastAsia="宋体" w:cs="宋体"/>
          <w:b/>
          <w:color w:val="auto"/>
          <w:sz w:val="56"/>
          <w:szCs w:val="72"/>
          <w:highlight w:val="none"/>
        </w:rPr>
      </w:pPr>
      <w:bookmarkStart w:id="0" w:name="_Toc14974"/>
      <w:bookmarkStart w:id="1" w:name="_Toc15379"/>
      <w:bookmarkStart w:id="2" w:name="_Toc27565"/>
      <w:bookmarkStart w:id="3" w:name="_Toc17851"/>
      <w:bookmarkStart w:id="4" w:name="_Toc29032"/>
      <w:bookmarkStart w:id="5" w:name="_Toc14340"/>
      <w:bookmarkStart w:id="6" w:name="_Toc26434"/>
      <w:bookmarkStart w:id="7" w:name="_Toc23741"/>
      <w:bookmarkStart w:id="8" w:name="_Toc19963"/>
      <w:bookmarkStart w:id="9" w:name="_Toc3700"/>
      <w:bookmarkStart w:id="10" w:name="_Toc2778"/>
      <w:bookmarkStart w:id="11" w:name="_Toc5208"/>
      <w:r>
        <w:rPr>
          <w:rFonts w:hint="eastAsia" w:ascii="宋体" w:hAnsi="宋体" w:eastAsia="宋体" w:cs="宋体"/>
          <w:b/>
          <w:color w:val="auto"/>
          <w:sz w:val="56"/>
          <w:szCs w:val="72"/>
          <w:highlight w:val="none"/>
        </w:rPr>
        <w:t>竞争性磋商文件</w:t>
      </w:r>
      <w:bookmarkEnd w:id="0"/>
      <w:bookmarkEnd w:id="1"/>
      <w:bookmarkEnd w:id="2"/>
      <w:bookmarkEnd w:id="3"/>
      <w:bookmarkEnd w:id="4"/>
      <w:bookmarkEnd w:id="5"/>
      <w:bookmarkEnd w:id="6"/>
      <w:bookmarkEnd w:id="7"/>
      <w:bookmarkEnd w:id="8"/>
      <w:bookmarkEnd w:id="9"/>
      <w:bookmarkEnd w:id="10"/>
      <w:bookmarkEnd w:id="11"/>
    </w:p>
    <w:p w14:paraId="3C5A0D84">
      <w:pPr>
        <w:spacing w:line="360" w:lineRule="auto"/>
        <w:jc w:val="center"/>
        <w:outlineLvl w:val="0"/>
        <w:rPr>
          <w:rFonts w:hint="default" w:ascii="宋体" w:hAnsi="宋体" w:eastAsia="宋体" w:cs="宋体"/>
          <w:b/>
          <w:color w:val="auto"/>
          <w:sz w:val="28"/>
          <w:szCs w:val="28"/>
          <w:highlight w:val="none"/>
          <w:lang w:val="en-US" w:eastAsia="zh-CN"/>
        </w:rPr>
      </w:pPr>
      <w:bookmarkStart w:id="12" w:name="_Toc16331"/>
      <w:bookmarkStart w:id="13" w:name="_Toc6551"/>
      <w:bookmarkStart w:id="14" w:name="_Toc8047"/>
      <w:bookmarkStart w:id="15" w:name="_Toc10725"/>
      <w:bookmarkStart w:id="16" w:name="_Toc31642"/>
      <w:bookmarkStart w:id="17" w:name="_Toc12629"/>
      <w:bookmarkStart w:id="18" w:name="_Toc30609"/>
      <w:bookmarkStart w:id="19" w:name="_Toc28514"/>
      <w:bookmarkStart w:id="20" w:name="_Toc18366"/>
      <w:bookmarkStart w:id="21" w:name="_Toc702"/>
      <w:bookmarkStart w:id="22" w:name="_Toc14614"/>
      <w:r>
        <w:rPr>
          <w:rFonts w:hint="eastAsia" w:ascii="宋体" w:hAnsi="宋体" w:eastAsia="宋体" w:cs="宋体"/>
          <w:b/>
          <w:color w:val="auto"/>
          <w:sz w:val="32"/>
          <w:szCs w:val="28"/>
          <w:highlight w:val="none"/>
          <w:lang w:val="en-US" w:eastAsia="zh-CN"/>
        </w:rPr>
        <w:t>项目</w:t>
      </w:r>
      <w:r>
        <w:rPr>
          <w:rFonts w:hint="eastAsia" w:ascii="宋体" w:hAnsi="宋体" w:eastAsia="宋体" w:cs="宋体"/>
          <w:b/>
          <w:color w:val="auto"/>
          <w:sz w:val="32"/>
          <w:szCs w:val="28"/>
          <w:highlight w:val="none"/>
        </w:rPr>
        <w:t>编号：</w:t>
      </w:r>
      <w:bookmarkEnd w:id="12"/>
      <w:bookmarkEnd w:id="13"/>
      <w:bookmarkEnd w:id="14"/>
      <w:bookmarkEnd w:id="15"/>
      <w:bookmarkEnd w:id="16"/>
      <w:bookmarkEnd w:id="17"/>
      <w:bookmarkEnd w:id="18"/>
      <w:bookmarkEnd w:id="19"/>
      <w:bookmarkEnd w:id="20"/>
      <w:bookmarkEnd w:id="21"/>
      <w:bookmarkEnd w:id="22"/>
      <w:r>
        <w:rPr>
          <w:rFonts w:hint="eastAsia" w:ascii="宋体" w:hAnsi="宋体" w:eastAsia="宋体" w:cs="宋体"/>
          <w:b/>
          <w:color w:val="auto"/>
          <w:sz w:val="32"/>
          <w:szCs w:val="28"/>
          <w:highlight w:val="none"/>
          <w:lang w:val="en-US" w:eastAsia="zh-CN"/>
        </w:rPr>
        <w:t>YNJY-260518</w:t>
      </w:r>
    </w:p>
    <w:p w14:paraId="3729C475">
      <w:pPr>
        <w:spacing w:line="480" w:lineRule="auto"/>
        <w:rPr>
          <w:rFonts w:hint="eastAsia" w:ascii="宋体" w:hAnsi="宋体" w:eastAsia="宋体" w:cs="宋体"/>
          <w:b/>
          <w:color w:val="auto"/>
          <w:sz w:val="28"/>
          <w:szCs w:val="32"/>
          <w:highlight w:val="none"/>
        </w:rPr>
      </w:pPr>
    </w:p>
    <w:p w14:paraId="46BBD23D">
      <w:pPr>
        <w:pStyle w:val="26"/>
        <w:rPr>
          <w:rFonts w:hint="eastAsia" w:ascii="宋体" w:hAnsi="宋体" w:eastAsia="宋体" w:cs="宋体"/>
          <w:color w:val="auto"/>
          <w:highlight w:val="none"/>
        </w:rPr>
      </w:pPr>
    </w:p>
    <w:p w14:paraId="34AB9FA1">
      <w:pPr>
        <w:spacing w:line="480" w:lineRule="auto"/>
        <w:rPr>
          <w:rFonts w:hint="eastAsia" w:ascii="宋体" w:hAnsi="宋体" w:eastAsia="宋体" w:cs="宋体"/>
          <w:b/>
          <w:color w:val="auto"/>
          <w:sz w:val="28"/>
          <w:szCs w:val="32"/>
          <w:highlight w:val="none"/>
        </w:rPr>
      </w:pPr>
    </w:p>
    <w:p w14:paraId="0845AE54">
      <w:pPr>
        <w:pStyle w:val="26"/>
        <w:rPr>
          <w:rFonts w:hint="eastAsia" w:ascii="宋体" w:hAnsi="宋体" w:eastAsia="宋体" w:cs="宋体"/>
          <w:b/>
          <w:color w:val="auto"/>
          <w:sz w:val="28"/>
          <w:szCs w:val="32"/>
          <w:highlight w:val="none"/>
        </w:rPr>
      </w:pPr>
    </w:p>
    <w:p w14:paraId="491545AE">
      <w:pPr>
        <w:pStyle w:val="26"/>
        <w:rPr>
          <w:rFonts w:hint="eastAsia" w:ascii="宋体" w:hAnsi="宋体" w:eastAsia="宋体" w:cs="宋体"/>
          <w:b/>
          <w:color w:val="auto"/>
          <w:sz w:val="28"/>
          <w:szCs w:val="32"/>
          <w:highlight w:val="none"/>
        </w:rPr>
      </w:pPr>
    </w:p>
    <w:p w14:paraId="1FF7EB7C">
      <w:pPr>
        <w:pStyle w:val="26"/>
        <w:rPr>
          <w:rFonts w:hint="eastAsia" w:ascii="宋体" w:hAnsi="宋体" w:eastAsia="宋体" w:cs="宋体"/>
          <w:b/>
          <w:color w:val="auto"/>
          <w:sz w:val="28"/>
          <w:szCs w:val="32"/>
          <w:highlight w:val="none"/>
        </w:rPr>
      </w:pPr>
    </w:p>
    <w:p w14:paraId="3CE215DC">
      <w:pPr>
        <w:pStyle w:val="26"/>
        <w:rPr>
          <w:rFonts w:hint="eastAsia" w:ascii="宋体" w:hAnsi="宋体" w:eastAsia="宋体" w:cs="宋体"/>
          <w:b/>
          <w:color w:val="auto"/>
          <w:sz w:val="28"/>
          <w:szCs w:val="32"/>
          <w:highlight w:val="none"/>
        </w:rPr>
      </w:pPr>
    </w:p>
    <w:p w14:paraId="40F45E74">
      <w:pPr>
        <w:pStyle w:val="26"/>
        <w:rPr>
          <w:rFonts w:hint="eastAsia" w:ascii="宋体" w:hAnsi="宋体" w:eastAsia="宋体" w:cs="宋体"/>
          <w:b/>
          <w:color w:val="auto"/>
          <w:sz w:val="28"/>
          <w:szCs w:val="32"/>
          <w:highlight w:val="none"/>
        </w:rPr>
      </w:pPr>
    </w:p>
    <w:p w14:paraId="7A321971">
      <w:pPr>
        <w:spacing w:line="480" w:lineRule="auto"/>
        <w:rPr>
          <w:rFonts w:hint="eastAsia" w:ascii="宋体" w:hAnsi="宋体" w:eastAsia="宋体" w:cs="宋体"/>
          <w:b/>
          <w:color w:val="auto"/>
          <w:sz w:val="28"/>
          <w:szCs w:val="32"/>
          <w:highlight w:val="none"/>
        </w:rPr>
      </w:pPr>
    </w:p>
    <w:p w14:paraId="5EAD95A7">
      <w:pPr>
        <w:spacing w:line="480" w:lineRule="auto"/>
        <w:rPr>
          <w:rFonts w:hint="eastAsia" w:ascii="宋体" w:hAnsi="宋体" w:eastAsia="宋体" w:cs="宋体"/>
          <w:b/>
          <w:color w:val="auto"/>
          <w:sz w:val="28"/>
          <w:szCs w:val="32"/>
          <w:highlight w:val="none"/>
        </w:rPr>
      </w:pPr>
    </w:p>
    <w:p w14:paraId="155641C1">
      <w:pPr>
        <w:spacing w:line="480" w:lineRule="auto"/>
        <w:rPr>
          <w:rFonts w:hint="eastAsia" w:ascii="宋体" w:hAnsi="宋体" w:eastAsia="宋体" w:cs="宋体"/>
          <w:b/>
          <w:color w:val="auto"/>
          <w:sz w:val="28"/>
          <w:szCs w:val="32"/>
          <w:highlight w:val="none"/>
        </w:rPr>
      </w:pPr>
    </w:p>
    <w:p w14:paraId="474CCA48">
      <w:pPr>
        <w:spacing w:line="480" w:lineRule="auto"/>
        <w:ind w:firstLine="643" w:firstLineChars="200"/>
        <w:outlineLvl w:val="0"/>
        <w:rPr>
          <w:rFonts w:hint="eastAsia" w:ascii="宋体" w:hAnsi="宋体" w:eastAsia="宋体" w:cs="宋体"/>
          <w:b/>
          <w:color w:val="auto"/>
          <w:sz w:val="32"/>
          <w:szCs w:val="36"/>
          <w:highlight w:val="none"/>
          <w:lang w:eastAsia="zh-CN"/>
        </w:rPr>
      </w:pPr>
      <w:bookmarkStart w:id="23" w:name="_Toc4628"/>
      <w:bookmarkStart w:id="24" w:name="_Toc1237"/>
      <w:bookmarkStart w:id="25" w:name="_Toc4008"/>
      <w:bookmarkStart w:id="26" w:name="_Toc5849"/>
      <w:bookmarkStart w:id="27" w:name="_Toc2721"/>
      <w:r>
        <w:rPr>
          <w:rFonts w:hint="eastAsia" w:ascii="宋体" w:hAnsi="宋体" w:eastAsia="宋体" w:cs="宋体"/>
          <w:b/>
          <w:color w:val="auto"/>
          <w:sz w:val="32"/>
          <w:szCs w:val="36"/>
          <w:highlight w:val="none"/>
        </w:rPr>
        <w:t>采</w:t>
      </w:r>
      <w:r>
        <w:rPr>
          <w:rFonts w:hint="eastAsia" w:ascii="宋体" w:hAnsi="宋体" w:eastAsia="宋体" w:cs="宋体"/>
          <w:b/>
          <w:color w:val="auto"/>
          <w:sz w:val="32"/>
          <w:szCs w:val="36"/>
          <w:highlight w:val="none"/>
          <w:lang w:val="en-US" w:eastAsia="zh-CN"/>
        </w:rPr>
        <w:t xml:space="preserve">   </w:t>
      </w:r>
      <w:r>
        <w:rPr>
          <w:rFonts w:hint="eastAsia" w:ascii="宋体" w:hAnsi="宋体" w:eastAsia="宋体" w:cs="宋体"/>
          <w:b/>
          <w:color w:val="auto"/>
          <w:sz w:val="32"/>
          <w:szCs w:val="36"/>
          <w:highlight w:val="none"/>
        </w:rPr>
        <w:t>购</w:t>
      </w:r>
      <w:r>
        <w:rPr>
          <w:rFonts w:hint="eastAsia" w:ascii="宋体" w:hAnsi="宋体" w:eastAsia="宋体" w:cs="宋体"/>
          <w:b/>
          <w:color w:val="auto"/>
          <w:sz w:val="32"/>
          <w:szCs w:val="36"/>
          <w:highlight w:val="none"/>
          <w:lang w:val="en-US" w:eastAsia="zh-CN"/>
        </w:rPr>
        <w:t xml:space="preserve">   </w:t>
      </w:r>
      <w:r>
        <w:rPr>
          <w:rFonts w:hint="eastAsia" w:ascii="宋体" w:hAnsi="宋体" w:eastAsia="宋体" w:cs="宋体"/>
          <w:b/>
          <w:color w:val="auto"/>
          <w:sz w:val="32"/>
          <w:szCs w:val="36"/>
          <w:highlight w:val="none"/>
        </w:rPr>
        <w:t>人：</w:t>
      </w:r>
      <w:bookmarkEnd w:id="23"/>
      <w:bookmarkEnd w:id="24"/>
      <w:bookmarkEnd w:id="25"/>
      <w:bookmarkEnd w:id="26"/>
      <w:bookmarkEnd w:id="27"/>
      <w:r>
        <w:rPr>
          <w:rFonts w:hint="eastAsia" w:ascii="宋体" w:hAnsi="宋体" w:eastAsia="宋体" w:cs="宋体"/>
          <w:b/>
          <w:color w:val="auto"/>
          <w:sz w:val="32"/>
          <w:szCs w:val="36"/>
          <w:highlight w:val="none"/>
          <w:lang w:eastAsia="zh-CN"/>
        </w:rPr>
        <w:t>红河县车古乡人民政府</w:t>
      </w:r>
    </w:p>
    <w:p w14:paraId="0803B216">
      <w:pPr>
        <w:spacing w:line="480" w:lineRule="auto"/>
        <w:ind w:firstLine="643" w:firstLineChars="200"/>
        <w:rPr>
          <w:rFonts w:hint="eastAsia" w:ascii="宋体" w:hAnsi="宋体" w:eastAsia="宋体" w:cs="宋体"/>
          <w:b/>
          <w:color w:val="auto"/>
          <w:sz w:val="32"/>
          <w:szCs w:val="36"/>
          <w:highlight w:val="none"/>
          <w:lang w:eastAsia="zh-CN"/>
        </w:rPr>
      </w:pPr>
      <w:r>
        <w:rPr>
          <w:rFonts w:hint="eastAsia" w:ascii="宋体" w:hAnsi="宋体" w:eastAsia="宋体" w:cs="宋体"/>
          <w:b/>
          <w:color w:val="auto"/>
          <w:sz w:val="32"/>
          <w:szCs w:val="36"/>
          <w:highlight w:val="none"/>
        </w:rPr>
        <w:t>采购代理机构：</w:t>
      </w:r>
      <w:r>
        <w:rPr>
          <w:rFonts w:hint="eastAsia" w:ascii="宋体" w:hAnsi="宋体" w:eastAsia="宋体" w:cs="宋体"/>
          <w:b/>
          <w:color w:val="auto"/>
          <w:sz w:val="32"/>
          <w:szCs w:val="36"/>
          <w:highlight w:val="none"/>
          <w:lang w:eastAsia="zh-CN"/>
        </w:rPr>
        <w:t>云南疆屿项目管理咨询有限公司</w:t>
      </w:r>
    </w:p>
    <w:p w14:paraId="4BCBA9E9">
      <w:pPr>
        <w:spacing w:line="480" w:lineRule="auto"/>
        <w:ind w:firstLine="643" w:firstLineChars="200"/>
        <w:outlineLvl w:val="0"/>
        <w:rPr>
          <w:rFonts w:hint="eastAsia" w:ascii="宋体" w:hAnsi="宋体" w:eastAsia="宋体" w:cs="宋体"/>
          <w:b/>
          <w:bCs/>
          <w:color w:val="auto"/>
          <w:w w:val="95"/>
          <w:sz w:val="32"/>
          <w:highlight w:val="none"/>
        </w:rPr>
      </w:pPr>
      <w:bookmarkStart w:id="28" w:name="_Toc1124"/>
      <w:bookmarkStart w:id="29" w:name="_Toc24782"/>
      <w:bookmarkStart w:id="30" w:name="_Toc16363"/>
      <w:bookmarkStart w:id="31" w:name="_Toc19386"/>
      <w:bookmarkStart w:id="32" w:name="_Toc29956"/>
      <w:bookmarkStart w:id="33" w:name="_Toc26533"/>
      <w:bookmarkStart w:id="34" w:name="_Toc5161"/>
      <w:bookmarkStart w:id="35" w:name="_Toc13845"/>
      <w:bookmarkStart w:id="36" w:name="_Toc16246"/>
      <w:bookmarkStart w:id="37" w:name="_Toc32449"/>
      <w:bookmarkStart w:id="38" w:name="_Toc502"/>
      <w:r>
        <w:rPr>
          <w:rFonts w:hint="eastAsia" w:ascii="宋体" w:hAnsi="宋体" w:eastAsia="宋体" w:cs="宋体"/>
          <w:b/>
          <w:color w:val="auto"/>
          <w:sz w:val="32"/>
          <w:szCs w:val="36"/>
          <w:highlight w:val="none"/>
        </w:rPr>
        <w:t>日        期：</w:t>
      </w:r>
      <w:r>
        <w:rPr>
          <w:rFonts w:hint="eastAsia" w:ascii="宋体" w:hAnsi="宋体" w:eastAsia="宋体" w:cs="宋体"/>
          <w:b/>
          <w:bCs/>
          <w:color w:val="auto"/>
          <w:w w:val="95"/>
          <w:sz w:val="32"/>
          <w:highlight w:val="none"/>
        </w:rPr>
        <w:t>二〇二</w:t>
      </w:r>
      <w:r>
        <w:rPr>
          <w:rFonts w:hint="eastAsia" w:ascii="宋体" w:hAnsi="宋体" w:eastAsia="宋体" w:cs="宋体"/>
          <w:b/>
          <w:bCs/>
          <w:color w:val="auto"/>
          <w:w w:val="95"/>
          <w:sz w:val="32"/>
          <w:highlight w:val="none"/>
          <w:lang w:val="en-US" w:eastAsia="zh-CN"/>
        </w:rPr>
        <w:t>六</w:t>
      </w:r>
      <w:r>
        <w:rPr>
          <w:rFonts w:hint="eastAsia" w:ascii="宋体" w:hAnsi="宋体" w:eastAsia="宋体" w:cs="宋体"/>
          <w:b/>
          <w:bCs/>
          <w:color w:val="auto"/>
          <w:w w:val="95"/>
          <w:sz w:val="32"/>
          <w:highlight w:val="none"/>
        </w:rPr>
        <w:t>年</w:t>
      </w:r>
      <w:r>
        <w:rPr>
          <w:rFonts w:hint="eastAsia" w:ascii="宋体" w:hAnsi="宋体" w:eastAsia="宋体" w:cs="宋体"/>
          <w:b/>
          <w:bCs/>
          <w:color w:val="auto"/>
          <w:w w:val="95"/>
          <w:sz w:val="32"/>
          <w:highlight w:val="none"/>
          <w:lang w:val="en-US" w:eastAsia="zh-CN"/>
        </w:rPr>
        <w:t>五</w:t>
      </w:r>
      <w:r>
        <w:rPr>
          <w:rFonts w:hint="eastAsia" w:ascii="宋体" w:hAnsi="宋体" w:eastAsia="宋体" w:cs="宋体"/>
          <w:b/>
          <w:bCs/>
          <w:color w:val="auto"/>
          <w:w w:val="95"/>
          <w:sz w:val="32"/>
          <w:highlight w:val="none"/>
        </w:rPr>
        <w:t>月</w:t>
      </w:r>
      <w:bookmarkEnd w:id="28"/>
      <w:bookmarkEnd w:id="29"/>
      <w:bookmarkEnd w:id="30"/>
      <w:bookmarkEnd w:id="31"/>
      <w:bookmarkEnd w:id="32"/>
      <w:bookmarkEnd w:id="33"/>
      <w:bookmarkEnd w:id="34"/>
      <w:bookmarkEnd w:id="35"/>
      <w:bookmarkEnd w:id="36"/>
      <w:bookmarkEnd w:id="37"/>
      <w:bookmarkEnd w:id="38"/>
    </w:p>
    <w:p w14:paraId="3F20391B">
      <w:pPr>
        <w:spacing w:before="0" w:beforeLines="0" w:after="0" w:afterLines="0" w:line="240" w:lineRule="auto"/>
        <w:ind w:left="0" w:leftChars="0" w:right="0" w:rightChars="0" w:firstLine="0" w:firstLineChars="0"/>
        <w:jc w:val="center"/>
        <w:rPr>
          <w:rFonts w:ascii="宋体" w:hAnsi="宋体" w:eastAsia="宋体" w:cs="Times New Roman"/>
          <w:color w:val="auto"/>
          <w:sz w:val="21"/>
          <w:highlight w:val="none"/>
          <w:lang w:val="en-US" w:eastAsia="zh-CN" w:bidi="ar-SA"/>
        </w:rPr>
        <w:sectPr>
          <w:headerReference r:id="rId4" w:type="first"/>
          <w:headerReference r:id="rId3" w:type="default"/>
          <w:footerReference r:id="rId5" w:type="default"/>
          <w:type w:val="continuous"/>
          <w:pgSz w:w="11899" w:h="16839"/>
          <w:pgMar w:top="1440" w:right="1077" w:bottom="1440" w:left="1077" w:header="612" w:footer="612" w:gutter="0"/>
          <w:pgNumType w:fmt="decimal" w:start="1"/>
          <w:cols w:space="720" w:num="1"/>
          <w:titlePg/>
          <w:docGrid w:linePitch="326" w:charSpace="0"/>
        </w:sectPr>
      </w:pPr>
    </w:p>
    <w:sdt>
      <w:sdtPr>
        <w:rPr>
          <w:rFonts w:ascii="宋体" w:hAnsi="宋体" w:eastAsia="宋体" w:cs="Times New Roman"/>
          <w:color w:val="auto"/>
          <w:sz w:val="21"/>
          <w:highlight w:val="none"/>
          <w:lang w:val="en-US" w:eastAsia="zh-CN" w:bidi="ar-SA"/>
        </w:rPr>
        <w:id w:val="147482765"/>
        <w15:color w:val="DBDBDB"/>
        <w:docPartObj>
          <w:docPartGallery w:val="Table of Contents"/>
          <w:docPartUnique/>
        </w:docPartObj>
      </w:sdtPr>
      <w:sdtEndPr>
        <w:rPr>
          <w:rFonts w:hint="eastAsia" w:ascii="宋体" w:hAnsi="宋体" w:eastAsia="宋体" w:cs="宋体"/>
          <w:bCs/>
          <w:color w:val="auto"/>
          <w:sz w:val="24"/>
          <w:szCs w:val="44"/>
          <w:highlight w:val="none"/>
          <w:lang w:val="en-US" w:eastAsia="zh-CN" w:bidi="ar-SA"/>
        </w:rPr>
      </w:sdtEndPr>
      <w:sdtContent>
        <w:p w14:paraId="59B1B521">
          <w:pPr>
            <w:spacing w:before="0" w:beforeLines="0" w:after="0" w:afterLines="0" w:line="240" w:lineRule="auto"/>
            <w:ind w:left="0" w:leftChars="0" w:right="0" w:rightChars="0" w:firstLine="0" w:firstLineChars="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目</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录</w:t>
          </w:r>
        </w:p>
        <w:p w14:paraId="50745CD0">
          <w:pPr>
            <w:pStyle w:val="35"/>
            <w:tabs>
              <w:tab w:val="right" w:leader="dot" w:pos="9745"/>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en-US" w:eastAsia="zh-CN" w:bidi="ar-SA"/>
            </w:rPr>
            <w:fldChar w:fldCharType="begin"/>
          </w:r>
          <w:r>
            <w:rPr>
              <w:rFonts w:hint="eastAsia" w:ascii="宋体" w:hAnsi="宋体" w:eastAsia="宋体" w:cs="宋体"/>
              <w:bCs/>
              <w:color w:val="auto"/>
              <w:sz w:val="30"/>
              <w:szCs w:val="30"/>
              <w:highlight w:val="none"/>
              <w:lang w:val="en-US" w:eastAsia="zh-CN" w:bidi="ar-SA"/>
            </w:rPr>
            <w:instrText xml:space="preserve">TOC \o "1-1" \h \u </w:instrText>
          </w:r>
          <w:r>
            <w:rPr>
              <w:rFonts w:hint="eastAsia" w:ascii="宋体" w:hAnsi="宋体" w:eastAsia="宋体" w:cs="宋体"/>
              <w:bCs/>
              <w:color w:val="auto"/>
              <w:sz w:val="30"/>
              <w:szCs w:val="30"/>
              <w:highlight w:val="none"/>
              <w:lang w:val="en-US" w:eastAsia="zh-CN" w:bidi="ar-SA"/>
            </w:rPr>
            <w:fldChar w:fldCharType="separate"/>
          </w:r>
        </w:p>
        <w:p w14:paraId="586877BE">
          <w:pPr>
            <w:pStyle w:val="35"/>
            <w:tabs>
              <w:tab w:val="right" w:leader="dot" w:pos="9745"/>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en-US" w:eastAsia="zh-CN" w:bidi="ar-SA"/>
            </w:rPr>
            <w:fldChar w:fldCharType="begin"/>
          </w:r>
          <w:r>
            <w:rPr>
              <w:rFonts w:hint="eastAsia" w:ascii="宋体" w:hAnsi="宋体" w:eastAsia="宋体" w:cs="宋体"/>
              <w:bCs/>
              <w:color w:val="auto"/>
              <w:sz w:val="30"/>
              <w:szCs w:val="30"/>
              <w:highlight w:val="none"/>
              <w:lang w:val="en-US" w:eastAsia="zh-CN" w:bidi="ar-SA"/>
            </w:rPr>
            <w:instrText xml:space="preserve"> HYPERLINK \l _Toc30561 </w:instrText>
          </w:r>
          <w:r>
            <w:rPr>
              <w:rFonts w:hint="eastAsia" w:ascii="宋体" w:hAnsi="宋体" w:eastAsia="宋体" w:cs="宋体"/>
              <w:bCs/>
              <w:color w:val="auto"/>
              <w:sz w:val="30"/>
              <w:szCs w:val="30"/>
              <w:highlight w:val="none"/>
              <w:lang w:val="en-US" w:eastAsia="zh-CN" w:bidi="ar-SA"/>
            </w:rPr>
            <w:fldChar w:fldCharType="separate"/>
          </w:r>
          <w:r>
            <w:rPr>
              <w:rFonts w:hint="eastAsia" w:ascii="宋体" w:hAnsi="宋体" w:eastAsia="宋体" w:cs="宋体"/>
              <w:bCs w:val="0"/>
              <w:color w:val="auto"/>
              <w:sz w:val="30"/>
              <w:szCs w:val="30"/>
              <w:highlight w:val="none"/>
            </w:rPr>
            <w:t xml:space="preserve">第一章  </w:t>
          </w:r>
          <w:r>
            <w:rPr>
              <w:rFonts w:hint="eastAsia" w:ascii="宋体" w:hAnsi="宋体" w:eastAsia="宋体" w:cs="宋体"/>
              <w:bCs w:val="0"/>
              <w:color w:val="auto"/>
              <w:sz w:val="30"/>
              <w:szCs w:val="30"/>
              <w:highlight w:val="none"/>
              <w:lang w:eastAsia="zh-CN"/>
            </w:rPr>
            <w:t>竞争性磋商公告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_Toc30561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en-US" w:eastAsia="zh-CN" w:bidi="ar-SA"/>
            </w:rPr>
            <w:fldChar w:fldCharType="end"/>
          </w:r>
        </w:p>
        <w:p w14:paraId="08E1E410">
          <w:pPr>
            <w:pStyle w:val="35"/>
            <w:tabs>
              <w:tab w:val="right" w:leader="dot" w:pos="9745"/>
            </w:tabs>
            <w:rPr>
              <w:rFonts w:hint="eastAsia" w:ascii="宋体" w:hAnsi="宋体" w:eastAsia="宋体" w:cs="宋体"/>
              <w:bCs/>
              <w:color w:val="auto"/>
              <w:sz w:val="30"/>
              <w:szCs w:val="30"/>
              <w:highlight w:val="none"/>
              <w:lang w:val="en-US" w:eastAsia="zh-CN" w:bidi="ar-SA"/>
            </w:rPr>
          </w:pPr>
        </w:p>
        <w:p w14:paraId="6268CA14">
          <w:pPr>
            <w:pStyle w:val="35"/>
            <w:tabs>
              <w:tab w:val="right" w:leader="dot" w:pos="9745"/>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en-US" w:eastAsia="zh-CN" w:bidi="ar-SA"/>
            </w:rPr>
            <w:fldChar w:fldCharType="begin"/>
          </w:r>
          <w:r>
            <w:rPr>
              <w:rFonts w:hint="eastAsia" w:ascii="宋体" w:hAnsi="宋体" w:eastAsia="宋体" w:cs="宋体"/>
              <w:bCs/>
              <w:color w:val="auto"/>
              <w:sz w:val="30"/>
              <w:szCs w:val="30"/>
              <w:highlight w:val="none"/>
              <w:lang w:val="en-US" w:eastAsia="zh-CN" w:bidi="ar-SA"/>
            </w:rPr>
            <w:instrText xml:space="preserve"> HYPERLINK \l _Toc22319 </w:instrText>
          </w:r>
          <w:r>
            <w:rPr>
              <w:rFonts w:hint="eastAsia" w:ascii="宋体" w:hAnsi="宋体" w:eastAsia="宋体" w:cs="宋体"/>
              <w:bCs/>
              <w:color w:val="auto"/>
              <w:sz w:val="30"/>
              <w:szCs w:val="30"/>
              <w:highlight w:val="none"/>
              <w:lang w:val="en-US" w:eastAsia="zh-CN" w:bidi="ar-SA"/>
            </w:rPr>
            <w:fldChar w:fldCharType="separate"/>
          </w:r>
          <w:r>
            <w:rPr>
              <w:rFonts w:hint="eastAsia" w:ascii="宋体" w:hAnsi="宋体" w:eastAsia="宋体" w:cs="宋体"/>
              <w:bCs w:val="0"/>
              <w:color w:val="auto"/>
              <w:sz w:val="30"/>
              <w:szCs w:val="30"/>
              <w:highlight w:val="none"/>
            </w:rPr>
            <w:t xml:space="preserve">第二章  </w:t>
          </w:r>
          <w:r>
            <w:rPr>
              <w:rFonts w:hint="eastAsia" w:ascii="宋体" w:hAnsi="宋体" w:eastAsia="宋体" w:cs="宋体"/>
              <w:bCs w:val="0"/>
              <w:color w:val="auto"/>
              <w:sz w:val="30"/>
              <w:szCs w:val="30"/>
              <w:highlight w:val="none"/>
              <w:lang w:eastAsia="zh-CN"/>
            </w:rPr>
            <w:t>磋商申请人</w:t>
          </w:r>
          <w:r>
            <w:rPr>
              <w:rFonts w:hint="eastAsia" w:ascii="宋体" w:hAnsi="宋体" w:eastAsia="宋体" w:cs="宋体"/>
              <w:bCs w:val="0"/>
              <w:color w:val="auto"/>
              <w:sz w:val="30"/>
              <w:szCs w:val="30"/>
              <w:highlight w:val="none"/>
            </w:rPr>
            <w:t>须知</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_Toc22319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en-US" w:eastAsia="zh-CN" w:bidi="ar-SA"/>
            </w:rPr>
            <w:fldChar w:fldCharType="end"/>
          </w:r>
        </w:p>
        <w:p w14:paraId="32F050A3">
          <w:pPr>
            <w:pStyle w:val="35"/>
            <w:tabs>
              <w:tab w:val="right" w:leader="dot" w:pos="9745"/>
            </w:tabs>
            <w:rPr>
              <w:rFonts w:hint="eastAsia" w:ascii="宋体" w:hAnsi="宋体" w:eastAsia="宋体" w:cs="宋体"/>
              <w:bCs/>
              <w:color w:val="auto"/>
              <w:sz w:val="30"/>
              <w:szCs w:val="30"/>
              <w:highlight w:val="none"/>
              <w:lang w:val="en-US" w:eastAsia="zh-CN" w:bidi="ar-SA"/>
            </w:rPr>
          </w:pPr>
        </w:p>
        <w:p w14:paraId="22E1E234">
          <w:pPr>
            <w:pStyle w:val="35"/>
            <w:tabs>
              <w:tab w:val="right" w:leader="dot" w:pos="9745"/>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en-US" w:eastAsia="zh-CN" w:bidi="ar-SA"/>
            </w:rPr>
            <w:fldChar w:fldCharType="begin"/>
          </w:r>
          <w:r>
            <w:rPr>
              <w:rFonts w:hint="eastAsia" w:ascii="宋体" w:hAnsi="宋体" w:eastAsia="宋体" w:cs="宋体"/>
              <w:bCs/>
              <w:color w:val="auto"/>
              <w:sz w:val="30"/>
              <w:szCs w:val="30"/>
              <w:highlight w:val="none"/>
              <w:lang w:val="en-US" w:eastAsia="zh-CN" w:bidi="ar-SA"/>
            </w:rPr>
            <w:instrText xml:space="preserve"> HYPERLINK \l _Toc16550 </w:instrText>
          </w:r>
          <w:r>
            <w:rPr>
              <w:rFonts w:hint="eastAsia" w:ascii="宋体" w:hAnsi="宋体" w:eastAsia="宋体" w:cs="宋体"/>
              <w:bCs/>
              <w:color w:val="auto"/>
              <w:sz w:val="30"/>
              <w:szCs w:val="30"/>
              <w:highlight w:val="none"/>
              <w:lang w:val="en-US" w:eastAsia="zh-CN" w:bidi="ar-SA"/>
            </w:rPr>
            <w:fldChar w:fldCharType="separate"/>
          </w:r>
          <w:r>
            <w:rPr>
              <w:rFonts w:hint="eastAsia" w:ascii="宋体" w:hAnsi="宋体" w:eastAsia="宋体" w:cs="宋体"/>
              <w:bCs/>
              <w:color w:val="auto"/>
              <w:sz w:val="30"/>
              <w:szCs w:val="30"/>
              <w:highlight w:val="none"/>
            </w:rPr>
            <w:t>第三章  评审方法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_Toc16550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16</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en-US" w:eastAsia="zh-CN" w:bidi="ar-SA"/>
            </w:rPr>
            <w:fldChar w:fldCharType="end"/>
          </w:r>
        </w:p>
        <w:p w14:paraId="532810F0">
          <w:pPr>
            <w:pStyle w:val="35"/>
            <w:tabs>
              <w:tab w:val="right" w:leader="dot" w:pos="9745"/>
            </w:tabs>
            <w:rPr>
              <w:rFonts w:hint="eastAsia" w:ascii="宋体" w:hAnsi="宋体" w:eastAsia="宋体" w:cs="宋体"/>
              <w:bCs/>
              <w:color w:val="auto"/>
              <w:sz w:val="30"/>
              <w:szCs w:val="30"/>
              <w:highlight w:val="none"/>
              <w:lang w:val="en-US" w:eastAsia="zh-CN" w:bidi="ar-SA"/>
            </w:rPr>
          </w:pPr>
        </w:p>
        <w:p w14:paraId="60100E49">
          <w:pPr>
            <w:pStyle w:val="35"/>
            <w:tabs>
              <w:tab w:val="right" w:leader="dot" w:pos="9745"/>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en-US" w:eastAsia="zh-CN" w:bidi="ar-SA"/>
            </w:rPr>
            <w:fldChar w:fldCharType="begin"/>
          </w:r>
          <w:r>
            <w:rPr>
              <w:rFonts w:hint="eastAsia" w:ascii="宋体" w:hAnsi="宋体" w:eastAsia="宋体" w:cs="宋体"/>
              <w:bCs/>
              <w:color w:val="auto"/>
              <w:sz w:val="30"/>
              <w:szCs w:val="30"/>
              <w:highlight w:val="none"/>
              <w:lang w:val="en-US" w:eastAsia="zh-CN" w:bidi="ar-SA"/>
            </w:rPr>
            <w:instrText xml:space="preserve"> HYPERLINK \l _Toc22353 </w:instrText>
          </w:r>
          <w:r>
            <w:rPr>
              <w:rFonts w:hint="eastAsia" w:ascii="宋体" w:hAnsi="宋体" w:eastAsia="宋体" w:cs="宋体"/>
              <w:bCs/>
              <w:color w:val="auto"/>
              <w:sz w:val="30"/>
              <w:szCs w:val="30"/>
              <w:highlight w:val="none"/>
              <w:lang w:val="en-US" w:eastAsia="zh-CN" w:bidi="ar-SA"/>
            </w:rPr>
            <w:fldChar w:fldCharType="separate"/>
          </w:r>
          <w:r>
            <w:rPr>
              <w:rFonts w:hint="eastAsia" w:ascii="宋体" w:hAnsi="宋体" w:eastAsia="宋体" w:cs="宋体"/>
              <w:bCs w:val="0"/>
              <w:color w:val="auto"/>
              <w:sz w:val="30"/>
              <w:szCs w:val="30"/>
              <w:highlight w:val="none"/>
            </w:rPr>
            <w:t>第四章</w:t>
          </w:r>
          <w:r>
            <w:rPr>
              <w:rFonts w:hint="eastAsia" w:ascii="宋体" w:hAnsi="宋体" w:eastAsia="宋体" w:cs="宋体"/>
              <w:bCs w:val="0"/>
              <w:color w:val="auto"/>
              <w:sz w:val="30"/>
              <w:szCs w:val="30"/>
              <w:highlight w:val="none"/>
              <w:lang w:val="en-US" w:eastAsia="zh-CN"/>
            </w:rPr>
            <w:t xml:space="preserve">  </w:t>
          </w:r>
          <w:r>
            <w:rPr>
              <w:rFonts w:hint="eastAsia" w:ascii="宋体" w:hAnsi="宋体" w:eastAsia="宋体" w:cs="宋体"/>
              <w:bCs w:val="0"/>
              <w:color w:val="auto"/>
              <w:sz w:val="30"/>
              <w:szCs w:val="30"/>
              <w:highlight w:val="none"/>
              <w:lang w:eastAsia="zh-CN"/>
            </w:rPr>
            <w:t>合同主要条款及格式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_Toc22353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24</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en-US" w:eastAsia="zh-CN" w:bidi="ar-SA"/>
            </w:rPr>
            <w:fldChar w:fldCharType="end"/>
          </w:r>
        </w:p>
        <w:p w14:paraId="71F2264E">
          <w:pPr>
            <w:pStyle w:val="35"/>
            <w:tabs>
              <w:tab w:val="right" w:leader="dot" w:pos="9745"/>
            </w:tabs>
            <w:rPr>
              <w:rFonts w:hint="eastAsia" w:ascii="宋体" w:hAnsi="宋体" w:eastAsia="宋体" w:cs="宋体"/>
              <w:color w:val="auto"/>
              <w:sz w:val="30"/>
              <w:szCs w:val="30"/>
              <w:highlight w:val="none"/>
            </w:rPr>
          </w:pPr>
        </w:p>
        <w:p w14:paraId="790337CE">
          <w:pPr>
            <w:pStyle w:val="35"/>
            <w:tabs>
              <w:tab w:val="right" w:leader="dot" w:pos="9745"/>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en-US" w:eastAsia="zh-CN" w:bidi="ar-SA"/>
            </w:rPr>
            <w:fldChar w:fldCharType="begin"/>
          </w:r>
          <w:r>
            <w:rPr>
              <w:rFonts w:hint="eastAsia" w:ascii="宋体" w:hAnsi="宋体" w:eastAsia="宋体" w:cs="宋体"/>
              <w:bCs/>
              <w:color w:val="auto"/>
              <w:sz w:val="30"/>
              <w:szCs w:val="30"/>
              <w:highlight w:val="none"/>
              <w:lang w:val="en-US" w:eastAsia="zh-CN" w:bidi="ar-SA"/>
            </w:rPr>
            <w:instrText xml:space="preserve"> HYPERLINK \l _Toc12290 </w:instrText>
          </w:r>
          <w:r>
            <w:rPr>
              <w:rFonts w:hint="eastAsia" w:ascii="宋体" w:hAnsi="宋体" w:eastAsia="宋体" w:cs="宋体"/>
              <w:bCs/>
              <w:color w:val="auto"/>
              <w:sz w:val="30"/>
              <w:szCs w:val="30"/>
              <w:highlight w:val="none"/>
              <w:lang w:val="en-US" w:eastAsia="zh-CN" w:bidi="ar-SA"/>
            </w:rPr>
            <w:fldChar w:fldCharType="separate"/>
          </w:r>
          <w:r>
            <w:rPr>
              <w:rFonts w:hint="eastAsia" w:ascii="宋体" w:hAnsi="宋体" w:eastAsia="宋体" w:cs="宋体"/>
              <w:bCs w:val="0"/>
              <w:color w:val="auto"/>
              <w:sz w:val="30"/>
              <w:szCs w:val="30"/>
              <w:highlight w:val="none"/>
            </w:rPr>
            <w:t>第五章  响应文件格式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_Toc12290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49</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en-US" w:eastAsia="zh-CN" w:bidi="ar-SA"/>
            </w:rPr>
            <w:fldChar w:fldCharType="end"/>
          </w:r>
        </w:p>
        <w:p w14:paraId="5700BA7D">
          <w:pPr>
            <w:pStyle w:val="35"/>
            <w:tabs>
              <w:tab w:val="right" w:leader="dot" w:pos="9745"/>
            </w:tabs>
            <w:rPr>
              <w:rFonts w:hint="eastAsia" w:ascii="宋体" w:hAnsi="宋体" w:eastAsia="宋体" w:cs="宋体"/>
              <w:bCs/>
              <w:color w:val="auto"/>
              <w:sz w:val="30"/>
              <w:szCs w:val="30"/>
              <w:highlight w:val="none"/>
              <w:lang w:val="en-US" w:eastAsia="zh-CN" w:bidi="ar-SA"/>
            </w:rPr>
          </w:pPr>
        </w:p>
        <w:p w14:paraId="4C4A13A7">
          <w:pPr>
            <w:pStyle w:val="35"/>
            <w:tabs>
              <w:tab w:val="right" w:leader="dot" w:pos="9745"/>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en-US" w:eastAsia="zh-CN" w:bidi="ar-SA"/>
            </w:rPr>
            <w:fldChar w:fldCharType="begin"/>
          </w:r>
          <w:r>
            <w:rPr>
              <w:rFonts w:hint="eastAsia" w:ascii="宋体" w:hAnsi="宋体" w:eastAsia="宋体" w:cs="宋体"/>
              <w:bCs/>
              <w:color w:val="auto"/>
              <w:sz w:val="30"/>
              <w:szCs w:val="30"/>
              <w:highlight w:val="none"/>
              <w:lang w:val="en-US" w:eastAsia="zh-CN" w:bidi="ar-SA"/>
            </w:rPr>
            <w:instrText xml:space="preserve"> HYPERLINK \l _Toc3223 </w:instrText>
          </w:r>
          <w:r>
            <w:rPr>
              <w:rFonts w:hint="eastAsia" w:ascii="宋体" w:hAnsi="宋体" w:eastAsia="宋体" w:cs="宋体"/>
              <w:bCs/>
              <w:color w:val="auto"/>
              <w:sz w:val="30"/>
              <w:szCs w:val="30"/>
              <w:highlight w:val="none"/>
              <w:lang w:val="en-US" w:eastAsia="zh-CN" w:bidi="ar-SA"/>
            </w:rPr>
            <w:fldChar w:fldCharType="separate"/>
          </w:r>
          <w:r>
            <w:rPr>
              <w:rFonts w:hint="eastAsia" w:ascii="宋体" w:hAnsi="宋体" w:eastAsia="宋体" w:cs="宋体"/>
              <w:bCs w:val="0"/>
              <w:color w:val="auto"/>
              <w:sz w:val="30"/>
              <w:szCs w:val="30"/>
              <w:highlight w:val="none"/>
              <w:lang w:val="en-US" w:eastAsia="zh-CN"/>
            </w:rPr>
            <w:t>第六章  采购需求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_Toc3223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77</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en-US" w:eastAsia="zh-CN" w:bidi="ar-SA"/>
            </w:rPr>
            <w:fldChar w:fldCharType="end"/>
          </w:r>
        </w:p>
        <w:p w14:paraId="613935AB">
          <w:pPr>
            <w:pStyle w:val="35"/>
            <w:tabs>
              <w:tab w:val="right" w:leader="dot" w:pos="9745"/>
            </w:tabs>
            <w:rPr>
              <w:rFonts w:hint="eastAsia" w:ascii="宋体" w:hAnsi="宋体" w:eastAsia="宋体" w:cs="宋体"/>
              <w:bCs/>
              <w:color w:val="auto"/>
              <w:sz w:val="30"/>
              <w:szCs w:val="30"/>
              <w:highlight w:val="none"/>
              <w:lang w:val="en-US" w:eastAsia="zh-CN" w:bidi="ar-SA"/>
            </w:rPr>
          </w:pPr>
        </w:p>
        <w:p w14:paraId="720E8B88">
          <w:pPr>
            <w:pStyle w:val="35"/>
            <w:tabs>
              <w:tab w:val="right" w:leader="dot" w:pos="9745"/>
            </w:tabs>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en-US" w:eastAsia="zh-CN" w:bidi="ar-SA"/>
            </w:rPr>
            <w:fldChar w:fldCharType="begin"/>
          </w:r>
          <w:r>
            <w:rPr>
              <w:rFonts w:hint="eastAsia" w:ascii="宋体" w:hAnsi="宋体" w:eastAsia="宋体" w:cs="宋体"/>
              <w:bCs/>
              <w:color w:val="auto"/>
              <w:sz w:val="30"/>
              <w:szCs w:val="30"/>
              <w:highlight w:val="none"/>
              <w:lang w:val="en-US" w:eastAsia="zh-CN" w:bidi="ar-SA"/>
            </w:rPr>
            <w:instrText xml:space="preserve"> HYPERLINK \l _Toc18282 </w:instrText>
          </w:r>
          <w:r>
            <w:rPr>
              <w:rFonts w:hint="eastAsia" w:ascii="宋体" w:hAnsi="宋体" w:eastAsia="宋体" w:cs="宋体"/>
              <w:bCs/>
              <w:color w:val="auto"/>
              <w:sz w:val="30"/>
              <w:szCs w:val="30"/>
              <w:highlight w:val="none"/>
              <w:lang w:val="en-US" w:eastAsia="zh-CN" w:bidi="ar-SA"/>
            </w:rPr>
            <w:fldChar w:fldCharType="separate"/>
          </w:r>
          <w:r>
            <w:rPr>
              <w:rFonts w:hint="eastAsia" w:ascii="宋体" w:hAnsi="宋体" w:eastAsia="宋体" w:cs="宋体"/>
              <w:bCs w:val="0"/>
              <w:color w:val="auto"/>
              <w:sz w:val="30"/>
              <w:szCs w:val="30"/>
              <w:highlight w:val="none"/>
              <w:lang w:val="en-US" w:eastAsia="zh-CN"/>
            </w:rPr>
            <w:t>第七章  技术标准和要求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_Toc18282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78</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en-US" w:eastAsia="zh-CN" w:bidi="ar-SA"/>
            </w:rPr>
            <w:fldChar w:fldCharType="end"/>
          </w:r>
        </w:p>
        <w:p w14:paraId="1BF62C0F">
          <w:pPr>
            <w:tabs>
              <w:tab w:val="left" w:pos="0"/>
            </w:tabs>
            <w:spacing w:line="360" w:lineRule="auto"/>
            <w:ind w:firstLine="600" w:firstLineChars="200"/>
            <w:rPr>
              <w:rFonts w:hint="eastAsia" w:ascii="宋体" w:hAnsi="宋体" w:eastAsia="宋体" w:cs="宋体"/>
              <w:bCs/>
              <w:color w:val="auto"/>
              <w:sz w:val="24"/>
              <w:szCs w:val="44"/>
              <w:highlight w:val="none"/>
              <w:lang w:val="en-US" w:eastAsia="zh-CN" w:bidi="ar-SA"/>
            </w:rPr>
          </w:pPr>
          <w:r>
            <w:rPr>
              <w:rFonts w:hint="eastAsia" w:ascii="宋体" w:hAnsi="宋体" w:eastAsia="宋体" w:cs="宋体"/>
              <w:bCs/>
              <w:color w:val="auto"/>
              <w:sz w:val="30"/>
              <w:szCs w:val="30"/>
              <w:highlight w:val="none"/>
              <w:lang w:val="en-US" w:eastAsia="zh-CN" w:bidi="ar-SA"/>
            </w:rPr>
            <w:fldChar w:fldCharType="end"/>
          </w:r>
        </w:p>
      </w:sdtContent>
    </w:sdt>
    <w:p w14:paraId="331DA438">
      <w:pPr>
        <w:tabs>
          <w:tab w:val="left" w:pos="0"/>
        </w:tabs>
        <w:spacing w:line="360" w:lineRule="auto"/>
        <w:ind w:firstLine="480" w:firstLineChars="200"/>
        <w:rPr>
          <w:rFonts w:hint="eastAsia" w:ascii="宋体" w:hAnsi="宋体" w:eastAsia="宋体" w:cs="宋体"/>
          <w:bCs/>
          <w:color w:val="auto"/>
          <w:sz w:val="24"/>
          <w:szCs w:val="44"/>
          <w:highlight w:val="none"/>
          <w:lang w:val="en-US" w:eastAsia="zh-CN" w:bidi="ar-SA"/>
        </w:rPr>
      </w:pPr>
    </w:p>
    <w:p w14:paraId="41DBC546">
      <w:pPr>
        <w:pStyle w:val="3"/>
        <w:tabs>
          <w:tab w:val="left" w:pos="432"/>
        </w:tabs>
        <w:snapToGrid w:val="0"/>
        <w:spacing w:before="0" w:after="0" w:line="360" w:lineRule="auto"/>
        <w:jc w:val="center"/>
        <w:outlineLvl w:val="9"/>
        <w:rPr>
          <w:rFonts w:hint="eastAsia" w:ascii="宋体" w:hAnsi="宋体" w:eastAsia="宋体" w:cs="宋体"/>
          <w:bCs w:val="0"/>
          <w:color w:val="auto"/>
          <w:sz w:val="44"/>
          <w:szCs w:val="44"/>
          <w:highlight w:val="none"/>
        </w:rPr>
        <w:sectPr>
          <w:footerReference r:id="rId7" w:type="first"/>
          <w:footerReference r:id="rId6" w:type="default"/>
          <w:pgSz w:w="11899" w:h="16839"/>
          <w:pgMar w:top="1134" w:right="1077" w:bottom="1134" w:left="1077" w:header="612" w:footer="612" w:gutter="0"/>
          <w:pgNumType w:fmt="decimal" w:start="1"/>
          <w:cols w:space="720" w:num="1"/>
          <w:docGrid w:linePitch="326" w:charSpace="0"/>
        </w:sectPr>
      </w:pPr>
      <w:bookmarkStart w:id="39" w:name="_Toc276739999"/>
      <w:bookmarkStart w:id="40" w:name="_Toc317588958"/>
      <w:bookmarkStart w:id="41" w:name="_Toc500594528"/>
      <w:bookmarkStart w:id="42" w:name="_Toc502328410"/>
    </w:p>
    <w:p w14:paraId="2EDDB6B1">
      <w:pPr>
        <w:rPr>
          <w:rFonts w:hint="eastAsia"/>
          <w:color w:val="auto"/>
          <w:highlight w:val="none"/>
        </w:rPr>
        <w:sectPr>
          <w:type w:val="continuous"/>
          <w:pgSz w:w="11899" w:h="16839"/>
          <w:pgMar w:top="1134" w:right="1077" w:bottom="1134" w:left="1077" w:header="612" w:footer="612" w:gutter="0"/>
          <w:pgNumType w:fmt="decimal" w:start="1"/>
          <w:cols w:space="720" w:num="1"/>
          <w:docGrid w:linePitch="326" w:charSpace="0"/>
        </w:sectPr>
      </w:pPr>
    </w:p>
    <w:p w14:paraId="55DDC6C1">
      <w:pPr>
        <w:pStyle w:val="3"/>
        <w:tabs>
          <w:tab w:val="left" w:pos="432"/>
        </w:tabs>
        <w:snapToGrid w:val="0"/>
        <w:spacing w:before="0" w:after="0" w:line="360" w:lineRule="auto"/>
        <w:jc w:val="center"/>
        <w:rPr>
          <w:rFonts w:hint="eastAsia" w:ascii="宋体" w:hAnsi="宋体" w:eastAsia="宋体" w:cs="宋体"/>
          <w:bCs w:val="0"/>
          <w:color w:val="auto"/>
          <w:sz w:val="44"/>
          <w:szCs w:val="44"/>
          <w:highlight w:val="none"/>
          <w:lang w:eastAsia="zh-CN"/>
        </w:rPr>
      </w:pPr>
      <w:bookmarkStart w:id="43" w:name="_Toc23695"/>
      <w:bookmarkStart w:id="44" w:name="_Toc4824"/>
      <w:bookmarkStart w:id="45" w:name="_Toc31316"/>
      <w:bookmarkStart w:id="46" w:name="_Toc30561"/>
      <w:bookmarkStart w:id="47" w:name="_Toc9363"/>
      <w:r>
        <w:rPr>
          <w:rFonts w:hint="eastAsia" w:ascii="宋体" w:hAnsi="宋体" w:eastAsia="宋体" w:cs="宋体"/>
          <w:bCs w:val="0"/>
          <w:color w:val="auto"/>
          <w:sz w:val="44"/>
          <w:szCs w:val="44"/>
          <w:highlight w:val="none"/>
        </w:rPr>
        <w:t xml:space="preserve">第一章  </w:t>
      </w:r>
      <w:bookmarkEnd w:id="39"/>
      <w:bookmarkEnd w:id="40"/>
      <w:bookmarkEnd w:id="41"/>
      <w:bookmarkEnd w:id="42"/>
      <w:bookmarkStart w:id="48" w:name="_Toc276739703"/>
      <w:bookmarkStart w:id="49" w:name="_Toc276740000"/>
      <w:r>
        <w:rPr>
          <w:rFonts w:hint="eastAsia" w:ascii="宋体" w:hAnsi="宋体" w:eastAsia="宋体" w:cs="宋体"/>
          <w:bCs w:val="0"/>
          <w:color w:val="auto"/>
          <w:sz w:val="44"/>
          <w:szCs w:val="44"/>
          <w:highlight w:val="none"/>
          <w:lang w:eastAsia="zh-CN"/>
        </w:rPr>
        <w:t>竞争性磋商公告</w:t>
      </w:r>
      <w:bookmarkEnd w:id="43"/>
      <w:bookmarkEnd w:id="44"/>
      <w:bookmarkEnd w:id="45"/>
      <w:bookmarkEnd w:id="46"/>
      <w:bookmarkEnd w:id="47"/>
    </w:p>
    <w:bookmarkEnd w:id="48"/>
    <w:bookmarkEnd w:id="49"/>
    <w:p w14:paraId="29325AC3">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highlight w:val="none"/>
        </w:rPr>
      </w:pPr>
      <w:bookmarkStart w:id="50" w:name="OLE_LINK10"/>
      <w:bookmarkStart w:id="51" w:name="_Toc276740002"/>
      <w:bookmarkStart w:id="52" w:name="_Toc317588960"/>
      <w:bookmarkStart w:id="53" w:name="_Toc276740023"/>
      <w:r>
        <w:rPr>
          <w:rFonts w:hint="eastAsia" w:ascii="宋体" w:hAnsi="宋体" w:eastAsia="宋体" w:cs="宋体"/>
          <w:color w:val="auto"/>
          <w:sz w:val="24"/>
          <w:szCs w:val="24"/>
          <w:highlight w:val="none"/>
        </w:rPr>
        <w:t>项目概况</w:t>
      </w:r>
    </w:p>
    <w:p w14:paraId="5434F4C6">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红河县车古乡利博村委会至龙腾公路工程建设项目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val="en-US" w:eastAsia="zh-CN"/>
        </w:rPr>
        <w:t>磋商申请人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rPr>
        <w:t>政府采购云平台（https://www.zcygov.cn/）</w:t>
      </w:r>
      <w:r>
        <w:rPr>
          <w:rFonts w:hint="eastAsia" w:ascii="宋体" w:hAnsi="宋体" w:eastAsia="宋体" w:cs="宋体"/>
          <w:color w:val="auto"/>
          <w:sz w:val="24"/>
          <w:szCs w:val="24"/>
          <w:highlight w:val="none"/>
        </w:rPr>
        <w:t>获取采购文件，并于</w:t>
      </w:r>
      <w:r>
        <w:rPr>
          <w:rFonts w:hint="eastAsia" w:ascii="宋体" w:hAnsi="宋体" w:eastAsia="宋体" w:cs="宋体"/>
          <w:color w:val="auto"/>
          <w:sz w:val="24"/>
          <w:szCs w:val="24"/>
          <w:highlight w:val="none"/>
          <w:u w:val="single"/>
          <w:lang w:val="en-US" w:eastAsia="zh-CN"/>
        </w:rPr>
        <w:t>2026年5月20日</w:t>
      </w:r>
      <w:r>
        <w:rPr>
          <w:rFonts w:hint="eastAsia" w:ascii="宋体" w:hAnsi="宋体" w:eastAsia="宋体" w:cs="宋体"/>
          <w:bCs/>
          <w:color w:val="auto"/>
          <w:sz w:val="24"/>
          <w:szCs w:val="24"/>
          <w:highlight w:val="none"/>
          <w:u w:val="single"/>
          <w:lang w:val="en-US" w:eastAsia="zh-CN"/>
        </w:rPr>
        <w:t>09时30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14:paraId="37EC1F6A">
      <w:pPr>
        <w:pStyle w:val="4"/>
        <w:pageBreakBefore w:val="0"/>
        <w:widowControl w:val="0"/>
        <w:kinsoku/>
        <w:wordWrap/>
        <w:overflowPunct/>
        <w:topLinePunct w:val="0"/>
        <w:bidi w:val="0"/>
        <w:spacing w:before="0" w:after="0" w:line="360" w:lineRule="auto"/>
        <w:ind w:left="0" w:leftChars="0"/>
        <w:outlineLvl w:val="9"/>
        <w:rPr>
          <w:rFonts w:hint="eastAsia" w:ascii="宋体" w:hAnsi="宋体" w:eastAsia="宋体" w:cs="宋体"/>
          <w:b w:val="0"/>
          <w:color w:val="auto"/>
          <w:sz w:val="24"/>
          <w:szCs w:val="24"/>
          <w:highlight w:val="none"/>
        </w:rPr>
      </w:pPr>
      <w:bookmarkStart w:id="54" w:name="_Toc28359089"/>
      <w:bookmarkStart w:id="55" w:name="_Toc28359012"/>
      <w:bookmarkStart w:id="56" w:name="_Toc35393629"/>
      <w:bookmarkStart w:id="57" w:name="_Toc35393798"/>
    </w:p>
    <w:p w14:paraId="03F21D4C">
      <w:pPr>
        <w:pStyle w:val="4"/>
        <w:pageBreakBefore w:val="0"/>
        <w:widowControl w:val="0"/>
        <w:kinsoku/>
        <w:wordWrap/>
        <w:overflowPunct/>
        <w:topLinePunct w:val="0"/>
        <w:bidi w:val="0"/>
        <w:spacing w:before="0" w:after="0" w:line="360" w:lineRule="auto"/>
        <w:ind w:left="0" w:leftChars="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一、项目基本情况</w:t>
      </w:r>
      <w:bookmarkEnd w:id="54"/>
      <w:bookmarkEnd w:id="55"/>
      <w:bookmarkEnd w:id="56"/>
      <w:bookmarkEnd w:id="57"/>
    </w:p>
    <w:p w14:paraId="5B61A9C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红河县车古乡利博村委会至龙腾公路工程建设项目。</w:t>
      </w:r>
    </w:p>
    <w:p w14:paraId="56A3D8D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：YNJY-260518。</w:t>
      </w:r>
    </w:p>
    <w:p w14:paraId="1067FF4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采购方式：竞争性磋商</w:t>
      </w:r>
      <w:r>
        <w:rPr>
          <w:rFonts w:hint="eastAsia" w:ascii="宋体" w:hAnsi="宋体" w:eastAsia="宋体" w:cs="宋体"/>
          <w:color w:val="auto"/>
          <w:sz w:val="24"/>
          <w:szCs w:val="24"/>
          <w:highlight w:val="none"/>
          <w:lang w:eastAsia="zh-CN"/>
        </w:rPr>
        <w:t>。</w:t>
      </w:r>
    </w:p>
    <w:p w14:paraId="3EDEB65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人民币3909000.00元。</w:t>
      </w:r>
    </w:p>
    <w:p w14:paraId="2391BC3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招标控制价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人民币3794399.74元。</w:t>
      </w:r>
    </w:p>
    <w:p w14:paraId="33156A79">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需求：本项目主要为改建工程，故该项目平面、纵断原则维持原老路，纵段平面线形基本维持原状况，在老路上加宽路基，浇筑混凝土路面。路线整体由西北向东南方向布设，路线起点K0+000处位于利博村委会，止点K2+956止于利博村委会龙腾村，沿老路已有路线布线，路面采用C30混凝土浇筑，项目全长2.956公里。主要控制点：利博村委会，在原有老路走廊带对道路进行改建，包括：路基土石方23866m³、浇筑混凝土路面14165㎡，浇筑路缘边沟807.18m³、路基路面宽度：4.5米，行车道宽4.5 米。汽车荷载等级：公路-II级。</w:t>
      </w:r>
    </w:p>
    <w:p w14:paraId="1F4088F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建设地点：红河县车古乡利博村委会。</w:t>
      </w:r>
    </w:p>
    <w:p w14:paraId="744C834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计划工期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120日历天</w:t>
      </w:r>
      <w:r>
        <w:rPr>
          <w:rFonts w:hint="eastAsia" w:ascii="宋体" w:hAnsi="宋体" w:eastAsia="宋体" w:cs="宋体"/>
          <w:color w:val="auto"/>
          <w:sz w:val="24"/>
          <w:szCs w:val="24"/>
          <w:highlight w:val="none"/>
        </w:rPr>
        <w:t>。</w:t>
      </w:r>
    </w:p>
    <w:p w14:paraId="0EEC1F2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质量要求：施工质量符合</w:t>
      </w:r>
      <w:r>
        <w:rPr>
          <w:rFonts w:hint="eastAsia" w:ascii="宋体" w:hAnsi="宋体" w:eastAsia="宋体" w:cs="宋体"/>
          <w:color w:val="auto"/>
          <w:kern w:val="0"/>
          <w:sz w:val="24"/>
          <w:szCs w:val="24"/>
          <w:highlight w:val="none"/>
          <w:lang w:val="en-US" w:eastAsia="zh-CN" w:bidi="ar-SA"/>
        </w:rPr>
        <w:t>现行《公路工程质量检验评定标准》及</w:t>
      </w:r>
      <w:r>
        <w:rPr>
          <w:rFonts w:hint="eastAsia" w:ascii="宋体" w:hAnsi="宋体" w:eastAsia="宋体" w:cs="宋体"/>
          <w:color w:val="auto"/>
          <w:kern w:val="0"/>
          <w:sz w:val="24"/>
          <w:szCs w:val="24"/>
          <w:highlight w:val="none"/>
        </w:rPr>
        <w:t>国家相关标准、规范要求，一次性验收合格</w:t>
      </w:r>
      <w:r>
        <w:rPr>
          <w:rFonts w:hint="eastAsia" w:ascii="宋体" w:hAnsi="宋体" w:eastAsia="宋体" w:cs="宋体"/>
          <w:color w:val="auto"/>
          <w:kern w:val="0"/>
          <w:sz w:val="24"/>
          <w:szCs w:val="24"/>
          <w:highlight w:val="none"/>
          <w:lang w:eastAsia="zh-CN"/>
        </w:rPr>
        <w:t>。</w:t>
      </w:r>
    </w:p>
    <w:p w14:paraId="5082027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接受联合体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p>
    <w:p w14:paraId="1AB8FA8F">
      <w:pPr>
        <w:pStyle w:val="4"/>
        <w:pageBreakBefore w:val="0"/>
        <w:widowControl w:val="0"/>
        <w:kinsoku/>
        <w:wordWrap/>
        <w:overflowPunct/>
        <w:topLinePunct w:val="0"/>
        <w:bidi w:val="0"/>
        <w:spacing w:before="0" w:after="0" w:line="360" w:lineRule="auto"/>
        <w:ind w:left="0" w:leftChars="0"/>
        <w:rPr>
          <w:rFonts w:hint="eastAsia" w:ascii="宋体" w:hAnsi="宋体" w:eastAsia="宋体" w:cs="宋体"/>
          <w:b w:val="0"/>
          <w:color w:val="auto"/>
          <w:sz w:val="24"/>
          <w:szCs w:val="24"/>
          <w:highlight w:val="none"/>
        </w:rPr>
      </w:pPr>
      <w:bookmarkStart w:id="58" w:name="_Toc28359090"/>
      <w:bookmarkStart w:id="59" w:name="_Toc35393630"/>
      <w:bookmarkStart w:id="60" w:name="_Toc35393799"/>
      <w:bookmarkStart w:id="61" w:name="_Toc28359013"/>
      <w:r>
        <w:rPr>
          <w:rFonts w:hint="eastAsia" w:ascii="宋体" w:hAnsi="宋体" w:eastAsia="宋体" w:cs="宋体"/>
          <w:b w:val="0"/>
          <w:color w:val="auto"/>
          <w:sz w:val="24"/>
          <w:szCs w:val="24"/>
          <w:highlight w:val="none"/>
        </w:rPr>
        <w:t>二、申请人的资格要求：</w:t>
      </w:r>
      <w:bookmarkEnd w:id="58"/>
      <w:bookmarkEnd w:id="59"/>
      <w:bookmarkEnd w:id="60"/>
      <w:bookmarkEnd w:id="61"/>
    </w:p>
    <w:p w14:paraId="3E0C1D8B">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eastAsia="zh-CN"/>
        </w:rPr>
        <w:t>：</w:t>
      </w:r>
    </w:p>
    <w:p w14:paraId="45B93F95">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1.1</w:t>
      </w:r>
      <w:r>
        <w:rPr>
          <w:rFonts w:hint="eastAsia" w:ascii="宋体" w:hAnsi="宋体" w:eastAsia="宋体" w:cs="宋体"/>
          <w:color w:val="auto"/>
          <w:spacing w:val="10"/>
          <w:sz w:val="24"/>
          <w:szCs w:val="24"/>
          <w:highlight w:val="none"/>
          <w:lang w:eastAsia="zh-CN"/>
        </w:rPr>
        <w:t>具备独立承担民事责任的能力：提供有效的营业执照</w:t>
      </w:r>
      <w:r>
        <w:rPr>
          <w:rFonts w:hint="eastAsia" w:ascii="宋体" w:hAnsi="宋体" w:eastAsia="宋体" w:cs="宋体"/>
          <w:color w:val="auto"/>
          <w:spacing w:val="10"/>
          <w:sz w:val="24"/>
          <w:szCs w:val="24"/>
          <w:highlight w:val="none"/>
        </w:rPr>
        <w:t>。</w:t>
      </w:r>
    </w:p>
    <w:p w14:paraId="2957409B">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2具有良好的商业信誉和健全的财务会计制度：</w:t>
      </w:r>
      <w:r>
        <w:rPr>
          <w:rFonts w:hint="eastAsia" w:ascii="宋体" w:hAnsi="宋体" w:eastAsia="宋体" w:cs="宋体"/>
          <w:color w:val="auto"/>
          <w:sz w:val="24"/>
          <w:szCs w:val="24"/>
          <w:highlight w:val="none"/>
          <w:lang w:eastAsia="zh-CN"/>
        </w:rPr>
        <w:t>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年至今任意一年</w:t>
      </w:r>
      <w:r>
        <w:rPr>
          <w:rFonts w:hint="eastAsia" w:ascii="宋体" w:hAnsi="宋体" w:eastAsia="宋体" w:cs="宋体"/>
          <w:color w:val="auto"/>
          <w:sz w:val="24"/>
          <w:szCs w:val="24"/>
          <w:highlight w:val="none"/>
          <w:lang w:val="en-US" w:eastAsia="zh-CN"/>
        </w:rPr>
        <w:t>度</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财务</w:t>
      </w:r>
      <w:r>
        <w:rPr>
          <w:rFonts w:hint="eastAsia" w:ascii="宋体" w:hAnsi="宋体" w:eastAsia="宋体" w:cs="宋体"/>
          <w:color w:val="auto"/>
          <w:sz w:val="24"/>
          <w:szCs w:val="24"/>
          <w:highlight w:val="none"/>
          <w:lang w:eastAsia="zh-CN"/>
        </w:rPr>
        <w:t>报告（包含资产负债表、现金流量表、利润表），202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年新成立的企业可提供自成立以来的财务报表（包括资产负债表、利润表、现金流量表）或银行出具的资信证明。</w:t>
      </w:r>
    </w:p>
    <w:p w14:paraId="3558EE5E">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1</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3</w:t>
      </w:r>
      <w:r>
        <w:rPr>
          <w:rFonts w:hint="eastAsia" w:ascii="宋体" w:hAnsi="宋体" w:eastAsia="宋体" w:cs="宋体"/>
          <w:color w:val="auto"/>
          <w:spacing w:val="10"/>
          <w:sz w:val="24"/>
          <w:szCs w:val="24"/>
          <w:highlight w:val="none"/>
          <w:lang w:eastAsia="zh-CN"/>
        </w:rPr>
        <w:t>具有依法缴纳税收和社会保障资金的良好记录：提供</w:t>
      </w:r>
      <w:r>
        <w:rPr>
          <w:rFonts w:hint="eastAsia" w:ascii="宋体" w:hAnsi="宋体" w:eastAsia="宋体" w:cs="宋体"/>
          <w:color w:val="auto"/>
          <w:spacing w:val="10"/>
          <w:sz w:val="24"/>
          <w:szCs w:val="24"/>
          <w:highlight w:val="none"/>
          <w:lang w:val="en-US" w:eastAsia="zh-CN"/>
        </w:rPr>
        <w:t>2025年</w:t>
      </w:r>
      <w:r>
        <w:rPr>
          <w:rFonts w:hint="eastAsia" w:ascii="宋体" w:hAnsi="宋体" w:eastAsia="宋体" w:cs="宋体"/>
          <w:color w:val="auto"/>
          <w:spacing w:val="10"/>
          <w:sz w:val="24"/>
          <w:szCs w:val="24"/>
          <w:highlight w:val="none"/>
          <w:lang w:eastAsia="zh-CN"/>
        </w:rPr>
        <w:t>至今任意</w:t>
      </w:r>
      <w:r>
        <w:rPr>
          <w:rFonts w:hint="eastAsia" w:ascii="宋体" w:hAnsi="宋体" w:eastAsia="宋体" w:cs="宋体"/>
          <w:color w:val="auto"/>
          <w:spacing w:val="10"/>
          <w:sz w:val="24"/>
          <w:szCs w:val="24"/>
          <w:highlight w:val="none"/>
          <w:lang w:val="en-US" w:eastAsia="zh-CN"/>
        </w:rPr>
        <w:t>连续</w:t>
      </w:r>
      <w:r>
        <w:rPr>
          <w:rFonts w:hint="eastAsia" w:ascii="宋体" w:hAnsi="宋体" w:eastAsia="宋体" w:cs="宋体"/>
          <w:color w:val="auto"/>
          <w:spacing w:val="10"/>
          <w:sz w:val="24"/>
          <w:szCs w:val="24"/>
          <w:highlight w:val="none"/>
          <w:lang w:eastAsia="zh-CN"/>
        </w:rPr>
        <w:t>三个月的纳税和社保缴费证明材料 (依法免税或不需要缴纳社会保障资金的磋商申请人，应提供相应证明文件)。</w:t>
      </w:r>
    </w:p>
    <w:p w14:paraId="17276ADD">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1.4具有履行合同所必需的设备和专业技术能力：提供证明材料或承诺书。</w:t>
      </w:r>
    </w:p>
    <w:p w14:paraId="63529DD5">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1.5</w:t>
      </w:r>
      <w:r>
        <w:rPr>
          <w:rFonts w:hint="eastAsia" w:ascii="宋体" w:hAnsi="宋体" w:eastAsia="宋体" w:cs="宋体"/>
          <w:color w:val="auto"/>
          <w:spacing w:val="10"/>
          <w:sz w:val="24"/>
          <w:szCs w:val="24"/>
          <w:highlight w:val="none"/>
          <w:lang w:eastAsia="zh-CN"/>
        </w:rPr>
        <w:t>参加政府采购活动前三年内，在经营活动中没有重大违法记录（重大违法记录是指磋商申请人因违法经营受到刑事处罚或者责令停产停业、吊销许可证或者执照、较大数额罚款等行政处罚）的书面声明。</w:t>
      </w:r>
    </w:p>
    <w:p w14:paraId="29BF3D68">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1.6磋商申请人信誉良好，当前未因不良行为记录被行政主管部门暂停或取消磋商资格或未被列入“信用中国”网站（http://www.creditchina.gov.cn/）失信被执行人；经信用中国（www.creditchina.gov.cn）、中国政府采购网（www.ccgp.gov.cn）等渠道查询后，列入失信被执行人、重大税收违法失信名单、政府采购严重违法失信行为记录名单的，取消磋商资格。信用记录查询由采购代理机构在提交投标文件截止时间后负责查询、存档并统一提供给评标委员会，若供应商弄虚作假一经核实拒绝其参与政府采购活动。</w:t>
      </w:r>
    </w:p>
    <w:p w14:paraId="7754F096">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1.7 法律、行政法规规定的其他条件：单位负责人为同一人或者存在直接控股、管理关系的不同供应商，不得参加同一合同项下的政府采购活动，一经查实均按无效投标处理。</w:t>
      </w:r>
    </w:p>
    <w:p w14:paraId="581C6423">
      <w:pPr>
        <w:keepNext w:val="0"/>
        <w:keepLines w:val="0"/>
        <w:pageBreakBefore w:val="0"/>
        <w:widowControl w:val="0"/>
        <w:numPr>
          <w:ilvl w:val="0"/>
          <w:numId w:val="0"/>
        </w:numPr>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bookmarkStart w:id="62" w:name="_Toc28359014"/>
      <w:bookmarkStart w:id="63" w:name="_Toc28359091"/>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落实政府采购政策需满足的资格要求：本项目专门面向中小企业采购</w:t>
      </w:r>
      <w:r>
        <w:rPr>
          <w:rFonts w:hint="eastAsia" w:ascii="宋体" w:hAnsi="宋体" w:eastAsia="宋体" w:cs="宋体"/>
          <w:color w:val="auto"/>
          <w:sz w:val="24"/>
          <w:szCs w:val="24"/>
          <w:highlight w:val="none"/>
          <w:lang w:eastAsia="zh-CN"/>
        </w:rPr>
        <w:t>。</w:t>
      </w:r>
    </w:p>
    <w:p w14:paraId="6D60298D">
      <w:pPr>
        <w:keepNext w:val="0"/>
        <w:keepLines w:val="0"/>
        <w:pageBreakBefore w:val="0"/>
        <w:widowControl w:val="0"/>
        <w:numPr>
          <w:ilvl w:val="0"/>
          <w:numId w:val="0"/>
        </w:numPr>
        <w:tabs>
          <w:tab w:val="left" w:pos="-180"/>
          <w:tab w:val="left" w:pos="0"/>
          <w:tab w:val="left" w:pos="2160"/>
        </w:tabs>
        <w:kinsoku/>
        <w:wordWrap/>
        <w:overflowPunct/>
        <w:topLinePunct w:val="0"/>
        <w:bidi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403B877D">
      <w:pPr>
        <w:keepNext w:val="0"/>
        <w:keepLines w:val="0"/>
        <w:pageBreakBefore w:val="0"/>
        <w:widowControl w:val="0"/>
        <w:numPr>
          <w:ilvl w:val="0"/>
          <w:numId w:val="0"/>
        </w:numPr>
        <w:tabs>
          <w:tab w:val="left" w:pos="-180"/>
          <w:tab w:val="left" w:pos="0"/>
          <w:tab w:val="left" w:pos="2160"/>
        </w:tabs>
        <w:kinsoku/>
        <w:wordWrap/>
        <w:overflowPunct/>
        <w:topLinePunct w:val="0"/>
        <w:bidi w:val="0"/>
        <w:snapToGrid w:val="0"/>
        <w:spacing w:line="360" w:lineRule="auto"/>
        <w:ind w:left="0" w:leftChars="0" w:right="0" w:rightChars="0" w:firstLine="48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pacing w:val="10"/>
          <w:sz w:val="24"/>
          <w:szCs w:val="24"/>
          <w:highlight w:val="none"/>
        </w:rPr>
        <w:t>资质要求：供应商具备建设行政主管部门颁发的公路工程施工总承包叁级及以上资质，具有有效安全生产许可证</w:t>
      </w:r>
      <w:r>
        <w:rPr>
          <w:rFonts w:hint="eastAsia" w:ascii="宋体" w:hAnsi="宋体" w:eastAsia="宋体" w:cs="宋体"/>
          <w:color w:val="auto"/>
          <w:spacing w:val="10"/>
          <w:sz w:val="24"/>
          <w:szCs w:val="24"/>
          <w:highlight w:val="none"/>
          <w:lang w:eastAsia="zh-CN"/>
        </w:rPr>
        <w:t>。</w:t>
      </w:r>
    </w:p>
    <w:p w14:paraId="34FF0DDE">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3.2</w:t>
      </w:r>
      <w:r>
        <w:rPr>
          <w:rFonts w:hint="eastAsia" w:ascii="宋体" w:hAnsi="宋体" w:eastAsia="宋体" w:cs="宋体"/>
          <w:color w:val="auto"/>
          <w:spacing w:val="10"/>
          <w:sz w:val="24"/>
          <w:szCs w:val="24"/>
          <w:highlight w:val="none"/>
          <w:lang w:eastAsia="zh-CN"/>
        </w:rPr>
        <w:t>项目经理要求：拟派往本项目的项目经理具有工程师或以上职称，具有贰级或以上注册建造师证书（公路工程专业），持有省级以上交通主管部门颁发的安全生产考核合格证书（B类），提供本单位参加社保的缴费证明材料，证书在有效期内。项目经理</w:t>
      </w:r>
      <w:r>
        <w:rPr>
          <w:rFonts w:hint="eastAsia" w:ascii="宋体" w:hAnsi="宋体" w:eastAsia="宋体" w:cs="宋体"/>
          <w:color w:val="auto"/>
          <w:spacing w:val="10"/>
          <w:sz w:val="24"/>
          <w:szCs w:val="24"/>
          <w:highlight w:val="none"/>
          <w:lang w:val="en-US" w:eastAsia="zh-CN"/>
        </w:rPr>
        <w:t>须注册在本单位。</w:t>
      </w:r>
    </w:p>
    <w:p w14:paraId="51255AD3">
      <w:pPr>
        <w:pStyle w:val="4"/>
        <w:pageBreakBefore w:val="0"/>
        <w:widowControl w:val="0"/>
        <w:kinsoku/>
        <w:wordWrap/>
        <w:overflowPunct/>
        <w:topLinePunct w:val="0"/>
        <w:bidi w:val="0"/>
        <w:spacing w:before="0" w:after="0" w:line="360" w:lineRule="auto"/>
        <w:ind w:left="0" w:leftChars="0"/>
        <w:rPr>
          <w:rFonts w:hint="eastAsia" w:ascii="宋体" w:hAnsi="宋体" w:eastAsia="宋体" w:cs="宋体"/>
          <w:b w:val="0"/>
          <w:color w:val="auto"/>
          <w:sz w:val="24"/>
          <w:szCs w:val="24"/>
          <w:highlight w:val="none"/>
        </w:rPr>
      </w:pPr>
      <w:bookmarkStart w:id="64" w:name="_Toc35393631"/>
      <w:bookmarkStart w:id="65" w:name="_Toc35393800"/>
      <w:r>
        <w:rPr>
          <w:rFonts w:hint="eastAsia" w:ascii="宋体" w:hAnsi="宋体" w:eastAsia="宋体" w:cs="宋体"/>
          <w:b w:val="0"/>
          <w:color w:val="auto"/>
          <w:sz w:val="24"/>
          <w:szCs w:val="24"/>
          <w:highlight w:val="none"/>
        </w:rPr>
        <w:t>三、获取采购文件</w:t>
      </w:r>
      <w:bookmarkEnd w:id="62"/>
      <w:bookmarkEnd w:id="63"/>
      <w:bookmarkEnd w:id="64"/>
      <w:bookmarkEnd w:id="65"/>
    </w:p>
    <w:p w14:paraId="4898A325">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2026年5月7日至2026年5月14日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竞争性</w:t>
      </w:r>
      <w:r>
        <w:rPr>
          <w:rFonts w:hint="eastAsia" w:ascii="宋体" w:hAnsi="宋体" w:eastAsia="宋体" w:cs="宋体"/>
          <w:color w:val="auto"/>
          <w:sz w:val="24"/>
          <w:szCs w:val="24"/>
          <w:highlight w:val="none"/>
        </w:rPr>
        <w:t>磋商文件的发售期限自开始之日起不得少于5个工作日），每天</w:t>
      </w:r>
      <w:r>
        <w:rPr>
          <w:rFonts w:hint="eastAsia" w:ascii="宋体" w:hAnsi="宋体" w:eastAsia="宋体" w:cs="宋体"/>
          <w:color w:val="auto"/>
          <w:sz w:val="24"/>
          <w:szCs w:val="24"/>
          <w:highlight w:val="none"/>
          <w:lang w:val="en-US" w:eastAsia="zh-CN"/>
        </w:rPr>
        <w:t>08时30分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11时30分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14时00分</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17时30分</w:t>
      </w:r>
      <w:r>
        <w:rPr>
          <w:rFonts w:hint="eastAsia" w:ascii="宋体" w:hAnsi="宋体" w:eastAsia="宋体" w:cs="宋体"/>
          <w:color w:val="auto"/>
          <w:sz w:val="24"/>
          <w:szCs w:val="24"/>
          <w:highlight w:val="none"/>
        </w:rPr>
        <w:t>（北京时间，法定节假日除外 ）</w:t>
      </w:r>
      <w:r>
        <w:rPr>
          <w:rFonts w:hint="eastAsia" w:ascii="宋体" w:hAnsi="宋体" w:eastAsia="宋体" w:cs="宋体"/>
          <w:color w:val="auto"/>
          <w:sz w:val="24"/>
          <w:szCs w:val="24"/>
          <w:highlight w:val="none"/>
          <w:lang w:eastAsia="zh-CN"/>
        </w:rPr>
        <w:t>。</w:t>
      </w:r>
    </w:p>
    <w:p w14:paraId="1FE174DF">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地点：政府采购云平台（https://www.zcygov.cn/）</w:t>
      </w:r>
      <w:r>
        <w:rPr>
          <w:rFonts w:hint="eastAsia" w:ascii="宋体" w:hAnsi="宋体" w:eastAsia="宋体" w:cs="宋体"/>
          <w:color w:val="auto"/>
          <w:sz w:val="24"/>
          <w:szCs w:val="24"/>
          <w:highlight w:val="none"/>
          <w:lang w:eastAsia="zh-CN"/>
        </w:rPr>
        <w:t>。</w:t>
      </w:r>
    </w:p>
    <w:p w14:paraId="148C7D6E">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方式：（1）凡有意参加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者，须在政府采购云平台办理数字证书（CA），CA申领链接：https://middle.zcygov.cn/ca/apply/list?_app_=zcy.sys，并在政府采购云平台绑定数字证书（CA）后在网上获取竞争性磋商文件及其它磋商资料，数字证书（CA）详见其办理流程。（2）按上述要求获取文件的磋商申请人视为合法获取了本项目</w:t>
      </w:r>
      <w:r>
        <w:rPr>
          <w:rFonts w:hint="eastAsia" w:ascii="宋体" w:hAnsi="宋体" w:eastAsia="宋体" w:cs="宋体"/>
          <w:color w:val="auto"/>
          <w:sz w:val="24"/>
          <w:szCs w:val="24"/>
          <w:highlight w:val="none"/>
          <w:lang w:eastAsia="zh-CN"/>
        </w:rPr>
        <w:t>竞争性</w:t>
      </w:r>
      <w:r>
        <w:rPr>
          <w:rFonts w:hint="eastAsia" w:ascii="宋体" w:hAnsi="宋体" w:eastAsia="宋体" w:cs="宋体"/>
          <w:color w:val="auto"/>
          <w:sz w:val="24"/>
          <w:szCs w:val="24"/>
          <w:highlight w:val="none"/>
        </w:rPr>
        <w:t>磋商文件，具备本项目的投标资格</w:t>
      </w:r>
      <w:r>
        <w:rPr>
          <w:rFonts w:hint="eastAsia" w:ascii="宋体" w:hAnsi="宋体" w:eastAsia="宋体" w:cs="宋体"/>
          <w:color w:val="auto"/>
          <w:sz w:val="24"/>
          <w:szCs w:val="24"/>
          <w:highlight w:val="none"/>
          <w:lang w:eastAsia="zh-CN"/>
        </w:rPr>
        <w:t>。</w:t>
      </w:r>
    </w:p>
    <w:p w14:paraId="3EE52F5B">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0元。</w:t>
      </w:r>
    </w:p>
    <w:p w14:paraId="3FB15E8E">
      <w:pPr>
        <w:pStyle w:val="4"/>
        <w:pageBreakBefore w:val="0"/>
        <w:widowControl w:val="0"/>
        <w:kinsoku/>
        <w:wordWrap/>
        <w:overflowPunct/>
        <w:topLinePunct w:val="0"/>
        <w:bidi w:val="0"/>
        <w:spacing w:before="0" w:after="0" w:line="360" w:lineRule="auto"/>
        <w:ind w:left="0" w:leftChars="0"/>
        <w:rPr>
          <w:rFonts w:hint="eastAsia" w:ascii="宋体" w:hAnsi="宋体" w:eastAsia="宋体" w:cs="宋体"/>
          <w:b w:val="0"/>
          <w:color w:val="auto"/>
          <w:sz w:val="24"/>
          <w:szCs w:val="24"/>
          <w:highlight w:val="none"/>
          <w:lang w:val="en-US" w:eastAsia="zh-CN"/>
        </w:rPr>
      </w:pPr>
      <w:bookmarkStart w:id="66" w:name="_Toc35393632"/>
      <w:bookmarkStart w:id="67" w:name="_Toc28359015"/>
      <w:bookmarkStart w:id="68" w:name="_Toc28359092"/>
      <w:bookmarkStart w:id="69" w:name="_Toc35393801"/>
      <w:r>
        <w:rPr>
          <w:rFonts w:hint="eastAsia" w:ascii="宋体" w:hAnsi="宋体" w:eastAsia="宋体" w:cs="宋体"/>
          <w:b w:val="0"/>
          <w:color w:val="auto"/>
          <w:sz w:val="24"/>
          <w:szCs w:val="24"/>
          <w:highlight w:val="none"/>
        </w:rPr>
        <w:t>四、响应文件提交</w:t>
      </w:r>
      <w:bookmarkEnd w:id="66"/>
      <w:bookmarkEnd w:id="67"/>
      <w:bookmarkEnd w:id="68"/>
      <w:bookmarkEnd w:id="69"/>
    </w:p>
    <w:p w14:paraId="626AF5E9">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none"/>
          <w:lang w:val="en-US" w:eastAsia="zh-CN"/>
        </w:rPr>
        <w:t>2026年5月20日09时30分</w:t>
      </w:r>
      <w:r>
        <w:rPr>
          <w:rFonts w:hint="eastAsia" w:ascii="宋体" w:hAnsi="宋体" w:eastAsia="宋体" w:cs="宋体"/>
          <w:bCs/>
          <w:color w:val="auto"/>
          <w:sz w:val="24"/>
          <w:szCs w:val="24"/>
          <w:highlight w:val="none"/>
          <w:u w:val="none"/>
        </w:rPr>
        <w:t>（北</w:t>
      </w:r>
      <w:r>
        <w:rPr>
          <w:rFonts w:hint="eastAsia" w:ascii="宋体" w:hAnsi="宋体" w:eastAsia="宋体" w:cs="宋体"/>
          <w:bCs/>
          <w:color w:val="auto"/>
          <w:sz w:val="24"/>
          <w:szCs w:val="24"/>
          <w:highlight w:val="none"/>
        </w:rPr>
        <w:t>京时间）</w:t>
      </w:r>
      <w:r>
        <w:rPr>
          <w:rFonts w:hint="eastAsia" w:ascii="宋体" w:hAnsi="宋体" w:eastAsia="宋体" w:cs="宋体"/>
          <w:bCs/>
          <w:color w:val="auto"/>
          <w:sz w:val="24"/>
          <w:szCs w:val="24"/>
          <w:highlight w:val="none"/>
          <w:lang w:eastAsia="zh-CN"/>
        </w:rPr>
        <w:t>。</w:t>
      </w:r>
    </w:p>
    <w:p w14:paraId="7B9C87AB">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地点：政府采购云平台（https://www.zcygov.cn/）</w:t>
      </w:r>
      <w:r>
        <w:rPr>
          <w:rFonts w:hint="eastAsia" w:ascii="宋体" w:hAnsi="宋体" w:eastAsia="宋体" w:cs="宋体"/>
          <w:color w:val="auto"/>
          <w:sz w:val="24"/>
          <w:szCs w:val="24"/>
          <w:highlight w:val="none"/>
          <w:lang w:eastAsia="zh-CN"/>
        </w:rPr>
        <w:t>。</w:t>
      </w:r>
    </w:p>
    <w:p w14:paraId="2E504C18">
      <w:pPr>
        <w:pStyle w:val="4"/>
        <w:pageBreakBefore w:val="0"/>
        <w:widowControl w:val="0"/>
        <w:numPr>
          <w:ilvl w:val="0"/>
          <w:numId w:val="0"/>
        </w:numPr>
        <w:kinsoku/>
        <w:wordWrap/>
        <w:overflowPunct/>
        <w:topLinePunct w:val="0"/>
        <w:bidi w:val="0"/>
        <w:spacing w:before="0" w:after="0" w:line="360" w:lineRule="auto"/>
        <w:rPr>
          <w:rFonts w:hint="eastAsia" w:ascii="宋体" w:hAnsi="宋体" w:eastAsia="宋体" w:cs="宋体"/>
          <w:b w:val="0"/>
          <w:bCs/>
          <w:color w:val="auto"/>
          <w:sz w:val="24"/>
          <w:szCs w:val="24"/>
          <w:highlight w:val="none"/>
        </w:rPr>
      </w:pPr>
      <w:bookmarkStart w:id="70" w:name="_Toc28359016"/>
      <w:bookmarkStart w:id="71" w:name="_Toc35393802"/>
      <w:bookmarkStart w:id="72" w:name="_Toc35393633"/>
      <w:bookmarkStart w:id="73" w:name="_Toc28359093"/>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开启</w:t>
      </w:r>
      <w:bookmarkEnd w:id="70"/>
      <w:bookmarkEnd w:id="71"/>
      <w:bookmarkEnd w:id="72"/>
      <w:bookmarkEnd w:id="73"/>
    </w:p>
    <w:p w14:paraId="07DCCE4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2026年5月20日09时30分</w:t>
      </w:r>
      <w:r>
        <w:rPr>
          <w:rFonts w:hint="eastAsia" w:ascii="宋体" w:hAnsi="宋体" w:eastAsia="宋体" w:cs="宋体"/>
          <w:bCs/>
          <w:color w:val="auto"/>
          <w:sz w:val="24"/>
          <w:szCs w:val="24"/>
          <w:highlight w:val="none"/>
        </w:rPr>
        <w:t>（北京时间）</w:t>
      </w:r>
      <w:r>
        <w:rPr>
          <w:rFonts w:hint="eastAsia" w:ascii="宋体" w:hAnsi="宋体" w:eastAsia="宋体" w:cs="宋体"/>
          <w:bCs/>
          <w:color w:val="auto"/>
          <w:sz w:val="24"/>
          <w:szCs w:val="24"/>
          <w:highlight w:val="none"/>
          <w:lang w:eastAsia="zh-CN"/>
        </w:rPr>
        <w:t>。</w:t>
      </w:r>
    </w:p>
    <w:p w14:paraId="1D72C1A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rPr>
        <w:t>地点：政府采购云平台开标大厅</w:t>
      </w:r>
      <w:r>
        <w:rPr>
          <w:rFonts w:hint="eastAsia" w:ascii="宋体" w:hAnsi="宋体" w:eastAsia="宋体" w:cs="宋体"/>
          <w:color w:val="auto"/>
          <w:sz w:val="24"/>
          <w:szCs w:val="24"/>
          <w:highlight w:val="none"/>
          <w:lang w:eastAsia="zh-CN"/>
        </w:rPr>
        <w:t>。</w:t>
      </w:r>
    </w:p>
    <w:p w14:paraId="366DAAA4">
      <w:pPr>
        <w:pStyle w:val="4"/>
        <w:pageBreakBefore w:val="0"/>
        <w:widowControl w:val="0"/>
        <w:kinsoku/>
        <w:wordWrap/>
        <w:overflowPunct/>
        <w:topLinePunct w:val="0"/>
        <w:bidi w:val="0"/>
        <w:spacing w:before="0" w:after="0" w:line="360" w:lineRule="auto"/>
        <w:ind w:left="0" w:leftChars="0"/>
        <w:rPr>
          <w:rFonts w:hint="eastAsia" w:ascii="宋体" w:hAnsi="宋体" w:eastAsia="宋体" w:cs="宋体"/>
          <w:b w:val="0"/>
          <w:color w:val="auto"/>
          <w:sz w:val="24"/>
          <w:szCs w:val="24"/>
          <w:highlight w:val="none"/>
        </w:rPr>
      </w:pPr>
      <w:bookmarkStart w:id="74" w:name="_Toc35393634"/>
      <w:bookmarkStart w:id="75" w:name="_Toc28359094"/>
      <w:bookmarkStart w:id="76" w:name="_Toc28359017"/>
      <w:bookmarkStart w:id="77" w:name="_Toc35393803"/>
      <w:r>
        <w:rPr>
          <w:rFonts w:hint="eastAsia" w:ascii="宋体" w:hAnsi="宋体" w:eastAsia="宋体" w:cs="宋体"/>
          <w:b w:val="0"/>
          <w:color w:val="auto"/>
          <w:sz w:val="24"/>
          <w:szCs w:val="24"/>
          <w:highlight w:val="none"/>
        </w:rPr>
        <w:t>六、公告期限</w:t>
      </w:r>
      <w:bookmarkEnd w:id="74"/>
      <w:bookmarkEnd w:id="75"/>
      <w:bookmarkEnd w:id="76"/>
      <w:bookmarkEnd w:id="77"/>
    </w:p>
    <w:p w14:paraId="17136A22">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593775BD">
      <w:pPr>
        <w:pStyle w:val="4"/>
        <w:pageBreakBefore w:val="0"/>
        <w:widowControl w:val="0"/>
        <w:numPr>
          <w:ilvl w:val="0"/>
          <w:numId w:val="0"/>
        </w:numPr>
        <w:kinsoku/>
        <w:wordWrap/>
        <w:overflowPunct/>
        <w:topLinePunct w:val="0"/>
        <w:bidi w:val="0"/>
        <w:spacing w:before="0" w:after="0" w:line="360" w:lineRule="auto"/>
        <w:rPr>
          <w:rFonts w:hint="eastAsia" w:ascii="宋体" w:hAnsi="宋体" w:eastAsia="宋体" w:cs="宋体"/>
          <w:b w:val="0"/>
          <w:color w:val="auto"/>
          <w:sz w:val="24"/>
          <w:szCs w:val="24"/>
          <w:highlight w:val="none"/>
        </w:rPr>
      </w:pPr>
      <w:bookmarkStart w:id="78" w:name="_Toc35393804"/>
      <w:bookmarkStart w:id="79" w:name="_Toc35393635"/>
      <w:r>
        <w:rPr>
          <w:rFonts w:hint="eastAsia" w:ascii="宋体" w:hAnsi="宋体" w:eastAsia="宋体" w:cs="宋体"/>
          <w:b w:val="0"/>
          <w:color w:val="auto"/>
          <w:sz w:val="24"/>
          <w:szCs w:val="24"/>
          <w:highlight w:val="none"/>
          <w:lang w:val="en-US" w:eastAsia="zh-CN"/>
        </w:rPr>
        <w:t>七、</w:t>
      </w:r>
      <w:r>
        <w:rPr>
          <w:rFonts w:hint="eastAsia" w:ascii="宋体" w:hAnsi="宋体" w:eastAsia="宋体" w:cs="宋体"/>
          <w:b w:val="0"/>
          <w:color w:val="auto"/>
          <w:sz w:val="24"/>
          <w:szCs w:val="24"/>
          <w:highlight w:val="none"/>
        </w:rPr>
        <w:t>其他补充事宜</w:t>
      </w:r>
      <w:bookmarkEnd w:id="78"/>
      <w:bookmarkEnd w:id="79"/>
    </w:p>
    <w:p w14:paraId="127A3C5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开标方式：网上开标</w:t>
      </w:r>
      <w:r>
        <w:rPr>
          <w:rFonts w:hint="eastAsia" w:ascii="宋体" w:hAnsi="宋体" w:eastAsia="宋体" w:cs="宋体"/>
          <w:color w:val="auto"/>
          <w:kern w:val="0"/>
          <w:sz w:val="24"/>
          <w:szCs w:val="24"/>
          <w:highlight w:val="none"/>
          <w:lang w:eastAsia="zh-CN"/>
        </w:rPr>
        <w:t>。</w:t>
      </w:r>
    </w:p>
    <w:p w14:paraId="2C56C59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kern w:val="0"/>
          <w:sz w:val="24"/>
          <w:szCs w:val="24"/>
          <w:highlight w:val="none"/>
          <w:lang w:eastAsia="zh-CN"/>
        </w:rPr>
      </w:pPr>
      <w:bookmarkStart w:id="80" w:name="_Toc28359018"/>
      <w:bookmarkStart w:id="81" w:name="_Toc35393636"/>
      <w:bookmarkStart w:id="82" w:name="_Toc35393805"/>
      <w:bookmarkStart w:id="83" w:name="_Toc28359095"/>
      <w:r>
        <w:rPr>
          <w:rFonts w:hint="eastAsia" w:ascii="宋体" w:hAnsi="宋体" w:eastAsia="宋体" w:cs="宋体"/>
          <w:color w:val="auto"/>
          <w:kern w:val="0"/>
          <w:sz w:val="24"/>
          <w:szCs w:val="24"/>
          <w:highlight w:val="none"/>
          <w:lang w:eastAsia="zh-CN"/>
        </w:rPr>
        <w:t>公告发布媒介：本次磋商公告在云南省政府采购网（http://www.yngp.com/）发布，采购人及采购代理机构对其他网站或媒体转载的公告及公告内容不承担任何责任。</w:t>
      </w:r>
    </w:p>
    <w:p w14:paraId="602B2CC9">
      <w:pPr>
        <w:pStyle w:val="4"/>
        <w:pageBreakBefore w:val="0"/>
        <w:widowControl w:val="0"/>
        <w:kinsoku/>
        <w:wordWrap/>
        <w:overflowPunct/>
        <w:topLinePunct w:val="0"/>
        <w:bidi w:val="0"/>
        <w:spacing w:before="0" w:after="0" w:line="360" w:lineRule="auto"/>
        <w:ind w:left="0" w:leftChars="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八</w:t>
      </w:r>
      <w:r>
        <w:rPr>
          <w:rFonts w:hint="eastAsia" w:ascii="宋体" w:hAnsi="宋体" w:eastAsia="宋体" w:cs="宋体"/>
          <w:b w:val="0"/>
          <w:color w:val="auto"/>
          <w:sz w:val="24"/>
          <w:szCs w:val="24"/>
          <w:highlight w:val="none"/>
        </w:rPr>
        <w:t>、凡对本次采购提出询问，请按以下方式联系。</w:t>
      </w:r>
      <w:bookmarkEnd w:id="80"/>
      <w:bookmarkEnd w:id="81"/>
      <w:bookmarkEnd w:id="82"/>
      <w:bookmarkEnd w:id="83"/>
    </w:p>
    <w:p w14:paraId="643C083B">
      <w:pPr>
        <w:pStyle w:val="4"/>
        <w:pageBreakBefore w:val="0"/>
        <w:widowControl w:val="0"/>
        <w:kinsoku/>
        <w:wordWrap/>
        <w:overflowPunct/>
        <w:topLinePunct w:val="0"/>
        <w:bidi w:val="0"/>
        <w:snapToGrid/>
        <w:spacing w:before="0" w:after="0" w:line="360" w:lineRule="auto"/>
        <w:ind w:firstLine="480" w:firstLineChars="200"/>
        <w:rPr>
          <w:rFonts w:hint="eastAsia" w:ascii="宋体" w:hAnsi="宋体" w:eastAsia="宋体" w:cs="宋体"/>
          <w:b w:val="0"/>
          <w:color w:val="auto"/>
          <w:sz w:val="24"/>
          <w:szCs w:val="24"/>
          <w:highlight w:val="none"/>
        </w:rPr>
      </w:pPr>
      <w:bookmarkStart w:id="84" w:name="_Toc28359019"/>
      <w:bookmarkStart w:id="85" w:name="_Toc35393637"/>
      <w:bookmarkStart w:id="86" w:name="_Toc28359096"/>
      <w:bookmarkStart w:id="87" w:name="_Toc35393806"/>
      <w:r>
        <w:rPr>
          <w:rFonts w:hint="eastAsia" w:ascii="宋体" w:hAnsi="宋体" w:eastAsia="宋体" w:cs="宋体"/>
          <w:b w:val="0"/>
          <w:color w:val="auto"/>
          <w:sz w:val="24"/>
          <w:szCs w:val="24"/>
          <w:highlight w:val="none"/>
        </w:rPr>
        <w:t>1.采购人信息</w:t>
      </w:r>
      <w:bookmarkEnd w:id="84"/>
      <w:bookmarkEnd w:id="85"/>
      <w:bookmarkEnd w:id="86"/>
      <w:bookmarkEnd w:id="87"/>
    </w:p>
    <w:p w14:paraId="7583611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红河县车古乡人民政府</w:t>
      </w:r>
    </w:p>
    <w:p w14:paraId="2435081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红河县车古乡</w:t>
      </w:r>
    </w:p>
    <w:p w14:paraId="0FA509C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白崇智</w:t>
      </w:r>
      <w:r>
        <w:rPr>
          <w:rFonts w:hint="eastAsia" w:ascii="宋体" w:hAnsi="宋体" w:eastAsia="宋体" w:cs="宋体"/>
          <w:color w:val="auto"/>
          <w:sz w:val="24"/>
          <w:szCs w:val="24"/>
          <w:highlight w:val="none"/>
          <w:lang w:eastAsia="zh-CN"/>
        </w:rPr>
        <w:t xml:space="preserve"> </w:t>
      </w:r>
    </w:p>
    <w:p w14:paraId="7A73E36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话：19808739834</w:t>
      </w:r>
    </w:p>
    <w:p w14:paraId="0F16F66F">
      <w:pPr>
        <w:pStyle w:val="4"/>
        <w:pageBreakBefore w:val="0"/>
        <w:widowControl w:val="0"/>
        <w:kinsoku/>
        <w:wordWrap/>
        <w:overflowPunct/>
        <w:topLinePunct w:val="0"/>
        <w:bidi w:val="0"/>
        <w:snapToGrid/>
        <w:spacing w:before="0" w:after="0" w:line="360" w:lineRule="auto"/>
        <w:ind w:firstLine="480" w:firstLineChars="200"/>
        <w:rPr>
          <w:rFonts w:hint="eastAsia" w:ascii="宋体" w:hAnsi="宋体" w:eastAsia="宋体" w:cs="宋体"/>
          <w:b w:val="0"/>
          <w:color w:val="auto"/>
          <w:sz w:val="24"/>
          <w:szCs w:val="24"/>
          <w:highlight w:val="none"/>
        </w:rPr>
      </w:pPr>
      <w:bookmarkStart w:id="88" w:name="_Toc35393638"/>
      <w:bookmarkStart w:id="89" w:name="_Toc35393807"/>
      <w:bookmarkStart w:id="90" w:name="_Toc28359097"/>
      <w:bookmarkStart w:id="91" w:name="_Toc28359020"/>
      <w:r>
        <w:rPr>
          <w:rFonts w:hint="eastAsia" w:ascii="宋体" w:hAnsi="宋体" w:eastAsia="宋体" w:cs="宋体"/>
          <w:b w:val="0"/>
          <w:color w:val="auto"/>
          <w:sz w:val="24"/>
          <w:szCs w:val="24"/>
          <w:highlight w:val="none"/>
        </w:rPr>
        <w:t>2.采购代理机构信息</w:t>
      </w:r>
      <w:bookmarkEnd w:id="88"/>
      <w:bookmarkEnd w:id="89"/>
      <w:bookmarkEnd w:id="90"/>
      <w:bookmarkEnd w:id="91"/>
    </w:p>
    <w:p w14:paraId="1F4B603D">
      <w:pPr>
        <w:pageBreakBefore w:val="0"/>
        <w:widowControl w:val="0"/>
        <w:kinsoku/>
        <w:wordWrap/>
        <w:overflowPunct/>
        <w:topLinePunct w:val="0"/>
        <w:bidi w:val="0"/>
        <w:snapToGrid/>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云南疆屿项目管理咨询有限公司</w:t>
      </w:r>
    </w:p>
    <w:p w14:paraId="0CB1C8D0">
      <w:pPr>
        <w:pageBreakBefore w:val="0"/>
        <w:widowControl w:val="0"/>
        <w:kinsoku/>
        <w:wordWrap/>
        <w:overflowPunct/>
        <w:topLinePunct w:val="0"/>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lang w:val="en-US" w:eastAsia="zh-CN"/>
        </w:rPr>
        <w:t>蒙自市双河社区余庆街21号</w:t>
      </w:r>
    </w:p>
    <w:p w14:paraId="53FD50FB">
      <w:pPr>
        <w:pageBreakBefore w:val="0"/>
        <w:widowControl w:val="0"/>
        <w:kinsoku/>
        <w:wordWrap/>
        <w:overflowPunct/>
        <w:topLinePunct w:val="0"/>
        <w:bidi w:val="0"/>
        <w:snapToGrid/>
        <w:spacing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lang w:val="en-US" w:eastAsia="zh-CN"/>
        </w:rPr>
        <w:t>薛勇</w:t>
      </w:r>
    </w:p>
    <w:p w14:paraId="48C27578">
      <w:pPr>
        <w:pageBreakBefore w:val="0"/>
        <w:widowControl w:val="0"/>
        <w:kinsoku/>
        <w:wordWrap/>
        <w:overflowPunct/>
        <w:topLinePunct w:val="0"/>
        <w:bidi w:val="0"/>
        <w:snapToGrid/>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default" w:ascii="宋体" w:hAnsi="宋体" w:eastAsia="宋体" w:cs="宋体"/>
          <w:color w:val="auto"/>
          <w:sz w:val="24"/>
          <w:szCs w:val="24"/>
          <w:highlight w:val="none"/>
          <w:lang w:val="en-US" w:eastAsia="zh-CN"/>
        </w:rPr>
        <w:t>电  话：18687</w:t>
      </w:r>
      <w:r>
        <w:rPr>
          <w:rFonts w:hint="eastAsia" w:ascii="宋体" w:hAnsi="宋体" w:eastAsia="宋体" w:cs="宋体"/>
          <w:color w:val="auto"/>
          <w:sz w:val="24"/>
          <w:szCs w:val="24"/>
          <w:highlight w:val="none"/>
          <w:lang w:val="en-US" w:eastAsia="zh-CN"/>
        </w:rPr>
        <w:t>170913</w:t>
      </w:r>
    </w:p>
    <w:bookmarkEnd w:id="50"/>
    <w:bookmarkEnd w:id="51"/>
    <w:p w14:paraId="35B38541">
      <w:pPr>
        <w:rPr>
          <w:rFonts w:hint="eastAsia" w:ascii="宋体" w:hAnsi="宋体" w:eastAsia="宋体" w:cs="宋体"/>
          <w:bCs w:val="0"/>
          <w:color w:val="auto"/>
          <w:sz w:val="44"/>
          <w:szCs w:val="44"/>
          <w:highlight w:val="none"/>
        </w:rPr>
      </w:pPr>
      <w:bookmarkStart w:id="92" w:name="_Toc502328411"/>
      <w:bookmarkStart w:id="93" w:name="_Toc500594529"/>
      <w:bookmarkStart w:id="94" w:name="_Toc18953"/>
      <w:bookmarkStart w:id="95" w:name="_Toc18293"/>
      <w:bookmarkStart w:id="96" w:name="_Toc17610"/>
      <w:r>
        <w:rPr>
          <w:rFonts w:hint="eastAsia" w:ascii="宋体" w:hAnsi="宋体" w:eastAsia="宋体" w:cs="宋体"/>
          <w:bCs w:val="0"/>
          <w:color w:val="auto"/>
          <w:sz w:val="44"/>
          <w:szCs w:val="44"/>
          <w:highlight w:val="none"/>
        </w:rPr>
        <w:br w:type="page"/>
      </w:r>
    </w:p>
    <w:p w14:paraId="627850C4">
      <w:pPr>
        <w:pStyle w:val="3"/>
        <w:tabs>
          <w:tab w:val="left" w:pos="432"/>
        </w:tabs>
        <w:snapToGrid w:val="0"/>
        <w:spacing w:before="0" w:after="0" w:line="360" w:lineRule="auto"/>
        <w:ind w:left="432" w:hanging="432"/>
        <w:jc w:val="center"/>
        <w:rPr>
          <w:rFonts w:hint="eastAsia" w:ascii="宋体" w:hAnsi="宋体" w:eastAsia="宋体" w:cs="宋体"/>
          <w:bCs w:val="0"/>
          <w:color w:val="auto"/>
          <w:sz w:val="44"/>
          <w:szCs w:val="44"/>
          <w:highlight w:val="none"/>
        </w:rPr>
      </w:pPr>
      <w:bookmarkStart w:id="97" w:name="_Toc22319"/>
      <w:bookmarkStart w:id="98" w:name="_Toc11650"/>
      <w:r>
        <w:rPr>
          <w:rFonts w:hint="eastAsia" w:ascii="宋体" w:hAnsi="宋体" w:eastAsia="宋体" w:cs="宋体"/>
          <w:bCs w:val="0"/>
          <w:color w:val="auto"/>
          <w:sz w:val="44"/>
          <w:szCs w:val="44"/>
          <w:highlight w:val="none"/>
        </w:rPr>
        <w:t xml:space="preserve">第二章  </w:t>
      </w:r>
      <w:bookmarkEnd w:id="52"/>
      <w:r>
        <w:rPr>
          <w:rFonts w:hint="eastAsia" w:ascii="宋体" w:hAnsi="宋体" w:eastAsia="宋体" w:cs="宋体"/>
          <w:bCs w:val="0"/>
          <w:color w:val="auto"/>
          <w:sz w:val="44"/>
          <w:szCs w:val="44"/>
          <w:highlight w:val="none"/>
          <w:lang w:eastAsia="zh-CN"/>
        </w:rPr>
        <w:t>磋商申请人</w:t>
      </w:r>
      <w:r>
        <w:rPr>
          <w:rFonts w:hint="eastAsia" w:ascii="宋体" w:hAnsi="宋体" w:eastAsia="宋体" w:cs="宋体"/>
          <w:bCs w:val="0"/>
          <w:color w:val="auto"/>
          <w:sz w:val="44"/>
          <w:szCs w:val="44"/>
          <w:highlight w:val="none"/>
        </w:rPr>
        <w:t>须知</w:t>
      </w:r>
      <w:bookmarkEnd w:id="92"/>
      <w:bookmarkEnd w:id="93"/>
      <w:bookmarkEnd w:id="94"/>
      <w:bookmarkEnd w:id="95"/>
      <w:bookmarkEnd w:id="96"/>
      <w:bookmarkEnd w:id="97"/>
      <w:bookmarkEnd w:id="98"/>
    </w:p>
    <w:p w14:paraId="65C7FAF3">
      <w:pPr>
        <w:spacing w:line="360" w:lineRule="auto"/>
        <w:jc w:val="center"/>
        <w:outlineLvl w:val="1"/>
        <w:rPr>
          <w:rFonts w:hint="eastAsia" w:ascii="宋体" w:hAnsi="宋体" w:eastAsia="宋体" w:cs="宋体"/>
          <w:b/>
          <w:color w:val="auto"/>
          <w:sz w:val="28"/>
          <w:szCs w:val="28"/>
          <w:highlight w:val="none"/>
        </w:rPr>
      </w:pPr>
      <w:bookmarkStart w:id="99" w:name="_Toc24178"/>
      <w:r>
        <w:rPr>
          <w:rFonts w:hint="eastAsia" w:ascii="宋体" w:hAnsi="宋体" w:eastAsia="宋体" w:cs="宋体"/>
          <w:b/>
          <w:color w:val="auto"/>
          <w:sz w:val="28"/>
          <w:szCs w:val="28"/>
          <w:highlight w:val="none"/>
          <w:lang w:eastAsia="zh-CN"/>
        </w:rPr>
        <w:t>磋商申请人</w:t>
      </w:r>
      <w:r>
        <w:rPr>
          <w:rFonts w:hint="eastAsia" w:ascii="宋体" w:hAnsi="宋体" w:eastAsia="宋体" w:cs="宋体"/>
          <w:b/>
          <w:color w:val="auto"/>
          <w:sz w:val="28"/>
          <w:szCs w:val="28"/>
          <w:highlight w:val="none"/>
        </w:rPr>
        <w:t>须知前附表</w:t>
      </w:r>
      <w:bookmarkEnd w:id="99"/>
    </w:p>
    <w:tbl>
      <w:tblPr>
        <w:tblStyle w:val="21"/>
        <w:tblW w:w="10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28"/>
        <w:gridCol w:w="7848"/>
      </w:tblGrid>
      <w:tr w14:paraId="18E1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noWrap w:val="0"/>
            <w:vAlign w:val="center"/>
          </w:tcPr>
          <w:p w14:paraId="67431096">
            <w:pPr>
              <w:spacing w:line="360" w:lineRule="auto"/>
              <w:jc w:val="center"/>
              <w:rPr>
                <w:rFonts w:hint="eastAsia" w:ascii="宋体" w:hAnsi="宋体" w:eastAsia="宋体" w:cs="宋体"/>
                <w:color w:val="auto"/>
                <w:szCs w:val="24"/>
                <w:highlight w:val="none"/>
              </w:rPr>
            </w:pPr>
            <w:bookmarkStart w:id="100" w:name="_Toc239256304"/>
            <w:bookmarkStart w:id="101" w:name="_Toc317588961"/>
            <w:r>
              <w:rPr>
                <w:rFonts w:hint="eastAsia" w:ascii="宋体" w:hAnsi="宋体" w:eastAsia="宋体" w:cs="宋体"/>
                <w:color w:val="auto"/>
                <w:szCs w:val="24"/>
                <w:highlight w:val="none"/>
              </w:rPr>
              <w:t>序号</w:t>
            </w:r>
          </w:p>
        </w:tc>
        <w:tc>
          <w:tcPr>
            <w:tcW w:w="1828" w:type="dxa"/>
            <w:noWrap w:val="0"/>
            <w:vAlign w:val="center"/>
          </w:tcPr>
          <w:p w14:paraId="24D06F6C">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内容</w:t>
            </w:r>
          </w:p>
        </w:tc>
        <w:tc>
          <w:tcPr>
            <w:tcW w:w="7848" w:type="dxa"/>
            <w:noWrap w:val="0"/>
            <w:vAlign w:val="center"/>
          </w:tcPr>
          <w:p w14:paraId="62279EAF">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说明与要求</w:t>
            </w:r>
          </w:p>
        </w:tc>
      </w:tr>
      <w:tr w14:paraId="60F0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noWrap w:val="0"/>
            <w:vAlign w:val="center"/>
          </w:tcPr>
          <w:p w14:paraId="4B262C51">
            <w:pPr>
              <w:tabs>
                <w:tab w:val="center" w:pos="4507"/>
              </w:tabs>
              <w:autoSpaceDE/>
              <w:autoSpaceDN/>
              <w:adjustRightInd/>
              <w:snapToGrid w:val="0"/>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828" w:type="dxa"/>
            <w:noWrap w:val="0"/>
            <w:vAlign w:val="center"/>
          </w:tcPr>
          <w:p w14:paraId="32358861">
            <w:pPr>
              <w:tabs>
                <w:tab w:val="center" w:pos="4507"/>
              </w:tabs>
              <w:autoSpaceDE/>
              <w:autoSpaceDN/>
              <w:adjustRightInd/>
              <w:snapToGrid w:val="0"/>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采购人</w:t>
            </w:r>
          </w:p>
        </w:tc>
        <w:tc>
          <w:tcPr>
            <w:tcW w:w="7848" w:type="dxa"/>
            <w:noWrap w:val="0"/>
            <w:vAlign w:val="center"/>
          </w:tcPr>
          <w:p w14:paraId="0DC42A11">
            <w:pPr>
              <w:tabs>
                <w:tab w:val="center" w:pos="4507"/>
              </w:tabs>
              <w:autoSpaceDE/>
              <w:autoSpaceDN/>
              <w:adjustRightInd/>
              <w:snapToGrid w:val="0"/>
              <w:spacing w:line="360" w:lineRule="auto"/>
              <w:jc w:val="both"/>
              <w:textAlignment w:val="auto"/>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rPr>
              <w:t>名  称：</w:t>
            </w:r>
            <w:r>
              <w:rPr>
                <w:rFonts w:hint="eastAsia" w:ascii="宋体" w:hAnsi="宋体" w:eastAsia="宋体" w:cs="宋体"/>
                <w:color w:val="auto"/>
                <w:spacing w:val="10"/>
                <w:szCs w:val="24"/>
                <w:highlight w:val="none"/>
                <w:lang w:eastAsia="zh-CN"/>
              </w:rPr>
              <w:t>红河县车古乡人民政府</w:t>
            </w:r>
          </w:p>
          <w:p w14:paraId="2A7E1A93">
            <w:pPr>
              <w:tabs>
                <w:tab w:val="center" w:pos="4507"/>
              </w:tabs>
              <w:autoSpaceDE/>
              <w:autoSpaceDN/>
              <w:adjustRightInd/>
              <w:snapToGrid w:val="0"/>
              <w:spacing w:line="360" w:lineRule="auto"/>
              <w:jc w:val="both"/>
              <w:textAlignment w:val="auto"/>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rPr>
              <w:t>地  址：</w:t>
            </w:r>
            <w:r>
              <w:rPr>
                <w:rFonts w:hint="eastAsia" w:ascii="宋体" w:hAnsi="宋体" w:eastAsia="宋体" w:cs="宋体"/>
                <w:color w:val="auto"/>
                <w:sz w:val="24"/>
                <w:szCs w:val="24"/>
                <w:highlight w:val="none"/>
                <w:lang w:val="en-US" w:eastAsia="zh-CN"/>
              </w:rPr>
              <w:t>红河县车古乡</w:t>
            </w:r>
          </w:p>
          <w:p w14:paraId="7E2FF93B">
            <w:pPr>
              <w:tabs>
                <w:tab w:val="left" w:pos="840"/>
              </w:tabs>
              <w:autoSpaceDE/>
              <w:adjustRightInd/>
              <w:spacing w:line="360" w:lineRule="auto"/>
              <w:jc w:val="both"/>
              <w:rPr>
                <w:rFonts w:hint="eastAsia" w:ascii="宋体" w:hAnsi="宋体" w:eastAsia="宋体" w:cs="宋体"/>
                <w:color w:val="auto"/>
                <w:kern w:val="2"/>
                <w:szCs w:val="36"/>
                <w:highlight w:val="none"/>
                <w:lang w:eastAsia="zh-CN"/>
              </w:rPr>
            </w:pPr>
            <w:r>
              <w:rPr>
                <w:rFonts w:hint="eastAsia" w:ascii="宋体" w:hAnsi="宋体" w:eastAsia="宋体" w:cs="宋体"/>
                <w:color w:val="auto"/>
                <w:kern w:val="2"/>
                <w:szCs w:val="36"/>
                <w:highlight w:val="none"/>
              </w:rPr>
              <w:t>联系人：白崇智</w:t>
            </w:r>
          </w:p>
          <w:p w14:paraId="0FADA3DF">
            <w:pPr>
              <w:tabs>
                <w:tab w:val="center" w:pos="4507"/>
              </w:tabs>
              <w:autoSpaceDE/>
              <w:adjustRightInd/>
              <w:snapToGrid w:val="0"/>
              <w:spacing w:line="360" w:lineRule="auto"/>
              <w:jc w:val="both"/>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36"/>
                <w:highlight w:val="none"/>
              </w:rPr>
              <w:t>电  话：19808739834</w:t>
            </w:r>
          </w:p>
        </w:tc>
      </w:tr>
      <w:tr w14:paraId="1D3E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816" w:type="dxa"/>
            <w:noWrap w:val="0"/>
            <w:vAlign w:val="center"/>
          </w:tcPr>
          <w:p w14:paraId="77D968C2">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828" w:type="dxa"/>
            <w:noWrap w:val="0"/>
            <w:vAlign w:val="center"/>
          </w:tcPr>
          <w:p w14:paraId="2BA7F99C">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代理机构</w:t>
            </w:r>
          </w:p>
        </w:tc>
        <w:tc>
          <w:tcPr>
            <w:tcW w:w="7848" w:type="dxa"/>
            <w:noWrap w:val="0"/>
            <w:vAlign w:val="center"/>
          </w:tcPr>
          <w:p w14:paraId="54B71EFE">
            <w:pPr>
              <w:tabs>
                <w:tab w:val="center" w:pos="4507"/>
              </w:tabs>
              <w:autoSpaceDE/>
              <w:autoSpaceDN/>
              <w:adjustRightInd/>
              <w:snapToGrid w:val="0"/>
              <w:spacing w:line="360" w:lineRule="auto"/>
              <w:jc w:val="both"/>
              <w:textAlignment w:val="auto"/>
              <w:rPr>
                <w:rFonts w:hint="eastAsia"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rPr>
              <w:t>采购代理机构：</w:t>
            </w:r>
            <w:r>
              <w:rPr>
                <w:rFonts w:hint="eastAsia" w:ascii="宋体" w:hAnsi="宋体" w:eastAsia="宋体" w:cs="宋体"/>
                <w:color w:val="auto"/>
                <w:szCs w:val="24"/>
                <w:highlight w:val="none"/>
                <w:lang w:val="en-US" w:eastAsia="zh-CN"/>
              </w:rPr>
              <w:t>云南疆屿项目管理咨询有限公司</w:t>
            </w:r>
          </w:p>
          <w:p w14:paraId="235D27DF">
            <w:pPr>
              <w:tabs>
                <w:tab w:val="center" w:pos="4507"/>
              </w:tabs>
              <w:autoSpaceDE/>
              <w:autoSpaceDN/>
              <w:adjustRightInd/>
              <w:snapToGrid w:val="0"/>
              <w:spacing w:line="360" w:lineRule="auto"/>
              <w:jc w:val="both"/>
              <w:textAlignment w:val="auto"/>
              <w:rPr>
                <w:rFonts w:hint="eastAsia"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rPr>
              <w:t>地  址：</w:t>
            </w:r>
            <w:r>
              <w:rPr>
                <w:rFonts w:hint="eastAsia" w:ascii="宋体" w:hAnsi="宋体" w:eastAsia="宋体" w:cs="宋体"/>
                <w:color w:val="auto"/>
                <w:szCs w:val="24"/>
                <w:highlight w:val="none"/>
                <w:lang w:val="en-US" w:eastAsia="zh-CN"/>
              </w:rPr>
              <w:t>蒙自市双河社区余庆街21号</w:t>
            </w:r>
          </w:p>
          <w:p w14:paraId="29442818">
            <w:pPr>
              <w:tabs>
                <w:tab w:val="center" w:pos="4507"/>
              </w:tabs>
              <w:autoSpaceDE/>
              <w:autoSpaceDN/>
              <w:adjustRightInd/>
              <w:snapToGrid w:val="0"/>
              <w:spacing w:line="360" w:lineRule="auto"/>
              <w:jc w:val="both"/>
              <w:textAlignment w:val="auto"/>
              <w:rPr>
                <w:rFonts w:hint="eastAsia" w:ascii="宋体" w:hAnsi="宋体" w:eastAsia="宋体" w:cs="宋体"/>
                <w:color w:val="auto"/>
                <w:szCs w:val="24"/>
                <w:highlight w:val="none"/>
                <w:lang w:val="en-US" w:eastAsia="zh-CN"/>
              </w:rPr>
            </w:pPr>
            <w:r>
              <w:rPr>
                <w:rFonts w:hint="default" w:ascii="宋体" w:hAnsi="宋体" w:eastAsia="宋体" w:cs="宋体"/>
                <w:color w:val="auto"/>
                <w:szCs w:val="24"/>
                <w:highlight w:val="none"/>
                <w:lang w:val="en-US"/>
              </w:rPr>
              <w:t>联系人：</w:t>
            </w:r>
            <w:r>
              <w:rPr>
                <w:rFonts w:hint="eastAsia" w:ascii="宋体" w:hAnsi="宋体" w:eastAsia="宋体" w:cs="宋体"/>
                <w:color w:val="auto"/>
                <w:szCs w:val="24"/>
                <w:highlight w:val="none"/>
                <w:lang w:val="en-US" w:eastAsia="zh-CN"/>
              </w:rPr>
              <w:t>薛勇</w:t>
            </w:r>
          </w:p>
          <w:p w14:paraId="1717F6CC">
            <w:pPr>
              <w:tabs>
                <w:tab w:val="center" w:pos="4507"/>
              </w:tabs>
              <w:autoSpaceDE/>
              <w:autoSpaceDN/>
              <w:adjustRightInd/>
              <w:snapToGrid w:val="0"/>
              <w:spacing w:line="360" w:lineRule="auto"/>
              <w:jc w:val="both"/>
              <w:textAlignment w:val="auto"/>
              <w:rPr>
                <w:rFonts w:hint="default" w:ascii="宋体" w:hAnsi="宋体" w:eastAsia="宋体" w:cs="宋体"/>
                <w:color w:val="auto"/>
                <w:szCs w:val="24"/>
                <w:highlight w:val="none"/>
                <w:lang w:val="en-US"/>
              </w:rPr>
            </w:pPr>
            <w:r>
              <w:rPr>
                <w:rFonts w:hint="default" w:ascii="宋体" w:hAnsi="宋体" w:eastAsia="宋体" w:cs="宋体"/>
                <w:color w:val="auto"/>
                <w:szCs w:val="24"/>
                <w:highlight w:val="none"/>
                <w:lang w:val="en-US"/>
              </w:rPr>
              <w:t>电  话：18687170913</w:t>
            </w:r>
          </w:p>
        </w:tc>
      </w:tr>
      <w:tr w14:paraId="5A08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noWrap w:val="0"/>
            <w:vAlign w:val="center"/>
          </w:tcPr>
          <w:p w14:paraId="3F591EF6">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828" w:type="dxa"/>
            <w:noWrap w:val="0"/>
            <w:vAlign w:val="center"/>
          </w:tcPr>
          <w:p w14:paraId="6ADD0004">
            <w:pPr>
              <w:keepNext w:val="0"/>
              <w:keepLines w:val="0"/>
              <w:pageBreakBefore w:val="0"/>
              <w:widowControl/>
              <w:shd w:val="clear" w:color="auto" w:fill="FFFFFF"/>
              <w:kinsoku/>
              <w:wordWrap w:val="0"/>
              <w:overflowPunct/>
              <w:topLinePunct w:val="0"/>
              <w:autoSpaceDE w:val="0"/>
              <w:autoSpaceDN w:val="0"/>
              <w:bidi w:val="0"/>
              <w:adjustRightInd w:val="0"/>
              <w:snapToGrid/>
              <w:spacing w:line="360" w:lineRule="auto"/>
              <w:jc w:val="center"/>
              <w:textAlignment w:val="baseline"/>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项目名称及</w:t>
            </w:r>
            <w:r>
              <w:rPr>
                <w:rFonts w:hint="eastAsia" w:ascii="宋体" w:hAnsi="宋体" w:eastAsia="宋体" w:cs="宋体"/>
                <w:color w:val="auto"/>
                <w:szCs w:val="24"/>
                <w:highlight w:val="none"/>
                <w:lang w:val="en-US" w:eastAsia="zh-CN"/>
              </w:rPr>
              <w:t>项目</w:t>
            </w:r>
            <w:r>
              <w:rPr>
                <w:rFonts w:hint="eastAsia" w:ascii="宋体" w:hAnsi="宋体" w:eastAsia="宋体" w:cs="宋体"/>
                <w:color w:val="auto"/>
                <w:szCs w:val="24"/>
                <w:highlight w:val="none"/>
              </w:rPr>
              <w:t>编号</w:t>
            </w:r>
          </w:p>
        </w:tc>
        <w:tc>
          <w:tcPr>
            <w:tcW w:w="7848" w:type="dxa"/>
            <w:noWrap w:val="0"/>
            <w:vAlign w:val="center"/>
          </w:tcPr>
          <w:p w14:paraId="20094FA1">
            <w:pPr>
              <w:keepNext w:val="0"/>
              <w:keepLines w:val="0"/>
              <w:pageBreakBefore w:val="0"/>
              <w:kinsoku/>
              <w:wordWrap w:val="0"/>
              <w:overflowPunct/>
              <w:topLinePunct w:val="0"/>
              <w:autoSpaceDE w:val="0"/>
              <w:autoSpaceDN w:val="0"/>
              <w:bidi w:val="0"/>
              <w:adjustRightInd w:val="0"/>
              <w:snapToGrid/>
              <w:spacing w:line="360" w:lineRule="auto"/>
              <w:textAlignment w:val="baseline"/>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红河县车古乡利博村委会至龙腾公路工程建设项目</w:t>
            </w:r>
            <w:r>
              <w:rPr>
                <w:rFonts w:hint="eastAsia" w:ascii="宋体" w:hAnsi="宋体" w:eastAsia="宋体" w:cs="宋体"/>
                <w:color w:val="auto"/>
                <w:szCs w:val="24"/>
                <w:highlight w:val="none"/>
              </w:rPr>
              <w:t>（项目编号</w:t>
            </w:r>
            <w:r>
              <w:rPr>
                <w:rFonts w:hint="eastAsia" w:ascii="宋体" w:hAnsi="宋体" w:eastAsia="宋体" w:cs="宋体"/>
                <w:color w:val="auto"/>
                <w:szCs w:val="24"/>
                <w:highlight w:val="none"/>
                <w:lang w:eastAsia="zh-CN"/>
              </w:rPr>
              <w:t>：YNJY-260518</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w:t>
            </w:r>
          </w:p>
        </w:tc>
      </w:tr>
      <w:tr w14:paraId="421E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16" w:type="dxa"/>
            <w:noWrap w:val="0"/>
            <w:vAlign w:val="center"/>
          </w:tcPr>
          <w:p w14:paraId="2ED516E6">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1828" w:type="dxa"/>
            <w:noWrap w:val="0"/>
            <w:vAlign w:val="center"/>
          </w:tcPr>
          <w:p w14:paraId="1CEB325B">
            <w:pPr>
              <w:widowControl/>
              <w:shd w:val="clear" w:color="auto" w:fill="FFFFFF"/>
              <w:spacing w:line="360" w:lineRule="auto"/>
              <w:jc w:val="center"/>
              <w:rPr>
                <w:rFonts w:hint="default" w:ascii="宋体" w:hAnsi="宋体" w:eastAsia="宋体" w:cs="宋体"/>
                <w:color w:val="auto"/>
                <w:szCs w:val="24"/>
                <w:highlight w:val="none"/>
                <w:lang w:val="en-US"/>
              </w:rPr>
            </w:pPr>
            <w:r>
              <w:rPr>
                <w:rFonts w:hint="eastAsia" w:ascii="宋体" w:hAnsi="宋体" w:eastAsia="宋体" w:cs="宋体"/>
                <w:color w:val="auto"/>
                <w:spacing w:val="10"/>
                <w:kern w:val="2"/>
                <w:szCs w:val="36"/>
                <w:highlight w:val="none"/>
                <w:lang w:val="en-US" w:eastAsia="zh-CN"/>
              </w:rPr>
              <w:t>预算资金及来源</w:t>
            </w:r>
          </w:p>
        </w:tc>
        <w:tc>
          <w:tcPr>
            <w:tcW w:w="7848" w:type="dxa"/>
            <w:noWrap w:val="0"/>
            <w:vAlign w:val="center"/>
          </w:tcPr>
          <w:p w14:paraId="21615BBD">
            <w:pPr>
              <w:spacing w:line="360" w:lineRule="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项目总投资估算为</w:t>
            </w:r>
            <w:r>
              <w:rPr>
                <w:rFonts w:hint="eastAsia" w:ascii="宋体" w:hAnsi="宋体" w:eastAsia="宋体" w:cs="宋体"/>
                <w:color w:val="auto"/>
                <w:szCs w:val="24"/>
                <w:highlight w:val="none"/>
                <w:lang w:val="en-US" w:eastAsia="zh-CN"/>
              </w:rPr>
              <w:t>3909000.00元。</w:t>
            </w:r>
            <w:r>
              <w:rPr>
                <w:rFonts w:hint="eastAsia" w:ascii="宋体" w:hAnsi="宋体" w:eastAsia="宋体" w:cs="宋体"/>
                <w:color w:val="auto"/>
                <w:szCs w:val="24"/>
                <w:highlight w:val="none"/>
                <w:lang w:val="en-US"/>
              </w:rPr>
              <w:t>资金来源：中央补贴帮扶资金90</w:t>
            </w:r>
            <w:r>
              <w:rPr>
                <w:rFonts w:hint="eastAsia" w:ascii="宋体" w:hAnsi="宋体" w:eastAsia="宋体" w:cs="宋体"/>
                <w:color w:val="auto"/>
                <w:szCs w:val="24"/>
                <w:highlight w:val="none"/>
                <w:lang w:val="en-US" w:eastAsia="zh-CN"/>
              </w:rPr>
              <w:t>0000.00</w:t>
            </w:r>
            <w:r>
              <w:rPr>
                <w:rFonts w:hint="eastAsia" w:ascii="宋体" w:hAnsi="宋体" w:eastAsia="宋体" w:cs="宋体"/>
                <w:color w:val="auto"/>
                <w:szCs w:val="24"/>
                <w:highlight w:val="none"/>
                <w:lang w:val="en-US"/>
              </w:rPr>
              <w:t>元，云南交投集团帮扶资金180</w:t>
            </w:r>
            <w:r>
              <w:rPr>
                <w:rFonts w:hint="eastAsia" w:ascii="宋体" w:hAnsi="宋体" w:eastAsia="宋体" w:cs="宋体"/>
                <w:color w:val="auto"/>
                <w:szCs w:val="24"/>
                <w:highlight w:val="none"/>
                <w:lang w:val="en-US" w:eastAsia="zh-CN"/>
              </w:rPr>
              <w:t>0000.00</w:t>
            </w:r>
            <w:r>
              <w:rPr>
                <w:rFonts w:hint="eastAsia" w:ascii="宋体" w:hAnsi="宋体" w:eastAsia="宋体" w:cs="宋体"/>
                <w:color w:val="auto"/>
                <w:szCs w:val="24"/>
                <w:highlight w:val="none"/>
                <w:lang w:val="en-US"/>
              </w:rPr>
              <w:t>元</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en-US"/>
              </w:rPr>
              <w:t>不足部分为地方政府自筹</w:t>
            </w:r>
          </w:p>
        </w:tc>
      </w:tr>
      <w:tr w14:paraId="1FC3A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noWrap w:val="0"/>
            <w:vAlign w:val="center"/>
          </w:tcPr>
          <w:p w14:paraId="2A403F97">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1828" w:type="dxa"/>
            <w:noWrap w:val="0"/>
            <w:vAlign w:val="center"/>
          </w:tcPr>
          <w:p w14:paraId="499E43F6">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采购需求</w:t>
            </w:r>
          </w:p>
        </w:tc>
        <w:tc>
          <w:tcPr>
            <w:tcW w:w="7848" w:type="dxa"/>
            <w:noWrap w:val="0"/>
            <w:vAlign w:val="center"/>
          </w:tcPr>
          <w:p w14:paraId="2A6D98D4">
            <w:pPr>
              <w:autoSpaceDE/>
              <w:adjustRightInd/>
              <w:spacing w:line="360" w:lineRule="auto"/>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本项目主要为改建工程，故该项目平面、纵断原则维持原老路，纵段平面线形基本维持原状况，在老路上加宽路基，浇筑混凝土路面。路线整体由西北向东南方向布设，</w:t>
            </w:r>
          </w:p>
          <w:p w14:paraId="69F4E227">
            <w:pPr>
              <w:autoSpaceDE/>
              <w:adjustRightInd/>
              <w:spacing w:line="360" w:lineRule="auto"/>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路线起点K0+000处位于利博村委会，止点K2+956止于利博村委会龙腾村，沿老路已有路线布线，路面采用C30混凝土浇筑，项目全长2.956公里。主要控制点：利博村委会，在原有老路走廊带对道路进行改建，包括：路基土石方23866m³、浇筑混凝土路面14165㎡，浇筑路缘边沟807.18m³、路基路面宽度：4.5米，行车道宽4.5 米。汽车荷载等级：公路-II级。</w:t>
            </w:r>
          </w:p>
        </w:tc>
      </w:tr>
      <w:tr w14:paraId="55A7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noWrap w:val="0"/>
            <w:vAlign w:val="center"/>
          </w:tcPr>
          <w:p w14:paraId="286FA10C">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1828" w:type="dxa"/>
            <w:noWrap w:val="0"/>
            <w:vAlign w:val="center"/>
          </w:tcPr>
          <w:p w14:paraId="41ACA9C6">
            <w:pPr>
              <w:pStyle w:val="10"/>
              <w:widowControl/>
              <w:shd w:val="clear" w:color="auto" w:fill="FFFFFF"/>
              <w:spacing w:line="360" w:lineRule="auto"/>
              <w:ind w:left="-128" w:firstLine="19" w:firstLineChars="8"/>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计划工期</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eastAsia="zh-CN"/>
              </w:rPr>
              <w:t>项目地点</w:t>
            </w:r>
          </w:p>
        </w:tc>
        <w:tc>
          <w:tcPr>
            <w:tcW w:w="7848" w:type="dxa"/>
            <w:noWrap w:val="0"/>
            <w:vAlign w:val="center"/>
          </w:tcPr>
          <w:p w14:paraId="3B8E8BCB">
            <w:pPr>
              <w:autoSpaceDE/>
              <w:adjustRightInd/>
              <w:spacing w:line="360" w:lineRule="auto"/>
              <w:jc w:val="both"/>
              <w:rPr>
                <w:rFonts w:hint="eastAsia" w:ascii="宋体" w:hAnsi="宋体" w:eastAsia="宋体" w:cs="宋体"/>
                <w:color w:val="auto"/>
                <w:spacing w:val="10"/>
                <w:kern w:val="2"/>
                <w:szCs w:val="36"/>
                <w:highlight w:val="none"/>
              </w:rPr>
            </w:pPr>
            <w:r>
              <w:rPr>
                <w:rFonts w:hint="eastAsia" w:ascii="宋体" w:hAnsi="宋体" w:eastAsia="宋体" w:cs="宋体"/>
                <w:color w:val="auto"/>
                <w:sz w:val="24"/>
                <w:szCs w:val="24"/>
                <w:highlight w:val="none"/>
                <w:lang w:eastAsia="zh-CN"/>
              </w:rPr>
              <w:t>计划工期</w:t>
            </w:r>
            <w:r>
              <w:rPr>
                <w:rFonts w:hint="eastAsia" w:ascii="宋体" w:hAnsi="宋体" w:eastAsia="宋体" w:cs="宋体"/>
                <w:color w:val="auto"/>
                <w:spacing w:val="10"/>
                <w:kern w:val="2"/>
                <w:szCs w:val="36"/>
                <w:highlight w:val="none"/>
              </w:rPr>
              <w:t>：</w:t>
            </w:r>
            <w:r>
              <w:rPr>
                <w:rFonts w:hint="eastAsia" w:ascii="宋体" w:hAnsi="宋体" w:eastAsia="宋体" w:cs="宋体"/>
                <w:color w:val="auto"/>
                <w:spacing w:val="10"/>
                <w:kern w:val="2"/>
                <w:szCs w:val="36"/>
                <w:highlight w:val="none"/>
                <w:lang w:val="en-US" w:eastAsia="zh-CN"/>
              </w:rPr>
              <w:t>120日历天。</w:t>
            </w:r>
          </w:p>
          <w:p w14:paraId="0B0BDE83">
            <w:pPr>
              <w:autoSpaceDE/>
              <w:adjustRightInd/>
              <w:spacing w:line="360" w:lineRule="auto"/>
              <w:jc w:val="both"/>
              <w:rPr>
                <w:rFonts w:hint="eastAsia" w:ascii="宋体" w:hAnsi="宋体" w:eastAsia="宋体" w:cs="宋体"/>
                <w:color w:val="auto"/>
                <w:spacing w:val="10"/>
                <w:kern w:val="2"/>
                <w:szCs w:val="36"/>
                <w:highlight w:val="none"/>
                <w:lang w:eastAsia="zh-CN"/>
              </w:rPr>
            </w:pPr>
            <w:r>
              <w:rPr>
                <w:rFonts w:hint="eastAsia" w:ascii="宋体" w:hAnsi="宋体" w:eastAsia="宋体" w:cs="宋体"/>
                <w:color w:val="auto"/>
                <w:spacing w:val="10"/>
                <w:kern w:val="2"/>
                <w:szCs w:val="36"/>
                <w:highlight w:val="none"/>
                <w:lang w:eastAsia="zh-CN"/>
              </w:rPr>
              <w:t>项目地点</w:t>
            </w:r>
            <w:r>
              <w:rPr>
                <w:rFonts w:hint="eastAsia" w:ascii="宋体" w:hAnsi="宋体" w:eastAsia="宋体" w:cs="宋体"/>
                <w:color w:val="auto"/>
                <w:spacing w:val="10"/>
                <w:kern w:val="2"/>
                <w:szCs w:val="36"/>
                <w:highlight w:val="none"/>
              </w:rPr>
              <w:t>：红河县车古乡利博村委会</w:t>
            </w:r>
            <w:r>
              <w:rPr>
                <w:rFonts w:hint="eastAsia" w:ascii="宋体" w:hAnsi="宋体" w:eastAsia="宋体" w:cs="宋体"/>
                <w:color w:val="auto"/>
                <w:spacing w:val="10"/>
                <w:kern w:val="2"/>
                <w:szCs w:val="36"/>
                <w:highlight w:val="none"/>
                <w:lang w:eastAsia="zh-CN"/>
              </w:rPr>
              <w:t>。</w:t>
            </w:r>
          </w:p>
        </w:tc>
      </w:tr>
      <w:tr w14:paraId="0578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noWrap w:val="0"/>
            <w:vAlign w:val="center"/>
          </w:tcPr>
          <w:p w14:paraId="3DF8A5FC">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1828" w:type="dxa"/>
            <w:noWrap w:val="0"/>
            <w:vAlign w:val="center"/>
          </w:tcPr>
          <w:p w14:paraId="4248A91C">
            <w:pPr>
              <w:pStyle w:val="10"/>
              <w:widowControl/>
              <w:shd w:val="clear" w:color="auto" w:fill="FFFFFF"/>
              <w:spacing w:line="360" w:lineRule="auto"/>
              <w:ind w:left="-128" w:firstLine="19" w:firstLineChars="8"/>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7848" w:type="dxa"/>
            <w:noWrap w:val="0"/>
            <w:vAlign w:val="center"/>
          </w:tcPr>
          <w:p w14:paraId="7885B8E8">
            <w:pPr>
              <w:spacing w:line="360" w:lineRule="auto"/>
              <w:rPr>
                <w:rFonts w:hint="eastAsia" w:ascii="宋体" w:hAnsi="宋体" w:eastAsia="宋体" w:cs="宋体"/>
                <w:color w:val="auto"/>
                <w:spacing w:val="10"/>
                <w:szCs w:val="24"/>
                <w:highlight w:val="none"/>
                <w:lang w:eastAsia="zh-CN"/>
              </w:rPr>
            </w:pPr>
            <w:r>
              <w:rPr>
                <w:rFonts w:hint="eastAsia" w:ascii="宋体" w:hAnsi="宋体" w:eastAsia="宋体" w:cs="宋体"/>
                <w:color w:val="auto"/>
                <w:spacing w:val="10"/>
                <w:kern w:val="2"/>
                <w:szCs w:val="36"/>
                <w:highlight w:val="none"/>
                <w:lang w:eastAsia="zh-CN"/>
              </w:rPr>
              <w:t>施工质量符合现行《公路工程质量检验评定标准》及国家相关标准、规范要求，一次性验收合格。</w:t>
            </w:r>
          </w:p>
        </w:tc>
      </w:tr>
      <w:tr w14:paraId="44FC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16" w:type="dxa"/>
            <w:noWrap w:val="0"/>
            <w:vAlign w:val="center"/>
          </w:tcPr>
          <w:p w14:paraId="6C76C92A">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1828" w:type="dxa"/>
            <w:noWrap w:val="0"/>
            <w:vAlign w:val="center"/>
          </w:tcPr>
          <w:p w14:paraId="7F566E09">
            <w:pPr>
              <w:widowControl/>
              <w:shd w:val="clear" w:color="auto" w:fill="FFFFFF"/>
              <w:spacing w:line="360" w:lineRule="auto"/>
              <w:jc w:val="center"/>
              <w:rPr>
                <w:rFonts w:hint="eastAsia" w:ascii="宋体" w:hAnsi="宋体" w:eastAsia="宋体" w:cs="宋体"/>
                <w:color w:val="auto"/>
                <w:szCs w:val="24"/>
                <w:highlight w:val="none"/>
              </w:rPr>
            </w:pPr>
            <w:bookmarkStart w:id="102" w:name="_Toc162638230"/>
            <w:r>
              <w:rPr>
                <w:rFonts w:hint="eastAsia" w:ascii="宋体" w:hAnsi="宋体" w:eastAsia="宋体" w:cs="宋体"/>
                <w:color w:val="auto"/>
                <w:szCs w:val="24"/>
                <w:highlight w:val="none"/>
                <w:lang w:eastAsia="zh-CN"/>
              </w:rPr>
              <w:t>磋商申请人资格要</w:t>
            </w:r>
            <w:r>
              <w:rPr>
                <w:rFonts w:hint="eastAsia" w:ascii="宋体" w:hAnsi="宋体" w:eastAsia="宋体" w:cs="宋体"/>
                <w:color w:val="auto"/>
                <w:szCs w:val="24"/>
                <w:highlight w:val="none"/>
              </w:rPr>
              <w:t>求</w:t>
            </w:r>
            <w:bookmarkEnd w:id="102"/>
          </w:p>
        </w:tc>
        <w:tc>
          <w:tcPr>
            <w:tcW w:w="7848" w:type="dxa"/>
            <w:noWrap w:val="0"/>
            <w:vAlign w:val="center"/>
          </w:tcPr>
          <w:p w14:paraId="0FFB31D7">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1.满足《中华人民共和国政府采购法》第二十二条规定</w:t>
            </w:r>
            <w:r>
              <w:rPr>
                <w:rFonts w:hint="eastAsia" w:ascii="宋体" w:hAnsi="宋体" w:eastAsia="宋体" w:cs="宋体"/>
                <w:color w:val="auto"/>
                <w:sz w:val="24"/>
                <w:szCs w:val="24"/>
                <w:highlight w:val="none"/>
                <w:lang w:eastAsia="zh-CN"/>
              </w:rPr>
              <w:t>：</w:t>
            </w:r>
          </w:p>
          <w:p w14:paraId="7D832F79">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1.1</w:t>
            </w:r>
            <w:r>
              <w:rPr>
                <w:rFonts w:hint="eastAsia" w:ascii="宋体" w:hAnsi="宋体" w:eastAsia="宋体" w:cs="宋体"/>
                <w:color w:val="auto"/>
                <w:spacing w:val="10"/>
                <w:sz w:val="24"/>
                <w:szCs w:val="24"/>
                <w:highlight w:val="none"/>
                <w:lang w:eastAsia="zh-CN"/>
              </w:rPr>
              <w:t>具备独立承担民事责任的能力：提供有效的营业执照</w:t>
            </w:r>
            <w:r>
              <w:rPr>
                <w:rFonts w:hint="eastAsia" w:ascii="宋体" w:hAnsi="宋体" w:eastAsia="宋体" w:cs="宋体"/>
                <w:color w:val="auto"/>
                <w:spacing w:val="10"/>
                <w:sz w:val="24"/>
                <w:szCs w:val="24"/>
                <w:highlight w:val="none"/>
              </w:rPr>
              <w:t>。</w:t>
            </w:r>
          </w:p>
          <w:p w14:paraId="20EB83D4">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2具有良好的商业信誉和健全的财务会计制度：</w:t>
            </w:r>
            <w:r>
              <w:rPr>
                <w:rFonts w:hint="eastAsia" w:ascii="宋体" w:hAnsi="宋体" w:eastAsia="宋体" w:cs="宋体"/>
                <w:color w:val="auto"/>
                <w:sz w:val="24"/>
                <w:szCs w:val="24"/>
                <w:highlight w:val="none"/>
                <w:lang w:eastAsia="zh-CN"/>
              </w:rPr>
              <w:t>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年至今任意一年</w:t>
            </w:r>
            <w:r>
              <w:rPr>
                <w:rFonts w:hint="eastAsia" w:ascii="宋体" w:hAnsi="宋体" w:eastAsia="宋体" w:cs="宋体"/>
                <w:color w:val="auto"/>
                <w:sz w:val="24"/>
                <w:szCs w:val="24"/>
                <w:highlight w:val="none"/>
                <w:lang w:val="en-US" w:eastAsia="zh-CN"/>
              </w:rPr>
              <w:t>度</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财务</w:t>
            </w:r>
            <w:r>
              <w:rPr>
                <w:rFonts w:hint="eastAsia" w:ascii="宋体" w:hAnsi="宋体" w:eastAsia="宋体" w:cs="宋体"/>
                <w:color w:val="auto"/>
                <w:sz w:val="24"/>
                <w:szCs w:val="24"/>
                <w:highlight w:val="none"/>
                <w:lang w:eastAsia="zh-CN"/>
              </w:rPr>
              <w:t>报告（包含资产负债表、现金流量表、利润表），202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年新成立的企业可提供自成立以来的财务报表（包括资产负债表、利润表、现金流量表）或银行出具的资信证明。</w:t>
            </w:r>
          </w:p>
          <w:p w14:paraId="39847445">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1</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3</w:t>
            </w:r>
            <w:r>
              <w:rPr>
                <w:rFonts w:hint="eastAsia" w:ascii="宋体" w:hAnsi="宋体" w:eastAsia="宋体" w:cs="宋体"/>
                <w:color w:val="auto"/>
                <w:spacing w:val="10"/>
                <w:sz w:val="24"/>
                <w:szCs w:val="24"/>
                <w:highlight w:val="none"/>
                <w:lang w:eastAsia="zh-CN"/>
              </w:rPr>
              <w:t>具有依法缴纳税收和社会保障资金的良好记录：提供</w:t>
            </w:r>
            <w:r>
              <w:rPr>
                <w:rFonts w:hint="eastAsia" w:ascii="宋体" w:hAnsi="宋体" w:eastAsia="宋体" w:cs="宋体"/>
                <w:color w:val="auto"/>
                <w:spacing w:val="10"/>
                <w:sz w:val="24"/>
                <w:szCs w:val="24"/>
                <w:highlight w:val="none"/>
                <w:lang w:val="en-US" w:eastAsia="zh-CN"/>
              </w:rPr>
              <w:t>2025年</w:t>
            </w:r>
            <w:r>
              <w:rPr>
                <w:rFonts w:hint="eastAsia" w:ascii="宋体" w:hAnsi="宋体" w:eastAsia="宋体" w:cs="宋体"/>
                <w:color w:val="auto"/>
                <w:spacing w:val="10"/>
                <w:sz w:val="24"/>
                <w:szCs w:val="24"/>
                <w:highlight w:val="none"/>
                <w:lang w:eastAsia="zh-CN"/>
              </w:rPr>
              <w:t>至今任意</w:t>
            </w:r>
            <w:r>
              <w:rPr>
                <w:rFonts w:hint="eastAsia" w:ascii="宋体" w:hAnsi="宋体" w:eastAsia="宋体" w:cs="宋体"/>
                <w:color w:val="auto"/>
                <w:spacing w:val="10"/>
                <w:sz w:val="24"/>
                <w:szCs w:val="24"/>
                <w:highlight w:val="none"/>
                <w:lang w:val="en-US" w:eastAsia="zh-CN"/>
              </w:rPr>
              <w:t>连续</w:t>
            </w:r>
            <w:r>
              <w:rPr>
                <w:rFonts w:hint="eastAsia" w:ascii="宋体" w:hAnsi="宋体" w:eastAsia="宋体" w:cs="宋体"/>
                <w:color w:val="auto"/>
                <w:spacing w:val="10"/>
                <w:sz w:val="24"/>
                <w:szCs w:val="24"/>
                <w:highlight w:val="none"/>
                <w:lang w:eastAsia="zh-CN"/>
              </w:rPr>
              <w:t>三个月的纳税和社保缴费证明材料 (依法免税或不需要缴纳社会保障资金的磋商申请人，应提供相应证明文件)。</w:t>
            </w:r>
          </w:p>
          <w:p w14:paraId="5728EE6D">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1.4具有履行合同所必需的设备和专业技术能力：提供证明材料或承诺书。</w:t>
            </w:r>
          </w:p>
          <w:p w14:paraId="01A3E73C">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1.5</w:t>
            </w:r>
            <w:r>
              <w:rPr>
                <w:rFonts w:hint="eastAsia" w:ascii="宋体" w:hAnsi="宋体" w:eastAsia="宋体" w:cs="宋体"/>
                <w:color w:val="auto"/>
                <w:spacing w:val="10"/>
                <w:sz w:val="24"/>
                <w:szCs w:val="24"/>
                <w:highlight w:val="none"/>
                <w:lang w:eastAsia="zh-CN"/>
              </w:rPr>
              <w:t>参加政府采购活动前三年内，在经营活动中没有重大违法记录（重大违法记录是指磋商申请人因违法经营受到刑事处罚或者责令停产停业、吊销许可证或者执照、较大数额罚款等行政处罚）的书面声明。</w:t>
            </w:r>
          </w:p>
          <w:p w14:paraId="4CB07FF4">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1.6磋商申请人信誉良好，当前未因不良行为记录被行政主管部门暂停或取消磋商资格或未被列入“信用中国”网站（http://www.creditchina.gov.cn/）失信被执行人；经信用中国（www.creditchina.gov.cn）、中国政府采购网（www.ccgp.gov.cn）等渠道查询后，列入失信被执行人、重大税收违法失信名单、政府采购严重违法失信行为记录名单的，取消磋商资格。信用记录查询由采购代理机构在提交投标文件截止时间后负责查询、存档并统一提供给评标委员会，若供应商弄虚作假一经核实拒绝其参与政府采购活动。</w:t>
            </w:r>
          </w:p>
          <w:p w14:paraId="1364E643">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1.7 法律、行政法规规定的其他条件：单位负责人为同一人或者存在直接控股、管理关系的不同供应商，不得参加同一合同项下的政府采购活动，一经查实均按无效投标处理。</w:t>
            </w:r>
          </w:p>
          <w:p w14:paraId="2E136A85">
            <w:pPr>
              <w:keepNext w:val="0"/>
              <w:keepLines w:val="0"/>
              <w:pageBreakBefore w:val="0"/>
              <w:widowControl w:val="0"/>
              <w:numPr>
                <w:ilvl w:val="0"/>
                <w:numId w:val="0"/>
              </w:numPr>
              <w:kinsoku/>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落实政府采购政策需满足的资格要求：本项目专门面向中小企业采购</w:t>
            </w:r>
            <w:r>
              <w:rPr>
                <w:rFonts w:hint="eastAsia" w:ascii="宋体" w:hAnsi="宋体" w:eastAsia="宋体" w:cs="宋体"/>
                <w:color w:val="auto"/>
                <w:sz w:val="24"/>
                <w:szCs w:val="24"/>
                <w:highlight w:val="none"/>
                <w:lang w:eastAsia="zh-CN"/>
              </w:rPr>
              <w:t>。</w:t>
            </w:r>
          </w:p>
          <w:p w14:paraId="4C2864EC">
            <w:pPr>
              <w:keepNext w:val="0"/>
              <w:keepLines w:val="0"/>
              <w:pageBreakBefore w:val="0"/>
              <w:widowControl w:val="0"/>
              <w:numPr>
                <w:ilvl w:val="0"/>
                <w:numId w:val="0"/>
              </w:numPr>
              <w:tabs>
                <w:tab w:val="left" w:pos="-180"/>
                <w:tab w:val="left" w:pos="0"/>
                <w:tab w:val="left" w:pos="2160"/>
              </w:tabs>
              <w:kinsoku/>
              <w:wordWrap/>
              <w:overflowPunct/>
              <w:topLinePunct w:val="0"/>
              <w:bidi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2221CDDA">
            <w:pPr>
              <w:keepNext w:val="0"/>
              <w:keepLines w:val="0"/>
              <w:pageBreakBefore w:val="0"/>
              <w:widowControl w:val="0"/>
              <w:numPr>
                <w:ilvl w:val="0"/>
                <w:numId w:val="0"/>
              </w:numPr>
              <w:tabs>
                <w:tab w:val="left" w:pos="-180"/>
                <w:tab w:val="left" w:pos="0"/>
                <w:tab w:val="left" w:pos="2160"/>
              </w:tabs>
              <w:kinsoku/>
              <w:wordWrap/>
              <w:overflowPunct/>
              <w:topLinePunct w:val="0"/>
              <w:bidi w:val="0"/>
              <w:snapToGrid w:val="0"/>
              <w:spacing w:line="360" w:lineRule="auto"/>
              <w:ind w:left="0" w:leftChars="0" w:right="0" w:rightChars="0" w:firstLine="48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pacing w:val="10"/>
                <w:sz w:val="24"/>
                <w:szCs w:val="24"/>
                <w:highlight w:val="none"/>
              </w:rPr>
              <w:t>资质要求：供应商具备建设行政主管部门颁发的公路工程施工总承包叁级及以上资质，具有有效安全生产许可证</w:t>
            </w:r>
            <w:r>
              <w:rPr>
                <w:rFonts w:hint="eastAsia" w:ascii="宋体" w:hAnsi="宋体" w:eastAsia="宋体" w:cs="宋体"/>
                <w:color w:val="auto"/>
                <w:spacing w:val="10"/>
                <w:sz w:val="24"/>
                <w:szCs w:val="24"/>
                <w:highlight w:val="none"/>
                <w:lang w:eastAsia="zh-CN"/>
              </w:rPr>
              <w:t>。</w:t>
            </w:r>
          </w:p>
          <w:p w14:paraId="77AB185B">
            <w:pPr>
              <w:keepNext w:val="0"/>
              <w:keepLines w:val="0"/>
              <w:pageBreakBefore w:val="0"/>
              <w:widowControl w:val="0"/>
              <w:tabs>
                <w:tab w:val="left" w:pos="-180"/>
                <w:tab w:val="left" w:pos="0"/>
                <w:tab w:val="left" w:pos="2160"/>
              </w:tabs>
              <w:kinsoku/>
              <w:wordWrap/>
              <w:overflowPunct/>
              <w:topLinePunct w:val="0"/>
              <w:bidi w:val="0"/>
              <w:snapToGrid w:val="0"/>
              <w:spacing w:line="360" w:lineRule="auto"/>
              <w:ind w:right="0" w:firstLine="520" w:firstLineChars="200"/>
              <w:rPr>
                <w:rFonts w:hint="eastAsia" w:ascii="宋体" w:hAnsi="宋体" w:eastAsia="宋体" w:cs="宋体"/>
                <w:color w:val="auto"/>
                <w:spacing w:val="10"/>
                <w:szCs w:val="36"/>
                <w:highlight w:val="none"/>
              </w:rPr>
            </w:pPr>
            <w:r>
              <w:rPr>
                <w:rFonts w:hint="eastAsia" w:ascii="宋体" w:hAnsi="宋体" w:eastAsia="宋体" w:cs="宋体"/>
                <w:color w:val="auto"/>
                <w:spacing w:val="10"/>
                <w:sz w:val="24"/>
                <w:szCs w:val="24"/>
                <w:highlight w:val="none"/>
                <w:lang w:val="en-US" w:eastAsia="zh-CN"/>
              </w:rPr>
              <w:t>3.2</w:t>
            </w:r>
            <w:r>
              <w:rPr>
                <w:rFonts w:hint="eastAsia" w:ascii="宋体" w:hAnsi="宋体" w:eastAsia="宋体" w:cs="宋体"/>
                <w:color w:val="auto"/>
                <w:spacing w:val="10"/>
                <w:sz w:val="24"/>
                <w:szCs w:val="24"/>
                <w:highlight w:val="none"/>
                <w:lang w:eastAsia="zh-CN"/>
              </w:rPr>
              <w:t>项目经理要求：拟派往本项目的项目经理具有工程师或以上职称，具有贰级或以上注册建造师证书（公路工程专业），持有省级以上交通主管部门颁发的安全生产考核合格证书（B类），提供本单位参加社保的缴费证明材料，证书在有效期内。项目经理</w:t>
            </w:r>
            <w:r>
              <w:rPr>
                <w:rFonts w:hint="eastAsia" w:ascii="宋体" w:hAnsi="宋体" w:eastAsia="宋体" w:cs="宋体"/>
                <w:color w:val="auto"/>
                <w:spacing w:val="10"/>
                <w:sz w:val="24"/>
                <w:szCs w:val="24"/>
                <w:highlight w:val="none"/>
                <w:lang w:val="en-US" w:eastAsia="zh-CN"/>
              </w:rPr>
              <w:t>须注册在本单位。</w:t>
            </w:r>
          </w:p>
        </w:tc>
      </w:tr>
      <w:tr w14:paraId="312B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16" w:type="dxa"/>
            <w:noWrap w:val="0"/>
            <w:vAlign w:val="center"/>
          </w:tcPr>
          <w:p w14:paraId="30D39F76">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1828" w:type="dxa"/>
            <w:noWrap w:val="0"/>
            <w:vAlign w:val="center"/>
          </w:tcPr>
          <w:p w14:paraId="05D23143">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是否接受联合体磋商</w:t>
            </w:r>
          </w:p>
        </w:tc>
        <w:tc>
          <w:tcPr>
            <w:tcW w:w="7848" w:type="dxa"/>
            <w:noWrap w:val="0"/>
            <w:vAlign w:val="center"/>
          </w:tcPr>
          <w:p w14:paraId="1D482AA3">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不接受</w:t>
            </w:r>
            <w:r>
              <w:rPr>
                <w:rFonts w:hint="eastAsia" w:ascii="宋体" w:hAnsi="宋体" w:eastAsia="宋体" w:cs="宋体"/>
                <w:color w:val="auto"/>
                <w:szCs w:val="24"/>
                <w:highlight w:val="none"/>
                <w:lang w:eastAsia="zh-CN"/>
              </w:rPr>
              <w:t>。</w:t>
            </w:r>
          </w:p>
        </w:tc>
      </w:tr>
      <w:tr w14:paraId="2E0D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816" w:type="dxa"/>
            <w:noWrap w:val="0"/>
            <w:vAlign w:val="center"/>
          </w:tcPr>
          <w:p w14:paraId="609625C8">
            <w:pPr>
              <w:widowControl/>
              <w:shd w:val="clear" w:color="auto" w:fill="FFFFFF"/>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10</w:t>
            </w:r>
          </w:p>
        </w:tc>
        <w:tc>
          <w:tcPr>
            <w:tcW w:w="1828" w:type="dxa"/>
            <w:noWrap w:val="0"/>
            <w:vAlign w:val="center"/>
          </w:tcPr>
          <w:p w14:paraId="5336524E">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磋商申请人要求澄清磋商文件的截止时间</w:t>
            </w:r>
          </w:p>
        </w:tc>
        <w:tc>
          <w:tcPr>
            <w:tcW w:w="7848" w:type="dxa"/>
            <w:noWrap w:val="0"/>
            <w:vAlign w:val="center"/>
          </w:tcPr>
          <w:p w14:paraId="23794214">
            <w:pPr>
              <w:widowControl/>
              <w:shd w:val="clear" w:color="auto" w:fill="FFFFFF"/>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磋商截止时间5日前</w:t>
            </w:r>
          </w:p>
        </w:tc>
      </w:tr>
      <w:tr w14:paraId="3562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16" w:type="dxa"/>
            <w:noWrap w:val="0"/>
            <w:vAlign w:val="center"/>
          </w:tcPr>
          <w:p w14:paraId="59474D85">
            <w:pPr>
              <w:widowControl/>
              <w:shd w:val="clear" w:color="auto" w:fill="FFFFFF"/>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11</w:t>
            </w:r>
          </w:p>
        </w:tc>
        <w:tc>
          <w:tcPr>
            <w:tcW w:w="1828" w:type="dxa"/>
            <w:noWrap w:val="0"/>
            <w:vAlign w:val="center"/>
          </w:tcPr>
          <w:p w14:paraId="20BB453C">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磋商申请人确认收到磋商文件澄清的时间</w:t>
            </w:r>
          </w:p>
        </w:tc>
        <w:tc>
          <w:tcPr>
            <w:tcW w:w="7848" w:type="dxa"/>
            <w:noWrap w:val="0"/>
            <w:vAlign w:val="center"/>
          </w:tcPr>
          <w:p w14:paraId="42A62973">
            <w:pPr>
              <w:widowControl/>
              <w:shd w:val="clear" w:color="auto" w:fill="FFFFFF"/>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磋商申请人疑问发出后1个工作日内</w:t>
            </w:r>
          </w:p>
        </w:tc>
      </w:tr>
      <w:tr w14:paraId="191A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16" w:type="dxa"/>
            <w:noWrap w:val="0"/>
            <w:vAlign w:val="center"/>
          </w:tcPr>
          <w:p w14:paraId="76EF4798">
            <w:pPr>
              <w:widowControl/>
              <w:shd w:val="clear" w:color="auto" w:fill="FFFFFF"/>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12</w:t>
            </w:r>
          </w:p>
        </w:tc>
        <w:tc>
          <w:tcPr>
            <w:tcW w:w="1828" w:type="dxa"/>
            <w:noWrap w:val="0"/>
            <w:vAlign w:val="center"/>
          </w:tcPr>
          <w:p w14:paraId="5FC64A42">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磋商申请人确认收到磋商文件修改的时间</w:t>
            </w:r>
          </w:p>
        </w:tc>
        <w:tc>
          <w:tcPr>
            <w:tcW w:w="7848" w:type="dxa"/>
            <w:noWrap w:val="0"/>
            <w:vAlign w:val="center"/>
          </w:tcPr>
          <w:p w14:paraId="5077AF06">
            <w:pPr>
              <w:widowControl/>
              <w:shd w:val="clear" w:color="auto" w:fill="FFFFFF"/>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磋商申请人疑问发出后1个工作日内</w:t>
            </w:r>
          </w:p>
        </w:tc>
      </w:tr>
      <w:tr w14:paraId="6978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6" w:type="dxa"/>
            <w:noWrap w:val="0"/>
            <w:vAlign w:val="center"/>
          </w:tcPr>
          <w:p w14:paraId="7BFBD69B">
            <w:pPr>
              <w:widowControl/>
              <w:shd w:val="clear" w:color="auto" w:fill="FFFFFF"/>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13</w:t>
            </w:r>
          </w:p>
        </w:tc>
        <w:tc>
          <w:tcPr>
            <w:tcW w:w="1828" w:type="dxa"/>
            <w:noWrap w:val="0"/>
            <w:vAlign w:val="center"/>
          </w:tcPr>
          <w:p w14:paraId="28970AA2">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竞争性磋商有效期</w:t>
            </w:r>
          </w:p>
        </w:tc>
        <w:tc>
          <w:tcPr>
            <w:tcW w:w="7848" w:type="dxa"/>
            <w:noWrap w:val="0"/>
            <w:vAlign w:val="center"/>
          </w:tcPr>
          <w:p w14:paraId="7A325AB9">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rPr>
              <w:t>90</w:t>
            </w:r>
            <w:r>
              <w:rPr>
                <w:rFonts w:hint="eastAsia" w:ascii="宋体" w:hAnsi="宋体" w:eastAsia="宋体" w:cs="宋体"/>
                <w:color w:val="auto"/>
                <w:szCs w:val="24"/>
                <w:highlight w:val="none"/>
              </w:rPr>
              <w:t>日历天（从评审日起计算）</w:t>
            </w:r>
            <w:r>
              <w:rPr>
                <w:rFonts w:hint="eastAsia" w:ascii="宋体" w:hAnsi="宋体" w:eastAsia="宋体" w:cs="宋体"/>
                <w:color w:val="auto"/>
                <w:szCs w:val="24"/>
                <w:highlight w:val="none"/>
                <w:lang w:eastAsia="zh-CN"/>
              </w:rPr>
              <w:t>。</w:t>
            </w:r>
          </w:p>
        </w:tc>
      </w:tr>
      <w:tr w14:paraId="41EA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16" w:type="dxa"/>
            <w:noWrap w:val="0"/>
            <w:vAlign w:val="center"/>
          </w:tcPr>
          <w:p w14:paraId="0ADC6571">
            <w:pPr>
              <w:widowControl/>
              <w:shd w:val="clear" w:color="auto" w:fill="FFFFFF"/>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14</w:t>
            </w:r>
          </w:p>
        </w:tc>
        <w:tc>
          <w:tcPr>
            <w:tcW w:w="1828" w:type="dxa"/>
            <w:noWrap w:val="0"/>
            <w:vAlign w:val="center"/>
          </w:tcPr>
          <w:p w14:paraId="7D6916C6">
            <w:pPr>
              <w:spacing w:line="420" w:lineRule="exact"/>
              <w:jc w:val="center"/>
              <w:rPr>
                <w:rFonts w:hint="eastAsia" w:ascii="宋体" w:hAnsi="宋体" w:eastAsia="宋体" w:cs="宋体"/>
                <w:color w:val="auto"/>
                <w:szCs w:val="24"/>
                <w:highlight w:val="none"/>
              </w:rPr>
            </w:pPr>
            <w:r>
              <w:rPr>
                <w:rFonts w:hint="eastAsia" w:ascii="宋体" w:hAnsi="宋体" w:eastAsia="宋体" w:cs="宋体"/>
                <w:bCs/>
                <w:color w:val="auto"/>
                <w:sz w:val="24"/>
                <w:highlight w:val="none"/>
              </w:rPr>
              <w:t>磋商响应文件份数</w:t>
            </w:r>
          </w:p>
        </w:tc>
        <w:tc>
          <w:tcPr>
            <w:tcW w:w="7848" w:type="dxa"/>
            <w:noWrap w:val="0"/>
            <w:vAlign w:val="center"/>
          </w:tcPr>
          <w:p w14:paraId="7C920BE3">
            <w:pPr>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在“政府采购云平台”https://www.zcygov.cn/提交电子响应文件一份。</w:t>
            </w:r>
          </w:p>
          <w:p w14:paraId="18B97B47">
            <w:pPr>
              <w:spacing w:line="420" w:lineRule="exact"/>
              <w:rPr>
                <w:rFonts w:hint="eastAsia" w:ascii="宋体" w:hAnsi="宋体" w:eastAsia="宋体" w:cs="宋体"/>
                <w:color w:val="auto"/>
                <w:szCs w:val="24"/>
                <w:highlight w:val="none"/>
                <w:lang w:eastAsia="zh-CN"/>
              </w:rPr>
            </w:pPr>
            <w:r>
              <w:rPr>
                <w:rFonts w:hint="eastAsia" w:ascii="宋体" w:hAnsi="宋体" w:eastAsia="宋体" w:cs="宋体"/>
                <w:b/>
                <w:bCs/>
                <w:color w:val="auto"/>
                <w:sz w:val="24"/>
                <w:highlight w:val="none"/>
              </w:rPr>
              <w:t>注：成交</w:t>
            </w:r>
            <w:r>
              <w:rPr>
                <w:rFonts w:hint="eastAsia" w:ascii="宋体" w:hAnsi="宋体" w:eastAsia="宋体" w:cs="宋体"/>
                <w:b/>
                <w:bCs/>
                <w:color w:val="auto"/>
                <w:sz w:val="24"/>
                <w:highlight w:val="none"/>
                <w:lang w:eastAsia="zh-CN"/>
              </w:rPr>
              <w:t>人</w:t>
            </w:r>
            <w:r>
              <w:rPr>
                <w:rFonts w:hint="eastAsia" w:ascii="宋体" w:hAnsi="宋体" w:eastAsia="宋体" w:cs="宋体"/>
                <w:b/>
                <w:bCs/>
                <w:color w:val="auto"/>
                <w:sz w:val="24"/>
                <w:highlight w:val="none"/>
              </w:rPr>
              <w:t>在领取成交通知书时，需要提供与政府采购云平台上传一致的纸质全套磋商响应文件</w:t>
            </w:r>
            <w:r>
              <w:rPr>
                <w:rFonts w:hint="eastAsia" w:ascii="宋体" w:hAnsi="宋体" w:eastAsia="宋体" w:cs="宋体"/>
                <w:b/>
                <w:bCs/>
                <w:color w:val="auto"/>
                <w:sz w:val="24"/>
                <w:highlight w:val="none"/>
                <w:lang w:eastAsia="zh-CN"/>
              </w:rPr>
              <w:t>正本壹</w:t>
            </w:r>
            <w:r>
              <w:rPr>
                <w:rFonts w:hint="eastAsia" w:ascii="宋体" w:hAnsi="宋体" w:eastAsia="宋体" w:cs="宋体"/>
                <w:b/>
                <w:bCs/>
                <w:color w:val="auto"/>
                <w:sz w:val="24"/>
                <w:highlight w:val="none"/>
              </w:rPr>
              <w:t>份。</w:t>
            </w:r>
          </w:p>
        </w:tc>
      </w:tr>
      <w:tr w14:paraId="58FB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6" w:type="dxa"/>
            <w:noWrap w:val="0"/>
            <w:vAlign w:val="center"/>
          </w:tcPr>
          <w:p w14:paraId="51A015B1">
            <w:pPr>
              <w:widowControl/>
              <w:shd w:val="clear" w:color="auto" w:fill="FFFFFF"/>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15</w:t>
            </w:r>
          </w:p>
        </w:tc>
        <w:tc>
          <w:tcPr>
            <w:tcW w:w="1828" w:type="dxa"/>
            <w:noWrap w:val="0"/>
            <w:vAlign w:val="center"/>
          </w:tcPr>
          <w:p w14:paraId="06B0632A">
            <w:pPr>
              <w:widowControl/>
              <w:shd w:val="clear" w:color="auto" w:fill="FFFFFF"/>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磋商保证金</w:t>
            </w:r>
          </w:p>
        </w:tc>
        <w:tc>
          <w:tcPr>
            <w:tcW w:w="7848" w:type="dxa"/>
            <w:noWrap w:val="0"/>
            <w:vAlign w:val="center"/>
          </w:tcPr>
          <w:p w14:paraId="16425838">
            <w:pPr>
              <w:pStyle w:val="30"/>
              <w:snapToGrid w:val="0"/>
              <w:spacing w:line="360" w:lineRule="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【磋商保证金金额】：人民币</w:t>
            </w:r>
            <w:r>
              <w:rPr>
                <w:rFonts w:hint="eastAsia" w:ascii="宋体" w:hAnsi="宋体" w:cs="宋体"/>
                <w:color w:val="auto"/>
                <w:spacing w:val="-2"/>
                <w:kern w:val="2"/>
                <w:sz w:val="24"/>
                <w:szCs w:val="24"/>
                <w:highlight w:val="none"/>
                <w:lang w:val="en-US" w:eastAsia="zh-CN"/>
              </w:rPr>
              <w:t>壹万元整</w:t>
            </w:r>
            <w:r>
              <w:rPr>
                <w:rFonts w:hint="eastAsia" w:ascii="宋体" w:hAnsi="宋体" w:eastAsia="宋体" w:cs="宋体"/>
                <w:color w:val="auto"/>
                <w:spacing w:val="-2"/>
                <w:kern w:val="2"/>
                <w:sz w:val="24"/>
                <w:szCs w:val="24"/>
                <w:highlight w:val="none"/>
              </w:rPr>
              <w:t>（¥</w:t>
            </w:r>
            <w:r>
              <w:rPr>
                <w:rFonts w:hint="eastAsia" w:ascii="宋体" w:hAnsi="宋体" w:cs="宋体"/>
                <w:color w:val="auto"/>
                <w:spacing w:val="-2"/>
                <w:kern w:val="2"/>
                <w:sz w:val="24"/>
                <w:szCs w:val="24"/>
                <w:highlight w:val="none"/>
                <w:lang w:val="en-US" w:eastAsia="zh-CN"/>
              </w:rPr>
              <w:t>10000.00</w:t>
            </w:r>
            <w:r>
              <w:rPr>
                <w:rFonts w:hint="eastAsia" w:ascii="宋体" w:hAnsi="宋体" w:eastAsia="宋体" w:cs="宋体"/>
                <w:color w:val="auto"/>
                <w:spacing w:val="-2"/>
                <w:kern w:val="2"/>
                <w:sz w:val="24"/>
                <w:szCs w:val="24"/>
                <w:highlight w:val="none"/>
              </w:rPr>
              <w:t>元）。（根据《云南省招标投标条例》本项目可以收取保证金¥</w:t>
            </w:r>
            <w:r>
              <w:rPr>
                <w:rFonts w:hint="eastAsia" w:ascii="宋体" w:hAnsi="宋体" w:cs="宋体"/>
                <w:color w:val="auto"/>
                <w:spacing w:val="-2"/>
                <w:kern w:val="2"/>
                <w:sz w:val="24"/>
                <w:szCs w:val="24"/>
                <w:highlight w:val="none"/>
                <w:lang w:val="en-US" w:eastAsia="zh-CN"/>
              </w:rPr>
              <w:t>75800</w:t>
            </w:r>
            <w:r>
              <w:rPr>
                <w:rFonts w:hint="eastAsia" w:ascii="宋体" w:hAnsi="宋体" w:eastAsia="宋体" w:cs="宋体"/>
                <w:color w:val="auto"/>
                <w:spacing w:val="-2"/>
                <w:kern w:val="2"/>
                <w:sz w:val="24"/>
                <w:szCs w:val="24"/>
                <w:highlight w:val="none"/>
              </w:rPr>
              <w:t>.00元，为降低企业交易成本，根据《云南省发展和改革委员会等部门关于鼓励减免政府投资项目投标保证金的通知》（云发改交易管理〔2023〕397号），本项目收取投标保证金</w:t>
            </w:r>
            <w:r>
              <w:rPr>
                <w:rFonts w:hint="eastAsia" w:ascii="宋体" w:hAnsi="宋体" w:cs="宋体"/>
                <w:b/>
                <w:bCs/>
                <w:color w:val="auto"/>
                <w:spacing w:val="-2"/>
                <w:kern w:val="2"/>
                <w:sz w:val="24"/>
                <w:szCs w:val="24"/>
                <w:highlight w:val="none"/>
                <w:lang w:val="en-US" w:eastAsia="zh-CN"/>
              </w:rPr>
              <w:t>壹万元整</w:t>
            </w:r>
            <w:r>
              <w:rPr>
                <w:rFonts w:hint="eastAsia" w:ascii="宋体" w:hAnsi="宋体" w:eastAsia="宋体" w:cs="宋体"/>
                <w:color w:val="auto"/>
                <w:spacing w:val="-2"/>
                <w:kern w:val="2"/>
                <w:sz w:val="24"/>
                <w:szCs w:val="24"/>
                <w:highlight w:val="none"/>
              </w:rPr>
              <w:t>。）</w:t>
            </w:r>
          </w:p>
          <w:p w14:paraId="019387FF">
            <w:pPr>
              <w:pStyle w:val="30"/>
              <w:snapToGrid w:val="0"/>
              <w:spacing w:line="360" w:lineRule="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【账户名称】：</w:t>
            </w:r>
            <w:r>
              <w:rPr>
                <w:rFonts w:hint="eastAsia" w:ascii="宋体" w:hAnsi="宋体" w:cs="宋体"/>
                <w:color w:val="auto"/>
                <w:spacing w:val="-2"/>
                <w:kern w:val="2"/>
                <w:sz w:val="24"/>
                <w:szCs w:val="24"/>
                <w:highlight w:val="none"/>
                <w:lang w:eastAsia="zh-CN"/>
              </w:rPr>
              <w:t>云南疆屿项目管理咨询有限公司</w:t>
            </w:r>
            <w:r>
              <w:rPr>
                <w:rFonts w:hint="eastAsia" w:ascii="宋体" w:hAnsi="宋体" w:eastAsia="宋体" w:cs="宋体"/>
                <w:color w:val="auto"/>
                <w:spacing w:val="-2"/>
                <w:kern w:val="2"/>
                <w:sz w:val="24"/>
                <w:szCs w:val="24"/>
                <w:highlight w:val="none"/>
              </w:rPr>
              <w:t>。</w:t>
            </w:r>
          </w:p>
          <w:p w14:paraId="5C783685">
            <w:pPr>
              <w:pStyle w:val="30"/>
              <w:snapToGrid w:val="0"/>
              <w:spacing w:line="360" w:lineRule="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【开 户 行】：中国工商银行股份有限公司蒙自支行。</w:t>
            </w:r>
          </w:p>
          <w:p w14:paraId="5EFBAD46">
            <w:pPr>
              <w:pStyle w:val="30"/>
              <w:snapToGrid w:val="0"/>
              <w:spacing w:line="360" w:lineRule="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【账    号】：2507042909200106171。</w:t>
            </w:r>
          </w:p>
          <w:p w14:paraId="0D9DDD18">
            <w:pPr>
              <w:pStyle w:val="30"/>
              <w:snapToGrid w:val="0"/>
              <w:spacing w:line="360" w:lineRule="auto"/>
              <w:rPr>
                <w:rFonts w:hint="eastAsia" w:ascii="宋体" w:hAnsi="宋体" w:eastAsia="宋体" w:cs="宋体"/>
                <w:color w:val="auto"/>
                <w:spacing w:val="-2"/>
                <w:kern w:val="2"/>
                <w:sz w:val="24"/>
                <w:szCs w:val="24"/>
                <w:highlight w:val="none"/>
                <w:lang w:val="en-US" w:eastAsia="zh-CN"/>
              </w:rPr>
            </w:pPr>
            <w:r>
              <w:rPr>
                <w:rFonts w:hint="eastAsia" w:ascii="宋体" w:hAnsi="宋体" w:eastAsia="宋体" w:cs="宋体"/>
                <w:color w:val="auto"/>
                <w:spacing w:val="-2"/>
                <w:kern w:val="2"/>
                <w:sz w:val="24"/>
                <w:szCs w:val="24"/>
                <w:highlight w:val="none"/>
              </w:rPr>
              <w:t>【联系电话】：</w:t>
            </w:r>
            <w:r>
              <w:rPr>
                <w:rFonts w:hint="eastAsia" w:ascii="宋体" w:hAnsi="宋体" w:eastAsia="宋体" w:cs="宋体"/>
                <w:color w:val="auto"/>
                <w:spacing w:val="-2"/>
                <w:kern w:val="2"/>
                <w:sz w:val="24"/>
                <w:szCs w:val="24"/>
                <w:highlight w:val="none"/>
                <w:lang w:val="en-US" w:eastAsia="zh-CN"/>
              </w:rPr>
              <w:t>187</w:t>
            </w:r>
            <w:r>
              <w:rPr>
                <w:rFonts w:hint="eastAsia" w:ascii="宋体" w:hAnsi="宋体" w:cs="宋体"/>
                <w:color w:val="auto"/>
                <w:spacing w:val="-2"/>
                <w:kern w:val="2"/>
                <w:sz w:val="24"/>
                <w:szCs w:val="24"/>
                <w:highlight w:val="none"/>
                <w:lang w:val="en-US" w:eastAsia="zh-CN"/>
              </w:rPr>
              <w:t>87170913</w:t>
            </w:r>
            <w:r>
              <w:rPr>
                <w:rFonts w:hint="eastAsia" w:ascii="宋体" w:hAnsi="宋体" w:eastAsia="宋体" w:cs="宋体"/>
                <w:color w:val="auto"/>
                <w:spacing w:val="-2"/>
                <w:kern w:val="2"/>
                <w:sz w:val="24"/>
                <w:szCs w:val="24"/>
                <w:highlight w:val="none"/>
                <w:lang w:val="en-US" w:eastAsia="zh-CN"/>
              </w:rPr>
              <w:t>。</w:t>
            </w:r>
          </w:p>
          <w:p w14:paraId="34F91DE3">
            <w:pPr>
              <w:pStyle w:val="30"/>
              <w:snapToGrid w:val="0"/>
              <w:spacing w:line="360" w:lineRule="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【提交截止时间】：竞争性磋商截止时间前。</w:t>
            </w:r>
          </w:p>
          <w:p w14:paraId="77E8A130">
            <w:pPr>
              <w:tabs>
                <w:tab w:val="left" w:pos="3024"/>
              </w:tabs>
              <w:spacing w:line="360" w:lineRule="auto"/>
              <w:jc w:val="both"/>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【提交方式】：</w:t>
            </w:r>
            <w:r>
              <w:rPr>
                <w:rFonts w:hint="eastAsia" w:ascii="宋体" w:hAnsi="宋体" w:eastAsia="宋体" w:cs="宋体"/>
                <w:color w:val="auto"/>
                <w:sz w:val="24"/>
                <w:highlight w:val="none"/>
              </w:rPr>
              <w:t>支票、汇票、本票、保函、银行转账、保证保险</w:t>
            </w:r>
            <w:r>
              <w:rPr>
                <w:rFonts w:hint="eastAsia" w:ascii="宋体" w:hAnsi="宋体" w:eastAsia="宋体" w:cs="宋体"/>
                <w:color w:val="auto"/>
                <w:spacing w:val="-2"/>
                <w:kern w:val="2"/>
                <w:sz w:val="24"/>
                <w:szCs w:val="24"/>
                <w:highlight w:val="none"/>
              </w:rPr>
              <w:t>。</w:t>
            </w:r>
          </w:p>
          <w:p w14:paraId="2CF66E0B">
            <w:pPr>
              <w:pStyle w:val="30"/>
              <w:snapToGrid w:val="0"/>
              <w:spacing w:line="360" w:lineRule="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【注意事项】：由</w:t>
            </w:r>
            <w:r>
              <w:rPr>
                <w:rFonts w:hint="eastAsia" w:ascii="宋体" w:hAnsi="宋体" w:eastAsia="宋体" w:cs="宋体"/>
                <w:color w:val="auto"/>
                <w:spacing w:val="-2"/>
                <w:kern w:val="2"/>
                <w:sz w:val="24"/>
                <w:szCs w:val="24"/>
                <w:highlight w:val="none"/>
                <w:lang w:eastAsia="zh-CN"/>
              </w:rPr>
              <w:t>磋商申请人</w:t>
            </w:r>
            <w:r>
              <w:rPr>
                <w:rFonts w:hint="eastAsia" w:ascii="宋体" w:hAnsi="宋体" w:eastAsia="宋体" w:cs="宋体"/>
                <w:color w:val="auto"/>
                <w:spacing w:val="-2"/>
                <w:kern w:val="2"/>
                <w:sz w:val="24"/>
                <w:szCs w:val="24"/>
                <w:highlight w:val="none"/>
              </w:rPr>
              <w:t>按规定数额从</w:t>
            </w:r>
            <w:r>
              <w:rPr>
                <w:rFonts w:hint="eastAsia" w:ascii="宋体" w:hAnsi="宋体" w:eastAsia="宋体" w:cs="宋体"/>
                <w:color w:val="auto"/>
                <w:spacing w:val="-2"/>
                <w:kern w:val="2"/>
                <w:sz w:val="24"/>
                <w:szCs w:val="24"/>
                <w:highlight w:val="none"/>
                <w:lang w:eastAsia="zh-CN"/>
              </w:rPr>
              <w:t>磋商申请人</w:t>
            </w:r>
            <w:r>
              <w:rPr>
                <w:rFonts w:hint="eastAsia" w:ascii="宋体" w:hAnsi="宋体" w:eastAsia="宋体" w:cs="宋体"/>
                <w:color w:val="auto"/>
                <w:spacing w:val="-2"/>
                <w:kern w:val="2"/>
                <w:sz w:val="24"/>
                <w:szCs w:val="24"/>
                <w:highlight w:val="none"/>
              </w:rPr>
              <w:t>基本账户自行转账到指定账户，转账时注明所投项目名称及项目编号。</w:t>
            </w:r>
          </w:p>
          <w:p w14:paraId="3C9C0A9D">
            <w:pPr>
              <w:pStyle w:val="30"/>
              <w:snapToGrid w:val="0"/>
              <w:spacing w:line="360" w:lineRule="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【有效期限】：磋商保证金在磋商有效期内保持有效。</w:t>
            </w:r>
          </w:p>
          <w:p w14:paraId="2190B826">
            <w:pPr>
              <w:pStyle w:val="30"/>
              <w:snapToGrid w:val="0"/>
              <w:spacing w:line="360" w:lineRule="auto"/>
              <w:rPr>
                <w:rFonts w:hint="eastAsia" w:ascii="宋体" w:hAnsi="宋体" w:eastAsia="宋体" w:cs="宋体"/>
                <w:color w:val="auto"/>
                <w:spacing w:val="-2"/>
                <w:kern w:val="2"/>
                <w:sz w:val="24"/>
                <w:szCs w:val="24"/>
                <w:highlight w:val="none"/>
              </w:rPr>
            </w:pPr>
            <w:r>
              <w:rPr>
                <w:rFonts w:hint="eastAsia" w:ascii="宋体" w:hAnsi="宋体" w:eastAsia="宋体" w:cs="宋体"/>
                <w:b/>
                <w:color w:val="auto"/>
                <w:spacing w:val="-2"/>
                <w:kern w:val="2"/>
                <w:sz w:val="24"/>
                <w:szCs w:val="24"/>
                <w:highlight w:val="none"/>
              </w:rPr>
              <w:t>【磋商保证金退还】：</w:t>
            </w:r>
            <w:r>
              <w:rPr>
                <w:rFonts w:hint="eastAsia" w:ascii="宋体" w:hAnsi="宋体" w:eastAsia="宋体" w:cs="宋体"/>
                <w:color w:val="auto"/>
                <w:spacing w:val="-2"/>
                <w:kern w:val="2"/>
                <w:sz w:val="24"/>
                <w:szCs w:val="24"/>
                <w:highlight w:val="none"/>
                <w:lang w:val="en-US" w:eastAsia="zh-CN"/>
              </w:rPr>
              <w:t>成交</w:t>
            </w:r>
            <w:r>
              <w:rPr>
                <w:rFonts w:hint="eastAsia" w:ascii="宋体" w:hAnsi="宋体" w:eastAsia="宋体" w:cs="宋体"/>
                <w:color w:val="auto"/>
                <w:spacing w:val="-2"/>
                <w:kern w:val="2"/>
                <w:sz w:val="24"/>
                <w:szCs w:val="24"/>
                <w:highlight w:val="none"/>
              </w:rPr>
              <w:t>通知书发出之日起5个工作日内退还未</w:t>
            </w:r>
            <w:r>
              <w:rPr>
                <w:rFonts w:hint="eastAsia" w:ascii="宋体" w:hAnsi="宋体" w:eastAsia="宋体" w:cs="宋体"/>
                <w:color w:val="auto"/>
                <w:spacing w:val="-2"/>
                <w:kern w:val="2"/>
                <w:sz w:val="24"/>
                <w:szCs w:val="24"/>
                <w:highlight w:val="none"/>
                <w:lang w:val="en-US" w:eastAsia="zh-CN"/>
              </w:rPr>
              <w:t>成交</w:t>
            </w:r>
            <w:r>
              <w:rPr>
                <w:rFonts w:hint="eastAsia" w:ascii="宋体" w:hAnsi="宋体" w:eastAsia="宋体" w:cs="宋体"/>
                <w:color w:val="auto"/>
                <w:spacing w:val="-2"/>
                <w:kern w:val="2"/>
                <w:sz w:val="24"/>
                <w:szCs w:val="24"/>
                <w:highlight w:val="none"/>
              </w:rPr>
              <w:t>人的磋商保证金，自合同签订之日起5个工作日内退还</w:t>
            </w:r>
            <w:r>
              <w:rPr>
                <w:rFonts w:hint="eastAsia" w:ascii="宋体" w:hAnsi="宋体" w:eastAsia="宋体" w:cs="宋体"/>
                <w:color w:val="auto"/>
                <w:spacing w:val="-2"/>
                <w:kern w:val="2"/>
                <w:sz w:val="24"/>
                <w:szCs w:val="24"/>
                <w:highlight w:val="none"/>
                <w:lang w:val="en-US" w:eastAsia="zh-CN"/>
              </w:rPr>
              <w:t>成交</w:t>
            </w:r>
            <w:r>
              <w:rPr>
                <w:rFonts w:hint="eastAsia" w:ascii="宋体" w:hAnsi="宋体" w:eastAsia="宋体" w:cs="宋体"/>
                <w:color w:val="auto"/>
                <w:spacing w:val="-2"/>
                <w:kern w:val="2"/>
                <w:sz w:val="24"/>
                <w:szCs w:val="24"/>
                <w:highlight w:val="none"/>
              </w:rPr>
              <w:t>人的磋商保证金。</w:t>
            </w:r>
          </w:p>
          <w:p w14:paraId="67874928">
            <w:pPr>
              <w:pStyle w:val="30"/>
              <w:snapToGrid w:val="0"/>
              <w:spacing w:line="360" w:lineRule="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有下列情形之一的，保证金不予退还：</w:t>
            </w:r>
          </w:p>
          <w:p w14:paraId="4C7A314B">
            <w:pPr>
              <w:pStyle w:val="30"/>
              <w:snapToGrid w:val="0"/>
              <w:spacing w:line="360" w:lineRule="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①已缴纳保证金，无故不参加竞争性磋商会议；</w:t>
            </w:r>
          </w:p>
          <w:p w14:paraId="4616A860">
            <w:pPr>
              <w:pStyle w:val="30"/>
              <w:snapToGrid w:val="0"/>
              <w:spacing w:line="360" w:lineRule="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②在提交响应文件截止时间后到响应文件规定的竞争性磋商有效期终止之前，</w:t>
            </w:r>
            <w:r>
              <w:rPr>
                <w:rFonts w:hint="eastAsia" w:ascii="宋体" w:hAnsi="宋体" w:eastAsia="宋体" w:cs="宋体"/>
                <w:color w:val="auto"/>
                <w:spacing w:val="-2"/>
                <w:kern w:val="2"/>
                <w:sz w:val="24"/>
                <w:szCs w:val="24"/>
                <w:highlight w:val="none"/>
                <w:lang w:eastAsia="zh-CN"/>
              </w:rPr>
              <w:t>磋商申请人</w:t>
            </w:r>
            <w:r>
              <w:rPr>
                <w:rFonts w:hint="eastAsia" w:ascii="宋体" w:hAnsi="宋体" w:eastAsia="宋体" w:cs="宋体"/>
                <w:color w:val="auto"/>
                <w:spacing w:val="-2"/>
                <w:kern w:val="2"/>
                <w:sz w:val="24"/>
                <w:szCs w:val="24"/>
                <w:highlight w:val="none"/>
              </w:rPr>
              <w:t>撤回响应文件的；</w:t>
            </w:r>
          </w:p>
          <w:p w14:paraId="5A0C203B">
            <w:pPr>
              <w:spacing w:line="360" w:lineRule="auto"/>
              <w:rPr>
                <w:rFonts w:hint="eastAsia" w:ascii="宋体" w:hAnsi="宋体" w:eastAsia="宋体" w:cs="宋体"/>
                <w:color w:val="auto"/>
                <w:spacing w:val="-2"/>
                <w:kern w:val="2"/>
                <w:szCs w:val="24"/>
                <w:highlight w:val="none"/>
              </w:rPr>
            </w:pPr>
            <w:r>
              <w:rPr>
                <w:rFonts w:hint="eastAsia" w:ascii="宋体" w:hAnsi="宋体" w:eastAsia="宋体" w:cs="宋体"/>
                <w:color w:val="auto"/>
                <w:spacing w:val="-2"/>
                <w:kern w:val="2"/>
                <w:szCs w:val="24"/>
                <w:highlight w:val="none"/>
              </w:rPr>
              <w:t>③</w:t>
            </w:r>
            <w:r>
              <w:rPr>
                <w:rFonts w:hint="eastAsia" w:ascii="宋体" w:hAnsi="宋体" w:eastAsia="宋体" w:cs="宋体"/>
                <w:color w:val="auto"/>
                <w:spacing w:val="-2"/>
                <w:kern w:val="2"/>
                <w:szCs w:val="24"/>
                <w:highlight w:val="none"/>
                <w:lang w:val="en-US" w:eastAsia="zh-CN"/>
              </w:rPr>
              <w:t>成交</w:t>
            </w:r>
            <w:r>
              <w:rPr>
                <w:rFonts w:hint="eastAsia" w:ascii="宋体" w:hAnsi="宋体" w:eastAsia="宋体" w:cs="宋体"/>
                <w:color w:val="auto"/>
                <w:spacing w:val="-2"/>
                <w:kern w:val="2"/>
                <w:szCs w:val="24"/>
                <w:highlight w:val="none"/>
              </w:rPr>
              <w:t>通知书发出后，</w:t>
            </w:r>
            <w:r>
              <w:rPr>
                <w:rFonts w:hint="eastAsia" w:ascii="宋体" w:hAnsi="宋体" w:eastAsia="宋体" w:cs="宋体"/>
                <w:color w:val="auto"/>
                <w:spacing w:val="-2"/>
                <w:kern w:val="2"/>
                <w:szCs w:val="24"/>
                <w:highlight w:val="none"/>
                <w:lang w:val="en-US" w:eastAsia="zh-CN"/>
              </w:rPr>
              <w:t>成交</w:t>
            </w:r>
            <w:r>
              <w:rPr>
                <w:rFonts w:hint="eastAsia" w:ascii="宋体" w:hAnsi="宋体" w:eastAsia="宋体" w:cs="宋体"/>
                <w:color w:val="auto"/>
                <w:spacing w:val="-2"/>
                <w:kern w:val="2"/>
                <w:szCs w:val="24"/>
                <w:highlight w:val="none"/>
              </w:rPr>
              <w:t>人无故放弃</w:t>
            </w:r>
            <w:r>
              <w:rPr>
                <w:rFonts w:hint="eastAsia" w:ascii="宋体" w:hAnsi="宋体" w:eastAsia="宋体" w:cs="宋体"/>
                <w:color w:val="auto"/>
                <w:spacing w:val="-2"/>
                <w:kern w:val="2"/>
                <w:szCs w:val="24"/>
                <w:highlight w:val="none"/>
                <w:lang w:val="en-US" w:eastAsia="zh-CN"/>
              </w:rPr>
              <w:t>成交</w:t>
            </w:r>
            <w:r>
              <w:rPr>
                <w:rFonts w:hint="eastAsia" w:ascii="宋体" w:hAnsi="宋体" w:eastAsia="宋体" w:cs="宋体"/>
                <w:color w:val="auto"/>
                <w:spacing w:val="-2"/>
                <w:kern w:val="2"/>
                <w:szCs w:val="24"/>
                <w:highlight w:val="none"/>
              </w:rPr>
              <w:t>项目的或无正当理由不与</w:t>
            </w:r>
            <w:r>
              <w:rPr>
                <w:rFonts w:hint="eastAsia" w:ascii="宋体" w:hAnsi="宋体" w:eastAsia="宋体" w:cs="宋体"/>
                <w:color w:val="auto"/>
                <w:spacing w:val="-2"/>
                <w:kern w:val="2"/>
                <w:szCs w:val="24"/>
                <w:highlight w:val="none"/>
                <w:lang w:val="en-US" w:eastAsia="zh-CN"/>
              </w:rPr>
              <w:t>采购</w:t>
            </w:r>
            <w:r>
              <w:rPr>
                <w:rFonts w:hint="eastAsia" w:ascii="宋体" w:hAnsi="宋体" w:eastAsia="宋体" w:cs="宋体"/>
                <w:color w:val="auto"/>
                <w:spacing w:val="-2"/>
                <w:kern w:val="2"/>
                <w:szCs w:val="24"/>
                <w:highlight w:val="none"/>
              </w:rPr>
              <w:t>人签订合同的，或者拒不缴纳所要求的履约保证金的。</w:t>
            </w:r>
          </w:p>
        </w:tc>
      </w:tr>
      <w:tr w14:paraId="57B9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16" w:type="dxa"/>
            <w:noWrap w:val="0"/>
            <w:vAlign w:val="center"/>
          </w:tcPr>
          <w:p w14:paraId="3990574D">
            <w:pPr>
              <w:snapToGrid w:val="0"/>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16</w:t>
            </w:r>
          </w:p>
        </w:tc>
        <w:tc>
          <w:tcPr>
            <w:tcW w:w="1828" w:type="dxa"/>
            <w:noWrap w:val="0"/>
            <w:vAlign w:val="center"/>
          </w:tcPr>
          <w:p w14:paraId="5E79A544">
            <w:pPr>
              <w:pStyle w:val="3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服务费</w:t>
            </w:r>
          </w:p>
        </w:tc>
        <w:tc>
          <w:tcPr>
            <w:tcW w:w="7848" w:type="dxa"/>
            <w:noWrap w:val="0"/>
            <w:vAlign w:val="center"/>
          </w:tcPr>
          <w:p w14:paraId="1106A34A">
            <w:p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照国家发展和改革委员会《关于进一步放开建设项目专业服务价格的通知》（发改价格〔2015〕299号）的精神，参照“关于印发《云南省建设工程招标代理服务收费参考意见》的通知（云建招协〔2024〕58号）”收费执行。由中标人承担，须在领取中标通知书时支付给采购代理机构。</w:t>
            </w:r>
          </w:p>
        </w:tc>
      </w:tr>
      <w:tr w14:paraId="13E3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noWrap w:val="0"/>
            <w:vAlign w:val="bottom"/>
          </w:tcPr>
          <w:p w14:paraId="61E2CB96">
            <w:pPr>
              <w:snapToGrid w:val="0"/>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17</w:t>
            </w:r>
          </w:p>
        </w:tc>
        <w:tc>
          <w:tcPr>
            <w:tcW w:w="1828" w:type="dxa"/>
            <w:noWrap w:val="0"/>
            <w:vAlign w:val="center"/>
          </w:tcPr>
          <w:p w14:paraId="7F3CB5C8">
            <w:pPr>
              <w:pStyle w:val="3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招标控制价</w:t>
            </w:r>
          </w:p>
        </w:tc>
        <w:tc>
          <w:tcPr>
            <w:tcW w:w="7848" w:type="dxa"/>
            <w:noWrap w:val="0"/>
            <w:vAlign w:val="bottom"/>
          </w:tcPr>
          <w:p w14:paraId="4887B663">
            <w:pPr>
              <w:pStyle w:val="3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10"/>
                <w:kern w:val="2"/>
                <w:sz w:val="24"/>
                <w:szCs w:val="36"/>
                <w:highlight w:val="none"/>
                <w:lang w:val="en-US" w:eastAsia="zh-CN" w:bidi="ar-SA"/>
              </w:rPr>
              <w:t>人民币3794399.74元</w:t>
            </w:r>
            <w:r>
              <w:rPr>
                <w:rFonts w:hint="eastAsia" w:ascii="宋体" w:hAnsi="宋体" w:eastAsia="宋体" w:cs="宋体"/>
                <w:color w:val="auto"/>
                <w:sz w:val="24"/>
                <w:szCs w:val="24"/>
                <w:highlight w:val="none"/>
                <w:lang w:val="en-US" w:eastAsia="zh-CN"/>
              </w:rPr>
              <w:t>。（报价超过招标控制价为无效报价）</w:t>
            </w:r>
          </w:p>
        </w:tc>
      </w:tr>
      <w:tr w14:paraId="1315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6" w:type="dxa"/>
            <w:noWrap w:val="0"/>
            <w:vAlign w:val="bottom"/>
          </w:tcPr>
          <w:p w14:paraId="534CDC81">
            <w:pPr>
              <w:snapToGrid w:val="0"/>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18</w:t>
            </w:r>
          </w:p>
        </w:tc>
        <w:tc>
          <w:tcPr>
            <w:tcW w:w="1828" w:type="dxa"/>
            <w:noWrap w:val="0"/>
            <w:vAlign w:val="center"/>
          </w:tcPr>
          <w:p w14:paraId="135A8183">
            <w:pPr>
              <w:pStyle w:val="3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履约保证金</w:t>
            </w:r>
          </w:p>
        </w:tc>
        <w:tc>
          <w:tcPr>
            <w:tcW w:w="7848" w:type="dxa"/>
            <w:noWrap w:val="0"/>
            <w:vAlign w:val="bottom"/>
          </w:tcPr>
          <w:p w14:paraId="10719BD8">
            <w:pPr>
              <w:pStyle w:val="3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14:paraId="470E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6" w:type="dxa"/>
            <w:noWrap w:val="0"/>
            <w:vAlign w:val="bottom"/>
          </w:tcPr>
          <w:p w14:paraId="0C9CAD71">
            <w:pPr>
              <w:snapToGrid w:val="0"/>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19</w:t>
            </w:r>
          </w:p>
        </w:tc>
        <w:tc>
          <w:tcPr>
            <w:tcW w:w="1828" w:type="dxa"/>
            <w:noWrap w:val="0"/>
            <w:vAlign w:val="center"/>
          </w:tcPr>
          <w:p w14:paraId="0CE959E8">
            <w:pPr>
              <w:pStyle w:val="3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质量保证金</w:t>
            </w:r>
          </w:p>
        </w:tc>
        <w:tc>
          <w:tcPr>
            <w:tcW w:w="7848" w:type="dxa"/>
            <w:noWrap w:val="0"/>
            <w:vAlign w:val="bottom"/>
          </w:tcPr>
          <w:p w14:paraId="7BE664E9">
            <w:pPr>
              <w:pStyle w:val="3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lang w:val="en-US" w:eastAsia="zh-CN"/>
              </w:rPr>
              <w:t>。</w:t>
            </w:r>
          </w:p>
        </w:tc>
      </w:tr>
      <w:tr w14:paraId="3EEE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6" w:type="dxa"/>
            <w:noWrap w:val="0"/>
            <w:vAlign w:val="center"/>
          </w:tcPr>
          <w:p w14:paraId="04300B63">
            <w:pPr>
              <w:snapToGrid w:val="0"/>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20</w:t>
            </w:r>
          </w:p>
        </w:tc>
        <w:tc>
          <w:tcPr>
            <w:tcW w:w="1828" w:type="dxa"/>
            <w:noWrap w:val="0"/>
            <w:vAlign w:val="center"/>
          </w:tcPr>
          <w:p w14:paraId="4734E1B8">
            <w:pPr>
              <w:pStyle w:val="3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7848" w:type="dxa"/>
            <w:noWrap w:val="0"/>
            <w:vAlign w:val="bottom"/>
          </w:tcPr>
          <w:p w14:paraId="2DF585B9">
            <w:pPr>
              <w:pStyle w:val="3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以双方最终签订的合同为准。</w:t>
            </w:r>
          </w:p>
        </w:tc>
      </w:tr>
      <w:tr w14:paraId="7525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6" w:type="dxa"/>
            <w:noWrap w:val="0"/>
            <w:vAlign w:val="center"/>
          </w:tcPr>
          <w:p w14:paraId="48D46ED8">
            <w:pPr>
              <w:snapToGrid w:val="0"/>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21</w:t>
            </w:r>
          </w:p>
        </w:tc>
        <w:tc>
          <w:tcPr>
            <w:tcW w:w="1828" w:type="dxa"/>
            <w:noWrap w:val="0"/>
            <w:vAlign w:val="center"/>
          </w:tcPr>
          <w:p w14:paraId="64211622">
            <w:pPr>
              <w:pStyle w:val="3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c>
          <w:tcPr>
            <w:tcW w:w="7848" w:type="dxa"/>
            <w:noWrap w:val="0"/>
            <w:vAlign w:val="bottom"/>
          </w:tcPr>
          <w:p w14:paraId="7C7E1DAA">
            <w:pPr>
              <w:pStyle w:val="3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1、磋商申请人所报价格不得超过最高限价，否则按否决废标处理。</w:t>
            </w:r>
          </w:p>
          <w:p w14:paraId="0F3AC70A">
            <w:pPr>
              <w:pStyle w:val="3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2、磋商报价应包括完成本项目采购范围工作并提供相关文件及服务的全部费用，因完成本项目必须缴纳的所有规费、税费均由成交单位承担，并包含在所报的磋商报价内，采购人不单独支付。</w:t>
            </w:r>
          </w:p>
          <w:p w14:paraId="4D906124">
            <w:pPr>
              <w:pStyle w:val="3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3、本项目允许二次报价，二次报价将由通过资格审查及符合性评审的磋商申请人逐一进行磋商并填报，二次报价只能等于或者低于一次报价，若二次报价高于一次报价的则视为无效，其磋商申请将被否决。</w:t>
            </w:r>
          </w:p>
          <w:p w14:paraId="078818B1">
            <w:pPr>
              <w:pStyle w:val="3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（1）磋商申请人响应文件中的报价作为第一次报价，成交价以最终报价为准。</w:t>
            </w:r>
          </w:p>
          <w:p w14:paraId="5BC40D8B">
            <w:pPr>
              <w:pStyle w:val="3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（2）磋商报价以二次报价为最终报价。</w:t>
            </w:r>
          </w:p>
          <w:p w14:paraId="67537D08">
            <w:pPr>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计价依据及计价模式：</w:t>
            </w:r>
          </w:p>
          <w:p w14:paraId="6CC69E50">
            <w:pPr>
              <w:spacing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）本项目的材料价格由甲乙双方根据当地材料价格信息或市场情况确定。</w:t>
            </w:r>
          </w:p>
          <w:p w14:paraId="62CC7948">
            <w:pPr>
              <w:spacing w:after="0"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竣工结算价的确定：经全过程跟踪审计审定竣工结算后作为最终的工程竣工结算价</w:t>
            </w:r>
            <w:r>
              <w:rPr>
                <w:rFonts w:hint="eastAsia" w:ascii="宋体" w:hAnsi="宋体" w:eastAsia="宋体" w:cs="宋体"/>
                <w:color w:val="auto"/>
                <w:sz w:val="24"/>
                <w:szCs w:val="24"/>
                <w:highlight w:val="none"/>
              </w:rPr>
              <w:t>。</w:t>
            </w:r>
          </w:p>
        </w:tc>
      </w:tr>
      <w:tr w14:paraId="5EF5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6" w:type="dxa"/>
            <w:noWrap w:val="0"/>
            <w:vAlign w:val="center"/>
          </w:tcPr>
          <w:p w14:paraId="3DFC8F36">
            <w:pPr>
              <w:snapToGrid w:val="0"/>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w:t>
            </w:r>
          </w:p>
        </w:tc>
        <w:tc>
          <w:tcPr>
            <w:tcW w:w="1828" w:type="dxa"/>
            <w:noWrap w:val="0"/>
            <w:vAlign w:val="center"/>
          </w:tcPr>
          <w:p w14:paraId="1CF3A3B8">
            <w:pPr>
              <w:pStyle w:val="30"/>
              <w:snapToGrid w:val="0"/>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项目所属行业</w:t>
            </w:r>
          </w:p>
        </w:tc>
        <w:tc>
          <w:tcPr>
            <w:tcW w:w="7848" w:type="dxa"/>
            <w:noWrap w:val="0"/>
            <w:vAlign w:val="bottom"/>
          </w:tcPr>
          <w:p w14:paraId="3F9583BD">
            <w:pPr>
              <w:pStyle w:val="3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建筑业。</w:t>
            </w:r>
          </w:p>
        </w:tc>
      </w:tr>
      <w:tr w14:paraId="2DF5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6" w:type="dxa"/>
            <w:noWrap w:val="0"/>
            <w:vAlign w:val="center"/>
          </w:tcPr>
          <w:p w14:paraId="0792BB2B">
            <w:pPr>
              <w:snapToGrid w:val="0"/>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23</w:t>
            </w:r>
          </w:p>
        </w:tc>
        <w:tc>
          <w:tcPr>
            <w:tcW w:w="1828" w:type="dxa"/>
            <w:noWrap w:val="0"/>
            <w:vAlign w:val="center"/>
          </w:tcPr>
          <w:p w14:paraId="459EDCEB">
            <w:pPr>
              <w:pStyle w:val="30"/>
              <w:snapToGrid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质保期</w:t>
            </w:r>
          </w:p>
        </w:tc>
        <w:tc>
          <w:tcPr>
            <w:tcW w:w="7848" w:type="dxa"/>
            <w:noWrap w:val="0"/>
            <w:vAlign w:val="bottom"/>
          </w:tcPr>
          <w:p w14:paraId="1874D8B0">
            <w:pPr>
              <w:pStyle w:val="3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1年。</w:t>
            </w:r>
          </w:p>
        </w:tc>
      </w:tr>
      <w:tr w14:paraId="21F5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16" w:type="dxa"/>
            <w:noWrap w:val="0"/>
            <w:vAlign w:val="center"/>
          </w:tcPr>
          <w:p w14:paraId="0703EBFD">
            <w:pPr>
              <w:pStyle w:val="3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p>
        </w:tc>
        <w:tc>
          <w:tcPr>
            <w:tcW w:w="1828" w:type="dxa"/>
            <w:noWrap w:val="0"/>
            <w:vAlign w:val="center"/>
          </w:tcPr>
          <w:p w14:paraId="16F2AB9A">
            <w:pPr>
              <w:pStyle w:val="3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政府采购优惠政策</w:t>
            </w:r>
          </w:p>
        </w:tc>
        <w:tc>
          <w:tcPr>
            <w:tcW w:w="7848" w:type="dxa"/>
            <w:noWrap w:val="0"/>
            <w:vAlign w:val="bottom"/>
          </w:tcPr>
          <w:p w14:paraId="665F1ED0">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（一）价格扣除评分优惠政策</w:t>
            </w:r>
          </w:p>
          <w:p w14:paraId="429569E6">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（1）小型和微型企业价格扣除评分优惠政策</w:t>
            </w:r>
          </w:p>
          <w:p w14:paraId="7484349E">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根据《政府采购促进中小企业发展管理办法》（财库〔2020〕46号）、《财政部关于进一步加大政府采购支持中小企业力度的通知》（财库[2022]19号）的规定，对符合条件的小型和微型磋商申请人，在磋商报价评分时给予磋商报价</w:t>
            </w:r>
            <w:r>
              <w:rPr>
                <w:rFonts w:hint="eastAsia" w:ascii="宋体" w:hAnsi="宋体" w:cs="宋体"/>
                <w:b/>
                <w:color w:val="auto"/>
                <w:kern w:val="2"/>
                <w:sz w:val="24"/>
                <w:szCs w:val="24"/>
                <w:highlight w:val="none"/>
                <w:lang w:val="en-US" w:eastAsia="zh-CN"/>
              </w:rPr>
              <w:t>3%</w:t>
            </w:r>
            <w:r>
              <w:rPr>
                <w:rFonts w:hint="eastAsia" w:ascii="宋体" w:hAnsi="宋体" w:eastAsia="宋体" w:cs="宋体"/>
                <w:b/>
                <w:color w:val="auto"/>
                <w:kern w:val="2"/>
                <w:sz w:val="24"/>
                <w:szCs w:val="24"/>
                <w:highlight w:val="none"/>
                <w:lang w:val="en-US" w:eastAsia="zh-CN"/>
              </w:rPr>
              <w:t>的扣除，用扣除后的磋商报价参与磋商报价评分。</w:t>
            </w:r>
          </w:p>
          <w:p w14:paraId="2CEF5304">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（2）监狱企业价格扣除评分优惠政策</w:t>
            </w:r>
          </w:p>
          <w:p w14:paraId="130349E3">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根据《关于政府采购支持监狱企业发展有关问题的通知》（财库[2014]68号）的规定，监狱企业参与本项目磋商时，视同小型、微型企业享受价格扣除等优惠政策。</w:t>
            </w:r>
          </w:p>
          <w:p w14:paraId="20521EE0">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（3）残疾人福利性单位价格扣除评分优惠政策</w:t>
            </w:r>
          </w:p>
          <w:p w14:paraId="089A3D61">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 xml:space="preserve">根据《关于促进残疾人就业政府采购政策的通知》（财库[2017]141号）的规定，残疾人福利性单位参与本项目磋商时，视同小型、微型企业享受价格扣除等优惠政策。                                                                   </w:t>
            </w:r>
          </w:p>
        </w:tc>
      </w:tr>
    </w:tbl>
    <w:p w14:paraId="0CD4F377">
      <w:pPr>
        <w:widowControl/>
        <w:shd w:val="clear" w:color="auto" w:fill="FFFFFF"/>
        <w:spacing w:line="360" w:lineRule="auto"/>
        <w:jc w:val="both"/>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Cs w:val="24"/>
          <w:highlight w:val="none"/>
        </w:rPr>
        <w:br w:type="page"/>
      </w:r>
      <w:bookmarkEnd w:id="100"/>
      <w:bookmarkEnd w:id="101"/>
      <w:bookmarkStart w:id="103" w:name="_Toc11505"/>
      <w:bookmarkStart w:id="104" w:name="_Toc19437"/>
      <w:bookmarkStart w:id="105" w:name="_Toc317588968"/>
      <w:r>
        <w:rPr>
          <w:rFonts w:hint="eastAsia" w:ascii="宋体" w:hAnsi="宋体" w:eastAsia="宋体" w:cs="宋体"/>
          <w:b/>
          <w:bCs/>
          <w:color w:val="auto"/>
          <w:sz w:val="32"/>
          <w:szCs w:val="32"/>
          <w:highlight w:val="none"/>
        </w:rPr>
        <w:t>一、总则</w:t>
      </w:r>
      <w:bookmarkEnd w:id="103"/>
      <w:bookmarkEnd w:id="104"/>
    </w:p>
    <w:p w14:paraId="506AA485">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06" w:name="_Toc883"/>
      <w:r>
        <w:rPr>
          <w:rFonts w:hint="eastAsia" w:ascii="宋体" w:hAnsi="宋体" w:eastAsia="宋体" w:cs="宋体"/>
          <w:color w:val="auto"/>
          <w:sz w:val="24"/>
          <w:szCs w:val="24"/>
          <w:highlight w:val="none"/>
        </w:rPr>
        <w:t>1.项目概况</w:t>
      </w:r>
      <w:bookmarkEnd w:id="106"/>
    </w:p>
    <w:p w14:paraId="685534D1">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1.1 项目名称及项目编号：见“</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w:t>
      </w:r>
    </w:p>
    <w:p w14:paraId="01F1D174">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1.2 </w:t>
      </w:r>
      <w:r>
        <w:rPr>
          <w:rFonts w:hint="eastAsia" w:ascii="宋体" w:hAnsi="宋体" w:eastAsia="宋体" w:cs="宋体"/>
          <w:color w:val="auto"/>
          <w:szCs w:val="24"/>
          <w:highlight w:val="none"/>
          <w:lang w:eastAsia="zh-CN"/>
        </w:rPr>
        <w:t>采购需求</w:t>
      </w:r>
      <w:r>
        <w:rPr>
          <w:rFonts w:hint="eastAsia" w:ascii="宋体" w:hAnsi="宋体" w:eastAsia="宋体" w:cs="宋体"/>
          <w:color w:val="auto"/>
          <w:szCs w:val="24"/>
          <w:highlight w:val="none"/>
        </w:rPr>
        <w:t>：见“</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w:t>
      </w:r>
    </w:p>
    <w:p w14:paraId="38B9EAF9">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1.3 </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人：见“</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w:t>
      </w:r>
    </w:p>
    <w:p w14:paraId="7EF70892">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1.4 </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代理机构：见“</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w:t>
      </w:r>
    </w:p>
    <w:p w14:paraId="2E59F97E">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07" w:name="_Toc21475"/>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资格要求</w:t>
      </w:r>
      <w:bookmarkEnd w:id="107"/>
      <w:r>
        <w:rPr>
          <w:rFonts w:hint="eastAsia" w:ascii="宋体" w:hAnsi="宋体" w:eastAsia="宋体" w:cs="宋体"/>
          <w:color w:val="auto"/>
          <w:sz w:val="24"/>
          <w:szCs w:val="24"/>
          <w:highlight w:val="none"/>
        </w:rPr>
        <w:tab/>
      </w:r>
    </w:p>
    <w:p w14:paraId="1DDA33B7">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 xml:space="preserve"> 是否接受联合体：</w:t>
      </w:r>
      <w:bookmarkStart w:id="108" w:name="OLE_LINK15"/>
      <w:r>
        <w:rPr>
          <w:rFonts w:hint="eastAsia" w:ascii="宋体" w:hAnsi="宋体" w:eastAsia="宋体" w:cs="宋体"/>
          <w:color w:val="auto"/>
          <w:szCs w:val="24"/>
          <w:highlight w:val="none"/>
        </w:rPr>
        <w:t>见“</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w:t>
      </w:r>
      <w:bookmarkEnd w:id="108"/>
      <w:r>
        <w:rPr>
          <w:rFonts w:hint="eastAsia" w:ascii="宋体" w:hAnsi="宋体" w:eastAsia="宋体" w:cs="宋体"/>
          <w:color w:val="auto"/>
          <w:szCs w:val="24"/>
          <w:highlight w:val="none"/>
        </w:rPr>
        <w:t>。</w:t>
      </w:r>
    </w:p>
    <w:p w14:paraId="408A9649">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 xml:space="preserve"> 其它资格要求：见“</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w:t>
      </w:r>
    </w:p>
    <w:p w14:paraId="2AD8E9FB">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 xml:space="preserve">3 </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不得直接或间接地与为本项目进行设计、编制规范和其他文件的咨询公司、</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人或其附属机构有任何关联。</w:t>
      </w:r>
    </w:p>
    <w:p w14:paraId="48DFD98B">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09" w:name="_Toc22749"/>
      <w:r>
        <w:rPr>
          <w:rFonts w:hint="eastAsia" w:ascii="宋体" w:hAnsi="宋体" w:eastAsia="宋体" w:cs="宋体"/>
          <w:color w:val="auto"/>
          <w:sz w:val="24"/>
          <w:szCs w:val="24"/>
          <w:highlight w:val="none"/>
        </w:rPr>
        <w:t>3.费用承担</w:t>
      </w:r>
      <w:bookmarkEnd w:id="109"/>
    </w:p>
    <w:p w14:paraId="3F70B045">
      <w:pPr>
        <w:spacing w:line="360" w:lineRule="auto"/>
        <w:ind w:firstLine="480" w:firstLineChars="200"/>
        <w:jc w:val="both"/>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rPr>
        <w:t xml:space="preserve">3.1 </w:t>
      </w:r>
      <w:r>
        <w:rPr>
          <w:rFonts w:hint="eastAsia" w:ascii="宋体" w:hAnsi="宋体" w:eastAsia="宋体" w:cs="宋体"/>
          <w:color w:val="auto"/>
          <w:kern w:val="24"/>
          <w:sz w:val="24"/>
          <w:highlight w:val="none"/>
          <w:lang w:eastAsia="zh-CN"/>
        </w:rPr>
        <w:t>磋商</w:t>
      </w:r>
      <w:r>
        <w:rPr>
          <w:rFonts w:hint="eastAsia" w:ascii="宋体" w:hAnsi="宋体" w:eastAsia="宋体" w:cs="宋体"/>
          <w:color w:val="auto"/>
          <w:kern w:val="24"/>
          <w:sz w:val="24"/>
          <w:highlight w:val="none"/>
        </w:rPr>
        <w:t>申请人应承担其参加本次</w:t>
      </w:r>
      <w:r>
        <w:rPr>
          <w:rFonts w:hint="eastAsia" w:ascii="宋体" w:hAnsi="宋体" w:eastAsia="宋体" w:cs="宋体"/>
          <w:color w:val="auto"/>
          <w:kern w:val="24"/>
          <w:sz w:val="24"/>
          <w:highlight w:val="none"/>
          <w:lang w:eastAsia="zh-CN"/>
        </w:rPr>
        <w:t>磋商</w:t>
      </w:r>
      <w:r>
        <w:rPr>
          <w:rFonts w:hint="eastAsia" w:ascii="宋体" w:hAnsi="宋体" w:eastAsia="宋体" w:cs="宋体"/>
          <w:color w:val="auto"/>
          <w:kern w:val="24"/>
          <w:sz w:val="24"/>
          <w:highlight w:val="none"/>
        </w:rPr>
        <w:t>活动自身所发生的全部费用</w:t>
      </w:r>
      <w:r>
        <w:rPr>
          <w:rFonts w:hint="eastAsia" w:ascii="宋体" w:hAnsi="宋体" w:eastAsia="宋体" w:cs="宋体"/>
          <w:color w:val="auto"/>
          <w:kern w:val="24"/>
          <w:sz w:val="24"/>
          <w:highlight w:val="none"/>
          <w:lang w:eastAsia="zh-CN"/>
        </w:rPr>
        <w:t>，</w:t>
      </w:r>
      <w:r>
        <w:rPr>
          <w:rFonts w:hint="eastAsia" w:ascii="宋体" w:hAnsi="宋体" w:eastAsia="宋体" w:cs="宋体"/>
          <w:b/>
          <w:color w:val="auto"/>
          <w:kern w:val="24"/>
          <w:sz w:val="24"/>
          <w:highlight w:val="none"/>
          <w:lang w:val="en-US" w:eastAsia="zh-CN"/>
        </w:rPr>
        <w:t>成交</w:t>
      </w:r>
      <w:r>
        <w:rPr>
          <w:rFonts w:hint="eastAsia" w:ascii="宋体" w:hAnsi="宋体" w:eastAsia="宋体" w:cs="宋体"/>
          <w:b/>
          <w:color w:val="auto"/>
          <w:kern w:val="24"/>
          <w:sz w:val="24"/>
          <w:highlight w:val="none"/>
        </w:rPr>
        <w:t>单位还需承担本项目的</w:t>
      </w:r>
      <w:r>
        <w:rPr>
          <w:rFonts w:hint="eastAsia" w:ascii="宋体" w:hAnsi="宋体" w:eastAsia="宋体" w:cs="宋体"/>
          <w:b/>
          <w:color w:val="auto"/>
          <w:kern w:val="24"/>
          <w:sz w:val="24"/>
          <w:highlight w:val="none"/>
          <w:lang w:val="en-US" w:eastAsia="zh-CN"/>
        </w:rPr>
        <w:t>成交</w:t>
      </w:r>
      <w:r>
        <w:rPr>
          <w:rFonts w:hint="eastAsia" w:ascii="宋体" w:hAnsi="宋体" w:eastAsia="宋体" w:cs="宋体"/>
          <w:b/>
          <w:color w:val="auto"/>
          <w:kern w:val="24"/>
          <w:sz w:val="24"/>
          <w:highlight w:val="none"/>
        </w:rPr>
        <w:t>服务</w:t>
      </w:r>
      <w:r>
        <w:rPr>
          <w:rFonts w:hint="eastAsia" w:ascii="宋体" w:hAnsi="宋体" w:eastAsia="宋体" w:cs="宋体"/>
          <w:b/>
          <w:bCs/>
          <w:color w:val="auto"/>
          <w:szCs w:val="24"/>
          <w:highlight w:val="none"/>
        </w:rPr>
        <w:t>费</w:t>
      </w:r>
      <w:r>
        <w:rPr>
          <w:rFonts w:hint="eastAsia" w:ascii="宋体" w:hAnsi="宋体" w:eastAsia="宋体" w:cs="宋体"/>
          <w:b/>
          <w:bCs/>
          <w:color w:val="auto"/>
          <w:szCs w:val="24"/>
          <w:highlight w:val="none"/>
          <w:lang w:eastAsia="zh-CN"/>
        </w:rPr>
        <w:t>。</w:t>
      </w:r>
    </w:p>
    <w:p w14:paraId="5CFC483E">
      <w:pPr>
        <w:spacing w:line="360" w:lineRule="auto"/>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 xml:space="preserve">3.2 </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服务费：见“</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w:t>
      </w:r>
      <w:r>
        <w:rPr>
          <w:rFonts w:hint="eastAsia" w:ascii="宋体" w:hAnsi="宋体" w:eastAsia="宋体" w:cs="宋体"/>
          <w:color w:val="auto"/>
          <w:szCs w:val="24"/>
          <w:highlight w:val="none"/>
          <w:lang w:val="en-US" w:eastAsia="zh-CN"/>
        </w:rPr>
        <w:t>。</w:t>
      </w:r>
    </w:p>
    <w:p w14:paraId="35009383">
      <w:pPr>
        <w:spacing w:line="360" w:lineRule="auto"/>
        <w:ind w:firstLine="482" w:firstLineChars="200"/>
        <w:jc w:val="both"/>
        <w:outlineLvl w:val="2"/>
        <w:rPr>
          <w:rFonts w:hint="eastAsia" w:ascii="宋体" w:hAnsi="宋体" w:eastAsia="宋体" w:cs="宋体"/>
          <w:b/>
          <w:bCs/>
          <w:color w:val="auto"/>
          <w:szCs w:val="24"/>
          <w:highlight w:val="none"/>
        </w:rPr>
      </w:pPr>
      <w:bookmarkStart w:id="110" w:name="_Toc20604"/>
      <w:r>
        <w:rPr>
          <w:rFonts w:hint="eastAsia" w:ascii="宋体" w:hAnsi="宋体" w:eastAsia="宋体" w:cs="宋体"/>
          <w:b/>
          <w:bCs/>
          <w:color w:val="auto"/>
          <w:szCs w:val="24"/>
          <w:highlight w:val="none"/>
        </w:rPr>
        <w:t>4.保密</w:t>
      </w:r>
      <w:bookmarkEnd w:id="110"/>
    </w:p>
    <w:p w14:paraId="627A9D3E">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参与本次竞争性磋商活动的各方应对竞争性磋商文件和响应文件中的商业和技术等秘密保密，违者应对由此造成的后果承担法律责任。</w:t>
      </w:r>
    </w:p>
    <w:p w14:paraId="09784AD0">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11" w:name="_Toc22952"/>
      <w:r>
        <w:rPr>
          <w:rFonts w:hint="eastAsia" w:ascii="宋体" w:hAnsi="宋体" w:eastAsia="宋体" w:cs="宋体"/>
          <w:color w:val="auto"/>
          <w:sz w:val="24"/>
          <w:szCs w:val="24"/>
          <w:highlight w:val="none"/>
        </w:rPr>
        <w:t>5.语言文字</w:t>
      </w:r>
      <w:bookmarkEnd w:id="111"/>
    </w:p>
    <w:p w14:paraId="288F5EDD">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除专用术语外，与竞争性磋商有关的语言均使用中文。必要时专用术语应附有中文注释。</w:t>
      </w:r>
    </w:p>
    <w:p w14:paraId="26440AEC">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12" w:name="_Toc8956"/>
      <w:r>
        <w:rPr>
          <w:rFonts w:hint="eastAsia" w:ascii="宋体" w:hAnsi="宋体" w:eastAsia="宋体" w:cs="宋体"/>
          <w:color w:val="auto"/>
          <w:sz w:val="24"/>
          <w:szCs w:val="24"/>
          <w:highlight w:val="none"/>
        </w:rPr>
        <w:t>6.计量单位</w:t>
      </w:r>
      <w:bookmarkEnd w:id="112"/>
    </w:p>
    <w:p w14:paraId="792AB9A6">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所有计量均采用中华人民共和国法定计量单位。</w:t>
      </w:r>
    </w:p>
    <w:p w14:paraId="5B41CC9B">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13" w:name="_Toc14763"/>
      <w:r>
        <w:rPr>
          <w:rFonts w:hint="eastAsia" w:ascii="宋体" w:hAnsi="宋体" w:eastAsia="宋体" w:cs="宋体"/>
          <w:color w:val="auto"/>
          <w:sz w:val="24"/>
          <w:szCs w:val="24"/>
          <w:highlight w:val="none"/>
        </w:rPr>
        <w:t>7.偏离</w:t>
      </w:r>
      <w:bookmarkEnd w:id="113"/>
    </w:p>
    <w:p w14:paraId="0130F944">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须知前附表允许响应文件偏离竞争性磋商文件某些要求的，偏离应当符合竞争性磋商文件规定的偏离范围和幅度。</w:t>
      </w:r>
    </w:p>
    <w:p w14:paraId="3BA9C389">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lang w:eastAsia="zh-CN"/>
        </w:rPr>
      </w:pPr>
      <w:bookmarkStart w:id="114" w:name="_Toc403576422"/>
      <w:bookmarkStart w:id="115" w:name="_Toc31242"/>
      <w:bookmarkStart w:id="116" w:name="_Toc500594531"/>
      <w:bookmarkStart w:id="117" w:name="_Toc490492618"/>
      <w:bookmarkStart w:id="118" w:name="_Toc9997"/>
      <w:bookmarkStart w:id="119" w:name="_Toc502328413"/>
      <w:bookmarkStart w:id="120" w:name="_Toc369790406"/>
      <w:r>
        <w:rPr>
          <w:rFonts w:hint="eastAsia" w:ascii="宋体" w:hAnsi="宋体" w:eastAsia="宋体" w:cs="宋体"/>
          <w:color w:val="auto"/>
          <w:sz w:val="24"/>
          <w:szCs w:val="24"/>
          <w:highlight w:val="none"/>
        </w:rPr>
        <w:t>8.</w:t>
      </w:r>
      <w:bookmarkEnd w:id="114"/>
      <w:r>
        <w:rPr>
          <w:rFonts w:hint="eastAsia" w:ascii="宋体" w:hAnsi="宋体" w:eastAsia="宋体" w:cs="宋体"/>
          <w:color w:val="auto"/>
          <w:sz w:val="24"/>
          <w:szCs w:val="24"/>
          <w:highlight w:val="none"/>
        </w:rPr>
        <w:t>关于</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澄清</w:t>
      </w:r>
      <w:bookmarkEnd w:id="115"/>
    </w:p>
    <w:p w14:paraId="6AA88A72">
      <w:pPr>
        <w:keepNext w:val="0"/>
        <w:keepLines w:val="0"/>
        <w:pageBreakBefore w:val="0"/>
        <w:kinsoku/>
        <w:wordWrap/>
        <w:overflowPunct/>
        <w:topLinePunct w:val="0"/>
        <w:autoSpaceDE w:val="0"/>
        <w:autoSpaceDN w:val="0"/>
        <w:bidi w:val="0"/>
        <w:adjustRightInd w:val="0"/>
        <w:snapToGrid/>
        <w:spacing w:after="0"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磋商截止时间：详见“</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须知前附表”。</w:t>
      </w:r>
    </w:p>
    <w:p w14:paraId="360D5EDA">
      <w:pPr>
        <w:keepNext w:val="0"/>
        <w:keepLines w:val="0"/>
        <w:pageBreakBefore w:val="0"/>
        <w:kinsoku/>
        <w:wordWrap/>
        <w:overflowPunct/>
        <w:topLinePunct w:val="0"/>
        <w:autoSpaceDE w:val="0"/>
        <w:autoSpaceDN w:val="0"/>
        <w:bidi w:val="0"/>
        <w:adjustRightInd w:val="0"/>
        <w:snapToGrid/>
        <w:spacing w:after="0"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8.2</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应仔细阅读和检查</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文件的全部内容。如发现缺页或附件不全，应及时向采购人</w:t>
      </w:r>
      <w:r>
        <w:rPr>
          <w:rFonts w:hint="eastAsia" w:ascii="宋体" w:hAnsi="宋体" w:eastAsia="宋体" w:cs="宋体"/>
          <w:color w:val="auto"/>
          <w:sz w:val="24"/>
          <w:szCs w:val="24"/>
          <w:highlight w:val="none"/>
          <w:lang w:eastAsia="zh-CN"/>
        </w:rPr>
        <w:t>或采购代理机构</w:t>
      </w:r>
      <w:r>
        <w:rPr>
          <w:rFonts w:hint="eastAsia" w:ascii="宋体" w:hAnsi="宋体" w:eastAsia="宋体" w:cs="宋体"/>
          <w:color w:val="auto"/>
          <w:sz w:val="24"/>
          <w:szCs w:val="24"/>
          <w:highlight w:val="none"/>
        </w:rPr>
        <w:t>提出，以便补齐。如有疑问，应在“</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须知前附表”规定的时间前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使用CA数字证书登录“政府采购云平台”（网址：https://www.zcygov.cn/)，在“</w:t>
      </w:r>
      <w:r>
        <w:rPr>
          <w:rFonts w:hint="eastAsia" w:ascii="宋体" w:hAnsi="宋体" w:eastAsia="宋体" w:cs="宋体"/>
          <w:color w:val="auto"/>
          <w:sz w:val="24"/>
          <w:szCs w:val="24"/>
          <w:highlight w:val="none"/>
          <w:lang w:val="en-US" w:eastAsia="zh-CN"/>
        </w:rPr>
        <w:t>询问</w:t>
      </w:r>
      <w:r>
        <w:rPr>
          <w:rFonts w:hint="eastAsia" w:ascii="宋体" w:hAnsi="宋体" w:eastAsia="宋体" w:cs="宋体"/>
          <w:color w:val="auto"/>
          <w:sz w:val="24"/>
          <w:szCs w:val="24"/>
          <w:highlight w:val="none"/>
        </w:rPr>
        <w:t>”菜单提出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要求采购人</w:t>
      </w:r>
      <w:r>
        <w:rPr>
          <w:rFonts w:hint="eastAsia" w:ascii="宋体" w:hAnsi="宋体" w:eastAsia="宋体" w:cs="宋体"/>
          <w:color w:val="auto"/>
          <w:sz w:val="24"/>
          <w:szCs w:val="24"/>
          <w:highlight w:val="none"/>
          <w:lang w:eastAsia="zh-CN"/>
        </w:rPr>
        <w:t>或采购代理机构</w:t>
      </w:r>
      <w:r>
        <w:rPr>
          <w:rFonts w:hint="eastAsia" w:ascii="宋体" w:hAnsi="宋体" w:eastAsia="宋体" w:cs="宋体"/>
          <w:color w:val="auto"/>
          <w:sz w:val="24"/>
          <w:szCs w:val="24"/>
          <w:highlight w:val="none"/>
        </w:rPr>
        <w:t>对采购文件予以澄清。</w:t>
      </w:r>
    </w:p>
    <w:p w14:paraId="3EFBD8AD">
      <w:pPr>
        <w:keepNext w:val="0"/>
        <w:keepLines w:val="0"/>
        <w:pageBreakBefore w:val="0"/>
        <w:widowControl/>
        <w:shd w:val="clear" w:color="auto" w:fill="FFFFFF"/>
        <w:kinsoku/>
        <w:wordWrap/>
        <w:overflowPunct/>
        <w:topLinePunct w:val="0"/>
        <w:autoSpaceDE w:val="0"/>
        <w:autoSpaceDN w:val="0"/>
        <w:bidi w:val="0"/>
        <w:adjustRightInd w:val="0"/>
        <w:snapToGrid/>
        <w:spacing w:line="360" w:lineRule="auto"/>
        <w:ind w:firstLine="480" w:firstLineChars="200"/>
        <w:jc w:val="both"/>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自行登录指定的公告发布媒介获取澄清，无须回复确认已收到该澄清。</w:t>
      </w:r>
    </w:p>
    <w:p w14:paraId="30FC8366">
      <w:pPr>
        <w:widowControl/>
        <w:shd w:val="clear" w:color="auto" w:fill="FFFFFF"/>
        <w:spacing w:line="360" w:lineRule="auto"/>
        <w:ind w:firstLine="643" w:firstLineChars="200"/>
        <w:jc w:val="center"/>
        <w:outlineLvl w:val="1"/>
        <w:rPr>
          <w:rFonts w:hint="eastAsia" w:ascii="宋体" w:hAnsi="宋体" w:eastAsia="宋体" w:cs="宋体"/>
          <w:b/>
          <w:bCs/>
          <w:color w:val="auto"/>
          <w:sz w:val="32"/>
          <w:szCs w:val="32"/>
          <w:highlight w:val="none"/>
        </w:rPr>
      </w:pPr>
      <w:bookmarkStart w:id="121" w:name="_Toc22106"/>
      <w:r>
        <w:rPr>
          <w:rFonts w:hint="eastAsia" w:ascii="宋体" w:hAnsi="宋体" w:eastAsia="宋体" w:cs="宋体"/>
          <w:b/>
          <w:bCs/>
          <w:color w:val="auto"/>
          <w:sz w:val="32"/>
          <w:szCs w:val="32"/>
          <w:highlight w:val="none"/>
        </w:rPr>
        <w:t>二、竞争性磋商文件</w:t>
      </w:r>
      <w:bookmarkEnd w:id="116"/>
      <w:bookmarkEnd w:id="117"/>
      <w:bookmarkEnd w:id="118"/>
      <w:bookmarkEnd w:id="119"/>
      <w:bookmarkEnd w:id="120"/>
      <w:bookmarkEnd w:id="121"/>
    </w:p>
    <w:p w14:paraId="51D3BEEF">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22" w:name="_Toc10509"/>
      <w:r>
        <w:rPr>
          <w:rFonts w:hint="eastAsia" w:ascii="宋体" w:hAnsi="宋体" w:eastAsia="宋体" w:cs="宋体"/>
          <w:color w:val="auto"/>
          <w:sz w:val="24"/>
          <w:szCs w:val="24"/>
          <w:highlight w:val="none"/>
        </w:rPr>
        <w:t>9.竞争性磋商文件的组成</w:t>
      </w:r>
      <w:bookmarkEnd w:id="122"/>
    </w:p>
    <w:p w14:paraId="640EDD5B">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本竞争性磋商文件包括：</w:t>
      </w:r>
    </w:p>
    <w:p w14:paraId="76BC9C1A">
      <w:pPr>
        <w:spacing w:line="360" w:lineRule="auto"/>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xml:space="preserve">第一章 </w:t>
      </w:r>
      <w:r>
        <w:rPr>
          <w:rFonts w:hint="eastAsia" w:ascii="宋体" w:hAnsi="宋体" w:eastAsia="宋体" w:cs="宋体"/>
          <w:color w:val="auto"/>
          <w:szCs w:val="24"/>
          <w:highlight w:val="none"/>
          <w:lang w:eastAsia="zh-CN"/>
        </w:rPr>
        <w:t>竞争性磋商公告</w:t>
      </w:r>
    </w:p>
    <w:p w14:paraId="7D69EE3C">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第二章 </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w:t>
      </w:r>
    </w:p>
    <w:p w14:paraId="5FD52E34">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评审方法</w:t>
      </w:r>
    </w:p>
    <w:p w14:paraId="764A7831">
      <w:pPr>
        <w:spacing w:line="360" w:lineRule="auto"/>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xml:space="preserve">第四章 </w:t>
      </w:r>
      <w:r>
        <w:rPr>
          <w:rFonts w:hint="eastAsia" w:ascii="宋体" w:hAnsi="宋体" w:eastAsia="宋体" w:cs="宋体"/>
          <w:color w:val="auto"/>
          <w:szCs w:val="24"/>
          <w:highlight w:val="none"/>
          <w:lang w:eastAsia="zh-CN"/>
        </w:rPr>
        <w:t>合同主要条款及格式</w:t>
      </w:r>
    </w:p>
    <w:p w14:paraId="68CBE7A9">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响应文件格式</w:t>
      </w:r>
    </w:p>
    <w:p w14:paraId="58D8EE86">
      <w:pPr>
        <w:spacing w:line="360" w:lineRule="auto"/>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 xml:space="preserve">第六章 </w:t>
      </w:r>
      <w:r>
        <w:rPr>
          <w:rFonts w:hint="eastAsia" w:ascii="宋体" w:hAnsi="宋体" w:eastAsia="宋体" w:cs="宋体"/>
          <w:color w:val="auto"/>
          <w:szCs w:val="24"/>
          <w:highlight w:val="none"/>
          <w:lang w:val="en-US" w:eastAsia="zh-CN"/>
        </w:rPr>
        <w:t>采购需求</w:t>
      </w:r>
    </w:p>
    <w:p w14:paraId="58F3F341">
      <w:pPr>
        <w:spacing w:line="360" w:lineRule="auto"/>
        <w:ind w:firstLine="480" w:firstLineChars="200"/>
        <w:jc w:val="both"/>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第七章 技术标准和要求</w:t>
      </w:r>
    </w:p>
    <w:p w14:paraId="52205082">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根据本章第</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项、第</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项对竞争性磋商文件所作的澄清、修改，构成竞争性磋商文件的组成部分。</w:t>
      </w:r>
    </w:p>
    <w:p w14:paraId="70ADE62E">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23" w:name="_Toc31295"/>
      <w:r>
        <w:rPr>
          <w:rFonts w:hint="eastAsia" w:ascii="宋体" w:hAnsi="宋体" w:eastAsia="宋体" w:cs="宋体"/>
          <w:color w:val="auto"/>
          <w:sz w:val="24"/>
          <w:szCs w:val="24"/>
          <w:highlight w:val="none"/>
        </w:rPr>
        <w:t>10.竞争性磋商文件的修改</w:t>
      </w:r>
      <w:bookmarkEnd w:id="123"/>
    </w:p>
    <w:p w14:paraId="74EE16BB">
      <w:pPr>
        <w:spacing w:line="360" w:lineRule="auto"/>
        <w:ind w:firstLine="480" w:firstLineChars="200"/>
        <w:jc w:val="both"/>
        <w:rPr>
          <w:rFonts w:hint="eastAsia" w:ascii="宋体" w:hAnsi="宋体" w:eastAsia="宋体" w:cs="宋体"/>
          <w:color w:val="auto"/>
          <w:szCs w:val="24"/>
          <w:highlight w:val="none"/>
        </w:rPr>
      </w:pPr>
      <w:bookmarkStart w:id="124" w:name="_Toc229583203"/>
      <w:bookmarkStart w:id="125" w:name="_Toc369790407"/>
      <w:bookmarkStart w:id="126" w:name="_Toc490492619"/>
      <w:bookmarkStart w:id="127" w:name="_Toc239508968"/>
      <w:r>
        <w:rPr>
          <w:rFonts w:hint="eastAsia" w:ascii="宋体" w:hAnsi="宋体" w:eastAsia="宋体" w:cs="宋体"/>
          <w:color w:val="auto"/>
          <w:szCs w:val="24"/>
          <w:highlight w:val="none"/>
        </w:rPr>
        <w:t>10.1 提交响应文件截止之日前，</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代理机构可以对已发出的竞争性磋商文件进行必要的修改，修改的内容作为竞争性磋商文件的组成部分。</w:t>
      </w:r>
    </w:p>
    <w:p w14:paraId="59090703">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 修改的内容可能影响响应文件编制的，</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代理机构将在提交响应文件截止之日5日前，在指定的</w:t>
      </w:r>
      <w:r>
        <w:rPr>
          <w:rFonts w:hint="eastAsia" w:ascii="宋体" w:hAnsi="宋体" w:eastAsia="宋体" w:cs="宋体"/>
          <w:color w:val="auto"/>
          <w:szCs w:val="24"/>
          <w:highlight w:val="none"/>
          <w:lang w:eastAsia="zh-CN"/>
        </w:rPr>
        <w:t>公告</w:t>
      </w:r>
      <w:r>
        <w:rPr>
          <w:rFonts w:hint="eastAsia" w:ascii="宋体" w:hAnsi="宋体" w:eastAsia="宋体" w:cs="宋体"/>
          <w:color w:val="auto"/>
          <w:szCs w:val="24"/>
          <w:highlight w:val="none"/>
        </w:rPr>
        <w:t>发布媒</w:t>
      </w:r>
      <w:r>
        <w:rPr>
          <w:rFonts w:hint="eastAsia" w:ascii="宋体" w:hAnsi="宋体" w:eastAsia="宋体" w:cs="宋体"/>
          <w:color w:val="auto"/>
          <w:szCs w:val="24"/>
          <w:highlight w:val="none"/>
          <w:lang w:eastAsia="zh-CN"/>
        </w:rPr>
        <w:t>介</w:t>
      </w:r>
      <w:r>
        <w:rPr>
          <w:rFonts w:hint="eastAsia" w:ascii="宋体" w:hAnsi="宋体" w:eastAsia="宋体" w:cs="宋体"/>
          <w:color w:val="auto"/>
          <w:szCs w:val="24"/>
          <w:highlight w:val="none"/>
        </w:rPr>
        <w:t>上发布更正公告</w:t>
      </w:r>
      <w:r>
        <w:rPr>
          <w:rFonts w:hint="eastAsia" w:ascii="宋体" w:hAnsi="宋体" w:eastAsia="宋体" w:cs="宋体"/>
          <w:color w:val="auto"/>
          <w:szCs w:val="24"/>
          <w:highlight w:val="none"/>
          <w:lang w:eastAsia="zh-CN"/>
        </w:rPr>
        <w:t>，</w:t>
      </w:r>
      <w:r>
        <w:rPr>
          <w:rFonts w:hint="eastAsia" w:ascii="宋体" w:hAnsi="宋体" w:eastAsia="宋体" w:cs="宋体"/>
          <w:color w:val="auto"/>
          <w:sz w:val="24"/>
          <w:szCs w:val="24"/>
          <w:highlight w:val="none"/>
        </w:rPr>
        <w:t>不足5日的，采购人、采购代理机构应当顺延提交首次响应文件截止时间</w:t>
      </w:r>
      <w:r>
        <w:rPr>
          <w:rFonts w:hint="eastAsia" w:ascii="宋体" w:hAnsi="宋体" w:eastAsia="宋体" w:cs="宋体"/>
          <w:color w:val="auto"/>
          <w:szCs w:val="24"/>
          <w:highlight w:val="none"/>
        </w:rPr>
        <w:t>。</w:t>
      </w:r>
    </w:p>
    <w:p w14:paraId="3395E475">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10.3 </w:t>
      </w:r>
      <w:r>
        <w:rPr>
          <w:rFonts w:hint="eastAsia" w:ascii="宋体" w:hAnsi="宋体" w:eastAsia="宋体" w:cs="宋体"/>
          <w:color w:val="auto"/>
          <w:sz w:val="24"/>
          <w:szCs w:val="24"/>
          <w:highlight w:val="none"/>
        </w:rPr>
        <w:t>采购代理机构发出的所有补充、修改和变更文件均作为磋商文件的组成部分，与磋商文件具有同等法律效力。当</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文件澄清、</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文件修改内容前后相互矛盾时，以最后发出的为准</w:t>
      </w:r>
      <w:r>
        <w:rPr>
          <w:rFonts w:hint="eastAsia" w:ascii="宋体" w:hAnsi="宋体" w:eastAsia="宋体" w:cs="宋体"/>
          <w:color w:val="auto"/>
          <w:szCs w:val="24"/>
          <w:highlight w:val="none"/>
        </w:rPr>
        <w:t>。</w:t>
      </w:r>
    </w:p>
    <w:p w14:paraId="4F1F293B">
      <w:pPr>
        <w:widowControl/>
        <w:shd w:val="clear" w:color="auto" w:fill="FFFFFF"/>
        <w:spacing w:line="360" w:lineRule="auto"/>
        <w:ind w:firstLine="643" w:firstLineChars="200"/>
        <w:jc w:val="center"/>
        <w:outlineLvl w:val="1"/>
        <w:rPr>
          <w:rFonts w:hint="eastAsia" w:ascii="宋体" w:hAnsi="宋体" w:eastAsia="宋体" w:cs="宋体"/>
          <w:b/>
          <w:bCs/>
          <w:color w:val="auto"/>
          <w:sz w:val="32"/>
          <w:szCs w:val="32"/>
          <w:highlight w:val="none"/>
        </w:rPr>
      </w:pPr>
      <w:bookmarkStart w:id="128" w:name="_Toc502328414"/>
      <w:bookmarkStart w:id="129" w:name="_Toc27196"/>
      <w:bookmarkStart w:id="130" w:name="_Toc19444"/>
      <w:bookmarkStart w:id="131" w:name="_Toc500594532"/>
      <w:r>
        <w:rPr>
          <w:rFonts w:hint="eastAsia" w:ascii="宋体" w:hAnsi="宋体" w:eastAsia="宋体" w:cs="宋体"/>
          <w:b/>
          <w:bCs/>
          <w:color w:val="auto"/>
          <w:sz w:val="32"/>
          <w:szCs w:val="32"/>
          <w:highlight w:val="none"/>
        </w:rPr>
        <w:t>三、响应文件的编制</w:t>
      </w:r>
      <w:bookmarkEnd w:id="124"/>
      <w:bookmarkEnd w:id="125"/>
      <w:bookmarkEnd w:id="126"/>
      <w:bookmarkEnd w:id="127"/>
      <w:bookmarkEnd w:id="128"/>
      <w:bookmarkEnd w:id="129"/>
      <w:bookmarkEnd w:id="130"/>
      <w:bookmarkEnd w:id="131"/>
    </w:p>
    <w:p w14:paraId="0F977166">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32" w:name="_Toc28984"/>
      <w:r>
        <w:rPr>
          <w:rFonts w:hint="eastAsia" w:ascii="宋体" w:hAnsi="宋体" w:eastAsia="宋体" w:cs="宋体"/>
          <w:color w:val="auto"/>
          <w:sz w:val="24"/>
          <w:szCs w:val="24"/>
          <w:highlight w:val="none"/>
        </w:rPr>
        <w:t>11.响应文件的组成</w:t>
      </w:r>
      <w:bookmarkEnd w:id="132"/>
    </w:p>
    <w:p w14:paraId="1930AD2C">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11.1 </w:t>
      </w:r>
      <w:r>
        <w:rPr>
          <w:rFonts w:hint="eastAsia" w:ascii="宋体" w:hAnsi="宋体" w:eastAsia="宋体" w:cs="宋体"/>
          <w:color w:val="auto"/>
          <w:szCs w:val="24"/>
          <w:highlight w:val="none"/>
          <w:lang w:eastAsia="zh-CN"/>
        </w:rPr>
        <w:t>磋商</w:t>
      </w:r>
      <w:r>
        <w:rPr>
          <w:rFonts w:hint="eastAsia" w:ascii="宋体" w:hAnsi="宋体" w:eastAsia="宋体" w:cs="宋体"/>
          <w:color w:val="auto"/>
          <w:szCs w:val="24"/>
          <w:highlight w:val="none"/>
        </w:rPr>
        <w:t>响应文件的组成详见第五章“响应文件格式”。</w:t>
      </w:r>
    </w:p>
    <w:p w14:paraId="63F8CCAB">
      <w:pPr>
        <w:spacing w:line="360" w:lineRule="auto"/>
        <w:ind w:firstLine="482" w:firstLineChars="200"/>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11.2 主要包括下内容：</w:t>
      </w:r>
    </w:p>
    <w:p w14:paraId="3748F5E7">
      <w:pPr>
        <w:snapToGrid w:val="0"/>
        <w:spacing w:line="360" w:lineRule="auto"/>
        <w:ind w:firstLine="482"/>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一、竞争性磋商函</w:t>
      </w:r>
    </w:p>
    <w:p w14:paraId="7FE72A27">
      <w:pPr>
        <w:snapToGrid w:val="0"/>
        <w:spacing w:line="360" w:lineRule="auto"/>
        <w:ind w:firstLine="482"/>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二、磋商报价表</w:t>
      </w:r>
    </w:p>
    <w:p w14:paraId="3C533F5D">
      <w:pPr>
        <w:snapToGrid w:val="0"/>
        <w:spacing w:line="360" w:lineRule="auto"/>
        <w:ind w:firstLine="482"/>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三、法定代表人身份证明书</w:t>
      </w:r>
    </w:p>
    <w:p w14:paraId="39F5D1BF">
      <w:pPr>
        <w:snapToGrid w:val="0"/>
        <w:spacing w:line="360" w:lineRule="auto"/>
        <w:ind w:firstLine="482"/>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四、法定代表人授权委托书</w:t>
      </w:r>
    </w:p>
    <w:p w14:paraId="3B6F5C08">
      <w:pPr>
        <w:snapToGrid w:val="0"/>
        <w:spacing w:line="360" w:lineRule="auto"/>
        <w:ind w:firstLine="482"/>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五、磋商保证书</w:t>
      </w:r>
    </w:p>
    <w:p w14:paraId="683C65A7">
      <w:pPr>
        <w:snapToGrid w:val="0"/>
        <w:spacing w:line="360" w:lineRule="auto"/>
        <w:ind w:firstLine="482"/>
        <w:jc w:val="both"/>
        <w:rPr>
          <w:rFonts w:hint="default" w:ascii="宋体" w:hAnsi="宋体" w:eastAsia="宋体" w:cs="宋体"/>
          <w:b/>
          <w:color w:val="auto"/>
          <w:szCs w:val="24"/>
          <w:highlight w:val="none"/>
          <w:lang w:val="en-US" w:eastAsia="zh-CN"/>
        </w:rPr>
      </w:pPr>
      <w:r>
        <w:rPr>
          <w:rFonts w:hint="eastAsia" w:ascii="宋体" w:hAnsi="宋体" w:eastAsia="宋体" w:cs="宋体"/>
          <w:b/>
          <w:color w:val="auto"/>
          <w:szCs w:val="24"/>
          <w:highlight w:val="none"/>
        </w:rPr>
        <w:t>六、资格审查资料</w:t>
      </w:r>
      <w:r>
        <w:rPr>
          <w:rFonts w:hint="eastAsia" w:ascii="宋体" w:hAnsi="宋体" w:eastAsia="宋体" w:cs="宋体"/>
          <w:b/>
          <w:color w:val="auto"/>
          <w:szCs w:val="24"/>
          <w:highlight w:val="none"/>
          <w:lang w:val="en-US" w:eastAsia="zh-CN"/>
        </w:rPr>
        <w:t xml:space="preserve"> </w:t>
      </w:r>
    </w:p>
    <w:p w14:paraId="3669817F">
      <w:pPr>
        <w:snapToGrid w:val="0"/>
        <w:spacing w:line="360" w:lineRule="auto"/>
        <w:ind w:firstLine="482"/>
        <w:jc w:val="both"/>
        <w:rPr>
          <w:rFonts w:hint="default" w:ascii="宋体" w:hAnsi="宋体" w:eastAsia="宋体" w:cs="宋体"/>
          <w:b/>
          <w:color w:val="auto"/>
          <w:szCs w:val="24"/>
          <w:highlight w:val="none"/>
          <w:lang w:val="en-US" w:eastAsia="zh-CN"/>
        </w:rPr>
      </w:pPr>
      <w:r>
        <w:rPr>
          <w:rFonts w:hint="eastAsia" w:ascii="宋体" w:hAnsi="宋体" w:eastAsia="宋体" w:cs="宋体"/>
          <w:b/>
          <w:color w:val="auto"/>
          <w:szCs w:val="24"/>
          <w:highlight w:val="none"/>
        </w:rPr>
        <w:t>七、</w:t>
      </w:r>
      <w:r>
        <w:rPr>
          <w:rFonts w:hint="eastAsia" w:ascii="宋体" w:hAnsi="宋体" w:eastAsia="宋体" w:cs="宋体"/>
          <w:b/>
          <w:color w:val="auto"/>
          <w:szCs w:val="24"/>
          <w:highlight w:val="none"/>
          <w:lang w:val="en-US" w:eastAsia="zh-CN"/>
        </w:rPr>
        <w:t>技术方案</w:t>
      </w:r>
    </w:p>
    <w:p w14:paraId="7F50FB21">
      <w:pPr>
        <w:snapToGrid w:val="0"/>
        <w:spacing w:line="360" w:lineRule="auto"/>
        <w:ind w:firstLine="482"/>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八、近年完成的类似项目情况表</w:t>
      </w:r>
    </w:p>
    <w:p w14:paraId="666E136C">
      <w:pPr>
        <w:snapToGrid w:val="0"/>
        <w:spacing w:line="360" w:lineRule="auto"/>
        <w:ind w:firstLine="482"/>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九、</w:t>
      </w:r>
      <w:r>
        <w:rPr>
          <w:rFonts w:hint="eastAsia" w:ascii="宋体" w:hAnsi="宋体" w:eastAsia="宋体" w:cs="宋体"/>
          <w:b/>
          <w:color w:val="auto"/>
          <w:szCs w:val="24"/>
          <w:highlight w:val="none"/>
          <w:lang w:val="en-US" w:eastAsia="zh-CN"/>
        </w:rPr>
        <w:t>工程量</w:t>
      </w:r>
      <w:r>
        <w:rPr>
          <w:rFonts w:hint="eastAsia" w:ascii="宋体" w:hAnsi="宋体" w:eastAsia="宋体" w:cs="宋体"/>
          <w:b/>
          <w:color w:val="auto"/>
          <w:szCs w:val="24"/>
          <w:highlight w:val="none"/>
        </w:rPr>
        <w:t>清单</w:t>
      </w:r>
    </w:p>
    <w:p w14:paraId="52370F65">
      <w:pPr>
        <w:snapToGrid w:val="0"/>
        <w:spacing w:line="360" w:lineRule="auto"/>
        <w:ind w:firstLine="482"/>
        <w:jc w:val="both"/>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val="en-US" w:eastAsia="zh-CN"/>
        </w:rPr>
        <w:t>十、</w:t>
      </w:r>
      <w:r>
        <w:rPr>
          <w:rFonts w:hint="eastAsia" w:ascii="宋体" w:hAnsi="宋体" w:eastAsia="宋体" w:cs="宋体"/>
          <w:b/>
          <w:color w:val="auto"/>
          <w:szCs w:val="24"/>
          <w:highlight w:val="none"/>
        </w:rPr>
        <w:t>竞争性磋商文件要求提供的其他资料</w:t>
      </w:r>
    </w:p>
    <w:p w14:paraId="0A0B979A">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33" w:name="_Toc4702"/>
      <w:r>
        <w:rPr>
          <w:rFonts w:hint="eastAsia" w:ascii="宋体" w:hAnsi="宋体" w:eastAsia="宋体" w:cs="宋体"/>
          <w:color w:val="auto"/>
          <w:sz w:val="24"/>
          <w:szCs w:val="24"/>
          <w:highlight w:val="none"/>
        </w:rPr>
        <w:t>12.磋商报价</w:t>
      </w:r>
      <w:bookmarkEnd w:id="133"/>
    </w:p>
    <w:p w14:paraId="5A7EA211">
      <w:pPr>
        <w:pStyle w:val="30"/>
        <w:snapToGrid w:val="0"/>
        <w:spacing w:line="360" w:lineRule="auto"/>
        <w:ind w:firstLine="482"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highlight w:val="none"/>
          <w:lang w:val="en-US" w:eastAsia="zh-CN"/>
        </w:rPr>
        <w:t>12.</w:t>
      </w: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磋商</w:t>
      </w:r>
      <w:r>
        <w:rPr>
          <w:rFonts w:hint="eastAsia" w:ascii="宋体" w:hAnsi="宋体" w:eastAsia="宋体" w:cs="宋体"/>
          <w:b/>
          <w:bCs/>
          <w:color w:val="auto"/>
          <w:sz w:val="24"/>
          <w:highlight w:val="none"/>
        </w:rPr>
        <w:t>报价</w:t>
      </w:r>
      <w:r>
        <w:rPr>
          <w:rFonts w:hint="eastAsia" w:ascii="宋体" w:hAnsi="宋体" w:eastAsia="宋体" w:cs="宋体"/>
          <w:color w:val="auto"/>
          <w:sz w:val="24"/>
          <w:szCs w:val="24"/>
          <w:highlight w:val="none"/>
          <w:lang w:val="en-US" w:eastAsia="zh-CN"/>
        </w:rPr>
        <w:t>应包括完成本项目采购范围工作并提供相关文件及服务的全部费用，因完成本项目必须缴纳的所有规费、税费均由成交单位承担，并包含在所报的磋商报价内，采购人不单本项目允许二次报价，二次报价将由通过资格审查及符合性评审的磋商申请人逐一进行磋商并填报，二次报价只能等于或者低于一次报价，若二次报价高于一次报价的则视为无效，其磋商申请将被否决。</w:t>
      </w:r>
    </w:p>
    <w:p w14:paraId="2744A3F5">
      <w:pPr>
        <w:snapToGrid w:val="0"/>
        <w:spacing w:line="424"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申请人应根据市场行情及其自身的能力对该项目进行报价，经</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后报出最终的报价。</w:t>
      </w:r>
    </w:p>
    <w:p w14:paraId="21254C87">
      <w:pPr>
        <w:spacing w:line="360" w:lineRule="auto"/>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12.3最终磋商价报价为固定不变价，不因工作量和工资单价等任何因素的变动而改变。</w:t>
      </w:r>
    </w:p>
    <w:p w14:paraId="342915DC">
      <w:pPr>
        <w:spacing w:line="360" w:lineRule="auto"/>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12.4 报价大小写金额不一致的，以大写金额为准；总价金额与单价汇总金额不一致的，以单价金额计算结果为准；单价金额小数点有明显错位的，以总价为准，并修改单价；对不同文字文本响应文件的解释发生异议的，以中文文本为准。</w:t>
      </w:r>
    </w:p>
    <w:p w14:paraId="0E70259C">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提交的响应文件以及</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与采购代理机构就有关问题的所有往来函电均应使用中文。</w:t>
      </w:r>
    </w:p>
    <w:p w14:paraId="4DDA6C30">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12.</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 xml:space="preserve"> 用非中文版印刷的产品说明书、技术资料等，</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应提供符合中国有关法律、法规的中文译本，并以中文译本为准。</w:t>
      </w:r>
    </w:p>
    <w:p w14:paraId="145DB2E8">
      <w:pPr>
        <w:spacing w:line="360" w:lineRule="auto"/>
        <w:ind w:firstLine="482" w:firstLineChars="200"/>
        <w:jc w:val="both"/>
        <w:outlineLvl w:val="3"/>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w:t>
      </w:r>
      <w:r>
        <w:rPr>
          <w:rFonts w:hint="eastAsia" w:ascii="宋体" w:hAnsi="宋体" w:eastAsia="宋体" w:cs="宋体"/>
          <w:b/>
          <w:color w:val="auto"/>
          <w:szCs w:val="24"/>
          <w:highlight w:val="none"/>
          <w:lang w:val="en-US" w:eastAsia="zh-CN"/>
        </w:rPr>
        <w:t>7</w:t>
      </w:r>
      <w:r>
        <w:rPr>
          <w:rFonts w:hint="eastAsia" w:ascii="宋体" w:hAnsi="宋体" w:eastAsia="宋体" w:cs="宋体"/>
          <w:b/>
          <w:color w:val="auto"/>
          <w:szCs w:val="24"/>
          <w:highlight w:val="none"/>
        </w:rPr>
        <w:t xml:space="preserve"> 本项目允许二次报价，以二次报价为最终报价。</w:t>
      </w:r>
    </w:p>
    <w:p w14:paraId="70CFCB33">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34" w:name="_Toc7116"/>
      <w:r>
        <w:rPr>
          <w:rFonts w:hint="eastAsia" w:ascii="宋体" w:hAnsi="宋体" w:eastAsia="宋体" w:cs="宋体"/>
          <w:color w:val="auto"/>
          <w:sz w:val="24"/>
          <w:szCs w:val="24"/>
          <w:highlight w:val="none"/>
        </w:rPr>
        <w:t>13.磋商有效期</w:t>
      </w:r>
      <w:bookmarkEnd w:id="134"/>
    </w:p>
    <w:p w14:paraId="74236140">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 在</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须知前附表规定的磋商有效期内，</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不得要求撤销或修改其响应文件。</w:t>
      </w:r>
    </w:p>
    <w:p w14:paraId="71491EE4">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出现特殊情况需要延长磋商有效期的，</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lang w:eastAsia="zh-CN"/>
        </w:rPr>
        <w:t>代理机构应</w:t>
      </w:r>
      <w:r>
        <w:rPr>
          <w:rFonts w:hint="eastAsia" w:ascii="宋体" w:hAnsi="宋体" w:eastAsia="宋体" w:cs="宋体"/>
          <w:color w:val="auto"/>
          <w:szCs w:val="24"/>
          <w:highlight w:val="none"/>
        </w:rPr>
        <w:t>通知所有</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延长磋商有效期。</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同意延长的，应相应延长其磋商保证金的有效期，但不得要求或被允许修改或撤销其响应文件；</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拒绝延长的，其磋商申请失效，但</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有权收回其磋商保证金。</w:t>
      </w:r>
    </w:p>
    <w:p w14:paraId="3F96B2C0">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35" w:name="_Toc19277"/>
      <w:r>
        <w:rPr>
          <w:rFonts w:hint="eastAsia" w:ascii="宋体" w:hAnsi="宋体" w:eastAsia="宋体" w:cs="宋体"/>
          <w:color w:val="auto"/>
          <w:sz w:val="24"/>
          <w:szCs w:val="24"/>
          <w:highlight w:val="none"/>
        </w:rPr>
        <w:t>14.磋商保证金</w:t>
      </w:r>
      <w:bookmarkEnd w:id="135"/>
    </w:p>
    <w:p w14:paraId="3D5555CD">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14.1 </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在递交响应文件的同时，应按</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须知前附表规定的金额、递交方式和第五章“响应文件格式”规定的磋商保证金格式递交磋商保证金，并作为其响应文件的组成部分。</w:t>
      </w:r>
    </w:p>
    <w:p w14:paraId="4C2934B6">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14.2 </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不按本章第1</w:t>
      </w:r>
      <w:r>
        <w:rPr>
          <w:rFonts w:hint="eastAsia" w:ascii="宋体" w:hAnsi="宋体" w:eastAsia="宋体" w:cs="宋体"/>
          <w:color w:val="auto"/>
          <w:szCs w:val="24"/>
          <w:highlight w:val="none"/>
          <w:lang w:eastAsia="zh-CN"/>
        </w:rPr>
        <w:t>4</w:t>
      </w:r>
      <w:r>
        <w:rPr>
          <w:rFonts w:hint="eastAsia" w:ascii="宋体" w:hAnsi="宋体" w:eastAsia="宋体" w:cs="宋体"/>
          <w:color w:val="auto"/>
          <w:szCs w:val="24"/>
          <w:highlight w:val="none"/>
        </w:rPr>
        <w:t>.1项要求提交磋商保证金的，将被视为无效响应文件。</w:t>
      </w:r>
    </w:p>
    <w:p w14:paraId="026E615D">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 未</w:t>
      </w:r>
      <w:r>
        <w:rPr>
          <w:rFonts w:hint="eastAsia" w:ascii="宋体" w:hAnsi="宋体" w:eastAsia="宋体" w:cs="宋体"/>
          <w:color w:val="auto"/>
          <w:szCs w:val="24"/>
          <w:highlight w:val="none"/>
          <w:lang w:val="en-US" w:eastAsia="zh-CN"/>
        </w:rPr>
        <w:t>成交人</w:t>
      </w:r>
      <w:r>
        <w:rPr>
          <w:rFonts w:hint="eastAsia" w:ascii="宋体" w:hAnsi="宋体" w:eastAsia="宋体" w:cs="宋体"/>
          <w:color w:val="auto"/>
          <w:szCs w:val="24"/>
          <w:highlight w:val="none"/>
        </w:rPr>
        <w:t>的磋商保证金，将在成交通知书发出之日起5个工作日内退还；</w:t>
      </w:r>
      <w:r>
        <w:rPr>
          <w:rFonts w:hint="eastAsia" w:ascii="宋体" w:hAnsi="宋体" w:eastAsia="宋体" w:cs="宋体"/>
          <w:color w:val="auto"/>
          <w:szCs w:val="24"/>
          <w:highlight w:val="none"/>
          <w:lang w:val="en-US" w:eastAsia="zh-CN"/>
        </w:rPr>
        <w:t>成交人</w:t>
      </w:r>
      <w:r>
        <w:rPr>
          <w:rFonts w:hint="eastAsia" w:ascii="宋体" w:hAnsi="宋体" w:eastAsia="宋体" w:cs="宋体"/>
          <w:color w:val="auto"/>
          <w:szCs w:val="24"/>
          <w:highlight w:val="none"/>
        </w:rPr>
        <w:t>的磋商保证金将在</w:t>
      </w:r>
      <w:r>
        <w:rPr>
          <w:rFonts w:hint="eastAsia" w:ascii="宋体" w:hAnsi="宋体" w:eastAsia="宋体" w:cs="宋体"/>
          <w:color w:val="auto"/>
          <w:spacing w:val="-2"/>
          <w:kern w:val="2"/>
          <w:sz w:val="24"/>
          <w:szCs w:val="24"/>
          <w:highlight w:val="none"/>
        </w:rPr>
        <w:t>合同签订之日起5个工作日内</w:t>
      </w:r>
      <w:r>
        <w:rPr>
          <w:rFonts w:hint="eastAsia" w:ascii="宋体" w:hAnsi="宋体" w:eastAsia="宋体" w:cs="宋体"/>
          <w:color w:val="auto"/>
          <w:szCs w:val="24"/>
          <w:highlight w:val="none"/>
        </w:rPr>
        <w:t>退还。</w:t>
      </w:r>
    </w:p>
    <w:p w14:paraId="2D77BABB">
      <w:pPr>
        <w:spacing w:line="360" w:lineRule="auto"/>
        <w:ind w:firstLine="480" w:firstLineChars="200"/>
        <w:jc w:val="both"/>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 有下列情形之一的，磋商保证金将不予退还：</w:t>
      </w:r>
    </w:p>
    <w:p w14:paraId="66C2EEE9">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在提交响应文件截止时间后撤回响应文件的；</w:t>
      </w:r>
    </w:p>
    <w:p w14:paraId="6D45F05D">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在响应文件中提供虚假材料的；</w:t>
      </w:r>
    </w:p>
    <w:p w14:paraId="0D17293F">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（3）除因不可抗力或响应文件认可的情形外，</w:t>
      </w:r>
      <w:r>
        <w:rPr>
          <w:rFonts w:hint="eastAsia" w:ascii="宋体" w:hAnsi="宋体" w:eastAsia="宋体" w:cs="宋体"/>
          <w:color w:val="auto"/>
          <w:szCs w:val="24"/>
          <w:highlight w:val="none"/>
          <w:lang w:val="en-US" w:eastAsia="zh-CN"/>
        </w:rPr>
        <w:t>成交人</w:t>
      </w:r>
      <w:r>
        <w:rPr>
          <w:rFonts w:hint="eastAsia" w:ascii="宋体" w:hAnsi="宋体" w:eastAsia="宋体" w:cs="宋体"/>
          <w:color w:val="auto"/>
          <w:szCs w:val="24"/>
          <w:highlight w:val="none"/>
        </w:rPr>
        <w:t>不与</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人签订合同的；</w:t>
      </w:r>
    </w:p>
    <w:p w14:paraId="75A9A4B3">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与</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人、其他</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或者</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代理机构恶意串通的；</w:t>
      </w:r>
    </w:p>
    <w:p w14:paraId="4AA86267">
      <w:pPr>
        <w:spacing w:line="360" w:lineRule="auto"/>
        <w:ind w:firstLine="480" w:firstLineChars="200"/>
        <w:jc w:val="both"/>
        <w:outlineLvl w:val="4"/>
        <w:rPr>
          <w:rFonts w:hint="eastAsia" w:ascii="宋体" w:hAnsi="宋体" w:eastAsia="宋体" w:cs="宋体"/>
          <w:color w:val="auto"/>
          <w:szCs w:val="24"/>
          <w:highlight w:val="none"/>
        </w:rPr>
      </w:pPr>
      <w:r>
        <w:rPr>
          <w:rFonts w:hint="eastAsia" w:ascii="宋体" w:hAnsi="宋体" w:eastAsia="宋体" w:cs="宋体"/>
          <w:color w:val="auto"/>
          <w:szCs w:val="24"/>
          <w:highlight w:val="none"/>
        </w:rPr>
        <w:t>（5）竞争性磋商文件规定的其他情形。</w:t>
      </w:r>
    </w:p>
    <w:p w14:paraId="537E4B95">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36" w:name="_Toc25114"/>
      <w:r>
        <w:rPr>
          <w:rFonts w:hint="eastAsia" w:ascii="宋体" w:hAnsi="宋体" w:eastAsia="宋体" w:cs="宋体"/>
          <w:color w:val="auto"/>
          <w:sz w:val="24"/>
          <w:szCs w:val="24"/>
          <w:highlight w:val="none"/>
        </w:rPr>
        <w:t>15.响应文件的式样和签署</w:t>
      </w:r>
      <w:bookmarkEnd w:id="136"/>
    </w:p>
    <w:p w14:paraId="427889AA">
      <w:pPr>
        <w:spacing w:line="360" w:lineRule="auto"/>
        <w:ind w:firstLine="480" w:firstLineChars="200"/>
        <w:jc w:val="both"/>
        <w:outlineLvl w:val="3"/>
        <w:rPr>
          <w:rFonts w:hint="eastAsia" w:ascii="宋体" w:hAnsi="宋体" w:eastAsia="宋体" w:cs="宋体"/>
          <w:color w:val="auto"/>
          <w:szCs w:val="24"/>
          <w:highlight w:val="none"/>
        </w:rPr>
      </w:pPr>
      <w:bookmarkStart w:id="137" w:name="_Toc369790408"/>
      <w:bookmarkStart w:id="138" w:name="_Toc500594533"/>
      <w:bookmarkStart w:id="139" w:name="_Toc502328415"/>
      <w:bookmarkStart w:id="140" w:name="_Toc490492620"/>
      <w:r>
        <w:rPr>
          <w:rFonts w:hint="eastAsia" w:ascii="宋体" w:hAnsi="宋体" w:eastAsia="宋体" w:cs="宋体"/>
          <w:color w:val="auto"/>
          <w:szCs w:val="24"/>
          <w:highlight w:val="none"/>
        </w:rPr>
        <w:t>15.1 响应文件份数见“</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w:t>
      </w:r>
    </w:p>
    <w:p w14:paraId="1533BB07">
      <w:pPr>
        <w:spacing w:line="360" w:lineRule="auto"/>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xml:space="preserve">15.2 </w:t>
      </w:r>
      <w:r>
        <w:rPr>
          <w:rFonts w:hint="eastAsia" w:ascii="宋体" w:hAnsi="宋体" w:eastAsia="宋体" w:cs="宋体"/>
          <w:color w:val="auto"/>
          <w:szCs w:val="24"/>
          <w:highlight w:val="none"/>
          <w:lang w:eastAsia="zh-CN"/>
        </w:rPr>
        <w:t>纸质</w:t>
      </w:r>
      <w:r>
        <w:rPr>
          <w:rFonts w:hint="eastAsia" w:ascii="宋体" w:hAnsi="宋体" w:eastAsia="宋体" w:cs="宋体"/>
          <w:color w:val="auto"/>
          <w:szCs w:val="24"/>
          <w:highlight w:val="none"/>
        </w:rPr>
        <w:t>响应文件应采用胶装方式装订，并由</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法定代表人或其授权代理人按照格式要求进行签字、</w:t>
      </w:r>
      <w:r>
        <w:rPr>
          <w:rFonts w:hint="eastAsia" w:ascii="宋体" w:hAnsi="宋体" w:eastAsia="宋体" w:cs="宋体"/>
          <w:color w:val="auto"/>
          <w:szCs w:val="24"/>
          <w:highlight w:val="none"/>
          <w:lang w:eastAsia="zh-CN"/>
        </w:rPr>
        <w:t>签</w:t>
      </w:r>
      <w:r>
        <w:rPr>
          <w:rFonts w:hint="eastAsia" w:ascii="宋体" w:hAnsi="宋体" w:eastAsia="宋体" w:cs="宋体"/>
          <w:color w:val="auto"/>
          <w:szCs w:val="24"/>
          <w:highlight w:val="none"/>
        </w:rPr>
        <w:t>章</w:t>
      </w:r>
      <w:r>
        <w:rPr>
          <w:rFonts w:hint="eastAsia" w:ascii="宋体" w:hAnsi="宋体" w:eastAsia="宋体" w:cs="宋体"/>
          <w:color w:val="auto"/>
          <w:szCs w:val="24"/>
          <w:highlight w:val="none"/>
          <w:lang w:eastAsia="zh-CN"/>
        </w:rPr>
        <w:t>。</w:t>
      </w:r>
    </w:p>
    <w:p w14:paraId="3B02CA32">
      <w:pPr>
        <w:spacing w:line="360" w:lineRule="auto"/>
        <w:ind w:firstLine="480" w:firstLineChars="200"/>
        <w:jc w:val="both"/>
        <w:rPr>
          <w:rFonts w:hint="eastAsia" w:ascii="宋体" w:hAnsi="宋体" w:eastAsia="宋体" w:cs="宋体"/>
          <w:b/>
          <w:bCs/>
          <w:color w:val="auto"/>
          <w:sz w:val="32"/>
          <w:szCs w:val="32"/>
          <w:highlight w:val="none"/>
        </w:rPr>
      </w:pPr>
      <w:r>
        <w:rPr>
          <w:rFonts w:hint="eastAsia" w:ascii="宋体" w:hAnsi="宋体" w:eastAsia="宋体" w:cs="宋体"/>
          <w:color w:val="auto"/>
          <w:szCs w:val="24"/>
          <w:highlight w:val="none"/>
        </w:rPr>
        <w:t>15.3 除</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对错误处须修改外，响应文件不得行间插字、涂改和增删，如有修改错漏处，必须由同一签署人在修改错漏处签字或</w:t>
      </w:r>
      <w:r>
        <w:rPr>
          <w:rFonts w:hint="eastAsia" w:ascii="宋体" w:hAnsi="宋体" w:eastAsia="宋体" w:cs="宋体"/>
          <w:color w:val="auto"/>
          <w:szCs w:val="24"/>
          <w:highlight w:val="none"/>
          <w:lang w:eastAsia="zh-CN"/>
        </w:rPr>
        <w:t>签</w:t>
      </w:r>
      <w:r>
        <w:rPr>
          <w:rFonts w:hint="eastAsia" w:ascii="宋体" w:hAnsi="宋体" w:eastAsia="宋体" w:cs="宋体"/>
          <w:color w:val="auto"/>
          <w:szCs w:val="24"/>
          <w:highlight w:val="none"/>
        </w:rPr>
        <w:t>章。</w:t>
      </w:r>
      <w:bookmarkStart w:id="141" w:name="_Toc23129"/>
      <w:bookmarkStart w:id="142" w:name="_Toc21425"/>
    </w:p>
    <w:p w14:paraId="3F35AE69">
      <w:pPr>
        <w:widowControl/>
        <w:shd w:val="clear" w:color="auto" w:fill="FFFFFF"/>
        <w:spacing w:line="360" w:lineRule="auto"/>
        <w:ind w:firstLine="643" w:firstLineChars="200"/>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四、响应文件的</w:t>
      </w:r>
      <w:bookmarkEnd w:id="137"/>
      <w:r>
        <w:rPr>
          <w:rFonts w:hint="eastAsia" w:ascii="宋体" w:hAnsi="宋体" w:eastAsia="宋体" w:cs="宋体"/>
          <w:b/>
          <w:bCs/>
          <w:color w:val="auto"/>
          <w:sz w:val="32"/>
          <w:szCs w:val="32"/>
          <w:highlight w:val="none"/>
        </w:rPr>
        <w:t>递交</w:t>
      </w:r>
      <w:bookmarkEnd w:id="138"/>
      <w:bookmarkEnd w:id="139"/>
      <w:bookmarkEnd w:id="140"/>
      <w:bookmarkEnd w:id="141"/>
      <w:bookmarkEnd w:id="142"/>
    </w:p>
    <w:p w14:paraId="7AB51679">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lang w:eastAsia="zh-CN"/>
        </w:rPr>
      </w:pPr>
      <w:bookmarkStart w:id="143" w:name="_Toc11043"/>
      <w:bookmarkStart w:id="144" w:name="_Toc502328416"/>
      <w:bookmarkStart w:id="145" w:name="_Toc490492621"/>
      <w:bookmarkStart w:id="146" w:name="_Toc500594534"/>
      <w:r>
        <w:rPr>
          <w:rFonts w:hint="eastAsia" w:ascii="宋体" w:hAnsi="宋体" w:eastAsia="宋体" w:cs="宋体"/>
          <w:color w:val="auto"/>
          <w:sz w:val="24"/>
          <w:szCs w:val="24"/>
          <w:highlight w:val="none"/>
        </w:rPr>
        <w:t>16.响应文件的</w:t>
      </w:r>
      <w:r>
        <w:rPr>
          <w:rFonts w:hint="eastAsia" w:ascii="宋体" w:hAnsi="宋体" w:eastAsia="宋体" w:cs="宋体"/>
          <w:color w:val="auto"/>
          <w:sz w:val="24"/>
          <w:szCs w:val="24"/>
          <w:highlight w:val="none"/>
          <w:lang w:eastAsia="zh-CN"/>
        </w:rPr>
        <w:t>递交</w:t>
      </w:r>
      <w:bookmarkEnd w:id="143"/>
    </w:p>
    <w:p w14:paraId="4F4CF40A">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16.1 </w:t>
      </w:r>
      <w:r>
        <w:rPr>
          <w:rFonts w:hint="eastAsia" w:ascii="宋体" w:hAnsi="宋体" w:eastAsia="宋体" w:cs="宋体"/>
          <w:color w:val="auto"/>
          <w:szCs w:val="24"/>
          <w:highlight w:val="none"/>
          <w:lang w:eastAsia="zh-CN"/>
        </w:rPr>
        <w:t>网上递交：需登录政府采购云平台（网址：https://www.zcygov.cn/)，磋商申请人须在磋商截止时间前完成所有响应文件的上传，磋商截止时间前未完成响应文件传输的，视为撤回响应文件</w:t>
      </w:r>
      <w:r>
        <w:rPr>
          <w:rFonts w:hint="eastAsia" w:ascii="宋体" w:hAnsi="宋体" w:eastAsia="宋体" w:cs="宋体"/>
          <w:color w:val="auto"/>
          <w:szCs w:val="24"/>
          <w:highlight w:val="none"/>
        </w:rPr>
        <w:t>。</w:t>
      </w:r>
    </w:p>
    <w:p w14:paraId="64E627C3">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47" w:name="_Toc30106"/>
      <w:r>
        <w:rPr>
          <w:rFonts w:hint="eastAsia" w:ascii="宋体" w:hAnsi="宋体" w:eastAsia="宋体" w:cs="宋体"/>
          <w:color w:val="auto"/>
          <w:sz w:val="24"/>
          <w:szCs w:val="24"/>
          <w:highlight w:val="none"/>
        </w:rPr>
        <w:t>17.磋商截止日期</w:t>
      </w:r>
      <w:bookmarkEnd w:id="147"/>
    </w:p>
    <w:p w14:paraId="02D78C9B">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17.1 </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必须在</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须知前附表规定的时间内登录政府采购云平台（网址：https://www.zcygov.cn/)</w:t>
      </w:r>
      <w:r>
        <w:rPr>
          <w:rFonts w:hint="eastAsia" w:ascii="宋体" w:hAnsi="宋体" w:eastAsia="宋体" w:cs="宋体"/>
          <w:color w:val="auto"/>
          <w:szCs w:val="24"/>
          <w:highlight w:val="none"/>
          <w:lang w:eastAsia="zh-CN"/>
        </w:rPr>
        <w:t>完成</w:t>
      </w:r>
      <w:r>
        <w:rPr>
          <w:rFonts w:hint="eastAsia" w:ascii="宋体" w:hAnsi="宋体" w:eastAsia="宋体" w:cs="宋体"/>
          <w:color w:val="auto"/>
          <w:szCs w:val="24"/>
          <w:highlight w:val="none"/>
        </w:rPr>
        <w:t>响应文件</w:t>
      </w:r>
      <w:r>
        <w:rPr>
          <w:rFonts w:hint="eastAsia" w:ascii="宋体" w:hAnsi="宋体" w:eastAsia="宋体" w:cs="宋体"/>
          <w:color w:val="auto"/>
          <w:szCs w:val="24"/>
          <w:highlight w:val="none"/>
          <w:lang w:eastAsia="zh-CN"/>
        </w:rPr>
        <w:t>的上传</w:t>
      </w:r>
      <w:r>
        <w:rPr>
          <w:rFonts w:hint="eastAsia" w:ascii="宋体" w:hAnsi="宋体" w:eastAsia="宋体" w:cs="宋体"/>
          <w:color w:val="auto"/>
          <w:szCs w:val="24"/>
          <w:highlight w:val="none"/>
        </w:rPr>
        <w:t>。</w:t>
      </w:r>
    </w:p>
    <w:p w14:paraId="75CDC3FD">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 除</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须知前附表另有规定外，</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所递交的响应文件不予退还。</w:t>
      </w:r>
    </w:p>
    <w:p w14:paraId="00FB8585">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17.3 逾期</w:t>
      </w:r>
      <w:r>
        <w:rPr>
          <w:rFonts w:hint="eastAsia" w:ascii="宋体" w:hAnsi="宋体" w:eastAsia="宋体" w:cs="宋体"/>
          <w:color w:val="auto"/>
          <w:szCs w:val="24"/>
          <w:highlight w:val="none"/>
          <w:lang w:eastAsia="zh-CN"/>
        </w:rPr>
        <w:t>上传</w:t>
      </w:r>
      <w:r>
        <w:rPr>
          <w:rFonts w:hint="eastAsia" w:ascii="宋体" w:hAnsi="宋体" w:eastAsia="宋体" w:cs="宋体"/>
          <w:color w:val="auto"/>
          <w:szCs w:val="24"/>
          <w:highlight w:val="none"/>
        </w:rPr>
        <w:t>的或者未</w:t>
      </w:r>
      <w:r>
        <w:rPr>
          <w:rFonts w:hint="eastAsia" w:ascii="宋体" w:hAnsi="宋体" w:eastAsia="宋体" w:cs="宋体"/>
          <w:color w:val="auto"/>
          <w:szCs w:val="24"/>
          <w:highlight w:val="none"/>
          <w:lang w:eastAsia="zh-CN"/>
        </w:rPr>
        <w:t>上传</w:t>
      </w:r>
      <w:r>
        <w:rPr>
          <w:rFonts w:hint="eastAsia" w:ascii="宋体" w:hAnsi="宋体" w:eastAsia="宋体" w:cs="宋体"/>
          <w:color w:val="auto"/>
          <w:szCs w:val="24"/>
          <w:highlight w:val="none"/>
        </w:rPr>
        <w:t>的响应文件，</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代理机构不予受理。</w:t>
      </w:r>
    </w:p>
    <w:p w14:paraId="4A1202FE">
      <w:pPr>
        <w:bidi w:val="0"/>
        <w:rPr>
          <w:rFonts w:hint="eastAsia" w:ascii="宋体" w:hAnsi="宋体" w:eastAsia="宋体" w:cs="宋体"/>
          <w:color w:val="auto"/>
          <w:highlight w:val="none"/>
        </w:rPr>
      </w:pPr>
    </w:p>
    <w:p w14:paraId="1B12EC79">
      <w:pPr>
        <w:widowControl/>
        <w:shd w:val="clear" w:color="auto" w:fill="FFFFFF"/>
        <w:spacing w:line="360" w:lineRule="auto"/>
        <w:jc w:val="center"/>
        <w:outlineLvl w:val="1"/>
        <w:rPr>
          <w:rFonts w:hint="eastAsia" w:ascii="宋体" w:hAnsi="宋体" w:eastAsia="宋体" w:cs="宋体"/>
          <w:b/>
          <w:bCs/>
          <w:color w:val="auto"/>
          <w:sz w:val="32"/>
          <w:szCs w:val="32"/>
          <w:highlight w:val="none"/>
        </w:rPr>
      </w:pPr>
      <w:bookmarkStart w:id="148" w:name="_Toc6155"/>
      <w:bookmarkStart w:id="149" w:name="_Toc25471"/>
      <w:r>
        <w:rPr>
          <w:rFonts w:hint="eastAsia" w:ascii="宋体" w:hAnsi="宋体" w:eastAsia="宋体" w:cs="宋体"/>
          <w:b/>
          <w:bCs/>
          <w:color w:val="auto"/>
          <w:sz w:val="32"/>
          <w:szCs w:val="32"/>
          <w:highlight w:val="none"/>
        </w:rPr>
        <w:t>五、磋商及评审</w:t>
      </w:r>
      <w:bookmarkEnd w:id="144"/>
      <w:bookmarkEnd w:id="145"/>
      <w:bookmarkEnd w:id="146"/>
      <w:bookmarkEnd w:id="148"/>
      <w:bookmarkEnd w:id="149"/>
    </w:p>
    <w:p w14:paraId="5757A9A9">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50" w:name="_Toc13022"/>
      <w:r>
        <w:rPr>
          <w:rFonts w:hint="eastAsia" w:ascii="宋体" w:hAnsi="宋体" w:eastAsia="宋体" w:cs="宋体"/>
          <w:color w:val="auto"/>
          <w:sz w:val="24"/>
          <w:szCs w:val="24"/>
          <w:highlight w:val="none"/>
        </w:rPr>
        <w:t>18.磋商时间和地点</w:t>
      </w:r>
      <w:bookmarkEnd w:id="150"/>
    </w:p>
    <w:p w14:paraId="4649FB5B">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人按</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须知前附表所规定的时间召开磋商会议，</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的法定代表人或授权委托代理人应按时</w:t>
      </w:r>
      <w:r>
        <w:rPr>
          <w:rFonts w:hint="eastAsia" w:ascii="宋体" w:hAnsi="宋体" w:eastAsia="宋体" w:cs="宋体"/>
          <w:color w:val="auto"/>
          <w:szCs w:val="24"/>
          <w:highlight w:val="none"/>
          <w:lang w:eastAsia="zh-CN"/>
        </w:rPr>
        <w:t>上线</w:t>
      </w:r>
      <w:r>
        <w:rPr>
          <w:rFonts w:hint="eastAsia" w:ascii="宋体" w:hAnsi="宋体" w:eastAsia="宋体" w:cs="宋体"/>
          <w:color w:val="auto"/>
          <w:szCs w:val="24"/>
          <w:highlight w:val="none"/>
        </w:rPr>
        <w:t xml:space="preserve">参加。 </w:t>
      </w:r>
    </w:p>
    <w:p w14:paraId="16078320">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51" w:name="_Toc14025"/>
      <w:r>
        <w:rPr>
          <w:rFonts w:hint="eastAsia" w:ascii="宋体" w:hAnsi="宋体" w:eastAsia="宋体" w:cs="宋体"/>
          <w:color w:val="auto"/>
          <w:sz w:val="24"/>
          <w:szCs w:val="24"/>
          <w:highlight w:val="none"/>
        </w:rPr>
        <w:t>19.磋商程序</w:t>
      </w:r>
      <w:bookmarkEnd w:id="151"/>
    </w:p>
    <w:p w14:paraId="2171A238">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磋商会由</w:t>
      </w:r>
      <w:r>
        <w:rPr>
          <w:rFonts w:hint="eastAsia" w:ascii="宋体" w:hAnsi="宋体" w:eastAsia="宋体" w:cs="宋体"/>
          <w:color w:val="auto"/>
          <w:szCs w:val="24"/>
          <w:highlight w:val="none"/>
          <w:lang w:eastAsia="zh-CN"/>
        </w:rPr>
        <w:t>云南疆屿项目管理咨询有限公司</w:t>
      </w:r>
      <w:r>
        <w:rPr>
          <w:rFonts w:hint="eastAsia" w:ascii="宋体" w:hAnsi="宋体" w:eastAsia="宋体" w:cs="宋体"/>
          <w:color w:val="auto"/>
          <w:szCs w:val="24"/>
          <w:highlight w:val="none"/>
        </w:rPr>
        <w:t>代表主持按下列程序进行：</w:t>
      </w:r>
    </w:p>
    <w:p w14:paraId="35973EF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（1）CA 签到：</w:t>
      </w:r>
      <w:r>
        <w:rPr>
          <w:rFonts w:hint="eastAsia" w:ascii="宋体" w:hAnsi="宋体" w:eastAsia="宋体" w:cs="宋体"/>
          <w:color w:val="auto"/>
          <w:sz w:val="24"/>
          <w:highlight w:val="none"/>
          <w:lang w:eastAsia="zh-CN"/>
        </w:rPr>
        <w:t>磋商申请</w:t>
      </w:r>
      <w:r>
        <w:rPr>
          <w:rFonts w:hint="eastAsia" w:ascii="宋体" w:hAnsi="宋体" w:eastAsia="宋体" w:cs="宋体"/>
          <w:color w:val="auto"/>
          <w:sz w:val="24"/>
          <w:highlight w:val="none"/>
        </w:rPr>
        <w:t>单位需在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截止时间前30分钟内登录政府采购云平台 （https://www.zcygov.cn/）进入开标。</w:t>
      </w:r>
    </w:p>
    <w:p w14:paraId="747E9F1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（2）文件解密：开标时间到，待项目负责人开启文件解密后，磋商申请人使用编制生成</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文件的同一把CA锁在线进行解密。因磋商申请人原因造成</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文件未解密的，视为撤销其</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 xml:space="preserve">文件。 </w:t>
      </w:r>
    </w:p>
    <w:p w14:paraId="67094DA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（3）磋商报价表确认及签字：磋商申请人自行查看已公布的磋商申请人名称、</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价格和</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 xml:space="preserve">文件规定的其他开标内容。确认本单位内容无误后进行在线CA签章，因磋商申请人原因未签字的，视为默认。（备注：请直接选择 CA 锁内的法人章签章即可，请勿签公章或手写签字） </w:t>
      </w:r>
    </w:p>
    <w:p w14:paraId="7C7F6D6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（4）经评审通过初步审查的磋商申请人，在线等候磋商二次报价，二次报价结束后，磋商申请人可以退出系统，开标结束后进入评标环节。</w:t>
      </w:r>
    </w:p>
    <w:p w14:paraId="6A4E43F0">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baseline"/>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注：磋商报价高于</w:t>
      </w:r>
      <w:r>
        <w:rPr>
          <w:rFonts w:hint="eastAsia" w:ascii="宋体" w:hAnsi="宋体" w:eastAsia="宋体" w:cs="宋体"/>
          <w:b/>
          <w:bCs/>
          <w:color w:val="auto"/>
          <w:sz w:val="24"/>
          <w:highlight w:val="none"/>
          <w:lang w:eastAsia="zh-CN"/>
        </w:rPr>
        <w:t>招标控制价</w:t>
      </w:r>
      <w:r>
        <w:rPr>
          <w:rFonts w:hint="eastAsia" w:ascii="宋体" w:hAnsi="宋体" w:eastAsia="宋体" w:cs="宋体"/>
          <w:b/>
          <w:bCs/>
          <w:color w:val="auto"/>
          <w:sz w:val="24"/>
          <w:highlight w:val="none"/>
        </w:rPr>
        <w:t>时，为废标。最终报价不得高于一次报价，否则视为无效报价；采购人不承诺最低价成交。</w:t>
      </w:r>
    </w:p>
    <w:p w14:paraId="1D5E77C7">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52" w:name="_Toc23906"/>
      <w:r>
        <w:rPr>
          <w:rFonts w:hint="eastAsia" w:ascii="宋体" w:hAnsi="宋体" w:eastAsia="宋体" w:cs="宋体"/>
          <w:color w:val="auto"/>
          <w:sz w:val="24"/>
          <w:szCs w:val="24"/>
          <w:highlight w:val="none"/>
        </w:rPr>
        <w:t>20.响应文件的有效性</w:t>
      </w:r>
      <w:bookmarkEnd w:id="152"/>
    </w:p>
    <w:p w14:paraId="21FA9461">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磋商时，出现下列情形之一的，应当作为无效响应文件处理，不得进入评审：</w:t>
      </w:r>
    </w:p>
    <w:p w14:paraId="392BD6E7">
      <w:pPr>
        <w:spacing w:line="360" w:lineRule="auto"/>
        <w:ind w:firstLine="480" w:firstLineChars="200"/>
        <w:jc w:val="both"/>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逾期</w:t>
      </w:r>
      <w:r>
        <w:rPr>
          <w:rFonts w:hint="eastAsia" w:ascii="宋体" w:hAnsi="宋体" w:eastAsia="宋体" w:cs="宋体"/>
          <w:color w:val="auto"/>
          <w:szCs w:val="24"/>
          <w:highlight w:val="none"/>
          <w:lang w:eastAsia="zh-CN"/>
        </w:rPr>
        <w:t>上传</w:t>
      </w:r>
      <w:r>
        <w:rPr>
          <w:rFonts w:hint="eastAsia" w:ascii="宋体" w:hAnsi="宋体" w:eastAsia="宋体" w:cs="宋体"/>
          <w:color w:val="auto"/>
          <w:szCs w:val="24"/>
          <w:highlight w:val="none"/>
        </w:rPr>
        <w:t>的或者未</w:t>
      </w:r>
      <w:r>
        <w:rPr>
          <w:rFonts w:hint="eastAsia" w:ascii="宋体" w:hAnsi="宋体" w:eastAsia="宋体" w:cs="宋体"/>
          <w:color w:val="auto"/>
          <w:szCs w:val="24"/>
          <w:highlight w:val="none"/>
          <w:lang w:eastAsia="zh-CN"/>
        </w:rPr>
        <w:t>上传到指定平台</w:t>
      </w:r>
      <w:r>
        <w:rPr>
          <w:rFonts w:hint="eastAsia" w:ascii="宋体" w:hAnsi="宋体" w:eastAsia="宋体" w:cs="宋体"/>
          <w:color w:val="auto"/>
          <w:szCs w:val="24"/>
          <w:highlight w:val="none"/>
        </w:rPr>
        <w:t>的；</w:t>
      </w:r>
    </w:p>
    <w:p w14:paraId="52A40C52">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 响应文件未按照本须知第</w:t>
      </w:r>
      <w:r>
        <w:rPr>
          <w:rFonts w:hint="eastAsia" w:ascii="宋体" w:hAnsi="宋体" w:eastAsia="宋体" w:cs="宋体"/>
          <w:color w:val="auto"/>
          <w:szCs w:val="24"/>
          <w:highlight w:val="none"/>
          <w:lang w:val="en-US" w:eastAsia="zh-CN"/>
        </w:rPr>
        <w:t>16</w:t>
      </w:r>
      <w:r>
        <w:rPr>
          <w:rFonts w:hint="eastAsia" w:ascii="宋体" w:hAnsi="宋体" w:eastAsia="宋体" w:cs="宋体"/>
          <w:color w:val="auto"/>
          <w:szCs w:val="24"/>
          <w:highlight w:val="none"/>
        </w:rPr>
        <w:t>项的要求</w:t>
      </w:r>
      <w:r>
        <w:rPr>
          <w:rFonts w:hint="eastAsia" w:ascii="宋体" w:hAnsi="宋体" w:eastAsia="宋体" w:cs="宋体"/>
          <w:color w:val="auto"/>
          <w:szCs w:val="24"/>
          <w:highlight w:val="none"/>
          <w:lang w:val="en-US" w:eastAsia="zh-CN"/>
        </w:rPr>
        <w:t>递交</w:t>
      </w:r>
      <w:r>
        <w:rPr>
          <w:rFonts w:hint="eastAsia" w:ascii="宋体" w:hAnsi="宋体" w:eastAsia="宋体" w:cs="宋体"/>
          <w:color w:val="auto"/>
          <w:szCs w:val="24"/>
          <w:highlight w:val="none"/>
        </w:rPr>
        <w:t>的；</w:t>
      </w:r>
    </w:p>
    <w:p w14:paraId="1999ACBC">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20.3 </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法定代表人或授权代理人</w:t>
      </w:r>
      <w:r>
        <w:rPr>
          <w:rFonts w:hint="eastAsia" w:ascii="宋体" w:hAnsi="宋体" w:eastAsia="宋体" w:cs="宋体"/>
          <w:color w:val="auto"/>
          <w:szCs w:val="24"/>
          <w:highlight w:val="none"/>
          <w:lang w:eastAsia="zh-CN"/>
        </w:rPr>
        <w:t>未按时登录</w:t>
      </w:r>
      <w:r>
        <w:rPr>
          <w:rFonts w:hint="eastAsia" w:ascii="宋体" w:hAnsi="宋体" w:eastAsia="宋体" w:cs="宋体"/>
          <w:color w:val="auto"/>
          <w:szCs w:val="24"/>
          <w:highlight w:val="none"/>
        </w:rPr>
        <w:t>政府采购云平台</w:t>
      </w:r>
      <w:r>
        <w:rPr>
          <w:rFonts w:hint="eastAsia" w:ascii="宋体" w:hAnsi="宋体" w:eastAsia="宋体" w:cs="宋体"/>
          <w:color w:val="auto"/>
          <w:szCs w:val="24"/>
          <w:highlight w:val="none"/>
          <w:lang w:eastAsia="zh-CN"/>
        </w:rPr>
        <w:t>参加开标的</w:t>
      </w:r>
      <w:r>
        <w:rPr>
          <w:rFonts w:hint="eastAsia" w:ascii="宋体" w:hAnsi="宋体" w:eastAsia="宋体" w:cs="宋体"/>
          <w:color w:val="auto"/>
          <w:szCs w:val="24"/>
          <w:highlight w:val="none"/>
        </w:rPr>
        <w:t>。</w:t>
      </w:r>
    </w:p>
    <w:p w14:paraId="093BF397">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53" w:name="_Toc31034"/>
      <w:r>
        <w:rPr>
          <w:rFonts w:hint="eastAsia" w:ascii="宋体" w:hAnsi="宋体" w:eastAsia="宋体" w:cs="宋体"/>
          <w:color w:val="auto"/>
          <w:sz w:val="24"/>
          <w:szCs w:val="24"/>
          <w:highlight w:val="none"/>
        </w:rPr>
        <w:t>21.磋商小组</w:t>
      </w:r>
      <w:bookmarkEnd w:id="153"/>
    </w:p>
    <w:p w14:paraId="4A172E84">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磋商小组由</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人代表和评审专家共3人以上单数组成，其中评审专家人数不得少于磋商小组成员总数的2/3。</w:t>
      </w:r>
    </w:p>
    <w:p w14:paraId="46BB1210">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 评审专家从</w:t>
      </w:r>
      <w:r>
        <w:rPr>
          <w:rFonts w:hint="eastAsia" w:ascii="宋体" w:hAnsi="宋体" w:eastAsia="宋体" w:cs="宋体"/>
          <w:color w:val="auto"/>
          <w:szCs w:val="24"/>
          <w:highlight w:val="none"/>
          <w:lang w:eastAsia="zh-CN"/>
        </w:rPr>
        <w:t>云南省政府采购网中</w:t>
      </w:r>
      <w:r>
        <w:rPr>
          <w:rFonts w:hint="eastAsia" w:ascii="宋体" w:hAnsi="宋体" w:eastAsia="宋体" w:cs="宋体"/>
          <w:color w:val="auto"/>
          <w:szCs w:val="24"/>
          <w:highlight w:val="none"/>
        </w:rPr>
        <w:t>随机抽取</w:t>
      </w:r>
      <w:r>
        <w:rPr>
          <w:rFonts w:hint="eastAsia" w:ascii="宋体" w:hAnsi="宋体" w:eastAsia="宋体" w:cs="宋体"/>
          <w:color w:val="auto"/>
          <w:szCs w:val="24"/>
          <w:highlight w:val="none"/>
          <w:lang w:eastAsia="zh-CN"/>
        </w:rPr>
        <w:t>专家进行评审</w:t>
      </w:r>
      <w:r>
        <w:rPr>
          <w:rFonts w:hint="eastAsia" w:ascii="宋体" w:hAnsi="宋体" w:eastAsia="宋体" w:cs="宋体"/>
          <w:color w:val="auto"/>
          <w:szCs w:val="24"/>
          <w:highlight w:val="none"/>
        </w:rPr>
        <w:t>。</w:t>
      </w:r>
    </w:p>
    <w:p w14:paraId="33FC9440">
      <w:pPr>
        <w:spacing w:line="360" w:lineRule="auto"/>
        <w:ind w:firstLine="480" w:firstLineChars="200"/>
        <w:jc w:val="both"/>
        <w:outlineLvl w:val="3"/>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 磋商小组成员有下列情形之一的，应当回避：</w:t>
      </w:r>
    </w:p>
    <w:p w14:paraId="4396B787">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人或</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的主要负责人的近亲属。</w:t>
      </w:r>
    </w:p>
    <w:p w14:paraId="6D1723E2">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(2）项目主管部门或者行政监督部门的人员。</w:t>
      </w:r>
    </w:p>
    <w:p w14:paraId="5F1B05CD">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(3）与</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有利害关系的人不得进入本项目的磋商小组。</w:t>
      </w:r>
    </w:p>
    <w:p w14:paraId="675DAED8">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(4）曾因在招标、评审以及其他与招标投标有关活动中从事违法行为而受过行政处罚或刑事处罚的。</w:t>
      </w:r>
    </w:p>
    <w:p w14:paraId="7D310643">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54" w:name="_Toc17083"/>
      <w:r>
        <w:rPr>
          <w:rFonts w:hint="eastAsia" w:ascii="宋体" w:hAnsi="宋体" w:eastAsia="宋体" w:cs="宋体"/>
          <w:color w:val="auto"/>
          <w:sz w:val="24"/>
          <w:szCs w:val="24"/>
          <w:highlight w:val="none"/>
        </w:rPr>
        <w:t>22.评审</w:t>
      </w:r>
      <w:bookmarkEnd w:id="154"/>
    </w:p>
    <w:p w14:paraId="1C65DC98">
      <w:pPr>
        <w:spacing w:line="360" w:lineRule="auto"/>
        <w:ind w:firstLine="480" w:firstLineChars="200"/>
        <w:jc w:val="both"/>
        <w:rPr>
          <w:rFonts w:hint="eastAsia" w:ascii="宋体" w:hAnsi="宋体" w:eastAsia="宋体" w:cs="宋体"/>
          <w:color w:val="auto"/>
          <w:highlight w:val="none"/>
        </w:rPr>
      </w:pPr>
      <w:bookmarkStart w:id="155" w:name="_Toc166951681"/>
      <w:r>
        <w:rPr>
          <w:rFonts w:hint="eastAsia" w:ascii="宋体" w:hAnsi="宋体" w:eastAsia="宋体" w:cs="宋体"/>
          <w:color w:val="auto"/>
          <w:szCs w:val="24"/>
          <w:highlight w:val="none"/>
        </w:rPr>
        <w:t>磋商小组按照第三章“评审方法”规定的方法、评审因素、标准和程序对响应文件进行评审。第三章“评审方法”没有规定的方法、评审因素和标准，不作为评审依据。</w:t>
      </w:r>
      <w:bookmarkEnd w:id="155"/>
      <w:bookmarkStart w:id="156" w:name="_Toc490492622"/>
      <w:bookmarkStart w:id="157" w:name="_Toc369790410"/>
      <w:bookmarkStart w:id="158" w:name="_Toc500594535"/>
      <w:bookmarkStart w:id="159" w:name="_Toc502328417"/>
      <w:bookmarkStart w:id="160" w:name="_Toc229583207"/>
      <w:bookmarkStart w:id="161" w:name="_Toc239508972"/>
    </w:p>
    <w:p w14:paraId="3DE1E0C1">
      <w:pPr>
        <w:widowControl/>
        <w:shd w:val="clear" w:color="auto" w:fill="FFFFFF"/>
        <w:spacing w:line="360" w:lineRule="auto"/>
        <w:ind w:firstLine="643" w:firstLineChars="200"/>
        <w:jc w:val="center"/>
        <w:outlineLvl w:val="1"/>
        <w:rPr>
          <w:rFonts w:hint="eastAsia" w:ascii="宋体" w:hAnsi="宋体" w:eastAsia="宋体" w:cs="宋体"/>
          <w:b/>
          <w:bCs/>
          <w:color w:val="auto"/>
          <w:sz w:val="32"/>
          <w:szCs w:val="32"/>
          <w:highlight w:val="none"/>
        </w:rPr>
      </w:pPr>
      <w:bookmarkStart w:id="162" w:name="_Toc17347"/>
      <w:bookmarkStart w:id="163" w:name="_Toc27469"/>
      <w:r>
        <w:rPr>
          <w:rFonts w:hint="eastAsia" w:ascii="宋体" w:hAnsi="宋体" w:eastAsia="宋体" w:cs="宋体"/>
          <w:b/>
          <w:bCs/>
          <w:color w:val="auto"/>
          <w:sz w:val="32"/>
          <w:szCs w:val="32"/>
          <w:highlight w:val="none"/>
        </w:rPr>
        <w:t>六、</w:t>
      </w:r>
      <w:r>
        <w:rPr>
          <w:rFonts w:hint="eastAsia" w:ascii="宋体" w:hAnsi="宋体" w:eastAsia="宋体" w:cs="宋体"/>
          <w:b/>
          <w:bCs/>
          <w:color w:val="auto"/>
          <w:sz w:val="32"/>
          <w:szCs w:val="32"/>
          <w:highlight w:val="none"/>
          <w:lang w:val="en-US" w:eastAsia="zh-CN"/>
        </w:rPr>
        <w:t>成交</w:t>
      </w:r>
      <w:r>
        <w:rPr>
          <w:rFonts w:hint="eastAsia" w:ascii="宋体" w:hAnsi="宋体" w:eastAsia="宋体" w:cs="宋体"/>
          <w:b/>
          <w:bCs/>
          <w:color w:val="auto"/>
          <w:sz w:val="32"/>
          <w:szCs w:val="32"/>
          <w:highlight w:val="none"/>
        </w:rPr>
        <w:t>通知和合同授予</w:t>
      </w:r>
      <w:bookmarkEnd w:id="156"/>
      <w:bookmarkEnd w:id="157"/>
      <w:bookmarkEnd w:id="158"/>
      <w:bookmarkEnd w:id="159"/>
      <w:bookmarkEnd w:id="160"/>
      <w:bookmarkEnd w:id="161"/>
      <w:bookmarkEnd w:id="162"/>
      <w:bookmarkEnd w:id="163"/>
    </w:p>
    <w:p w14:paraId="4528086D">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64" w:name="_Toc3530"/>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w:t>
      </w:r>
      <w:bookmarkEnd w:id="164"/>
    </w:p>
    <w:p w14:paraId="24525B92">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代理机构根据</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人的定标意见书签发</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通知书，或直接与</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人共同签发</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通知书。</w:t>
      </w:r>
    </w:p>
    <w:p w14:paraId="5265A37B">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lang w:eastAsia="zh-CN"/>
        </w:rPr>
      </w:pPr>
      <w:bookmarkStart w:id="165" w:name="_Toc3944"/>
      <w:r>
        <w:rPr>
          <w:rFonts w:hint="eastAsia" w:ascii="宋体" w:hAnsi="宋体" w:eastAsia="宋体" w:cs="宋体"/>
          <w:color w:val="auto"/>
          <w:sz w:val="24"/>
          <w:szCs w:val="24"/>
          <w:highlight w:val="none"/>
        </w:rPr>
        <w:t>24.履约保证金</w:t>
      </w:r>
      <w:r>
        <w:rPr>
          <w:rFonts w:hint="eastAsia" w:ascii="宋体" w:hAnsi="宋体" w:eastAsia="宋体" w:cs="宋体"/>
          <w:b/>
          <w:bCs/>
          <w:color w:val="auto"/>
          <w:sz w:val="24"/>
          <w:szCs w:val="24"/>
          <w:highlight w:val="none"/>
          <w:lang w:eastAsia="zh-CN"/>
        </w:rPr>
        <w:t>（如有）</w:t>
      </w:r>
      <w:bookmarkEnd w:id="165"/>
    </w:p>
    <w:p w14:paraId="412B301C">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 在签订合同前，</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lang w:eastAsia="zh-CN"/>
        </w:rPr>
        <w:t>人</w:t>
      </w:r>
      <w:r>
        <w:rPr>
          <w:rFonts w:hint="eastAsia" w:ascii="宋体" w:hAnsi="宋体" w:eastAsia="宋体" w:cs="宋体"/>
          <w:color w:val="auto"/>
          <w:szCs w:val="24"/>
          <w:highlight w:val="none"/>
        </w:rPr>
        <w:t>应按</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须知前附表规定的金额向</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人提交履约保证金。联合体</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的，其履约保证金由牵头人递交，并应符合</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须知前附表规定。</w:t>
      </w:r>
    </w:p>
    <w:p w14:paraId="744EC51B">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24.2 </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lang w:eastAsia="zh-CN"/>
        </w:rPr>
        <w:t>人</w:t>
      </w:r>
      <w:r>
        <w:rPr>
          <w:rFonts w:hint="eastAsia" w:ascii="宋体" w:hAnsi="宋体" w:eastAsia="宋体" w:cs="宋体"/>
          <w:color w:val="auto"/>
          <w:szCs w:val="24"/>
          <w:highlight w:val="none"/>
        </w:rPr>
        <w:t>不能按本章第2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.1项要求提交履约保证金的</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若有</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，视为放弃</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结果，其磋商保证金不予退还，给</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人造成的损失超过磋商保证金数额的，</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lang w:eastAsia="zh-CN"/>
        </w:rPr>
        <w:t>人</w:t>
      </w:r>
      <w:r>
        <w:rPr>
          <w:rFonts w:hint="eastAsia" w:ascii="宋体" w:hAnsi="宋体" w:eastAsia="宋体" w:cs="宋体"/>
          <w:color w:val="auto"/>
          <w:szCs w:val="24"/>
          <w:highlight w:val="none"/>
        </w:rPr>
        <w:t>还应当对超过部分予以赔偿。</w:t>
      </w:r>
    </w:p>
    <w:p w14:paraId="26D52D75">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66" w:name="_Toc22078"/>
      <w:r>
        <w:rPr>
          <w:rFonts w:hint="eastAsia" w:ascii="宋体" w:hAnsi="宋体" w:eastAsia="宋体" w:cs="宋体"/>
          <w:color w:val="auto"/>
          <w:sz w:val="24"/>
          <w:szCs w:val="24"/>
          <w:highlight w:val="none"/>
        </w:rPr>
        <w:t>25. 签订合同</w:t>
      </w:r>
      <w:bookmarkEnd w:id="166"/>
    </w:p>
    <w:p w14:paraId="426BDB59">
      <w:pPr>
        <w:widowControl/>
        <w:shd w:val="clear" w:color="auto" w:fill="FFFFFF"/>
        <w:spacing w:line="360" w:lineRule="auto"/>
        <w:ind w:firstLine="480" w:firstLineChars="200"/>
        <w:jc w:val="both"/>
        <w:outlineLvl w:val="1"/>
        <w:rPr>
          <w:rFonts w:hint="eastAsia" w:ascii="宋体" w:hAnsi="宋体" w:eastAsia="宋体" w:cs="宋体"/>
          <w:color w:val="auto"/>
          <w:szCs w:val="24"/>
          <w:highlight w:val="none"/>
        </w:rPr>
      </w:pPr>
      <w:bookmarkStart w:id="167" w:name="_Toc18904"/>
      <w:bookmarkStart w:id="168" w:name="_Toc29669"/>
      <w:bookmarkStart w:id="169" w:name="_Toc502328418"/>
      <w:bookmarkStart w:id="170" w:name="_Toc490492623"/>
      <w:bookmarkStart w:id="171" w:name="_Toc500594536"/>
      <w:bookmarkStart w:id="172" w:name="_Toc369790411"/>
      <w:r>
        <w:rPr>
          <w:rFonts w:hint="eastAsia" w:ascii="宋体" w:hAnsi="宋体" w:eastAsia="宋体" w:cs="宋体"/>
          <w:color w:val="auto"/>
          <w:szCs w:val="24"/>
          <w:highlight w:val="none"/>
        </w:rPr>
        <w:t>25.1 采购人和成交人应当自成交通知书发出之日起30天内，根据竞争性磋商文件确定的合同文本以及采购标的、采购金额、</w:t>
      </w:r>
      <w:r>
        <w:rPr>
          <w:rFonts w:hint="eastAsia" w:ascii="宋体" w:hAnsi="宋体" w:eastAsia="宋体" w:cs="宋体"/>
          <w:color w:val="auto"/>
          <w:szCs w:val="24"/>
          <w:highlight w:val="none"/>
          <w:lang w:eastAsia="zh-CN"/>
        </w:rPr>
        <w:t>采购需求</w:t>
      </w:r>
      <w:r>
        <w:rPr>
          <w:rFonts w:hint="eastAsia" w:ascii="宋体" w:hAnsi="宋体" w:eastAsia="宋体" w:cs="宋体"/>
          <w:color w:val="auto"/>
          <w:szCs w:val="24"/>
          <w:highlight w:val="none"/>
        </w:rPr>
        <w:t>、技术和</w:t>
      </w:r>
      <w:r>
        <w:rPr>
          <w:rFonts w:hint="eastAsia" w:ascii="宋体" w:hAnsi="宋体" w:eastAsia="宋体" w:cs="宋体"/>
          <w:color w:val="auto"/>
          <w:szCs w:val="24"/>
          <w:highlight w:val="none"/>
          <w:lang w:eastAsia="zh-CN"/>
        </w:rPr>
        <w:t>质量</w:t>
      </w:r>
      <w:r>
        <w:rPr>
          <w:rFonts w:hint="eastAsia" w:ascii="宋体" w:hAnsi="宋体" w:eastAsia="宋体" w:cs="宋体"/>
          <w:color w:val="auto"/>
          <w:szCs w:val="24"/>
          <w:highlight w:val="none"/>
        </w:rPr>
        <w:t>要求等事项签订政府采购合同。成交人无正当理由拒签合同的，采购人取消其成交资格，其磋商保证金不予退还；给采购人造成的损失超过磋商保证金数额的，成交人还应当对超过部分予以赔偿。</w:t>
      </w:r>
      <w:bookmarkEnd w:id="167"/>
    </w:p>
    <w:p w14:paraId="23F076E6">
      <w:pPr>
        <w:widowControl/>
        <w:shd w:val="clear" w:color="auto" w:fill="FFFFFF"/>
        <w:spacing w:line="360" w:lineRule="auto"/>
        <w:ind w:firstLine="480" w:firstLineChars="200"/>
        <w:jc w:val="left"/>
        <w:outlineLvl w:val="1"/>
        <w:rPr>
          <w:rFonts w:hint="eastAsia" w:ascii="宋体" w:hAnsi="宋体" w:eastAsia="宋体" w:cs="宋体"/>
          <w:color w:val="auto"/>
          <w:szCs w:val="24"/>
          <w:highlight w:val="none"/>
        </w:rPr>
      </w:pPr>
      <w:bookmarkStart w:id="173" w:name="_Toc21796"/>
      <w:r>
        <w:rPr>
          <w:rFonts w:hint="eastAsia" w:ascii="宋体" w:hAnsi="宋体" w:eastAsia="宋体" w:cs="宋体"/>
          <w:color w:val="auto"/>
          <w:szCs w:val="24"/>
          <w:highlight w:val="none"/>
        </w:rPr>
        <w:t>25.2 成交人因不可抗力或者自身原因不能履行政府采购合同的，采购人可以与排位在成交人之后第一位的成交候选人签订政府采购合同，以此类推。</w:t>
      </w:r>
      <w:bookmarkEnd w:id="173"/>
    </w:p>
    <w:p w14:paraId="6804245B">
      <w:pPr>
        <w:widowControl/>
        <w:shd w:val="clear" w:color="auto" w:fill="FFFFFF"/>
        <w:spacing w:line="360" w:lineRule="auto"/>
        <w:ind w:firstLine="643" w:firstLineChars="200"/>
        <w:jc w:val="center"/>
        <w:outlineLvl w:val="1"/>
        <w:rPr>
          <w:rFonts w:hint="eastAsia" w:ascii="宋体" w:hAnsi="宋体" w:eastAsia="宋体" w:cs="宋体"/>
          <w:b/>
          <w:bCs/>
          <w:color w:val="auto"/>
          <w:sz w:val="32"/>
          <w:szCs w:val="32"/>
          <w:highlight w:val="none"/>
        </w:rPr>
      </w:pPr>
      <w:bookmarkStart w:id="174" w:name="_Toc12006"/>
      <w:bookmarkStart w:id="175" w:name="_Toc490492624"/>
      <w:bookmarkStart w:id="176" w:name="_Toc500594537"/>
      <w:bookmarkStart w:id="177" w:name="_Toc502328419"/>
      <w:bookmarkStart w:id="178" w:name="_Toc184635079"/>
      <w:bookmarkStart w:id="179" w:name="_Toc1648"/>
      <w:bookmarkStart w:id="180" w:name="_Toc32392"/>
      <w:bookmarkStart w:id="181" w:name="_Toc369790412"/>
      <w:bookmarkStart w:id="182" w:name="_Toc1445"/>
      <w:r>
        <w:rPr>
          <w:rFonts w:hint="eastAsia" w:ascii="宋体" w:hAnsi="宋体" w:eastAsia="宋体" w:cs="宋体"/>
          <w:b/>
          <w:bCs/>
          <w:color w:val="auto"/>
          <w:sz w:val="32"/>
          <w:szCs w:val="32"/>
          <w:highlight w:val="none"/>
        </w:rPr>
        <w:t>七、重新磋商</w:t>
      </w:r>
      <w:bookmarkEnd w:id="174"/>
    </w:p>
    <w:p w14:paraId="144141D8">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83" w:name="_Toc11526"/>
      <w:r>
        <w:rPr>
          <w:rFonts w:hint="eastAsia" w:ascii="宋体" w:hAnsi="宋体" w:eastAsia="宋体" w:cs="宋体"/>
          <w:color w:val="auto"/>
          <w:sz w:val="24"/>
          <w:szCs w:val="24"/>
          <w:highlight w:val="none"/>
        </w:rPr>
        <w:t>26.重新磋商</w:t>
      </w:r>
      <w:bookmarkEnd w:id="183"/>
    </w:p>
    <w:p w14:paraId="16831B14">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有下列情形的，</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人将重新磋商：</w:t>
      </w:r>
    </w:p>
    <w:p w14:paraId="4F255CD1">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（1）经磋商小组审查后否决所有响应文件的。</w:t>
      </w:r>
    </w:p>
    <w:p w14:paraId="79E03A5D">
      <w:pPr>
        <w:widowControl/>
        <w:shd w:val="clear" w:color="auto" w:fill="FFFFFF"/>
        <w:spacing w:line="360" w:lineRule="auto"/>
        <w:ind w:firstLine="480" w:firstLineChars="200"/>
        <w:jc w:val="both"/>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（2）提交最后报价的</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少于</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家的。</w:t>
      </w:r>
    </w:p>
    <w:p w14:paraId="76E02CA8">
      <w:pPr>
        <w:widowControl/>
        <w:shd w:val="clear" w:color="auto" w:fill="FFFFFF"/>
        <w:spacing w:line="360" w:lineRule="auto"/>
        <w:ind w:firstLine="643" w:firstLineChars="200"/>
        <w:jc w:val="center"/>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八、纪律和监督</w:t>
      </w:r>
      <w:bookmarkEnd w:id="175"/>
      <w:bookmarkEnd w:id="176"/>
      <w:bookmarkEnd w:id="177"/>
      <w:bookmarkEnd w:id="178"/>
      <w:bookmarkEnd w:id="179"/>
      <w:bookmarkEnd w:id="180"/>
      <w:bookmarkEnd w:id="181"/>
    </w:p>
    <w:p w14:paraId="37CCD3EA">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84" w:name="_Toc31360"/>
      <w:r>
        <w:rPr>
          <w:rFonts w:hint="eastAsia" w:ascii="宋体" w:hAnsi="宋体" w:eastAsia="宋体" w:cs="宋体"/>
          <w:color w:val="auto"/>
          <w:sz w:val="24"/>
          <w:szCs w:val="24"/>
          <w:highlight w:val="none"/>
        </w:rPr>
        <w:t>27.对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人的纪律要求</w:t>
      </w:r>
      <w:bookmarkEnd w:id="184"/>
    </w:p>
    <w:p w14:paraId="5147EF36">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人不得泄漏磋商活动中应当保密的情况和资料，不得与</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串通损害国家利益、社会公共利益或者他人合法权益。</w:t>
      </w:r>
    </w:p>
    <w:p w14:paraId="74F85167">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85" w:name="_Toc27222"/>
      <w:r>
        <w:rPr>
          <w:rFonts w:hint="eastAsia" w:ascii="宋体" w:hAnsi="宋体" w:eastAsia="宋体" w:cs="宋体"/>
          <w:color w:val="auto"/>
          <w:sz w:val="24"/>
          <w:szCs w:val="24"/>
          <w:highlight w:val="none"/>
        </w:rPr>
        <w:t>28.对</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的纪律要求</w:t>
      </w:r>
      <w:bookmarkEnd w:id="185"/>
    </w:p>
    <w:p w14:paraId="61D22438">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不得相互串通磋商或者与</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人串通磋商，不得向</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人或者磋商小组成员行贿谋取</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，不得以他人名义申请磋商或者以其他方式弄虚作假骗取</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不得以任何方式干扰、影响评审工作。</w:t>
      </w:r>
    </w:p>
    <w:p w14:paraId="60A747DF">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86" w:name="_Toc4084"/>
      <w:r>
        <w:rPr>
          <w:rFonts w:hint="eastAsia" w:ascii="宋体" w:hAnsi="宋体" w:eastAsia="宋体" w:cs="宋体"/>
          <w:color w:val="auto"/>
          <w:sz w:val="24"/>
          <w:szCs w:val="24"/>
          <w:highlight w:val="none"/>
        </w:rPr>
        <w:t>29.对磋商小组成员的纪律要求</w:t>
      </w:r>
      <w:bookmarkEnd w:id="186"/>
    </w:p>
    <w:p w14:paraId="0033748F">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磋商小组成员不得收受他人的财物或者其他好处，不得向他人透漏对响应文件的评审和比较、</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候选人的推荐情况以及评审有关的其他情况。在评审活动中，磋商小组成员不得擅离职守，影响评审程序正常进行，不得使用第三章“评审方法”没有规定的评审因素和标准进行评审。</w:t>
      </w:r>
    </w:p>
    <w:p w14:paraId="6EEEB823">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87" w:name="_Toc29731"/>
      <w:r>
        <w:rPr>
          <w:rFonts w:hint="eastAsia" w:ascii="宋体" w:hAnsi="宋体" w:eastAsia="宋体" w:cs="宋体"/>
          <w:color w:val="auto"/>
          <w:sz w:val="24"/>
          <w:szCs w:val="24"/>
          <w:highlight w:val="none"/>
        </w:rPr>
        <w:t>30.对与评审活动有关的工作人员的纪律要求</w:t>
      </w:r>
      <w:bookmarkEnd w:id="187"/>
    </w:p>
    <w:p w14:paraId="0ADD8C7A">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与评审活动有关的工作人员不得收受他人的财物或者其他好处，不得向他人透漏对响应文件的评审和比较、</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候选人的推荐情况以及评审有关的其他情况。在评审活动中，与评审活动有关的工作人员不得擅离职守，影响评审程序正常进行。</w:t>
      </w:r>
    </w:p>
    <w:p w14:paraId="2DC9E068">
      <w:pPr>
        <w:pStyle w:val="2"/>
        <w:spacing w:before="40" w:after="40" w:line="360" w:lineRule="auto"/>
        <w:ind w:firstLine="482" w:firstLineChars="200"/>
        <w:jc w:val="both"/>
        <w:outlineLvl w:val="2"/>
        <w:rPr>
          <w:rFonts w:hint="eastAsia" w:ascii="宋体" w:hAnsi="宋体" w:eastAsia="宋体" w:cs="宋体"/>
          <w:color w:val="auto"/>
          <w:sz w:val="24"/>
          <w:szCs w:val="24"/>
          <w:highlight w:val="none"/>
        </w:rPr>
      </w:pPr>
      <w:bookmarkStart w:id="188" w:name="_Toc27436"/>
      <w:r>
        <w:rPr>
          <w:rFonts w:hint="eastAsia" w:ascii="宋体" w:hAnsi="宋体" w:eastAsia="宋体" w:cs="宋体"/>
          <w:color w:val="auto"/>
          <w:sz w:val="24"/>
          <w:szCs w:val="24"/>
          <w:highlight w:val="none"/>
        </w:rPr>
        <w:t>31.投诉</w:t>
      </w:r>
      <w:bookmarkEnd w:id="188"/>
    </w:p>
    <w:p w14:paraId="51E54AD3">
      <w:pPr>
        <w:pStyle w:val="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磋商申请人和其他利害关系人认为本次政府采购活动违反法律、法规和规章规定的，有权向有关行政监督部门投诉。</w:t>
      </w:r>
    </w:p>
    <w:p w14:paraId="6BD72237">
      <w:pPr>
        <w:widowControl/>
        <w:shd w:val="clear" w:color="auto" w:fill="FFFFFF"/>
        <w:spacing w:line="360" w:lineRule="auto"/>
        <w:ind w:firstLine="480" w:firstLineChars="200"/>
        <w:jc w:val="left"/>
        <w:outlineLvl w:val="1"/>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 竞争性磋商文件、成交人的响应文件及磋商承诺、成交通知书，均作为签订合同内容的依据。</w:t>
      </w:r>
      <w:bookmarkEnd w:id="182"/>
    </w:p>
    <w:bookmarkEnd w:id="168"/>
    <w:bookmarkEnd w:id="169"/>
    <w:bookmarkEnd w:id="170"/>
    <w:bookmarkEnd w:id="171"/>
    <w:bookmarkEnd w:id="172"/>
    <w:p w14:paraId="0179FDC5">
      <w:pPr>
        <w:widowControl/>
        <w:numPr>
          <w:ilvl w:val="0"/>
          <w:numId w:val="1"/>
        </w:numPr>
        <w:shd w:val="clear" w:color="auto" w:fill="FFFFFF"/>
        <w:spacing w:line="360" w:lineRule="auto"/>
        <w:ind w:firstLine="643" w:firstLineChars="200"/>
        <w:jc w:val="center"/>
        <w:outlineLvl w:val="1"/>
        <w:rPr>
          <w:rFonts w:hint="eastAsia" w:ascii="宋体" w:hAnsi="宋体" w:eastAsia="宋体" w:cs="宋体"/>
          <w:b/>
          <w:bCs/>
          <w:color w:val="auto"/>
          <w:sz w:val="32"/>
          <w:szCs w:val="32"/>
          <w:highlight w:val="none"/>
        </w:rPr>
      </w:pPr>
      <w:bookmarkStart w:id="189" w:name="_Toc500594538"/>
      <w:bookmarkStart w:id="190" w:name="_Toc502328420"/>
      <w:bookmarkStart w:id="191" w:name="_Toc29508"/>
      <w:bookmarkStart w:id="192" w:name="_Toc24357"/>
      <w:r>
        <w:rPr>
          <w:rFonts w:hint="eastAsia" w:ascii="宋体" w:hAnsi="宋体" w:eastAsia="宋体" w:cs="宋体"/>
          <w:b/>
          <w:bCs/>
          <w:color w:val="auto"/>
          <w:sz w:val="32"/>
          <w:szCs w:val="32"/>
          <w:highlight w:val="none"/>
        </w:rPr>
        <w:t>需要补充的内容</w:t>
      </w:r>
      <w:bookmarkEnd w:id="189"/>
      <w:bookmarkEnd w:id="190"/>
      <w:bookmarkEnd w:id="191"/>
      <w:bookmarkEnd w:id="192"/>
    </w:p>
    <w:p w14:paraId="21083560">
      <w:pPr>
        <w:widowControl/>
        <w:numPr>
          <w:ilvl w:val="0"/>
          <w:numId w:val="0"/>
        </w:numPr>
        <w:shd w:val="clear" w:color="auto" w:fill="FFFFFF"/>
        <w:spacing w:line="360" w:lineRule="auto"/>
        <w:ind w:firstLine="480" w:firstLineChars="200"/>
        <w:jc w:val="both"/>
        <w:outlineLvl w:val="2"/>
        <w:rPr>
          <w:rFonts w:hint="eastAsia" w:ascii="宋体" w:hAnsi="宋体" w:eastAsia="宋体" w:cs="宋体"/>
          <w:color w:val="auto"/>
          <w:szCs w:val="24"/>
          <w:highlight w:val="none"/>
        </w:rPr>
      </w:pPr>
      <w:bookmarkStart w:id="193" w:name="_Toc19355"/>
      <w:r>
        <w:rPr>
          <w:rFonts w:hint="eastAsia" w:ascii="宋体" w:hAnsi="宋体" w:eastAsia="宋体" w:cs="宋体"/>
          <w:color w:val="auto"/>
          <w:szCs w:val="24"/>
          <w:highlight w:val="none"/>
        </w:rPr>
        <w:t>需要补充的其他内容：见</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须知前附表。</w:t>
      </w:r>
      <w:bookmarkEnd w:id="193"/>
    </w:p>
    <w:bookmarkEnd w:id="105"/>
    <w:p w14:paraId="2A7577D8">
      <w:pPr>
        <w:rPr>
          <w:rFonts w:hint="eastAsia" w:ascii="宋体" w:hAnsi="宋体" w:eastAsia="宋体" w:cs="宋体"/>
          <w:b/>
          <w:bCs/>
          <w:color w:val="auto"/>
          <w:sz w:val="44"/>
          <w:szCs w:val="44"/>
          <w:highlight w:val="none"/>
        </w:rPr>
      </w:pPr>
      <w:bookmarkStart w:id="194" w:name="_Toc27252"/>
      <w:bookmarkStart w:id="195" w:name="_Toc28463"/>
      <w:bookmarkStart w:id="196" w:name="_Toc317588989"/>
      <w:r>
        <w:rPr>
          <w:rFonts w:hint="eastAsia" w:ascii="宋体" w:hAnsi="宋体" w:eastAsia="宋体" w:cs="宋体"/>
          <w:b/>
          <w:bCs/>
          <w:color w:val="auto"/>
          <w:sz w:val="44"/>
          <w:szCs w:val="44"/>
          <w:highlight w:val="none"/>
        </w:rPr>
        <w:br w:type="page"/>
      </w:r>
    </w:p>
    <w:p w14:paraId="25236192">
      <w:pPr>
        <w:pStyle w:val="3"/>
        <w:tabs>
          <w:tab w:val="left" w:pos="432"/>
        </w:tabs>
        <w:snapToGrid w:val="0"/>
        <w:spacing w:before="0" w:after="0" w:line="360" w:lineRule="auto"/>
        <w:ind w:left="432" w:hanging="432"/>
        <w:jc w:val="center"/>
        <w:rPr>
          <w:rFonts w:hint="eastAsia" w:ascii="宋体" w:hAnsi="宋体" w:eastAsia="宋体" w:cs="宋体"/>
          <w:b/>
          <w:color w:val="auto"/>
          <w:sz w:val="28"/>
          <w:szCs w:val="28"/>
          <w:highlight w:val="none"/>
        </w:rPr>
      </w:pPr>
      <w:bookmarkStart w:id="197" w:name="_Toc19659"/>
      <w:bookmarkStart w:id="198" w:name="_Toc16550"/>
      <w:r>
        <w:rPr>
          <w:rFonts w:hint="eastAsia" w:ascii="宋体" w:hAnsi="宋体" w:eastAsia="宋体" w:cs="宋体"/>
          <w:b/>
          <w:bCs/>
          <w:color w:val="auto"/>
          <w:sz w:val="44"/>
          <w:szCs w:val="44"/>
          <w:highlight w:val="none"/>
        </w:rPr>
        <mc:AlternateContent>
          <mc:Choice Requires="wps">
            <w:drawing>
              <wp:anchor distT="0" distB="0" distL="114300" distR="114300" simplePos="0" relativeHeight="251659264" behindDoc="0" locked="0" layoutInCell="1" hidden="1" allowOverlap="1">
                <wp:simplePos x="0" y="0"/>
                <wp:positionH relativeFrom="column">
                  <wp:posOffset>-1027430</wp:posOffset>
                </wp:positionH>
                <wp:positionV relativeFrom="paragraph">
                  <wp:posOffset>-680085</wp:posOffset>
                </wp:positionV>
                <wp:extent cx="63500" cy="63500"/>
                <wp:effectExtent l="0" t="0" r="0" b="0"/>
                <wp:wrapNone/>
                <wp:docPr id="6" name="矩形 6" descr="lskY7P30+39SSS2ze3CC/OloSabCcJ8teVgvbFfoUSxwrDEBkJfS27Z0WSJzfpKXBgeuM/I7xRX5cF7GXP9ostE1Gk7ozUkZcJbXCym7fRcrMkIZRqyL+jCu7BEVJcYRETCFWplYAgTim1KVTjNhPQbhxgPdEM94nsxdEtl8tIiw9545xc9zVDs8s8+aVhJiFIZwwV6HJGFUXjYd+kJ1+6CNAAC2iT2NwAvGulIj8FWBSu+urqq51zwvi3fd0Ya9YyRmv064k8PkM0q7BnwNZ7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NdyavCeILG/9+4wbRQpuEjhyoLjY/SpNUqhNZriz5jYIs2rRYtuEjA30SJQahux/EAlKyR4pDlJ/rILxbyOy2E5bjxSi5zKq23inB+P6S0u7SYrUNL1S4s3k51kvZskb2bUQ2C5ZhXxXk0Rnw+NiZ0K/uKK09wVABrrMVwp1oAXs2ecTAP1q4AHsy7C+xIXIXoV5NaQ/ZGb0k2MzZikJl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OloSabCcJ8teVgvbFfoUSxwrDEBkJfS27Z0WSJzfpKXBgeuM/I7xRX5cF7GXP9ostE1Gk7ozUkZcJbXCym7fRcrMkIZRqyL+jCu7BEVJcYRETCFWplYAgTim1KVTjNhPQbhxgPdEM94nsxdEtl8tIiw9545xc9zVDs8s8+aVhJiFIZwwV6HJGFUXjYd+kJ1+6CNAAC2iT2NwAvGulIj8FWBSu+urqq51zwvi3fd0Ya9YyRmv064k8PkM0q7BnwNZ7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NdyavCeILG/9+4wbRQpuEjhyoLjY/SpNUqhNZriz5jYIs2rRYtuEjA30SJQahux/EAlKyR4pDlJ/rILxbyOy2E5bjxSi5zKq23inB+P6S0u7SYrUNL1S4s3k51kvZskb2bUQ2C5ZhXxXk0Rnw+NiZ0K/uKK09wVABrrMVwp1oAXs2ecTAP1q4AHsy7C+xIXIXoV5NaQ/ZGb0k2MzZikJlw=" style="position:absolute;left:0pt;margin-left:-80.9pt;margin-top:-53.55pt;height:5pt;width:5pt;visibility:hidden;z-index:251659264;mso-width-relative:page;mso-height-relative:page;" fillcolor="#FFFFFF" filled="t" stroked="t" coordsize="21600,21600" o:gfxdata="UEsDBAoAAAAAAIdO4kAAAAAAAAAAAAAAAAAEAAAAZHJzL1BLAwQUAAAACACHTuJAG7EIptoAAAAO&#10;AQAADwAAAGRycy9kb3ducmV2LnhtbE2PS0/DMBCE70j8B2uRuKDUNog+0jg9gHqEisChRzd2E6vx&#10;OordR/49mxPcZmdHs98Wm5vv2MUO0QVUIGcCmMU6GIeNgp/vbbYEFpNGo7uAVsFoI2zK+7tC5yZc&#10;8cteqtQwKsGYawVtSn3Oeaxb63Wchd4i7Y5h8DrRODTcDPpK5b7jz0LMudcO6UKre/vW2vpUnb2C&#10;7b467dwejy9u8fHuVk/j+LmrlHp8kGINLNlb+gvDhE/oUBLTIZzRRNYpyORcEnualFhIYJTJ5Ovk&#10;HUityOJlwf+/Uf4CUEsDBBQAAAAIAIdO4kA3edCLRwUAABsIAAAOAAAAZHJzL2Uyb0RvYy54bWyt&#10;VcuyozgS3XdE/4PDW6ILjPHrRt3qwBgw+IUBY8MOgwCZh7AE5vEzEzG7+Yj5nI7+jZF9a6q6e2ZR&#10;i2YBmSh1lCdTcfLzr22eDR4AE4iK9+HoEzccgCJAISzi9+HJVn6ZDwek8ovQz1AB3ocdIMNfv/z8&#10;0+emfAM8SlAWAjygIAV5a8r3YVJV5RvLkiABuU8+oRIUdDFCOPcr6uKYDbHfUPQ8Y3mOm7INwmGJ&#10;UQAIoX9XH4vDr4j4RwBRFMEArFBQ56CoPlAxyPyKUiIJLMnwyyvbKAJBdYgiAqpB9j6kTKvXmx5C&#10;7evzzX757L/F2C8TGHxNwf+RFP7CKfdhQQ/9BrXyK39QY/g/UDkMMCIoqj4FKGc/iLwqQlmMuL/U&#10;xkr8Ery40FKT8lvRyd8HG+wfBh7A8H04HQ4KP6cN//0f//rt3/8cUD8EJKC1ykjqzowxx4wXlmXx&#10;PRhLEnvIkOVfpUCfV8CJH1clQierbfBKXqZ6ZPEzjztbeh+Vm8syBvWO1WateZkEyky9GAtEKnmk&#10;pjPUn1Iv0K8XqctnkRngXap55r3bMjepni1lRw9cU7Yl5VxmrhjbMB9tHPu2T4zjNWljI5R3C6Eg&#10;bShX2bzSYLOYCJM2WPTOiszJnPGdRIeK5jWNM13rqnK63NyQSfURM5X2oijx0Ob3jfhQ60y7zZXz&#10;0qqZGt/vk1HfPOA4CjnXX7idmT+4qZDOjXTH3WfLotl7s0rverUX1s5Gxd3BUQxrNL7voBqh8giW&#10;Y89oI2zZiVhghxPjlSnw6zzJZnaJMg1s1zDTztVtntUZ4UHs2IUxtXqvnB8dGcqnrO8PSxGYGlSi&#10;Ipcq9rZQ9vM4m0eOYddqYzOcgEAGlU510xs6gm3vZrVqSvvxMXFT7ThXc8huz9HKbQ7tSn+4Cmuc&#10;Gf1YonW3O03P2n21uuxENg3SWGv6nTG/jA/WKkUQp8LkBk5pWZ0TduumrLZV+h2ZHU1dKNLFuBXW&#10;VzfKww1jdqgZcYFkBZU06exxdELI5adb7sgVZzz3l50iGqfLuoR9ImPXsBc67R93rlk5qvUYRwJr&#10;2pGmR+uRzc0SIrNEKDfROnDOu1twPZo3qDkWgkLAuIbX8odizDM8UB24Od29xp7vx3wJDPZxKvJ6&#10;JZ83+n3KGPPDyQtz6TBtY1xH7sV0K5HxkoKfL69Cdb/fZFmeMFC7X9nRah1t93Z3wbGIjYf0qCNG&#10;JaejY+YJnCpS4yz7soamYWnNkqgPzpNmnQ23IiLtPuz8hwS0rcouGKG5mseylm9Jh7Y3l7XK/eme&#10;7D0M+8nN1QiPaRZ0WRxzln70k7plZTHbdKZQrjKdxdq2vXaHjpcn11trwUm/ufNjWCwZeim4ema5&#10;+LTfjiyBjNPJKH14JL3y19ORlyZecmkvKWcWDbOHHrdh682GWzSOuMR45zTlCIkXesECWzRGd0Fc&#10;k24mMa120S7Imez9I+upVy7ld70HUz1r3oeDBIYheE6GpzY2JXmjEmGVBv7qEWo+hY7e7vz5pRI2&#10;aF962n3TU9BWg4D+nI4nHBXagK58mBSD/b61xKRSAcoHT+N9iKlYvzTUf2xJ9RH635DnSQRlMFRg&#10;lr0cHF+lDA8ePhV25fU886XofwrLigHltJjwE5qGT6dVRKcENfOSKh4p4td5f9pB/gjMvZ7/B/xM&#10;bOWT5COBF8IzzH/LYQWetfLfEuCHchEOqq6kqlrQYTp8JpODcDjInhV+Wq/IyofZj0RSdllBST67&#10;8tGHp3VFYUc1vC4xjBNax1fjXjF0ZrxK8nW+PYfSH/0X0veZ/u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G7EIptoAAAAOAQAADwAAAAAAAAABACAAAAAiAAAAZHJzL2Rvd25yZXYueG1sUEsBAhQA&#10;FAAAAAgAh07iQDd50ItHBQAAGwgAAA4AAAAAAAAAAQAgAAAAKQEAAGRycy9lMm9Eb2MueG1sUEsF&#10;BgAAAAAGAAYAWQEAAOIIAAAAAA==&#10;">
                <v:fill on="t" focussize="0,0"/>
                <v:stroke color="#000000" joinstyle="miter"/>
                <v:imagedata o:title=""/>
                <o:lock v:ext="edit" aspectratio="f"/>
              </v:rect>
            </w:pict>
          </mc:Fallback>
        </mc:AlternateContent>
      </w:r>
      <w:r>
        <w:rPr>
          <w:rFonts w:hint="eastAsia" w:ascii="宋体" w:hAnsi="宋体" w:eastAsia="宋体" w:cs="宋体"/>
          <w:b/>
          <w:bCs/>
          <w:color w:val="auto"/>
          <w:sz w:val="44"/>
          <w:szCs w:val="44"/>
          <w:highlight w:val="none"/>
        </w:rPr>
        <w:t>第三章  评审方法</w:t>
      </w:r>
      <w:bookmarkEnd w:id="194"/>
      <w:bookmarkEnd w:id="195"/>
      <w:bookmarkEnd w:id="197"/>
      <w:bookmarkEnd w:id="198"/>
    </w:p>
    <w:p w14:paraId="07BF4B2B">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评审方法前附表</w:t>
      </w:r>
    </w:p>
    <w:tbl>
      <w:tblPr>
        <w:tblStyle w:val="21"/>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2662"/>
        <w:gridCol w:w="5348"/>
      </w:tblGrid>
      <w:tr w14:paraId="2880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gridSpan w:val="2"/>
            <w:noWrap w:val="0"/>
            <w:vAlign w:val="center"/>
          </w:tcPr>
          <w:p w14:paraId="4CD08238">
            <w:pPr>
              <w:tabs>
                <w:tab w:val="left" w:pos="54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2662" w:type="dxa"/>
            <w:noWrap w:val="0"/>
            <w:vAlign w:val="center"/>
          </w:tcPr>
          <w:p w14:paraId="50522D31">
            <w:pPr>
              <w:tabs>
                <w:tab w:val="left" w:pos="54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5348" w:type="dxa"/>
            <w:noWrap w:val="0"/>
            <w:vAlign w:val="center"/>
          </w:tcPr>
          <w:p w14:paraId="4A9D4C3B">
            <w:pPr>
              <w:tabs>
                <w:tab w:val="left" w:pos="54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2996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7" w:type="dxa"/>
            <w:vMerge w:val="restart"/>
            <w:noWrap w:val="0"/>
            <w:vAlign w:val="center"/>
          </w:tcPr>
          <w:p w14:paraId="6F988C94">
            <w:pPr>
              <w:tabs>
                <w:tab w:val="left" w:pos="54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134" w:type="dxa"/>
            <w:vMerge w:val="restart"/>
            <w:noWrap w:val="0"/>
            <w:vAlign w:val="center"/>
          </w:tcPr>
          <w:p w14:paraId="655BD8F5">
            <w:pPr>
              <w:tabs>
                <w:tab w:val="left" w:pos="54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2662" w:type="dxa"/>
            <w:noWrap w:val="0"/>
            <w:vAlign w:val="center"/>
          </w:tcPr>
          <w:p w14:paraId="0528887F">
            <w:pPr>
              <w:tabs>
                <w:tab w:val="left" w:pos="540"/>
              </w:tabs>
              <w:snapToGrid w:val="0"/>
              <w:spacing w:line="360" w:lineRule="auto"/>
              <w:jc w:val="center"/>
              <w:rPr>
                <w:rFonts w:hint="eastAsia" w:ascii="宋体" w:hAnsi="宋体" w:eastAsia="宋体" w:cs="宋体"/>
                <w:color w:val="auto"/>
                <w:sz w:val="24"/>
                <w:szCs w:val="24"/>
                <w:highlight w:val="none"/>
              </w:rPr>
            </w:pPr>
            <w:bookmarkStart w:id="199" w:name="OLE_LINK20"/>
            <w:r>
              <w:rPr>
                <w:rFonts w:hint="eastAsia" w:ascii="宋体" w:hAnsi="宋体" w:eastAsia="宋体" w:cs="宋体"/>
                <w:color w:val="auto"/>
                <w:sz w:val="24"/>
                <w:szCs w:val="24"/>
                <w:highlight w:val="none"/>
              </w:rPr>
              <w:t>资格条件</w:t>
            </w:r>
            <w:bookmarkEnd w:id="199"/>
          </w:p>
        </w:tc>
        <w:tc>
          <w:tcPr>
            <w:tcW w:w="5348" w:type="dxa"/>
            <w:noWrap w:val="0"/>
            <w:vAlign w:val="center"/>
          </w:tcPr>
          <w:p w14:paraId="0A9FB7B8">
            <w:pPr>
              <w:tabs>
                <w:tab w:val="left" w:pos="540"/>
              </w:tabs>
              <w:snapToGrid w:val="0"/>
              <w:spacing w:line="360" w:lineRule="auto"/>
              <w:jc w:val="left"/>
              <w:rPr>
                <w:rFonts w:hint="eastAsia" w:ascii="宋体" w:hAnsi="宋体" w:eastAsia="宋体" w:cs="宋体"/>
                <w:color w:val="auto"/>
                <w:sz w:val="24"/>
                <w:szCs w:val="24"/>
                <w:highlight w:val="none"/>
              </w:rPr>
            </w:pPr>
            <w:bookmarkStart w:id="200" w:name="OLE_LINK21"/>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须知前附表”第8项规定</w:t>
            </w:r>
            <w:bookmarkEnd w:id="200"/>
          </w:p>
        </w:tc>
      </w:tr>
      <w:tr w14:paraId="5456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Merge w:val="continue"/>
            <w:noWrap w:val="0"/>
            <w:vAlign w:val="center"/>
          </w:tcPr>
          <w:p w14:paraId="7242B8F9">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2DE26F0C">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6A541F66">
            <w:pPr>
              <w:tabs>
                <w:tab w:val="left" w:pos="54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磋商保证金</w:t>
            </w:r>
          </w:p>
        </w:tc>
        <w:tc>
          <w:tcPr>
            <w:tcW w:w="5348" w:type="dxa"/>
            <w:noWrap w:val="0"/>
            <w:vAlign w:val="center"/>
          </w:tcPr>
          <w:p w14:paraId="027DB15D">
            <w:pPr>
              <w:tabs>
                <w:tab w:val="left" w:pos="54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须知前附表”第</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项规定</w:t>
            </w:r>
          </w:p>
        </w:tc>
      </w:tr>
      <w:tr w14:paraId="7759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17" w:type="dxa"/>
            <w:vMerge w:val="continue"/>
            <w:noWrap w:val="0"/>
            <w:vAlign w:val="center"/>
          </w:tcPr>
          <w:p w14:paraId="3544D2C3">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2C398E3B">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399F50AD">
            <w:pPr>
              <w:tabs>
                <w:tab w:val="left" w:pos="54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5348" w:type="dxa"/>
            <w:noWrap w:val="0"/>
            <w:vAlign w:val="center"/>
          </w:tcPr>
          <w:p w14:paraId="073BDFF5">
            <w:pPr>
              <w:tabs>
                <w:tab w:val="left" w:pos="540"/>
              </w:tabs>
              <w:snapToGrid w:val="0"/>
              <w:spacing w:line="360" w:lineRule="auto"/>
              <w:rPr>
                <w:rFonts w:hint="eastAsia" w:ascii="宋体" w:hAnsi="宋体" w:eastAsia="宋体" w:cs="宋体"/>
                <w:color w:val="auto"/>
                <w:sz w:val="24"/>
                <w:szCs w:val="24"/>
                <w:highlight w:val="none"/>
              </w:rPr>
            </w:pPr>
            <w:bookmarkStart w:id="201" w:name="OLE_LINK22"/>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须知前附表”第8项规定</w:t>
            </w:r>
            <w:bookmarkEnd w:id="201"/>
          </w:p>
        </w:tc>
      </w:tr>
      <w:tr w14:paraId="270F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17" w:type="dxa"/>
            <w:vMerge w:val="continue"/>
            <w:noWrap w:val="0"/>
            <w:vAlign w:val="center"/>
          </w:tcPr>
          <w:p w14:paraId="11A31792">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5AE7C276">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7AB3FCBF">
            <w:pPr>
              <w:tabs>
                <w:tab w:val="left" w:pos="54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供应商应为中小企业</w:t>
            </w:r>
          </w:p>
        </w:tc>
        <w:tc>
          <w:tcPr>
            <w:tcW w:w="5348" w:type="dxa"/>
            <w:noWrap w:val="0"/>
            <w:vAlign w:val="center"/>
          </w:tcPr>
          <w:p w14:paraId="79116BEA">
            <w:pPr>
              <w:tabs>
                <w:tab w:val="left" w:pos="54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根据第五章响应文件格式要求单独上传《中小企业声明函》。</w:t>
            </w:r>
          </w:p>
        </w:tc>
      </w:tr>
      <w:tr w14:paraId="4B20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center"/>
          </w:tcPr>
          <w:p w14:paraId="3F1F778A">
            <w:pPr>
              <w:tabs>
                <w:tab w:val="left" w:pos="54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134" w:type="dxa"/>
            <w:vMerge w:val="restart"/>
            <w:noWrap w:val="0"/>
            <w:vAlign w:val="center"/>
          </w:tcPr>
          <w:p w14:paraId="00C65EAF">
            <w:pPr>
              <w:tabs>
                <w:tab w:val="left" w:pos="54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符合性评审标准</w:t>
            </w:r>
          </w:p>
        </w:tc>
        <w:tc>
          <w:tcPr>
            <w:tcW w:w="2662" w:type="dxa"/>
            <w:noWrap w:val="0"/>
            <w:vAlign w:val="center"/>
          </w:tcPr>
          <w:p w14:paraId="4EC8EEC6">
            <w:pPr>
              <w:tabs>
                <w:tab w:val="left" w:pos="540"/>
              </w:tabs>
              <w:snapToGrid w:val="0"/>
              <w:spacing w:line="360" w:lineRule="auto"/>
              <w:jc w:val="center"/>
              <w:rPr>
                <w:rFonts w:hint="eastAsia" w:ascii="宋体" w:hAnsi="宋体" w:eastAsia="宋体" w:cs="宋体"/>
                <w:color w:val="auto"/>
                <w:sz w:val="24"/>
                <w:szCs w:val="24"/>
                <w:highlight w:val="none"/>
              </w:rPr>
            </w:pPr>
            <w:bookmarkStart w:id="202" w:name="OLE_LINK23"/>
            <w:r>
              <w:rPr>
                <w:rFonts w:hint="eastAsia" w:ascii="宋体" w:hAnsi="宋体" w:eastAsia="宋体" w:cs="宋体"/>
                <w:color w:val="auto"/>
                <w:sz w:val="24"/>
                <w:szCs w:val="24"/>
                <w:highlight w:val="none"/>
              </w:rPr>
              <w:t>磋商响应文件的递交时间</w:t>
            </w:r>
            <w:bookmarkEnd w:id="202"/>
          </w:p>
        </w:tc>
        <w:tc>
          <w:tcPr>
            <w:tcW w:w="5348" w:type="dxa"/>
            <w:noWrap w:val="0"/>
            <w:vAlign w:val="center"/>
          </w:tcPr>
          <w:p w14:paraId="47E121BC">
            <w:pPr>
              <w:tabs>
                <w:tab w:val="left" w:pos="540"/>
              </w:tabs>
              <w:snapToGrid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lang w:eastAsia="zh-CN"/>
              </w:rPr>
              <w:t>时30分</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（北京时间）</w:t>
            </w:r>
          </w:p>
        </w:tc>
      </w:tr>
      <w:tr w14:paraId="3A1F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5517577D">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1C030ED6">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09C8199D">
            <w:pPr>
              <w:tabs>
                <w:tab w:val="left" w:pos="540"/>
              </w:tabs>
              <w:snapToGrid w:val="0"/>
              <w:spacing w:line="360" w:lineRule="auto"/>
              <w:jc w:val="center"/>
              <w:rPr>
                <w:rFonts w:hint="eastAsia" w:ascii="宋体" w:hAnsi="宋体" w:eastAsia="宋体" w:cs="宋体"/>
                <w:color w:val="auto"/>
                <w:sz w:val="24"/>
                <w:szCs w:val="24"/>
                <w:highlight w:val="none"/>
              </w:rPr>
            </w:pPr>
            <w:bookmarkStart w:id="203" w:name="OLE_LINK24"/>
            <w:r>
              <w:rPr>
                <w:rFonts w:hint="eastAsia" w:ascii="宋体" w:hAnsi="宋体" w:eastAsia="宋体" w:cs="宋体"/>
                <w:color w:val="auto"/>
                <w:sz w:val="24"/>
                <w:szCs w:val="24"/>
                <w:highlight w:val="none"/>
              </w:rPr>
              <w:t>磋商函</w:t>
            </w:r>
            <w:bookmarkEnd w:id="203"/>
          </w:p>
        </w:tc>
        <w:tc>
          <w:tcPr>
            <w:tcW w:w="5348" w:type="dxa"/>
            <w:noWrap w:val="0"/>
            <w:vAlign w:val="center"/>
          </w:tcPr>
          <w:p w14:paraId="045B39BA">
            <w:pPr>
              <w:tabs>
                <w:tab w:val="left" w:pos="54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有法定代表人或其委托代理人签字</w:t>
            </w:r>
            <w:r>
              <w:rPr>
                <w:rFonts w:hint="eastAsia" w:ascii="宋体" w:hAnsi="宋体" w:eastAsia="宋体" w:cs="宋体"/>
                <w:color w:val="auto"/>
                <w:sz w:val="24"/>
                <w:szCs w:val="24"/>
                <w:highlight w:val="none"/>
                <w:lang w:eastAsia="zh-CN"/>
              </w:rPr>
              <w:t>或签章，并加盖磋商申请人</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rPr>
              <w:t>章</w:t>
            </w:r>
          </w:p>
        </w:tc>
      </w:tr>
      <w:tr w14:paraId="43CB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7" w:type="dxa"/>
            <w:vMerge w:val="continue"/>
            <w:noWrap w:val="0"/>
            <w:vAlign w:val="center"/>
          </w:tcPr>
          <w:p w14:paraId="392B5FD4">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3FBAF0A3">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37459043">
            <w:pPr>
              <w:tabs>
                <w:tab w:val="left" w:pos="540"/>
              </w:tabs>
              <w:snapToGrid w:val="0"/>
              <w:spacing w:line="360" w:lineRule="auto"/>
              <w:jc w:val="center"/>
              <w:rPr>
                <w:rFonts w:hint="eastAsia" w:ascii="宋体" w:hAnsi="宋体" w:eastAsia="宋体" w:cs="宋体"/>
                <w:color w:val="auto"/>
                <w:sz w:val="24"/>
                <w:szCs w:val="24"/>
                <w:highlight w:val="none"/>
              </w:rPr>
            </w:pPr>
            <w:bookmarkStart w:id="204" w:name="OLE_LINK25"/>
            <w:r>
              <w:rPr>
                <w:rFonts w:hint="eastAsia" w:ascii="宋体" w:hAnsi="宋体" w:eastAsia="宋体" w:cs="宋体"/>
                <w:color w:val="auto"/>
                <w:sz w:val="24"/>
                <w:szCs w:val="24"/>
                <w:highlight w:val="none"/>
              </w:rPr>
              <w:t>磋商申请人名称</w:t>
            </w:r>
            <w:bookmarkEnd w:id="204"/>
          </w:p>
        </w:tc>
        <w:tc>
          <w:tcPr>
            <w:tcW w:w="5348" w:type="dxa"/>
            <w:noWrap w:val="0"/>
            <w:vAlign w:val="center"/>
          </w:tcPr>
          <w:p w14:paraId="768EAC0E">
            <w:pPr>
              <w:tabs>
                <w:tab w:val="left" w:pos="54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与营业执照一致</w:t>
            </w:r>
          </w:p>
        </w:tc>
      </w:tr>
      <w:tr w14:paraId="2FA4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2140A3BF">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6B071783">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7B83CA95">
            <w:pPr>
              <w:tabs>
                <w:tab w:val="left" w:pos="540"/>
              </w:tabs>
              <w:snapToGrid w:val="0"/>
              <w:spacing w:line="360" w:lineRule="auto"/>
              <w:jc w:val="center"/>
              <w:rPr>
                <w:rFonts w:hint="eastAsia" w:ascii="宋体" w:hAnsi="宋体" w:eastAsia="宋体" w:cs="宋体"/>
                <w:color w:val="auto"/>
                <w:sz w:val="24"/>
                <w:szCs w:val="24"/>
                <w:highlight w:val="none"/>
              </w:rPr>
            </w:pPr>
            <w:bookmarkStart w:id="205" w:name="OLE_LINK26"/>
            <w:r>
              <w:rPr>
                <w:rFonts w:hint="eastAsia" w:ascii="宋体" w:hAnsi="宋体" w:eastAsia="宋体" w:cs="宋体"/>
                <w:color w:val="auto"/>
                <w:sz w:val="24"/>
                <w:szCs w:val="24"/>
                <w:highlight w:val="none"/>
              </w:rPr>
              <w:t>法定代表人身份证明书及授权委托书</w:t>
            </w:r>
            <w:bookmarkEnd w:id="205"/>
          </w:p>
        </w:tc>
        <w:tc>
          <w:tcPr>
            <w:tcW w:w="5348" w:type="dxa"/>
            <w:noWrap w:val="0"/>
            <w:vAlign w:val="center"/>
          </w:tcPr>
          <w:p w14:paraId="5914591F">
            <w:pPr>
              <w:tabs>
                <w:tab w:val="left" w:pos="54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符合竞争性磋商文件规定的格式及内容</w:t>
            </w:r>
          </w:p>
        </w:tc>
      </w:tr>
      <w:tr w14:paraId="77AA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042B0418">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7B2AE219">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3F239BA6">
            <w:pPr>
              <w:tabs>
                <w:tab w:val="left" w:pos="540"/>
              </w:tabs>
              <w:snapToGrid w:val="0"/>
              <w:spacing w:line="360" w:lineRule="auto"/>
              <w:jc w:val="center"/>
              <w:rPr>
                <w:rFonts w:hint="eastAsia" w:ascii="宋体" w:hAnsi="宋体" w:eastAsia="宋体" w:cs="宋体"/>
                <w:color w:val="auto"/>
                <w:sz w:val="24"/>
                <w:szCs w:val="24"/>
                <w:highlight w:val="none"/>
              </w:rPr>
            </w:pPr>
            <w:bookmarkStart w:id="206" w:name="OLE_LINK27"/>
            <w:r>
              <w:rPr>
                <w:rFonts w:hint="eastAsia" w:ascii="宋体" w:hAnsi="宋体" w:eastAsia="宋体" w:cs="宋体"/>
                <w:color w:val="auto"/>
                <w:sz w:val="24"/>
                <w:szCs w:val="24"/>
                <w:highlight w:val="none"/>
              </w:rPr>
              <w:t>磋商报价</w:t>
            </w:r>
            <w:bookmarkEnd w:id="206"/>
          </w:p>
        </w:tc>
        <w:tc>
          <w:tcPr>
            <w:tcW w:w="5348" w:type="dxa"/>
            <w:noWrap w:val="0"/>
            <w:vAlign w:val="center"/>
          </w:tcPr>
          <w:p w14:paraId="5A956B4C">
            <w:pPr>
              <w:tabs>
                <w:tab w:val="left" w:pos="54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未超过</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人的</w:t>
            </w:r>
            <w:r>
              <w:rPr>
                <w:rFonts w:hint="eastAsia" w:ascii="宋体" w:hAnsi="宋体" w:eastAsia="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磋商报价完整，且仅有一个有效报价（最后报价为有效报价）</w:t>
            </w:r>
          </w:p>
        </w:tc>
      </w:tr>
      <w:tr w14:paraId="7231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0143E4A3">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2AE73630">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5C946185">
            <w:pPr>
              <w:tabs>
                <w:tab w:val="left" w:pos="540"/>
              </w:tabs>
              <w:snapToGrid w:val="0"/>
              <w:spacing w:line="360" w:lineRule="auto"/>
              <w:jc w:val="center"/>
              <w:rPr>
                <w:rFonts w:hint="eastAsia" w:ascii="宋体" w:hAnsi="宋体" w:eastAsia="宋体" w:cs="宋体"/>
                <w:color w:val="auto"/>
                <w:sz w:val="24"/>
                <w:szCs w:val="24"/>
                <w:highlight w:val="none"/>
              </w:rPr>
            </w:pPr>
            <w:bookmarkStart w:id="207" w:name="OLE_LINK28"/>
            <w:r>
              <w:rPr>
                <w:rFonts w:hint="eastAsia" w:ascii="宋体" w:hAnsi="宋体" w:eastAsia="宋体" w:cs="宋体"/>
                <w:color w:val="auto"/>
                <w:sz w:val="24"/>
                <w:szCs w:val="24"/>
                <w:highlight w:val="none"/>
              </w:rPr>
              <w:t>磋商有效期</w:t>
            </w:r>
            <w:bookmarkEnd w:id="207"/>
          </w:p>
        </w:tc>
        <w:tc>
          <w:tcPr>
            <w:tcW w:w="5348" w:type="dxa"/>
            <w:noWrap w:val="0"/>
            <w:vAlign w:val="center"/>
          </w:tcPr>
          <w:p w14:paraId="21691660">
            <w:pPr>
              <w:tabs>
                <w:tab w:val="left" w:pos="54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须知前附表“第</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项规定</w:t>
            </w:r>
          </w:p>
        </w:tc>
      </w:tr>
      <w:tr w14:paraId="1C5C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17" w:type="dxa"/>
            <w:vMerge w:val="continue"/>
            <w:noWrap w:val="0"/>
            <w:vAlign w:val="center"/>
          </w:tcPr>
          <w:p w14:paraId="225284EC">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135F2777">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4070CFAF">
            <w:pPr>
              <w:tabs>
                <w:tab w:val="left" w:pos="540"/>
              </w:tabs>
              <w:snapToGrid w:val="0"/>
              <w:spacing w:line="360" w:lineRule="auto"/>
              <w:jc w:val="center"/>
              <w:rPr>
                <w:rFonts w:hint="eastAsia" w:ascii="宋体" w:hAnsi="宋体" w:eastAsia="宋体" w:cs="宋体"/>
                <w:color w:val="auto"/>
                <w:sz w:val="24"/>
                <w:szCs w:val="24"/>
                <w:highlight w:val="none"/>
              </w:rPr>
            </w:pPr>
            <w:bookmarkStart w:id="208" w:name="OLE_LINK29"/>
            <w:r>
              <w:rPr>
                <w:rFonts w:hint="eastAsia" w:ascii="宋体" w:hAnsi="宋体" w:eastAsia="宋体" w:cs="宋体"/>
                <w:color w:val="auto"/>
                <w:sz w:val="24"/>
                <w:szCs w:val="24"/>
                <w:highlight w:val="none"/>
              </w:rPr>
              <w:t>磋商响应文件份数</w:t>
            </w:r>
            <w:bookmarkEnd w:id="208"/>
          </w:p>
        </w:tc>
        <w:tc>
          <w:tcPr>
            <w:tcW w:w="5348" w:type="dxa"/>
            <w:noWrap w:val="0"/>
            <w:vAlign w:val="center"/>
          </w:tcPr>
          <w:p w14:paraId="5DDC3A65">
            <w:pPr>
              <w:tabs>
                <w:tab w:val="left" w:pos="54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须知前附表”第</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项规定</w:t>
            </w:r>
          </w:p>
        </w:tc>
      </w:tr>
      <w:tr w14:paraId="007B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1907B31F">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29CE0248">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7C1EFEE6">
            <w:pPr>
              <w:tabs>
                <w:tab w:val="left" w:pos="54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磋商内容               </w:t>
            </w:r>
          </w:p>
        </w:tc>
        <w:tc>
          <w:tcPr>
            <w:tcW w:w="5348" w:type="dxa"/>
            <w:noWrap w:val="0"/>
            <w:vAlign w:val="center"/>
          </w:tcPr>
          <w:p w14:paraId="3D400C6F">
            <w:pPr>
              <w:tabs>
                <w:tab w:val="left" w:pos="54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w:t>
            </w: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lang w:val="en-US" w:eastAsia="zh-CN"/>
              </w:rPr>
              <w:t>须知</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项规定</w:t>
            </w:r>
          </w:p>
        </w:tc>
      </w:tr>
      <w:tr w14:paraId="3893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17" w:type="dxa"/>
            <w:vMerge w:val="continue"/>
            <w:noWrap w:val="0"/>
            <w:vAlign w:val="center"/>
          </w:tcPr>
          <w:p w14:paraId="4A5D6879">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5BDDE57B">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0212D04E">
            <w:pPr>
              <w:tabs>
                <w:tab w:val="left" w:pos="540"/>
              </w:tabs>
              <w:snapToGrid w:val="0"/>
              <w:spacing w:line="360" w:lineRule="auto"/>
              <w:jc w:val="center"/>
              <w:rPr>
                <w:rFonts w:hint="eastAsia" w:ascii="宋体" w:hAnsi="宋体" w:eastAsia="宋体" w:cs="宋体"/>
                <w:color w:val="auto"/>
                <w:sz w:val="24"/>
                <w:szCs w:val="24"/>
                <w:highlight w:val="none"/>
              </w:rPr>
            </w:pPr>
            <w:bookmarkStart w:id="209" w:name="OLE_LINK30"/>
            <w:r>
              <w:rPr>
                <w:rFonts w:hint="eastAsia" w:ascii="宋体" w:hAnsi="宋体" w:eastAsia="宋体" w:cs="宋体"/>
                <w:color w:val="auto"/>
                <w:sz w:val="24"/>
                <w:szCs w:val="24"/>
                <w:highlight w:val="none"/>
              </w:rPr>
              <w:t>磋商响应文件比较</w:t>
            </w:r>
            <w:bookmarkEnd w:id="209"/>
          </w:p>
        </w:tc>
        <w:tc>
          <w:tcPr>
            <w:tcW w:w="5348" w:type="dxa"/>
            <w:noWrap w:val="0"/>
            <w:vAlign w:val="center"/>
          </w:tcPr>
          <w:p w14:paraId="7275A6D2">
            <w:pPr>
              <w:tabs>
                <w:tab w:val="left" w:pos="54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不同磋商申请人的磋商响应文件内容、数据50％以上雷同或其他明显串通磋商行为</w:t>
            </w:r>
          </w:p>
        </w:tc>
      </w:tr>
      <w:tr w14:paraId="4824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17" w:type="dxa"/>
            <w:vMerge w:val="continue"/>
            <w:noWrap w:val="0"/>
            <w:vAlign w:val="center"/>
          </w:tcPr>
          <w:p w14:paraId="167AF8C8">
            <w:pPr>
              <w:tabs>
                <w:tab w:val="left" w:pos="540"/>
              </w:tabs>
              <w:snapToGrid w:val="0"/>
              <w:spacing w:line="360" w:lineRule="auto"/>
              <w:jc w:val="center"/>
              <w:rPr>
                <w:rFonts w:hint="eastAsia" w:ascii="宋体" w:hAnsi="宋体" w:eastAsia="宋体" w:cs="宋体"/>
                <w:color w:val="auto"/>
                <w:sz w:val="24"/>
                <w:szCs w:val="24"/>
                <w:highlight w:val="none"/>
              </w:rPr>
            </w:pPr>
          </w:p>
        </w:tc>
        <w:tc>
          <w:tcPr>
            <w:tcW w:w="1134" w:type="dxa"/>
            <w:vMerge w:val="continue"/>
            <w:noWrap w:val="0"/>
            <w:vAlign w:val="center"/>
          </w:tcPr>
          <w:p w14:paraId="4C1A741F">
            <w:pPr>
              <w:tabs>
                <w:tab w:val="left" w:pos="540"/>
              </w:tabs>
              <w:snapToGrid w:val="0"/>
              <w:spacing w:line="360" w:lineRule="auto"/>
              <w:jc w:val="center"/>
              <w:rPr>
                <w:rFonts w:hint="eastAsia" w:ascii="宋体" w:hAnsi="宋体" w:eastAsia="宋体" w:cs="宋体"/>
                <w:color w:val="auto"/>
                <w:sz w:val="24"/>
                <w:szCs w:val="24"/>
                <w:highlight w:val="none"/>
              </w:rPr>
            </w:pPr>
          </w:p>
        </w:tc>
        <w:tc>
          <w:tcPr>
            <w:tcW w:w="2662" w:type="dxa"/>
            <w:noWrap w:val="0"/>
            <w:vAlign w:val="center"/>
          </w:tcPr>
          <w:p w14:paraId="780DFDF3">
            <w:pPr>
              <w:tabs>
                <w:tab w:val="left" w:pos="54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5348" w:type="dxa"/>
            <w:noWrap w:val="0"/>
            <w:vAlign w:val="center"/>
          </w:tcPr>
          <w:p w14:paraId="061193EF">
            <w:pPr>
              <w:tabs>
                <w:tab w:val="left" w:pos="54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符合竞争性磋商文件规定的其他要求</w:t>
            </w:r>
          </w:p>
        </w:tc>
      </w:tr>
      <w:tr w14:paraId="4E0E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17" w:type="dxa"/>
            <w:noWrap w:val="0"/>
            <w:vAlign w:val="center"/>
          </w:tcPr>
          <w:p w14:paraId="5CD74E4B">
            <w:pPr>
              <w:tabs>
                <w:tab w:val="left" w:pos="54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3796" w:type="dxa"/>
            <w:gridSpan w:val="2"/>
            <w:noWrap w:val="0"/>
            <w:vAlign w:val="center"/>
          </w:tcPr>
          <w:p w14:paraId="396A7D13">
            <w:pPr>
              <w:tabs>
                <w:tab w:val="left" w:pos="540"/>
              </w:tabs>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tc>
        <w:tc>
          <w:tcPr>
            <w:tcW w:w="5348" w:type="dxa"/>
            <w:noWrap w:val="0"/>
            <w:vAlign w:val="center"/>
          </w:tcPr>
          <w:p w14:paraId="250393C0">
            <w:pPr>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评审总得分=F1＋F2</w:t>
            </w:r>
            <w:r>
              <w:rPr>
                <w:rFonts w:hint="eastAsia" w:ascii="宋体" w:hAnsi="宋体" w:eastAsia="宋体" w:cs="宋体"/>
                <w:color w:val="auto"/>
                <w:sz w:val="24"/>
                <w:szCs w:val="24"/>
                <w:highlight w:val="none"/>
                <w:lang w:val="en-US" w:eastAsia="zh-CN"/>
              </w:rPr>
              <w:t>+F3</w:t>
            </w:r>
          </w:p>
          <w:p w14:paraId="40BE778E">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F1、F2</w:t>
            </w:r>
            <w:r>
              <w:rPr>
                <w:rFonts w:hint="eastAsia" w:ascii="宋体" w:hAnsi="宋体" w:eastAsia="宋体" w:cs="宋体"/>
                <w:color w:val="auto"/>
                <w:sz w:val="24"/>
                <w:szCs w:val="24"/>
                <w:highlight w:val="none"/>
                <w:lang w:val="en-US" w:eastAsia="zh-CN"/>
              </w:rPr>
              <w:t>、F3</w:t>
            </w:r>
            <w:r>
              <w:rPr>
                <w:rFonts w:hint="eastAsia" w:ascii="宋体" w:hAnsi="宋体" w:eastAsia="宋体" w:cs="宋体"/>
                <w:color w:val="auto"/>
                <w:sz w:val="24"/>
                <w:szCs w:val="24"/>
                <w:highlight w:val="none"/>
              </w:rPr>
              <w:t>分别为各项评分因素的汇总得分</w:t>
            </w:r>
          </w:p>
        </w:tc>
      </w:tr>
    </w:tbl>
    <w:p w14:paraId="7BCB1FDC">
      <w:pPr>
        <w:pStyle w:val="27"/>
        <w:ind w:left="0" w:leftChars="0" w:firstLine="0" w:firstLineChars="0"/>
        <w:rPr>
          <w:rFonts w:hint="eastAsia" w:ascii="宋体" w:hAnsi="宋体" w:eastAsia="宋体" w:cs="宋体"/>
          <w:b/>
          <w:color w:val="auto"/>
          <w:sz w:val="28"/>
          <w:szCs w:val="28"/>
          <w:highlight w:val="none"/>
        </w:rPr>
      </w:pPr>
    </w:p>
    <w:p w14:paraId="6DF2DA28">
      <w:pPr>
        <w:snapToGrid w:val="0"/>
        <w:spacing w:line="360" w:lineRule="auto"/>
        <w:ind w:firstLine="482" w:firstLineChars="200"/>
        <w:outlineLvl w:val="2"/>
        <w:rPr>
          <w:rFonts w:hint="eastAsia" w:ascii="宋体" w:hAnsi="宋体" w:eastAsia="宋体" w:cs="宋体"/>
          <w:b/>
          <w:color w:val="auto"/>
          <w:szCs w:val="24"/>
          <w:highlight w:val="none"/>
        </w:rPr>
      </w:pPr>
      <w:bookmarkStart w:id="210" w:name="_Toc31608"/>
      <w:bookmarkStart w:id="211" w:name="_Toc467057627"/>
      <w:r>
        <w:rPr>
          <w:rFonts w:hint="eastAsia" w:ascii="宋体" w:hAnsi="宋体" w:eastAsia="宋体" w:cs="宋体"/>
          <w:b/>
          <w:color w:val="auto"/>
          <w:szCs w:val="24"/>
          <w:highlight w:val="none"/>
        </w:rPr>
        <w:t>1.评审方法</w:t>
      </w:r>
      <w:bookmarkEnd w:id="210"/>
    </w:p>
    <w:p w14:paraId="13521230">
      <w:pPr>
        <w:tabs>
          <w:tab w:val="left" w:pos="540"/>
        </w:tabs>
        <w:snapToGrid w:val="0"/>
        <w:spacing w:line="360" w:lineRule="auto"/>
        <w:ind w:right="-334"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根据《中华人民共和国政府采购法》《中华人民共和国政府采购法实施条例》《政府采购竞争性磋商采购方式管理暂行办法》及云南省行业相关文件规定制定本方法。</w:t>
      </w:r>
    </w:p>
    <w:p w14:paraId="59853313">
      <w:pPr>
        <w:tabs>
          <w:tab w:val="left" w:pos="540"/>
        </w:tabs>
        <w:snapToGrid w:val="0"/>
        <w:spacing w:line="360" w:lineRule="auto"/>
        <w:ind w:right="-334" w:firstLine="482" w:firstLineChars="200"/>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本次评审采用综合评分法。</w:t>
      </w:r>
      <w:r>
        <w:rPr>
          <w:rFonts w:hint="eastAsia" w:ascii="宋体" w:hAnsi="宋体" w:eastAsia="宋体" w:cs="宋体"/>
          <w:color w:val="auto"/>
          <w:szCs w:val="24"/>
          <w:highlight w:val="none"/>
        </w:rPr>
        <w:t>磋商小组对满足竞争性磋商文件初步响应文件，按照本章详细评审规定的评分标准进行打分，然后将每个</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各项评分因素的得分汇总后计算所有评委独立评分的算术平均值，得出每个</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的总得分，按总得分由高至低的顺序推荐</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候选人排序；如评审总得分相等时，按最后报价由低至高顺序排序；如评审总得分相等且最后报价相同时，按技术部分得分高低顺序排序。</w:t>
      </w:r>
    </w:p>
    <w:p w14:paraId="5833B4D3">
      <w:pPr>
        <w:snapToGrid w:val="0"/>
        <w:spacing w:line="360" w:lineRule="auto"/>
        <w:ind w:firstLine="482" w:firstLineChars="200"/>
        <w:outlineLvl w:val="2"/>
        <w:rPr>
          <w:rFonts w:hint="eastAsia" w:ascii="宋体" w:hAnsi="宋体" w:eastAsia="宋体" w:cs="宋体"/>
          <w:b/>
          <w:color w:val="auto"/>
          <w:szCs w:val="24"/>
          <w:highlight w:val="none"/>
        </w:rPr>
      </w:pPr>
      <w:bookmarkStart w:id="212" w:name="_Toc31121"/>
      <w:r>
        <w:rPr>
          <w:rFonts w:hint="eastAsia" w:ascii="宋体" w:hAnsi="宋体" w:eastAsia="宋体" w:cs="宋体"/>
          <w:b/>
          <w:color w:val="auto"/>
          <w:szCs w:val="24"/>
          <w:highlight w:val="none"/>
        </w:rPr>
        <w:t>2.评审标准</w:t>
      </w:r>
      <w:bookmarkEnd w:id="212"/>
    </w:p>
    <w:p w14:paraId="6AD2AE71">
      <w:pPr>
        <w:snapToGrid w:val="0"/>
        <w:spacing w:line="360" w:lineRule="auto"/>
        <w:ind w:firstLine="482" w:firstLineChars="200"/>
        <w:outlineLvl w:val="3"/>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 初步评审标准</w:t>
      </w:r>
    </w:p>
    <w:p w14:paraId="17D41582">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资格评审标准：依据法律法规和竞争性磋商文件的规定，对响应文件中的资格证明文件、磋商保证金等进行审查，见评审方法前附表。</w:t>
      </w:r>
    </w:p>
    <w:p w14:paraId="39815143">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 符合性评审标准：依据竞争性磋商文件的规定，从响应文件的有效性、完整性和对竞争性磋商文件的响应程度进行审查，见评审方法前附表。</w:t>
      </w:r>
    </w:p>
    <w:p w14:paraId="030EFD5D">
      <w:pPr>
        <w:snapToGrid w:val="0"/>
        <w:spacing w:line="360" w:lineRule="auto"/>
        <w:ind w:firstLine="482" w:firstLineChars="200"/>
        <w:outlineLvl w:val="3"/>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 分值构成与评分标准</w:t>
      </w:r>
    </w:p>
    <w:p w14:paraId="1A8FF7EC">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按竞争性磋商文件中规定的评审方法和标准，对初步评审（资格评审和符合性评审）合格的响应文件进行商务和技术的详细评审，综合比较与评价，分值构成与评分标准如下表：</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1843"/>
        <w:gridCol w:w="5387"/>
      </w:tblGrid>
      <w:tr w14:paraId="1A6A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gridSpan w:val="2"/>
            <w:noWrap w:val="0"/>
            <w:vAlign w:val="center"/>
          </w:tcPr>
          <w:p w14:paraId="774C280D">
            <w:pPr>
              <w:snapToGrid w:val="0"/>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条款号</w:t>
            </w:r>
          </w:p>
        </w:tc>
        <w:tc>
          <w:tcPr>
            <w:tcW w:w="1843" w:type="dxa"/>
            <w:noWrap w:val="0"/>
            <w:vAlign w:val="center"/>
          </w:tcPr>
          <w:p w14:paraId="3F6BCCD5">
            <w:pPr>
              <w:snapToGrid w:val="0"/>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评分因素</w:t>
            </w:r>
          </w:p>
        </w:tc>
        <w:tc>
          <w:tcPr>
            <w:tcW w:w="5387" w:type="dxa"/>
            <w:noWrap w:val="0"/>
            <w:vAlign w:val="center"/>
          </w:tcPr>
          <w:p w14:paraId="125EE27B">
            <w:pPr>
              <w:snapToGrid w:val="0"/>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评分标准</w:t>
            </w:r>
          </w:p>
        </w:tc>
      </w:tr>
      <w:tr w14:paraId="5E0E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1DC8671">
            <w:pPr>
              <w:snapToGrid w:val="0"/>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w:t>
            </w:r>
          </w:p>
        </w:tc>
        <w:tc>
          <w:tcPr>
            <w:tcW w:w="2126" w:type="dxa"/>
            <w:noWrap w:val="0"/>
            <w:vAlign w:val="center"/>
          </w:tcPr>
          <w:p w14:paraId="716AFB53">
            <w:pPr>
              <w:snapToGrid w:val="0"/>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磋商报价</w:t>
            </w:r>
            <w:r>
              <w:rPr>
                <w:rFonts w:hint="eastAsia" w:ascii="宋体" w:hAnsi="宋体" w:eastAsia="宋体" w:cs="宋体"/>
                <w:color w:val="auto"/>
                <w:szCs w:val="24"/>
                <w:highlight w:val="none"/>
                <w:lang w:val="en-US" w:eastAsia="zh-CN"/>
              </w:rPr>
              <w:t>F1</w:t>
            </w:r>
          </w:p>
          <w:p w14:paraId="416E10C4">
            <w:pPr>
              <w:snapToGrid w:val="0"/>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（满分</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分）</w:t>
            </w:r>
          </w:p>
        </w:tc>
        <w:tc>
          <w:tcPr>
            <w:tcW w:w="1843" w:type="dxa"/>
            <w:noWrap w:val="0"/>
            <w:vAlign w:val="center"/>
          </w:tcPr>
          <w:p w14:paraId="6591FE52">
            <w:pPr>
              <w:snapToGrid w:val="0"/>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磋商报价</w:t>
            </w:r>
          </w:p>
          <w:p w14:paraId="6EC7F8CC">
            <w:pPr>
              <w:snapToGrid w:val="0"/>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分）</w:t>
            </w:r>
          </w:p>
        </w:tc>
        <w:tc>
          <w:tcPr>
            <w:tcW w:w="5387" w:type="dxa"/>
            <w:noWrap w:val="0"/>
            <w:vAlign w:val="center"/>
          </w:tcPr>
          <w:p w14:paraId="2C7D581C">
            <w:pPr>
              <w:snapToGrid w:val="0"/>
              <w:spacing w:line="360" w:lineRule="auto"/>
              <w:rPr>
                <w:rFonts w:hint="eastAsia" w:ascii="宋体" w:hAnsi="宋体" w:eastAsia="宋体" w:cs="宋体"/>
                <w:color w:val="auto"/>
                <w:szCs w:val="24"/>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szCs w:val="24"/>
                <w:highlight w:val="none"/>
              </w:rPr>
              <w:t xml:space="preserve">1.磋商基准价：满足磋商文件要求且最终磋商报价最低的有效磋商响应报价； </w:t>
            </w:r>
          </w:p>
          <w:p w14:paraId="1D875BC3">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得分保留小数点后两位</w:t>
            </w:r>
            <w:r>
              <w:rPr>
                <w:rFonts w:hint="eastAsia" w:ascii="宋体" w:hAnsi="宋体" w:eastAsia="宋体" w:cs="宋体"/>
                <w:color w:val="auto"/>
                <w:szCs w:val="24"/>
                <w:highlight w:val="none"/>
                <w:lang w:eastAsia="zh-CN"/>
              </w:rPr>
              <w:t>有效数字</w:t>
            </w:r>
            <w:r>
              <w:rPr>
                <w:rFonts w:hint="eastAsia" w:ascii="宋体" w:hAnsi="宋体" w:eastAsia="宋体" w:cs="宋体"/>
                <w:color w:val="auto"/>
                <w:szCs w:val="24"/>
                <w:highlight w:val="none"/>
              </w:rPr>
              <w:t>。</w:t>
            </w:r>
          </w:p>
          <w:p w14:paraId="62F299BC">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2.得分计算：满足磋商文件要求且磋商价格最低的有效磋商响应报价，其报价分为</w:t>
            </w:r>
            <w:r>
              <w:rPr>
                <w:rFonts w:hint="eastAsia" w:ascii="宋体" w:hAnsi="宋体" w:eastAsia="宋体" w:cs="宋体"/>
                <w:color w:val="auto"/>
                <w:szCs w:val="24"/>
                <w:highlight w:val="none"/>
                <w:lang w:eastAsia="zh-CN"/>
              </w:rPr>
              <w:t>满分</w:t>
            </w:r>
            <w:r>
              <w:rPr>
                <w:rFonts w:hint="eastAsia" w:ascii="宋体" w:hAnsi="宋体" w:eastAsia="宋体" w:cs="宋体"/>
                <w:color w:val="auto"/>
                <w:szCs w:val="24"/>
                <w:highlight w:val="none"/>
              </w:rPr>
              <w:t>。其他</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的报价得分统一按照下列公式计算：</w:t>
            </w:r>
          </w:p>
          <w:p w14:paraId="27BB697C">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磋商报价得分=(磋商基准价／最后磋商报价)×</w:t>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0</w:t>
            </w:r>
          </w:p>
          <w:p w14:paraId="4BFFE7AB">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项目评审过程中，不得去掉最后报价中的最高报价和最低报价。</w:t>
            </w:r>
          </w:p>
          <w:p w14:paraId="4833D9F4">
            <w:pPr>
              <w:numPr>
                <w:ilvl w:val="0"/>
                <w:numId w:val="0"/>
              </w:numPr>
              <w:snapToGrid w:val="0"/>
              <w:spacing w:line="360" w:lineRule="auto"/>
              <w:ind w:left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磋商响应报价超预算的其报价得分为0分。（注： 有效磋商响应报价指最后磋商报价）。</w:t>
            </w:r>
          </w:p>
          <w:p w14:paraId="7419E34B">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（一）价格扣除评分优惠政策</w:t>
            </w:r>
          </w:p>
          <w:p w14:paraId="7F94ADD8">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（1）小型和微型企业价格扣除评分优惠政策</w:t>
            </w:r>
          </w:p>
          <w:p w14:paraId="448809FA">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根据《政府采购促进中小企业发展管理办法》（财库〔2020〕46号）、《财政部关于进一步加大政府采购支持中小企业力度的通知》（财库[2022]19号）的规定，对符合条件的小型和微型磋商申请人，在磋商报价评分时给予磋商报价</w:t>
            </w:r>
            <w:r>
              <w:rPr>
                <w:rFonts w:hint="eastAsia" w:ascii="宋体" w:hAnsi="宋体" w:cs="宋体"/>
                <w:b/>
                <w:color w:val="auto"/>
                <w:kern w:val="2"/>
                <w:sz w:val="24"/>
                <w:szCs w:val="24"/>
                <w:highlight w:val="none"/>
                <w:lang w:val="en-US" w:eastAsia="zh-CN"/>
              </w:rPr>
              <w:t>3%</w:t>
            </w:r>
            <w:r>
              <w:rPr>
                <w:rFonts w:hint="eastAsia" w:ascii="宋体" w:hAnsi="宋体" w:eastAsia="宋体" w:cs="宋体"/>
                <w:b/>
                <w:color w:val="auto"/>
                <w:kern w:val="2"/>
                <w:sz w:val="24"/>
                <w:szCs w:val="24"/>
                <w:highlight w:val="none"/>
                <w:lang w:val="en-US" w:eastAsia="zh-CN"/>
              </w:rPr>
              <w:t>的扣除，用扣除后的磋商报价参与磋商报价评分，磋商申请人应按上述规定提供“中小企业声明函”，方可对其报价给予</w:t>
            </w:r>
            <w:r>
              <w:rPr>
                <w:rFonts w:hint="eastAsia" w:ascii="宋体" w:hAnsi="宋体" w:cs="宋体"/>
                <w:b/>
                <w:color w:val="auto"/>
                <w:kern w:val="2"/>
                <w:sz w:val="24"/>
                <w:szCs w:val="24"/>
                <w:highlight w:val="none"/>
                <w:lang w:val="en-US" w:eastAsia="zh-CN"/>
              </w:rPr>
              <w:t>3%</w:t>
            </w:r>
            <w:r>
              <w:rPr>
                <w:rFonts w:hint="eastAsia" w:ascii="宋体" w:hAnsi="宋体" w:eastAsia="宋体" w:cs="宋体"/>
                <w:b/>
                <w:color w:val="auto"/>
                <w:kern w:val="2"/>
                <w:sz w:val="24"/>
                <w:szCs w:val="24"/>
                <w:highlight w:val="none"/>
                <w:lang w:val="en-US" w:eastAsia="zh-CN"/>
              </w:rPr>
              <w:t>的扣除。</w:t>
            </w:r>
          </w:p>
          <w:p w14:paraId="4B5B12BB">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（2）监狱企业价格扣除评分优惠政策</w:t>
            </w:r>
          </w:p>
          <w:p w14:paraId="40C8DD21">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根据《关于政府采购支持监狱企业发展有关问题的通知》（财库[2014]68号）的规定，监狱企业参与本项目磋商时，视同小型、微型企业享受价格扣除等优惠政策。</w:t>
            </w:r>
          </w:p>
          <w:p w14:paraId="645A3E4E">
            <w:pPr>
              <w:pStyle w:val="30"/>
              <w:snapToGrid w:val="0"/>
              <w:spacing w:line="360" w:lineRule="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（3）残疾人福利性单位价格扣除评分优惠政策</w:t>
            </w:r>
          </w:p>
          <w:p w14:paraId="2FAEBFA0">
            <w:pPr>
              <w:pStyle w:val="30"/>
              <w:snapToGrid w:val="0"/>
              <w:spacing w:line="360" w:lineRule="auto"/>
              <w:rPr>
                <w:rFonts w:hint="eastAsia" w:ascii="宋体" w:hAnsi="宋体" w:eastAsia="宋体" w:cs="宋体"/>
                <w:color w:val="auto"/>
                <w:highlight w:val="none"/>
              </w:rPr>
            </w:pPr>
            <w:r>
              <w:rPr>
                <w:rFonts w:hint="eastAsia" w:ascii="宋体" w:hAnsi="宋体" w:eastAsia="宋体" w:cs="宋体"/>
                <w:b/>
                <w:color w:val="auto"/>
                <w:kern w:val="2"/>
                <w:sz w:val="24"/>
                <w:szCs w:val="24"/>
                <w:highlight w:val="none"/>
                <w:lang w:val="en-US" w:eastAsia="zh-CN"/>
              </w:rPr>
              <w:t>根据《关于促进残疾人就业政府采购政策的通知》（财库[2017]141号）的规定，残疾人福利性单位参与本项目磋商时，视同小型、微型企业享受价格扣除等优惠政策。</w:t>
            </w:r>
          </w:p>
        </w:tc>
      </w:tr>
      <w:tr w14:paraId="240C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817" w:type="dxa"/>
            <w:vMerge w:val="restart"/>
            <w:noWrap w:val="0"/>
            <w:vAlign w:val="center"/>
          </w:tcPr>
          <w:p w14:paraId="327AEC72">
            <w:pPr>
              <w:snapToGrid w:val="0"/>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w:t>
            </w:r>
          </w:p>
        </w:tc>
        <w:tc>
          <w:tcPr>
            <w:tcW w:w="2126" w:type="dxa"/>
            <w:vMerge w:val="restart"/>
            <w:noWrap w:val="0"/>
            <w:vAlign w:val="center"/>
          </w:tcPr>
          <w:p w14:paraId="1D54D2BA">
            <w:pPr>
              <w:snapToGrid w:val="0"/>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技术部分</w:t>
            </w:r>
            <w:r>
              <w:rPr>
                <w:rFonts w:hint="eastAsia" w:ascii="宋体" w:hAnsi="宋体" w:eastAsia="宋体" w:cs="宋体"/>
                <w:color w:val="auto"/>
                <w:szCs w:val="24"/>
                <w:highlight w:val="none"/>
                <w:lang w:val="en-US" w:eastAsia="zh-CN"/>
              </w:rPr>
              <w:t>F2</w:t>
            </w:r>
          </w:p>
          <w:p w14:paraId="768CA2E1">
            <w:pPr>
              <w:snapToGrid w:val="0"/>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（满分</w:t>
            </w:r>
            <w:r>
              <w:rPr>
                <w:rFonts w:hint="eastAsia" w:ascii="宋体" w:hAnsi="宋体" w:eastAsia="宋体" w:cs="宋体"/>
                <w:color w:val="auto"/>
                <w:szCs w:val="24"/>
                <w:highlight w:val="none"/>
                <w:lang w:val="en-US" w:eastAsia="zh-CN"/>
              </w:rPr>
              <w:t>85</w:t>
            </w:r>
            <w:r>
              <w:rPr>
                <w:rFonts w:hint="eastAsia" w:ascii="宋体" w:hAnsi="宋体" w:eastAsia="宋体" w:cs="宋体"/>
                <w:color w:val="auto"/>
                <w:szCs w:val="24"/>
                <w:highlight w:val="none"/>
              </w:rPr>
              <w:t>分）</w:t>
            </w:r>
          </w:p>
        </w:tc>
        <w:tc>
          <w:tcPr>
            <w:tcW w:w="1843" w:type="dxa"/>
            <w:shd w:val="clear" w:color="auto" w:fill="auto"/>
            <w:noWrap w:val="0"/>
            <w:vAlign w:val="center"/>
          </w:tcPr>
          <w:p w14:paraId="76154A87">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施工技术方案评审评分</w:t>
            </w:r>
          </w:p>
          <w:p w14:paraId="64DD373E">
            <w:pPr>
              <w:keepNext w:val="0"/>
              <w:keepLines w:val="0"/>
              <w:widowControl/>
              <w:suppressLineNumbers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10 分）</w:t>
            </w:r>
          </w:p>
          <w:p w14:paraId="778485B6">
            <w:pPr>
              <w:keepNext w:val="0"/>
              <w:keepLines w:val="0"/>
              <w:pageBreakBefore w:val="0"/>
              <w:widowControl w:val="0"/>
              <w:kinsoku/>
              <w:wordWrap/>
              <w:overflowPunct/>
              <w:topLinePunct w:val="0"/>
              <w:autoSpaceDE/>
              <w:autoSpaceDN w:val="0"/>
              <w:bidi w:val="0"/>
              <w:adjustRightInd/>
              <w:snapToGrid/>
              <w:spacing w:line="240" w:lineRule="auto"/>
              <w:ind w:firstLine="0" w:firstLineChars="0"/>
              <w:jc w:val="center"/>
              <w:textAlignment w:val="center"/>
              <w:rPr>
                <w:rFonts w:hint="eastAsia" w:ascii="宋体" w:hAnsi="宋体" w:eastAsia="宋体" w:cs="宋体"/>
                <w:color w:val="auto"/>
                <w:sz w:val="24"/>
                <w:szCs w:val="24"/>
                <w:highlight w:val="none"/>
                <w:lang w:val="en-US" w:eastAsia="zh-CN" w:bidi="ar-SA"/>
              </w:rPr>
            </w:pPr>
          </w:p>
        </w:tc>
        <w:tc>
          <w:tcPr>
            <w:tcW w:w="5387" w:type="dxa"/>
            <w:shd w:val="clear" w:color="auto" w:fill="auto"/>
            <w:noWrap w:val="0"/>
            <w:vAlign w:val="center"/>
          </w:tcPr>
          <w:p w14:paraId="33C976BE">
            <w:pPr>
              <w:spacing w:after="0"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第一个档次（10分）：施工技术方案合理且能指导施工，施工措施具体且有针对性，施工部署全面，内容详尽、明确、合理、可行、针对性和操作性强，能够满足项目需求； </w:t>
            </w:r>
          </w:p>
          <w:p w14:paraId="66E50CA6">
            <w:pPr>
              <w:spacing w:after="0"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第二个档次（8分）：施工技术方案合理，对施工指导性较好，施工措施较为具体，针对性较好，施工部署较全面，内容较完整，针对性和操作性较好； </w:t>
            </w:r>
          </w:p>
          <w:p w14:paraId="1944A0CF">
            <w:pPr>
              <w:spacing w:after="0"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第三个档次（6分）：施工技术方案合理但对施工指导性一般，施工措施具体但针对性一般，施工部署一般，内容基本完整，针对性和操作性一般； </w:t>
            </w:r>
          </w:p>
          <w:p w14:paraId="5F8A5283">
            <w:pPr>
              <w:spacing w:after="0"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第四个档次（4分）：施工技术方案基本合理、对施工缺乏指导性，施工措施、施工部署基本合理但存在一些问题的，内容基本完整、部分内容欠佳的，有一定操作性； </w:t>
            </w:r>
          </w:p>
          <w:p w14:paraId="2BB9730A">
            <w:pPr>
              <w:spacing w:after="0" w:line="3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第五个档次（2分）：施工技术方案、施工措施、施工部署存在有明显错误的； </w:t>
            </w:r>
          </w:p>
          <w:p w14:paraId="53F7327B">
            <w:pPr>
              <w:spacing w:after="0" w:line="3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无施工技术方案的不得分。</w:t>
            </w:r>
          </w:p>
        </w:tc>
      </w:tr>
      <w:tr w14:paraId="214A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1AAD892">
            <w:pPr>
              <w:snapToGrid w:val="0"/>
              <w:spacing w:line="360" w:lineRule="auto"/>
              <w:jc w:val="center"/>
              <w:rPr>
                <w:rFonts w:hint="eastAsia" w:ascii="宋体" w:hAnsi="宋体" w:eastAsia="宋体" w:cs="宋体"/>
                <w:color w:val="auto"/>
                <w:szCs w:val="24"/>
                <w:highlight w:val="none"/>
              </w:rPr>
            </w:pPr>
          </w:p>
        </w:tc>
        <w:tc>
          <w:tcPr>
            <w:tcW w:w="2126" w:type="dxa"/>
            <w:vMerge w:val="continue"/>
            <w:noWrap w:val="0"/>
            <w:vAlign w:val="center"/>
          </w:tcPr>
          <w:p w14:paraId="3F3F7587">
            <w:pPr>
              <w:snapToGrid w:val="0"/>
              <w:spacing w:line="360" w:lineRule="auto"/>
              <w:jc w:val="center"/>
              <w:rPr>
                <w:rFonts w:hint="eastAsia" w:ascii="宋体" w:hAnsi="宋体" w:eastAsia="宋体" w:cs="宋体"/>
                <w:color w:val="auto"/>
                <w:szCs w:val="24"/>
                <w:highlight w:val="none"/>
              </w:rPr>
            </w:pPr>
          </w:p>
        </w:tc>
        <w:tc>
          <w:tcPr>
            <w:tcW w:w="1843" w:type="dxa"/>
            <w:shd w:val="clear" w:color="auto" w:fill="auto"/>
            <w:noWrap w:val="0"/>
            <w:vAlign w:val="center"/>
          </w:tcPr>
          <w:p w14:paraId="510F390D">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施工主要工序评审评分</w:t>
            </w:r>
          </w:p>
          <w:p w14:paraId="2E318456">
            <w:pPr>
              <w:keepNext w:val="0"/>
              <w:keepLines w:val="0"/>
              <w:widowControl/>
              <w:suppressLineNumbers w:val="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（10分）</w:t>
            </w:r>
          </w:p>
          <w:p w14:paraId="11DECBA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4"/>
                <w:szCs w:val="24"/>
                <w:highlight w:val="none"/>
                <w:lang w:val="en-US" w:eastAsia="zh-CN" w:bidi="ar-SA"/>
              </w:rPr>
            </w:pPr>
          </w:p>
        </w:tc>
        <w:tc>
          <w:tcPr>
            <w:tcW w:w="5387" w:type="dxa"/>
            <w:shd w:val="clear" w:color="auto" w:fill="auto"/>
            <w:noWrap w:val="0"/>
            <w:vAlign w:val="center"/>
          </w:tcPr>
          <w:p w14:paraId="3BAE5937">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第一个档次（10 分）：施工主要工序阐述明细、全面、合理，主要工种施工方法得当，且对本次项目的关键技术、工艺有明确、深入的表述，对施工重点、难点有合理、经济、安全的解决方案和可行保证措施的； </w:t>
            </w:r>
          </w:p>
          <w:p w14:paraId="42B422A7">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第二个档次（8 分）：施工主要工序阐述全面、合理，主要工种施工方法基本得当，且对本次项目的关键技术、工艺有明确的表述，对施工重点、难点有合理的解决方案，保证措施基本可行的； </w:t>
            </w:r>
          </w:p>
          <w:p w14:paraId="3AC5F354">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第三个档次（6 分）：施工主要工序阐述全面、基本合理，有主要工种施工方法，且对本次项目的关键技术、工艺有一定了解，对施工重点、难点有建议，解决方案和保证措施基本可行的； </w:t>
            </w:r>
          </w:p>
          <w:p w14:paraId="0AF4F6CC">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第四个档次（4 分）：施工主要工序阐述基本全面，且对本次项目的关键技术、工艺有一定了解，对施工重点、难点有建议，但解决方案和保证措施可行性一般的； </w:t>
            </w:r>
          </w:p>
          <w:p w14:paraId="2F6A4EA2">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第五个档次（2 分）：施工主要工序阐述不全面，且对本次项目的关键技术、工艺缺乏了解，对施工重点、难点分析不到位的； </w:t>
            </w:r>
          </w:p>
          <w:p w14:paraId="56F7FDA2">
            <w:pPr>
              <w:spacing w:after="0" w:line="3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无施工主要工序阐述的不得分。</w:t>
            </w:r>
          </w:p>
        </w:tc>
      </w:tr>
      <w:tr w14:paraId="40FC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8519950">
            <w:pPr>
              <w:snapToGrid w:val="0"/>
              <w:spacing w:line="360" w:lineRule="auto"/>
              <w:jc w:val="center"/>
              <w:rPr>
                <w:rFonts w:hint="eastAsia" w:ascii="宋体" w:hAnsi="宋体" w:eastAsia="宋体" w:cs="宋体"/>
                <w:color w:val="auto"/>
                <w:szCs w:val="24"/>
                <w:highlight w:val="none"/>
              </w:rPr>
            </w:pPr>
          </w:p>
        </w:tc>
        <w:tc>
          <w:tcPr>
            <w:tcW w:w="2126" w:type="dxa"/>
            <w:vMerge w:val="continue"/>
            <w:noWrap w:val="0"/>
            <w:vAlign w:val="center"/>
          </w:tcPr>
          <w:p w14:paraId="08586240">
            <w:pPr>
              <w:snapToGrid w:val="0"/>
              <w:spacing w:line="360" w:lineRule="auto"/>
              <w:jc w:val="center"/>
              <w:rPr>
                <w:rFonts w:hint="eastAsia" w:ascii="宋体" w:hAnsi="宋体" w:eastAsia="宋体" w:cs="宋体"/>
                <w:color w:val="auto"/>
                <w:szCs w:val="24"/>
                <w:highlight w:val="none"/>
              </w:rPr>
            </w:pPr>
          </w:p>
        </w:tc>
        <w:tc>
          <w:tcPr>
            <w:tcW w:w="1843" w:type="dxa"/>
            <w:shd w:val="clear" w:color="auto" w:fill="auto"/>
            <w:noWrap w:val="0"/>
            <w:vAlign w:val="center"/>
          </w:tcPr>
          <w:p w14:paraId="5075A445">
            <w:pPr>
              <w:spacing w:after="0" w:line="3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质量承诺及保证措施评审评分</w:t>
            </w:r>
          </w:p>
          <w:p w14:paraId="2197A765">
            <w:pPr>
              <w:spacing w:after="0"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p>
          <w:p w14:paraId="301C6BE1">
            <w:pPr>
              <w:spacing w:after="0" w:line="300" w:lineRule="exact"/>
              <w:jc w:val="center"/>
              <w:rPr>
                <w:rFonts w:hint="eastAsia" w:ascii="宋体" w:hAnsi="宋体" w:eastAsia="宋体" w:cs="宋体"/>
                <w:color w:val="auto"/>
                <w:sz w:val="24"/>
                <w:szCs w:val="24"/>
                <w:highlight w:val="none"/>
                <w:lang w:val="en-US" w:eastAsia="zh-CN" w:bidi="ar-SA"/>
              </w:rPr>
            </w:pPr>
          </w:p>
        </w:tc>
        <w:tc>
          <w:tcPr>
            <w:tcW w:w="5387" w:type="dxa"/>
            <w:shd w:val="clear" w:color="auto" w:fill="auto"/>
            <w:noWrap w:val="0"/>
            <w:vAlign w:val="center"/>
          </w:tcPr>
          <w:p w14:paraId="6C2F0B1C">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第一个档次（10 分）：质量承诺满足采购文件且有具体的违约责任承诺，质量保证措施严格按采购文件要求的施工技术规范、标准编制且针对性好的； </w:t>
            </w:r>
          </w:p>
          <w:p w14:paraId="3DF73330">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第二个档次（8 分）：质量承诺满足采购文件且有具体的违约责任承诺，质量保证措施达到采购文件要求的施工技术规范、标准但针对性一般的； </w:t>
            </w:r>
          </w:p>
          <w:p w14:paraId="09731D44">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第三个档次（6 分）：质量承诺满足采购文件且有具体的违约责任承诺，质量保证措施基本达到采购文件要求的施工技术规范、标准但明显缺乏针对性的； </w:t>
            </w:r>
          </w:p>
          <w:p w14:paraId="29B57393">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第四个档次（4 分）：质量承诺满足采购文件但违约责任承诺不具体，质量保证措施基本达到采购文件要求的施工技术规范、标准但有重大缺陷或错漏的； </w:t>
            </w:r>
          </w:p>
          <w:p w14:paraId="153B00A1">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第五个档次（2 分）：质量承诺部分满足采购文件，违约责任承诺不具体，质量保证措施不能达到采购文件要求的施工技术规范、标准的； </w:t>
            </w:r>
          </w:p>
          <w:p w14:paraId="47AC50FD">
            <w:pPr>
              <w:spacing w:after="0" w:line="3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无质量承诺及保证措施的不得分。</w:t>
            </w:r>
          </w:p>
        </w:tc>
      </w:tr>
      <w:tr w14:paraId="3D63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3C0EE69">
            <w:pPr>
              <w:snapToGrid w:val="0"/>
              <w:spacing w:line="360" w:lineRule="auto"/>
              <w:jc w:val="center"/>
              <w:rPr>
                <w:rFonts w:hint="eastAsia" w:ascii="宋体" w:hAnsi="宋体" w:eastAsia="宋体" w:cs="宋体"/>
                <w:color w:val="auto"/>
                <w:szCs w:val="24"/>
                <w:highlight w:val="none"/>
              </w:rPr>
            </w:pPr>
          </w:p>
        </w:tc>
        <w:tc>
          <w:tcPr>
            <w:tcW w:w="2126" w:type="dxa"/>
            <w:vMerge w:val="continue"/>
            <w:noWrap w:val="0"/>
            <w:vAlign w:val="center"/>
          </w:tcPr>
          <w:p w14:paraId="65586FB1">
            <w:pPr>
              <w:snapToGrid w:val="0"/>
              <w:spacing w:line="360" w:lineRule="auto"/>
              <w:jc w:val="center"/>
              <w:rPr>
                <w:rFonts w:hint="eastAsia" w:ascii="宋体" w:hAnsi="宋体" w:eastAsia="宋体" w:cs="宋体"/>
                <w:color w:val="auto"/>
                <w:szCs w:val="24"/>
                <w:highlight w:val="none"/>
              </w:rPr>
            </w:pPr>
          </w:p>
        </w:tc>
        <w:tc>
          <w:tcPr>
            <w:tcW w:w="1843" w:type="dxa"/>
            <w:shd w:val="clear" w:color="auto" w:fill="auto"/>
            <w:noWrap w:val="0"/>
            <w:vAlign w:val="center"/>
          </w:tcPr>
          <w:p w14:paraId="2B386DE4">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安全文明施工保证措施评审评分</w:t>
            </w:r>
          </w:p>
          <w:p w14:paraId="5C25715A">
            <w:pPr>
              <w:keepNext w:val="0"/>
              <w:keepLines w:val="0"/>
              <w:widowControl/>
              <w:suppressLineNumbers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（10分）</w:t>
            </w:r>
          </w:p>
          <w:p w14:paraId="195C5705">
            <w:pPr>
              <w:keepNext w:val="0"/>
              <w:keepLines w:val="0"/>
              <w:pageBreakBefore w:val="0"/>
              <w:widowControl w:val="0"/>
              <w:kinsoku/>
              <w:wordWrap/>
              <w:overflowPunct/>
              <w:topLinePunct w:val="0"/>
              <w:autoSpaceDE/>
              <w:bidi w:val="0"/>
              <w:snapToGrid/>
              <w:spacing w:line="400" w:lineRule="exact"/>
              <w:jc w:val="center"/>
              <w:rPr>
                <w:rFonts w:hint="eastAsia" w:ascii="宋体" w:hAnsi="宋体" w:eastAsia="宋体" w:cs="宋体"/>
                <w:color w:val="auto"/>
                <w:sz w:val="24"/>
                <w:szCs w:val="24"/>
                <w:highlight w:val="none"/>
                <w:lang w:val="en-US" w:eastAsia="zh-CN" w:bidi="ar-SA"/>
              </w:rPr>
            </w:pPr>
          </w:p>
        </w:tc>
        <w:tc>
          <w:tcPr>
            <w:tcW w:w="5387" w:type="dxa"/>
            <w:shd w:val="clear" w:color="auto" w:fill="auto"/>
            <w:noWrap w:val="0"/>
            <w:vAlign w:val="center"/>
          </w:tcPr>
          <w:p w14:paraId="0544AB92">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第一个档次（10 分）：响应文件中有具体、完整、可行的安全文明施工实施保证措施且合理、先进、针对性好，安全管理机构健全，职责分工明确，管理制度齐全，实施与监控措施全面、有效，并符合国家、省、州（市）的有关规定的； </w:t>
            </w:r>
          </w:p>
          <w:p w14:paraId="6BF29A09">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第二个档次（8 分）：响应文件中有具体、完整、可行的安全文明施工实施保证措施且合理但针对性一般，安全管理机构健全，职责分工较明确，管理制度较齐全，实施与监控措施完整，并符合国家、省、州（市）的有关规定； </w:t>
            </w:r>
          </w:p>
          <w:p w14:paraId="3060E7B8">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第三个档次（6 分）：响应文件中有基本具体、可行的安全文明施工实施保证措施，安全管理机构基本健全，管理制度基本齐全，实施与监控措施基本完整，并符合国家、省、州（市）的有关规定； </w:t>
            </w:r>
          </w:p>
          <w:p w14:paraId="71D7528B">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第四个档次（4 分）：响应文件中有安全文明施工保证措施，但措施内容一般的。 </w:t>
            </w:r>
          </w:p>
          <w:p w14:paraId="180E590A">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第五个档次（2 分）：响应文件中有安全文明施工保证措施的，但不具体或存有错漏的。 </w:t>
            </w:r>
          </w:p>
          <w:p w14:paraId="0ED2DA16">
            <w:pPr>
              <w:spacing w:after="0" w:line="3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无安全文明施工保证措施的不得分。</w:t>
            </w:r>
          </w:p>
        </w:tc>
      </w:tr>
      <w:tr w14:paraId="592F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BCDF5D4">
            <w:pPr>
              <w:snapToGrid w:val="0"/>
              <w:spacing w:line="360" w:lineRule="auto"/>
              <w:jc w:val="center"/>
              <w:rPr>
                <w:rFonts w:hint="eastAsia" w:ascii="宋体" w:hAnsi="宋体" w:eastAsia="宋体" w:cs="宋体"/>
                <w:color w:val="auto"/>
                <w:szCs w:val="24"/>
                <w:highlight w:val="none"/>
              </w:rPr>
            </w:pPr>
          </w:p>
        </w:tc>
        <w:tc>
          <w:tcPr>
            <w:tcW w:w="2126" w:type="dxa"/>
            <w:vMerge w:val="continue"/>
            <w:noWrap w:val="0"/>
            <w:vAlign w:val="center"/>
          </w:tcPr>
          <w:p w14:paraId="6FF931BE">
            <w:pPr>
              <w:snapToGrid w:val="0"/>
              <w:spacing w:line="360" w:lineRule="auto"/>
              <w:jc w:val="center"/>
              <w:rPr>
                <w:rFonts w:hint="eastAsia" w:ascii="宋体" w:hAnsi="宋体" w:eastAsia="宋体" w:cs="宋体"/>
                <w:color w:val="auto"/>
                <w:szCs w:val="24"/>
                <w:highlight w:val="none"/>
              </w:rPr>
            </w:pPr>
          </w:p>
        </w:tc>
        <w:tc>
          <w:tcPr>
            <w:tcW w:w="1843" w:type="dxa"/>
            <w:shd w:val="clear" w:color="auto" w:fill="auto"/>
            <w:noWrap w:val="0"/>
            <w:vAlign w:val="center"/>
          </w:tcPr>
          <w:p w14:paraId="60736772">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项目管理人员配置评审评分</w:t>
            </w:r>
          </w:p>
          <w:p w14:paraId="7F4229D3">
            <w:pPr>
              <w:keepNext w:val="0"/>
              <w:keepLines w:val="0"/>
              <w:widowControl/>
              <w:suppressLineNumbers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（10分）</w:t>
            </w:r>
          </w:p>
          <w:p w14:paraId="1581A5BE">
            <w:pPr>
              <w:keepNext w:val="0"/>
              <w:keepLines w:val="0"/>
              <w:pageBreakBefore w:val="0"/>
              <w:widowControl w:val="0"/>
              <w:kinsoku/>
              <w:wordWrap/>
              <w:overflowPunct/>
              <w:topLinePunct w:val="0"/>
              <w:autoSpaceDE/>
              <w:bidi w:val="0"/>
              <w:snapToGrid/>
              <w:spacing w:line="400" w:lineRule="exact"/>
              <w:jc w:val="center"/>
              <w:rPr>
                <w:rFonts w:hint="eastAsia" w:ascii="宋体" w:hAnsi="宋体" w:eastAsia="宋体" w:cs="宋体"/>
                <w:b w:val="0"/>
                <w:bCs w:val="0"/>
                <w:color w:val="auto"/>
                <w:sz w:val="24"/>
                <w:szCs w:val="24"/>
                <w:highlight w:val="none"/>
                <w:lang w:val="en-US" w:eastAsia="zh-CN" w:bidi="ar-SA"/>
              </w:rPr>
            </w:pPr>
          </w:p>
        </w:tc>
        <w:tc>
          <w:tcPr>
            <w:tcW w:w="5387" w:type="dxa"/>
            <w:shd w:val="clear" w:color="auto" w:fill="auto"/>
            <w:noWrap w:val="0"/>
            <w:vAlign w:val="center"/>
          </w:tcPr>
          <w:p w14:paraId="4A31C76E">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第一个档次(10分):拟派往本项目的项目管理人员综合能力强，项目管理人员针对工程实际配置且合理，能满足工程管理需要且有针对性的;</w:t>
            </w:r>
          </w:p>
          <w:p w14:paraId="6BE9208A">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第二个档次(8分):拟派往本项目的项目管理人员综合能力较强，项目管理人员配置合理，能满足工程管理需要，专业配置针对性较好的;</w:t>
            </w:r>
          </w:p>
          <w:p w14:paraId="1F6D7C22">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第三个档次(6分):拟派往本项目的项目管理人员综合能力一般，项目管理人员配置合理，能满足工程管理需要，专业配置针对性一般的;</w:t>
            </w:r>
          </w:p>
          <w:p w14:paraId="0FB52904">
            <w:pPr>
              <w:spacing w:after="0" w:line="3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第四个档次(4分):拟派往本项目的项目管理人员综合能力一般，项目管理人员配置基本合理，基本能满足工程管理需要，但专业配置没有针对性的;第五个档次(2分):拟派往本项目的项目管理人员综合能力一般，但项目管理人员配置不合理，难以满足工程要求的;</w:t>
            </w:r>
          </w:p>
        </w:tc>
      </w:tr>
      <w:tr w14:paraId="4697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A1D7FEB">
            <w:pPr>
              <w:snapToGrid w:val="0"/>
              <w:spacing w:line="360" w:lineRule="auto"/>
              <w:jc w:val="center"/>
              <w:rPr>
                <w:rFonts w:hint="eastAsia" w:ascii="宋体" w:hAnsi="宋体" w:eastAsia="宋体" w:cs="宋体"/>
                <w:color w:val="auto"/>
                <w:szCs w:val="24"/>
                <w:highlight w:val="none"/>
              </w:rPr>
            </w:pPr>
          </w:p>
        </w:tc>
        <w:tc>
          <w:tcPr>
            <w:tcW w:w="2126" w:type="dxa"/>
            <w:vMerge w:val="continue"/>
            <w:noWrap w:val="0"/>
            <w:vAlign w:val="center"/>
          </w:tcPr>
          <w:p w14:paraId="11BE0230">
            <w:pPr>
              <w:snapToGrid w:val="0"/>
              <w:spacing w:line="360" w:lineRule="auto"/>
              <w:jc w:val="center"/>
              <w:rPr>
                <w:rFonts w:hint="eastAsia" w:ascii="宋体" w:hAnsi="宋体" w:eastAsia="宋体" w:cs="宋体"/>
                <w:color w:val="auto"/>
                <w:szCs w:val="24"/>
                <w:highlight w:val="none"/>
              </w:rPr>
            </w:pPr>
          </w:p>
        </w:tc>
        <w:tc>
          <w:tcPr>
            <w:tcW w:w="1843" w:type="dxa"/>
            <w:shd w:val="clear" w:color="auto" w:fill="auto"/>
            <w:noWrap w:val="0"/>
            <w:vAlign w:val="center"/>
          </w:tcPr>
          <w:p w14:paraId="3BC1A2D3">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工期承诺和保证措施评审评分</w:t>
            </w:r>
          </w:p>
          <w:p w14:paraId="231523F4">
            <w:pPr>
              <w:keepNext w:val="0"/>
              <w:keepLines w:val="0"/>
              <w:widowControl/>
              <w:suppressLineNumbers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（10分）</w:t>
            </w:r>
          </w:p>
          <w:p w14:paraId="50A23EEA">
            <w:pPr>
              <w:keepNext w:val="0"/>
              <w:keepLines w:val="0"/>
              <w:pageBreakBefore w:val="0"/>
              <w:widowControl w:val="0"/>
              <w:kinsoku/>
              <w:wordWrap/>
              <w:overflowPunct/>
              <w:topLinePunct w:val="0"/>
              <w:autoSpaceDE/>
              <w:bidi w:val="0"/>
              <w:snapToGrid/>
              <w:spacing w:line="400" w:lineRule="exact"/>
              <w:jc w:val="center"/>
              <w:rPr>
                <w:rFonts w:hint="eastAsia" w:ascii="宋体" w:hAnsi="宋体" w:eastAsia="宋体" w:cs="宋体"/>
                <w:b w:val="0"/>
                <w:bCs w:val="0"/>
                <w:color w:val="auto"/>
                <w:sz w:val="24"/>
                <w:szCs w:val="24"/>
                <w:highlight w:val="none"/>
                <w:lang w:val="en-US" w:eastAsia="zh-CN" w:bidi="ar-SA"/>
              </w:rPr>
            </w:pPr>
          </w:p>
        </w:tc>
        <w:tc>
          <w:tcPr>
            <w:tcW w:w="5387" w:type="dxa"/>
            <w:shd w:val="clear" w:color="auto" w:fill="auto"/>
            <w:noWrap w:val="0"/>
            <w:vAlign w:val="center"/>
          </w:tcPr>
          <w:p w14:paraId="430ABEA1">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第一个档次（10分）：工期承诺满足采购文件要求，工期保证措施合理且有针对性，有具体的违约责任承诺的； </w:t>
            </w:r>
          </w:p>
          <w:p w14:paraId="24B7997F">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第二个档次（8分）：工期承诺满足采购文件要求，工期保证措施合理但针对性一般，有具体的违约责任承诺的； </w:t>
            </w:r>
          </w:p>
          <w:p w14:paraId="129DD66C">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第三个档次（6分）：工期承诺满足采购文件要求，工期保证措施基本合理，有具体的违约责任承诺的； </w:t>
            </w:r>
          </w:p>
          <w:p w14:paraId="770AA15C">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第四个档次（4分）：工期承诺满足采购文件要求，工期保证措施一般，违约责任承诺不具体的； </w:t>
            </w:r>
          </w:p>
          <w:p w14:paraId="1A0A3B9A">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第五个档次（2分）：工期承诺满足采购文件要求，但工期保证措施不具体，违约责任承诺不具体的。 </w:t>
            </w:r>
          </w:p>
          <w:p w14:paraId="3A07B317">
            <w:pPr>
              <w:spacing w:after="0" w:line="3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无工期承诺或工期承诺不满足采购文件要求不得分。</w:t>
            </w:r>
          </w:p>
        </w:tc>
      </w:tr>
      <w:tr w14:paraId="423E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E470B74">
            <w:pPr>
              <w:snapToGrid w:val="0"/>
              <w:spacing w:line="360" w:lineRule="auto"/>
              <w:jc w:val="center"/>
              <w:rPr>
                <w:rFonts w:hint="eastAsia" w:ascii="宋体" w:hAnsi="宋体" w:eastAsia="宋体" w:cs="宋体"/>
                <w:color w:val="auto"/>
                <w:szCs w:val="24"/>
                <w:highlight w:val="none"/>
              </w:rPr>
            </w:pPr>
          </w:p>
        </w:tc>
        <w:tc>
          <w:tcPr>
            <w:tcW w:w="2126" w:type="dxa"/>
            <w:vMerge w:val="continue"/>
            <w:noWrap w:val="0"/>
            <w:vAlign w:val="center"/>
          </w:tcPr>
          <w:p w14:paraId="2CC4CD85">
            <w:pPr>
              <w:snapToGrid w:val="0"/>
              <w:spacing w:line="360" w:lineRule="auto"/>
              <w:jc w:val="center"/>
              <w:rPr>
                <w:rFonts w:hint="eastAsia" w:ascii="宋体" w:hAnsi="宋体" w:eastAsia="宋体" w:cs="宋体"/>
                <w:color w:val="auto"/>
                <w:szCs w:val="24"/>
                <w:highlight w:val="none"/>
              </w:rPr>
            </w:pPr>
          </w:p>
        </w:tc>
        <w:tc>
          <w:tcPr>
            <w:tcW w:w="1843" w:type="dxa"/>
            <w:shd w:val="clear" w:color="auto" w:fill="auto"/>
            <w:noWrap w:val="0"/>
            <w:vAlign w:val="center"/>
          </w:tcPr>
          <w:p w14:paraId="5252846B">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施工进度计划评审评分</w:t>
            </w:r>
          </w:p>
          <w:p w14:paraId="6E569CBB">
            <w:pPr>
              <w:keepNext w:val="0"/>
              <w:keepLines w:val="0"/>
              <w:widowControl/>
              <w:suppressLineNumbers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（10分）</w:t>
            </w:r>
          </w:p>
          <w:p w14:paraId="3CA46A4E">
            <w:pPr>
              <w:keepNext w:val="0"/>
              <w:keepLines w:val="0"/>
              <w:pageBreakBefore w:val="0"/>
              <w:widowControl w:val="0"/>
              <w:kinsoku/>
              <w:wordWrap/>
              <w:overflowPunct/>
              <w:topLinePunct w:val="0"/>
              <w:autoSpaceDE/>
              <w:bidi w:val="0"/>
              <w:snapToGrid/>
              <w:spacing w:line="400" w:lineRule="exact"/>
              <w:jc w:val="center"/>
              <w:rPr>
                <w:rFonts w:hint="eastAsia" w:ascii="宋体" w:hAnsi="宋体" w:eastAsia="宋体" w:cs="宋体"/>
                <w:b w:val="0"/>
                <w:bCs w:val="0"/>
                <w:color w:val="auto"/>
                <w:sz w:val="24"/>
                <w:szCs w:val="24"/>
                <w:highlight w:val="none"/>
                <w:lang w:val="en-US" w:eastAsia="zh-CN" w:bidi="ar-SA"/>
              </w:rPr>
            </w:pPr>
          </w:p>
        </w:tc>
        <w:tc>
          <w:tcPr>
            <w:tcW w:w="5387" w:type="dxa"/>
            <w:shd w:val="clear" w:color="auto" w:fill="auto"/>
            <w:noWrap w:val="0"/>
            <w:vAlign w:val="center"/>
          </w:tcPr>
          <w:p w14:paraId="62DDA4AB">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第一个档次（10分）：施工进度计划严格按工期安排，工序搭配逻辑关系和关键线路清晰、合理，并能指导施工且针对性好的； </w:t>
            </w:r>
          </w:p>
          <w:p w14:paraId="21E44D90">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第二个档次（8分）：施工进度计划按工期安排，工序搭配逻辑关系和关键线路合理，但针对性一般的； </w:t>
            </w:r>
          </w:p>
          <w:p w14:paraId="4997A066">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第三个档次（6分）：施工进度计划符合工期要求，工序搭配逻辑关系和关键线路基本合理，但缺乏针对性的； </w:t>
            </w:r>
          </w:p>
          <w:p w14:paraId="6DC3A29A">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第四个档次（4分）：施工进度计划符合工期要求，工序搭配逻辑关系错误或关键线路错误的； </w:t>
            </w:r>
          </w:p>
          <w:p w14:paraId="2F74E13D">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第五个档次（2分）：施工进度计划中工序搭配逻辑关系有错误，关键线路不明确有错误的；</w:t>
            </w:r>
          </w:p>
          <w:p w14:paraId="3CD9814A">
            <w:pPr>
              <w:spacing w:after="0" w:line="3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无施工进度计划的不得分。</w:t>
            </w:r>
          </w:p>
        </w:tc>
      </w:tr>
      <w:tr w14:paraId="5E82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1016345">
            <w:pPr>
              <w:snapToGrid w:val="0"/>
              <w:spacing w:line="360" w:lineRule="auto"/>
              <w:jc w:val="center"/>
              <w:rPr>
                <w:rFonts w:hint="eastAsia" w:ascii="宋体" w:hAnsi="宋体" w:eastAsia="宋体" w:cs="宋体"/>
                <w:color w:val="auto"/>
                <w:szCs w:val="24"/>
                <w:highlight w:val="none"/>
              </w:rPr>
            </w:pPr>
          </w:p>
        </w:tc>
        <w:tc>
          <w:tcPr>
            <w:tcW w:w="2126" w:type="dxa"/>
            <w:vMerge w:val="continue"/>
            <w:noWrap w:val="0"/>
            <w:vAlign w:val="center"/>
          </w:tcPr>
          <w:p w14:paraId="7BE84C33">
            <w:pPr>
              <w:snapToGrid w:val="0"/>
              <w:spacing w:line="360" w:lineRule="auto"/>
              <w:jc w:val="center"/>
              <w:rPr>
                <w:rFonts w:hint="eastAsia" w:ascii="宋体" w:hAnsi="宋体" w:eastAsia="宋体" w:cs="宋体"/>
                <w:color w:val="auto"/>
                <w:szCs w:val="24"/>
                <w:highlight w:val="none"/>
              </w:rPr>
            </w:pPr>
          </w:p>
        </w:tc>
        <w:tc>
          <w:tcPr>
            <w:tcW w:w="1843" w:type="dxa"/>
            <w:shd w:val="clear" w:color="auto" w:fill="auto"/>
            <w:noWrap w:val="0"/>
            <w:vAlign w:val="center"/>
          </w:tcPr>
          <w:p w14:paraId="0BC6D72E">
            <w:pPr>
              <w:keepNext w:val="0"/>
              <w:keepLines w:val="0"/>
              <w:widowControl/>
              <w:suppressLineNumbers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劳动力安排和材料投入计划及其保证措施评审评分</w:t>
            </w:r>
          </w:p>
          <w:p w14:paraId="4466FBB4">
            <w:pPr>
              <w:keepNext w:val="0"/>
              <w:keepLines w:val="0"/>
              <w:widowControl/>
              <w:suppressLineNumbers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（10分）</w:t>
            </w:r>
          </w:p>
          <w:p w14:paraId="3C46F49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sz w:val="24"/>
                <w:szCs w:val="24"/>
                <w:highlight w:val="none"/>
                <w:lang w:val="en-US" w:eastAsia="zh-CN" w:bidi="ar-SA"/>
              </w:rPr>
            </w:pPr>
          </w:p>
        </w:tc>
        <w:tc>
          <w:tcPr>
            <w:tcW w:w="5387" w:type="dxa"/>
            <w:shd w:val="clear" w:color="auto" w:fill="auto"/>
            <w:noWrap w:val="0"/>
            <w:vAlign w:val="center"/>
          </w:tcPr>
          <w:p w14:paraId="152A3A2F">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第一个档次（10分）：劳动力安排和材料投入计划与施工进度计划呼应，能较好满足施工需要，调配投入计划合理、准确全面，能指导施工且针对性好，保证措施合理且有针对性； </w:t>
            </w:r>
          </w:p>
          <w:p w14:paraId="72EF660E">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第二个档次（8分）：劳动力安排和材料投入计划与施工进度计划呼应，能满足施工需要，调配投入计划合理，但针对性和指导性一般，保证措施合理但针对性一般； </w:t>
            </w:r>
          </w:p>
          <w:p w14:paraId="3D01B5BB">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第三个档次（6分）：劳动力安排和材料投入计划与施工进度计划基本呼应，能基本满足施工需要，调配投入计划基本合理，但缺乏针对性，保证措施基本合理； </w:t>
            </w:r>
          </w:p>
          <w:p w14:paraId="7F178471">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第四个档次（4分）：劳动力安排和材料投入计划与施工进度计划基本呼应，部分满足施工需要的，工期保证措施一般； </w:t>
            </w:r>
          </w:p>
          <w:p w14:paraId="22175264">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第五个档次（2分）：劳动力安排和材料投入计划与施工进度计划不能呼应，保证措施不具体； </w:t>
            </w:r>
          </w:p>
          <w:p w14:paraId="01026210">
            <w:pPr>
              <w:spacing w:after="0" w:line="3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无劳动力安排和材料投入计划的不得分。</w:t>
            </w:r>
          </w:p>
        </w:tc>
      </w:tr>
      <w:tr w14:paraId="6686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3E99402">
            <w:pPr>
              <w:snapToGrid w:val="0"/>
              <w:spacing w:line="360" w:lineRule="auto"/>
              <w:jc w:val="center"/>
              <w:rPr>
                <w:rFonts w:hint="eastAsia" w:ascii="宋体" w:hAnsi="宋体" w:eastAsia="宋体" w:cs="宋体"/>
                <w:color w:val="auto"/>
                <w:szCs w:val="24"/>
                <w:highlight w:val="none"/>
              </w:rPr>
            </w:pPr>
          </w:p>
        </w:tc>
        <w:tc>
          <w:tcPr>
            <w:tcW w:w="2126" w:type="dxa"/>
            <w:vMerge w:val="continue"/>
            <w:noWrap w:val="0"/>
            <w:vAlign w:val="center"/>
          </w:tcPr>
          <w:p w14:paraId="51D9B3A2">
            <w:pPr>
              <w:snapToGrid w:val="0"/>
              <w:spacing w:line="360" w:lineRule="auto"/>
              <w:jc w:val="center"/>
              <w:rPr>
                <w:rFonts w:hint="eastAsia" w:ascii="宋体" w:hAnsi="宋体" w:eastAsia="宋体" w:cs="宋体"/>
                <w:color w:val="auto"/>
                <w:szCs w:val="24"/>
                <w:highlight w:val="none"/>
              </w:rPr>
            </w:pPr>
          </w:p>
        </w:tc>
        <w:tc>
          <w:tcPr>
            <w:tcW w:w="1843" w:type="dxa"/>
            <w:shd w:val="clear" w:color="auto" w:fill="auto"/>
            <w:noWrap w:val="0"/>
            <w:vAlign w:val="center"/>
          </w:tcPr>
          <w:p w14:paraId="54532066">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施工机械投入评审评分</w:t>
            </w:r>
          </w:p>
          <w:p w14:paraId="1FA01DF5">
            <w:pPr>
              <w:keepNext w:val="0"/>
              <w:keepLines w:val="0"/>
              <w:widowControl/>
              <w:suppressLineNumbers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（5分）</w:t>
            </w:r>
          </w:p>
          <w:p w14:paraId="2A1D008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sz w:val="24"/>
                <w:szCs w:val="24"/>
                <w:highlight w:val="none"/>
                <w:lang w:val="en-US" w:eastAsia="zh-CN" w:bidi="ar-SA"/>
              </w:rPr>
            </w:pPr>
          </w:p>
        </w:tc>
        <w:tc>
          <w:tcPr>
            <w:tcW w:w="5387" w:type="dxa"/>
            <w:shd w:val="clear" w:color="auto" w:fill="auto"/>
            <w:noWrap w:val="0"/>
            <w:vAlign w:val="center"/>
          </w:tcPr>
          <w:p w14:paraId="3C4B5E82">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第一个档次（5分）：施工机械投入与施工进度计划呼应， 满足工程要求，施工机械搭配合理、准确且明确的有相对应的费用的； </w:t>
            </w:r>
          </w:p>
          <w:p w14:paraId="338DF204">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第二个档次（4分）：施工机械投入与施工进度计划呼应，满足工程要求，施工机械搭配基本合理、基本准确且有相对应的费用的； </w:t>
            </w:r>
          </w:p>
          <w:p w14:paraId="2AA9C399">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第三个档次（3分）：施工机械投入与施工进度计划呼应，基本满足工程要求，施工机械搭配不当的； </w:t>
            </w:r>
          </w:p>
          <w:p w14:paraId="52686458">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第四个档次（2分）：施工机械投入与施工进度计划基本呼应，部分满足工程要求； </w:t>
            </w:r>
          </w:p>
          <w:p w14:paraId="378A3364">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第五个档次（1分）：施工机械投入与施工进度计划不相呼应，不满足工程要求的； </w:t>
            </w:r>
          </w:p>
          <w:p w14:paraId="2462C7F0">
            <w:pPr>
              <w:spacing w:after="0" w:line="3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施工机械投入未作说明的不得分。</w:t>
            </w:r>
          </w:p>
        </w:tc>
      </w:tr>
      <w:tr w14:paraId="0F81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F97048E">
            <w:pPr>
              <w:snapToGrid w:val="0"/>
              <w:spacing w:line="360" w:lineRule="auto"/>
              <w:jc w:val="center"/>
              <w:rPr>
                <w:rFonts w:hint="eastAsia" w:ascii="宋体" w:hAnsi="宋体" w:eastAsia="宋体" w:cs="宋体"/>
                <w:color w:val="auto"/>
                <w:szCs w:val="24"/>
                <w:highlight w:val="none"/>
                <w:lang w:val="en-US" w:eastAsia="zh-CN"/>
              </w:rPr>
            </w:pPr>
            <w:bookmarkStart w:id="213" w:name="_Toc15964"/>
            <w:r>
              <w:rPr>
                <w:rFonts w:hint="eastAsia" w:ascii="宋体" w:hAnsi="宋体" w:eastAsia="宋体" w:cs="宋体"/>
                <w:color w:val="auto"/>
                <w:szCs w:val="24"/>
                <w:highlight w:val="none"/>
                <w:lang w:val="en-US" w:eastAsia="zh-CN"/>
              </w:rPr>
              <w:t>2.2.3</w:t>
            </w:r>
          </w:p>
        </w:tc>
        <w:tc>
          <w:tcPr>
            <w:tcW w:w="2126" w:type="dxa"/>
            <w:noWrap w:val="0"/>
            <w:vAlign w:val="center"/>
          </w:tcPr>
          <w:p w14:paraId="694DD328">
            <w:pPr>
              <w:snapToGrid w:val="0"/>
              <w:spacing w:line="360" w:lineRule="auto"/>
              <w:jc w:val="center"/>
              <w:rPr>
                <w:rFonts w:hint="default"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商务部分F3</w:t>
            </w:r>
          </w:p>
          <w:p w14:paraId="2F25E77F">
            <w:pPr>
              <w:pStyle w:val="7"/>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val="en-US" w:eastAsia="zh-CN" w:bidi="ar-SA"/>
              </w:rPr>
              <w:t>（满分5分）</w:t>
            </w:r>
          </w:p>
        </w:tc>
        <w:tc>
          <w:tcPr>
            <w:tcW w:w="1843" w:type="dxa"/>
            <w:shd w:val="clear" w:color="auto" w:fill="auto"/>
            <w:noWrap w:val="0"/>
            <w:vAlign w:val="center"/>
          </w:tcPr>
          <w:p w14:paraId="1C7003F2">
            <w:pPr>
              <w:keepNext w:val="0"/>
              <w:keepLines w:val="0"/>
              <w:widowControl/>
              <w:suppressLineNumbers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业绩部分评分  （5分）</w:t>
            </w:r>
          </w:p>
          <w:p w14:paraId="49958722">
            <w:pPr>
              <w:keepNext w:val="0"/>
              <w:keepLines w:val="0"/>
              <w:widowControl/>
              <w:suppressLineNumbers w:val="0"/>
              <w:jc w:val="center"/>
              <w:rPr>
                <w:rFonts w:hint="eastAsia" w:ascii="宋体" w:hAnsi="宋体" w:eastAsia="宋体" w:cs="宋体"/>
                <w:b w:val="0"/>
                <w:bCs w:val="0"/>
                <w:color w:val="auto"/>
                <w:kern w:val="0"/>
                <w:sz w:val="24"/>
                <w:szCs w:val="24"/>
                <w:highlight w:val="none"/>
                <w:lang w:val="en-US" w:eastAsia="zh-CN" w:bidi="ar"/>
              </w:rPr>
            </w:pPr>
          </w:p>
          <w:p w14:paraId="52982DC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val="0"/>
                <w:bCs w:val="0"/>
                <w:color w:val="auto"/>
                <w:sz w:val="24"/>
                <w:szCs w:val="24"/>
                <w:highlight w:val="none"/>
                <w:lang w:val="en-US" w:eastAsia="zh-CN" w:bidi="ar-SA"/>
              </w:rPr>
            </w:pPr>
          </w:p>
        </w:tc>
        <w:tc>
          <w:tcPr>
            <w:tcW w:w="5387" w:type="dxa"/>
            <w:shd w:val="clear" w:color="auto" w:fill="auto"/>
            <w:noWrap w:val="0"/>
            <w:vAlign w:val="center"/>
          </w:tcPr>
          <w:p w14:paraId="545F6DB1">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根据近3年（2023年1月1日）至今完成或正在施工的项目评审。供应商每提供一个类似业绩得2.5分，加满5分为止。</w:t>
            </w:r>
          </w:p>
          <w:p w14:paraId="5E49C340">
            <w:pPr>
              <w:spacing w:after="0" w:line="3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注：业绩证明材料以中标（成交）通知书或合同（协议）复印件加盖公章为准，业绩证明材料放入在响应文件中，未提供不得分。类似业绩指公路工程的施工业绩。</w:t>
            </w:r>
          </w:p>
        </w:tc>
      </w:tr>
      <w:bookmarkEnd w:id="211"/>
    </w:tbl>
    <w:p w14:paraId="3D940F64">
      <w:pPr>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br w:type="page"/>
      </w:r>
    </w:p>
    <w:p w14:paraId="29171A7B">
      <w:pPr>
        <w:adjustRightInd/>
        <w:spacing w:line="360" w:lineRule="auto"/>
        <w:ind w:firstLine="482" w:firstLineChars="200"/>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评审程序</w:t>
      </w:r>
      <w:bookmarkEnd w:id="213"/>
    </w:p>
    <w:p w14:paraId="127F9428">
      <w:pPr>
        <w:snapToGrid w:val="0"/>
        <w:spacing w:line="360" w:lineRule="auto"/>
        <w:ind w:firstLine="482" w:firstLineChars="200"/>
        <w:outlineLvl w:val="3"/>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.1 初步评审</w:t>
      </w:r>
    </w:p>
    <w:p w14:paraId="6752DE60">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.1.1 磋商小组依据本章第2.1项规定的标准对响应文件进行资格评审和符合性评审，有一项不满足评审标准的，视为未实质性响应竞争性磋商文件要求，其响应文件将被否决。</w:t>
      </w:r>
    </w:p>
    <w:p w14:paraId="08961EAD">
      <w:pPr>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.1.2 响应文件如果出现计算或表达上的错误，修正错误的原则如下：</w:t>
      </w:r>
    </w:p>
    <w:p w14:paraId="036CA6F0">
      <w:pPr>
        <w:snapToGrid w:val="0"/>
        <w:spacing w:line="360" w:lineRule="auto"/>
        <w:ind w:firstLine="488"/>
        <w:rPr>
          <w:rFonts w:hint="eastAsia" w:ascii="宋体" w:hAnsi="宋体" w:eastAsia="宋体" w:cs="宋体"/>
          <w:color w:val="auto"/>
          <w:szCs w:val="24"/>
          <w:highlight w:val="none"/>
        </w:rPr>
      </w:pPr>
      <w:r>
        <w:rPr>
          <w:rFonts w:hint="eastAsia" w:ascii="宋体" w:hAnsi="宋体" w:eastAsia="宋体" w:cs="宋体"/>
          <w:color w:val="auto"/>
          <w:szCs w:val="24"/>
          <w:highlight w:val="none"/>
        </w:rPr>
        <w:t>（1）响应文件中磋商一览表（报价表）内容与响应文件中相应内容不一致的，以磋商一览表（报价表）为准（最终磋商报价为准）；</w:t>
      </w:r>
    </w:p>
    <w:p w14:paraId="56A44C6A">
      <w:pPr>
        <w:snapToGrid w:val="0"/>
        <w:spacing w:line="360" w:lineRule="auto"/>
        <w:ind w:firstLine="488"/>
        <w:outlineLvl w:val="4"/>
        <w:rPr>
          <w:rFonts w:hint="eastAsia" w:ascii="宋体" w:hAnsi="宋体" w:eastAsia="宋体" w:cs="宋体"/>
          <w:color w:val="auto"/>
          <w:szCs w:val="24"/>
          <w:highlight w:val="none"/>
        </w:rPr>
      </w:pPr>
      <w:r>
        <w:rPr>
          <w:rFonts w:hint="eastAsia" w:ascii="宋体" w:hAnsi="宋体" w:eastAsia="宋体" w:cs="宋体"/>
          <w:color w:val="auto"/>
          <w:szCs w:val="24"/>
          <w:highlight w:val="none"/>
        </w:rPr>
        <w:t>（2）大写金额和小</w:t>
      </w:r>
      <w:r>
        <w:rPr>
          <w:rFonts w:hint="eastAsia" w:ascii="宋体" w:hAnsi="宋体" w:eastAsia="宋体" w:cs="宋体"/>
          <w:color w:val="auto"/>
          <w:szCs w:val="24"/>
          <w:highlight w:val="none"/>
          <w:lang w:eastAsia="zh-CN"/>
        </w:rPr>
        <w:t>写</w:t>
      </w:r>
      <w:r>
        <w:rPr>
          <w:rFonts w:hint="eastAsia" w:ascii="宋体" w:hAnsi="宋体" w:eastAsia="宋体" w:cs="宋体"/>
          <w:color w:val="auto"/>
          <w:szCs w:val="24"/>
          <w:highlight w:val="none"/>
        </w:rPr>
        <w:t>金额不一致的，以大写金额为准；</w:t>
      </w:r>
    </w:p>
    <w:p w14:paraId="3F6F3DEE">
      <w:pPr>
        <w:snapToGrid w:val="0"/>
        <w:spacing w:line="360" w:lineRule="auto"/>
        <w:ind w:firstLine="488"/>
        <w:rPr>
          <w:rFonts w:hint="eastAsia" w:ascii="宋体" w:hAnsi="宋体" w:eastAsia="宋体" w:cs="宋体"/>
          <w:color w:val="auto"/>
          <w:szCs w:val="24"/>
          <w:highlight w:val="none"/>
        </w:rPr>
      </w:pPr>
      <w:r>
        <w:rPr>
          <w:rFonts w:hint="eastAsia" w:ascii="宋体" w:hAnsi="宋体" w:eastAsia="宋体" w:cs="宋体"/>
          <w:color w:val="auto"/>
          <w:szCs w:val="24"/>
          <w:highlight w:val="none"/>
        </w:rPr>
        <w:t>（3）单价金额小数点或者百分比有明显错位的，以磋商一览表的总价为准，并修改单价；</w:t>
      </w:r>
    </w:p>
    <w:p w14:paraId="47171225">
      <w:pPr>
        <w:snapToGrid w:val="0"/>
        <w:spacing w:line="360" w:lineRule="auto"/>
        <w:ind w:firstLine="488"/>
        <w:rPr>
          <w:rFonts w:hint="eastAsia" w:ascii="宋体" w:hAnsi="宋体" w:eastAsia="宋体" w:cs="宋体"/>
          <w:color w:val="auto"/>
          <w:szCs w:val="24"/>
          <w:highlight w:val="none"/>
        </w:rPr>
      </w:pPr>
      <w:r>
        <w:rPr>
          <w:rFonts w:hint="eastAsia" w:ascii="宋体" w:hAnsi="宋体" w:eastAsia="宋体" w:cs="宋体"/>
          <w:color w:val="auto"/>
          <w:szCs w:val="24"/>
          <w:highlight w:val="none"/>
        </w:rPr>
        <w:t>（4）总价金额与单价汇总金额不一致的，以单价金额计算结果为准。</w:t>
      </w:r>
    </w:p>
    <w:p w14:paraId="169B65DE">
      <w:pPr>
        <w:snapToGrid w:val="0"/>
        <w:spacing w:line="360" w:lineRule="auto"/>
        <w:ind w:firstLine="488"/>
        <w:rPr>
          <w:rFonts w:hint="eastAsia" w:ascii="宋体" w:hAnsi="宋体" w:eastAsia="宋体" w:cs="宋体"/>
          <w:color w:val="auto"/>
          <w:szCs w:val="24"/>
          <w:highlight w:val="none"/>
        </w:rPr>
      </w:pPr>
      <w:r>
        <w:rPr>
          <w:rFonts w:hint="eastAsia" w:ascii="宋体" w:hAnsi="宋体" w:eastAsia="宋体" w:cs="宋体"/>
          <w:color w:val="auto"/>
          <w:szCs w:val="24"/>
          <w:highlight w:val="none"/>
        </w:rPr>
        <w:t>同时出现两种以上不一致的，按照前款规定的顺序修正。修正后的报价经</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确认后产生约束力，</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不确认的，其磋商无效。</w:t>
      </w:r>
    </w:p>
    <w:p w14:paraId="15BEE5F7">
      <w:pPr>
        <w:snapToGrid w:val="0"/>
        <w:spacing w:line="360" w:lineRule="auto"/>
        <w:ind w:firstLine="488"/>
        <w:outlineLvl w:val="3"/>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.2 详细评审</w:t>
      </w:r>
    </w:p>
    <w:p w14:paraId="4BB2958C">
      <w:pPr>
        <w:snapToGrid w:val="0"/>
        <w:spacing w:line="360" w:lineRule="auto"/>
        <w:ind w:firstLine="48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.2.1 磋商小组按本章第2.2项规定的量化因素和分值进行打分，并计算出</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的评审总得分。对</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的价格分等客观分项的评分应当一致，对其他需要借助专业知识评判的主观评分项，应当严格按照评分细则公正评分。</w:t>
      </w:r>
    </w:p>
    <w:p w14:paraId="78272CBE">
      <w:pPr>
        <w:snapToGrid w:val="0"/>
        <w:spacing w:line="360" w:lineRule="auto"/>
        <w:ind w:firstLine="48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.2.2 除报价得分外的其他评分由磋商小组成员独立评分，然后将每个</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各项评分因素的得分汇总后计算所有评委独立评分的算术平均值（保留小数点后两位</w:t>
      </w:r>
      <w:r>
        <w:rPr>
          <w:rFonts w:hint="eastAsia" w:ascii="宋体" w:hAnsi="宋体" w:eastAsia="宋体" w:cs="宋体"/>
          <w:color w:val="auto"/>
          <w:szCs w:val="24"/>
          <w:highlight w:val="none"/>
          <w:lang w:eastAsia="zh-CN"/>
        </w:rPr>
        <w:t>有效数字</w:t>
      </w:r>
      <w:r>
        <w:rPr>
          <w:rFonts w:hint="eastAsia" w:ascii="宋体" w:hAnsi="宋体" w:eastAsia="宋体" w:cs="宋体"/>
          <w:color w:val="auto"/>
          <w:szCs w:val="24"/>
          <w:highlight w:val="none"/>
        </w:rPr>
        <w:t>），小数点后第三位“四舍五入”。</w:t>
      </w:r>
    </w:p>
    <w:p w14:paraId="78F53AA3">
      <w:pPr>
        <w:snapToGrid w:val="0"/>
        <w:spacing w:line="360" w:lineRule="auto"/>
        <w:ind w:firstLine="48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.2.3 磋商小组成员要依法独立评审，并对评审意见承担个人责任。磋商小组成员对需要共同认定的事项存在争议的，按照少数服从多数的原则做出结论。持不同意见的磋商小组成员应当在评审报告上签署不同意并说明理由，否则视为同意。</w:t>
      </w:r>
    </w:p>
    <w:p w14:paraId="5965C2B8">
      <w:pPr>
        <w:snapToGrid w:val="0"/>
        <w:spacing w:line="360" w:lineRule="auto"/>
        <w:ind w:firstLine="488"/>
        <w:outlineLvl w:val="3"/>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 xml:space="preserve">.3 </w:t>
      </w:r>
      <w:r>
        <w:rPr>
          <w:rFonts w:hint="eastAsia" w:ascii="宋体" w:hAnsi="宋体" w:eastAsia="宋体" w:cs="宋体"/>
          <w:b/>
          <w:color w:val="auto"/>
          <w:szCs w:val="24"/>
          <w:highlight w:val="none"/>
          <w:lang w:eastAsia="zh-CN"/>
        </w:rPr>
        <w:t>磋商响应</w:t>
      </w:r>
      <w:r>
        <w:rPr>
          <w:rFonts w:hint="eastAsia" w:ascii="宋体" w:hAnsi="宋体" w:eastAsia="宋体" w:cs="宋体"/>
          <w:b/>
          <w:color w:val="auto"/>
          <w:szCs w:val="24"/>
          <w:highlight w:val="none"/>
        </w:rPr>
        <w:t>文件澄清</w:t>
      </w:r>
    </w:p>
    <w:p w14:paraId="0440F351">
      <w:pPr>
        <w:snapToGrid w:val="0"/>
        <w:spacing w:line="360" w:lineRule="auto"/>
        <w:ind w:firstLine="488"/>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3.3.1 在评审过程中，磋商小组可以在线要求磋商申请人对所提交的响应文件中含义不明确、同类问题表述不一致或者有明显文字和计算错误的内容，进行澄清或说明。磋商小组不接受磋商申请人主动提出的澄清、说明。</w:t>
      </w:r>
    </w:p>
    <w:p w14:paraId="036E958B">
      <w:pPr>
        <w:snapToGrid w:val="0"/>
        <w:spacing w:line="360" w:lineRule="auto"/>
        <w:ind w:firstLine="488"/>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3.3.2 磋商申请人的澄清事项不得超出响应文件的范围并不得改变响应文件的实质性内容（算术性错误修正的除外）。磋商申请人的澄清、说明属于响应文件的组成部分。</w:t>
      </w:r>
    </w:p>
    <w:p w14:paraId="59EB0C0B">
      <w:pPr>
        <w:snapToGrid w:val="0"/>
        <w:spacing w:line="360" w:lineRule="auto"/>
        <w:ind w:firstLine="488"/>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3.3.3 磋商小组对磋商申请人提交的澄清、说明有疑问的，可以要求磋商申请人进一步澄清、说明。</w:t>
      </w:r>
    </w:p>
    <w:p w14:paraId="632E8A40">
      <w:pPr>
        <w:snapToGrid w:val="0"/>
        <w:spacing w:line="360" w:lineRule="auto"/>
        <w:ind w:firstLine="488"/>
        <w:outlineLvl w:val="3"/>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.4 评审结果</w:t>
      </w:r>
    </w:p>
    <w:p w14:paraId="3EB3E97D">
      <w:pPr>
        <w:snapToGrid w:val="0"/>
        <w:spacing w:line="360" w:lineRule="auto"/>
        <w:ind w:firstLine="48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.4.1 磋商小组按最后得分由高到低顺序推荐1～3名</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候选人，并提出评审报告。</w:t>
      </w:r>
    </w:p>
    <w:p w14:paraId="7B300B46">
      <w:pPr>
        <w:snapToGrid w:val="0"/>
        <w:spacing w:line="360" w:lineRule="auto"/>
        <w:ind w:firstLine="48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 xml:space="preserve">.4.2 </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人根据磋商小组提出的评审报告和推荐的</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候选人名单，确定</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人。</w:t>
      </w:r>
    </w:p>
    <w:p w14:paraId="4A2655DB">
      <w:pPr>
        <w:snapToGrid w:val="0"/>
        <w:spacing w:line="360" w:lineRule="auto"/>
        <w:ind w:firstLine="488"/>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.4.3 磋商小组发现竞争性磋商文件存在歧义、重大缺陷导致评审工作无法进行，或者竞争性磋商文件内容违反国家有关规定的，要停止评审工作并向</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人或</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代理机构书面说明情况，</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人或</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代理机构应当修改竞争性磋商文件后重新组织</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活动；发现</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提供虚假材料、串通等违法违规行为的，要及时向</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人报告。</w:t>
      </w:r>
    </w:p>
    <w:p w14:paraId="20E62AB0">
      <w:pPr>
        <w:snapToGrid w:val="0"/>
        <w:spacing w:line="360" w:lineRule="auto"/>
        <w:ind w:firstLine="482" w:firstLineChars="200"/>
        <w:outlineLvl w:val="3"/>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.5 评审报告</w:t>
      </w:r>
    </w:p>
    <w:p w14:paraId="73E209B1">
      <w:pPr>
        <w:snapToGrid w:val="0"/>
        <w:spacing w:line="360" w:lineRule="auto"/>
        <w:ind w:firstLine="480" w:firstLineChars="200"/>
        <w:rPr>
          <w:rFonts w:hint="eastAsia" w:ascii="宋体" w:hAnsi="宋体" w:eastAsia="宋体" w:cs="宋体"/>
          <w:b/>
          <w:color w:val="auto"/>
          <w:highlight w:val="none"/>
          <w:lang w:val="en-US" w:eastAsia="zh-CN"/>
        </w:rPr>
      </w:pPr>
      <w:bookmarkStart w:id="214" w:name="_Toc502328422"/>
      <w:bookmarkStart w:id="215" w:name="_Toc500594540"/>
      <w:bookmarkStart w:id="216" w:name="_Toc500594541"/>
      <w:bookmarkStart w:id="217" w:name="_Toc502328423"/>
      <w:r>
        <w:rPr>
          <w:rFonts w:hint="eastAsia" w:ascii="宋体" w:hAnsi="宋体" w:eastAsia="宋体" w:cs="宋体"/>
          <w:color w:val="auto"/>
          <w:szCs w:val="24"/>
          <w:highlight w:val="none"/>
        </w:rPr>
        <w:t>磋商小组根据评审情况推荐</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候选人名单并编写评审报告</w:t>
      </w:r>
      <w:r>
        <w:rPr>
          <w:rFonts w:hint="eastAsia" w:ascii="宋体" w:hAnsi="宋体" w:eastAsia="宋体" w:cs="宋体"/>
          <w:color w:val="auto"/>
          <w:szCs w:val="24"/>
          <w:highlight w:val="none"/>
          <w:lang w:eastAsia="zh-CN"/>
        </w:rPr>
        <w:t>，在线进行签名确认</w:t>
      </w:r>
      <w:bookmarkEnd w:id="214"/>
      <w:bookmarkEnd w:id="215"/>
      <w:r>
        <w:rPr>
          <w:rFonts w:hint="eastAsia" w:ascii="宋体" w:hAnsi="宋体" w:eastAsia="宋体" w:cs="宋体"/>
          <w:color w:val="auto"/>
          <w:szCs w:val="24"/>
          <w:highlight w:val="none"/>
          <w:lang w:eastAsia="zh-CN"/>
        </w:rPr>
        <w:t>。</w:t>
      </w:r>
    </w:p>
    <w:p w14:paraId="0C8FDE7C">
      <w:pPr>
        <w:pStyle w:val="3"/>
        <w:tabs>
          <w:tab w:val="left" w:pos="432"/>
        </w:tabs>
        <w:snapToGrid w:val="0"/>
        <w:spacing w:before="0" w:after="0" w:line="360" w:lineRule="auto"/>
        <w:jc w:val="center"/>
        <w:rPr>
          <w:rFonts w:hint="eastAsia" w:ascii="宋体" w:hAnsi="宋体" w:eastAsia="宋体" w:cs="宋体"/>
          <w:color w:val="auto"/>
          <w:highlight w:val="none"/>
        </w:rPr>
      </w:pPr>
      <w:bookmarkStart w:id="218" w:name="_Toc7461"/>
      <w:r>
        <w:rPr>
          <w:rFonts w:hint="eastAsia" w:ascii="宋体" w:hAnsi="宋体" w:eastAsia="宋体" w:cs="宋体"/>
          <w:b/>
          <w:bCs w:val="0"/>
          <w:color w:val="auto"/>
          <w:sz w:val="44"/>
          <w:szCs w:val="44"/>
          <w:highlight w:val="none"/>
        </w:rPr>
        <w:br w:type="page"/>
      </w:r>
      <w:bookmarkStart w:id="219" w:name="_Toc27936"/>
      <w:bookmarkStart w:id="220" w:name="_Toc3423"/>
      <w:bookmarkStart w:id="221" w:name="_Toc22353"/>
      <w:bookmarkStart w:id="222" w:name="_Toc7120"/>
      <w:r>
        <w:rPr>
          <w:rFonts w:hint="eastAsia" w:ascii="宋体" w:hAnsi="宋体" w:eastAsia="宋体" w:cs="宋体"/>
          <w:b/>
          <w:bCs w:val="0"/>
          <w:color w:val="auto"/>
          <w:sz w:val="44"/>
          <w:szCs w:val="44"/>
          <w:highlight w:val="none"/>
        </w:rPr>
        <w:t>第四章</w:t>
      </w:r>
      <w:r>
        <w:rPr>
          <w:rFonts w:hint="eastAsia" w:ascii="宋体" w:hAnsi="宋体" w:eastAsia="宋体" w:cs="宋体"/>
          <w:b/>
          <w:bCs w:val="0"/>
          <w:color w:val="auto"/>
          <w:sz w:val="44"/>
          <w:szCs w:val="44"/>
          <w:highlight w:val="none"/>
          <w:lang w:val="en-US" w:eastAsia="zh-CN"/>
        </w:rPr>
        <w:t xml:space="preserve"> </w:t>
      </w:r>
      <w:r>
        <w:rPr>
          <w:rFonts w:hint="eastAsia" w:ascii="宋体" w:hAnsi="宋体" w:eastAsia="宋体" w:cs="宋体"/>
          <w:b/>
          <w:bCs w:val="0"/>
          <w:color w:val="auto"/>
          <w:sz w:val="44"/>
          <w:szCs w:val="44"/>
          <w:highlight w:val="none"/>
          <w:lang w:eastAsia="zh-CN"/>
        </w:rPr>
        <w:t>合同主要条款及格式</w:t>
      </w:r>
      <w:bookmarkEnd w:id="218"/>
      <w:bookmarkEnd w:id="219"/>
      <w:bookmarkEnd w:id="220"/>
      <w:bookmarkEnd w:id="221"/>
      <w:bookmarkEnd w:id="222"/>
    </w:p>
    <w:p w14:paraId="0D24A86D">
      <w:pPr>
        <w:spacing w:line="600" w:lineRule="exact"/>
        <w:jc w:val="center"/>
        <w:outlineLvl w:val="0"/>
        <w:rPr>
          <w:rFonts w:hint="eastAsia" w:ascii="宋体" w:hAnsi="宋体" w:eastAsia="宋体" w:cs="宋体"/>
          <w:b/>
          <w:bCs/>
          <w:color w:val="auto"/>
          <w:sz w:val="44"/>
          <w:szCs w:val="44"/>
          <w:highlight w:val="none"/>
        </w:rPr>
      </w:pPr>
      <w:bookmarkStart w:id="223" w:name="_Toc4364"/>
      <w:bookmarkStart w:id="224" w:name="_Toc18375"/>
      <w:bookmarkStart w:id="225" w:name="_Toc8650"/>
      <w:bookmarkStart w:id="226" w:name="_Toc21721"/>
      <w:r>
        <w:rPr>
          <w:rFonts w:hint="eastAsia" w:ascii="宋体" w:hAnsi="宋体" w:eastAsia="宋体" w:cs="宋体"/>
          <w:b/>
          <w:bCs/>
          <w:color w:val="auto"/>
          <w:szCs w:val="21"/>
          <w:highlight w:val="none"/>
          <w:lang w:val="zh-CN"/>
        </w:rPr>
        <w:t>（具体合同条款以发包人与承包人最终签订条款为准）</w:t>
      </w:r>
      <w:bookmarkEnd w:id="223"/>
      <w:bookmarkEnd w:id="224"/>
      <w:bookmarkEnd w:id="225"/>
      <w:bookmarkEnd w:id="226"/>
    </w:p>
    <w:p w14:paraId="42B1A9E4">
      <w:pPr>
        <w:spacing w:line="800" w:lineRule="exact"/>
        <w:jc w:val="both"/>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（GF—2017—0201）</w:t>
      </w:r>
    </w:p>
    <w:p w14:paraId="5F719221">
      <w:pPr>
        <w:spacing w:line="800" w:lineRule="exact"/>
        <w:jc w:val="center"/>
        <w:rPr>
          <w:rFonts w:hint="eastAsia" w:ascii="宋体" w:hAnsi="宋体" w:eastAsia="宋体" w:cs="宋体"/>
          <w:bCs/>
          <w:color w:val="auto"/>
          <w:sz w:val="32"/>
          <w:szCs w:val="32"/>
          <w:highlight w:val="none"/>
        </w:rPr>
      </w:pPr>
    </w:p>
    <w:p w14:paraId="6299B2A5">
      <w:pPr>
        <w:spacing w:line="800" w:lineRule="exact"/>
        <w:jc w:val="center"/>
        <w:rPr>
          <w:rFonts w:hint="eastAsia" w:ascii="宋体" w:hAnsi="宋体" w:eastAsia="宋体" w:cs="宋体"/>
          <w:bCs/>
          <w:color w:val="auto"/>
          <w:sz w:val="32"/>
          <w:szCs w:val="32"/>
          <w:highlight w:val="none"/>
        </w:rPr>
      </w:pPr>
    </w:p>
    <w:p w14:paraId="71F1E852">
      <w:pPr>
        <w:spacing w:line="800" w:lineRule="exact"/>
        <w:jc w:val="center"/>
        <w:rPr>
          <w:rFonts w:hint="eastAsia" w:ascii="宋体" w:hAnsi="宋体" w:eastAsia="宋体" w:cs="宋体"/>
          <w:bCs/>
          <w:color w:val="auto"/>
          <w:sz w:val="32"/>
          <w:szCs w:val="32"/>
          <w:highlight w:val="none"/>
        </w:rPr>
      </w:pPr>
    </w:p>
    <w:p w14:paraId="0A1BC4E7">
      <w:pPr>
        <w:spacing w:line="800" w:lineRule="exact"/>
        <w:jc w:val="center"/>
        <w:rPr>
          <w:rFonts w:hint="eastAsia" w:ascii="宋体" w:hAnsi="宋体" w:eastAsia="宋体" w:cs="宋体"/>
          <w:b/>
          <w:color w:val="auto"/>
          <w:sz w:val="72"/>
          <w:szCs w:val="52"/>
          <w:highlight w:val="none"/>
          <w:lang w:eastAsia="zh-CN"/>
        </w:rPr>
      </w:pPr>
      <w:r>
        <w:rPr>
          <w:rFonts w:hint="eastAsia" w:ascii="宋体" w:hAnsi="宋体" w:eastAsia="宋体" w:cs="宋体"/>
          <w:b/>
          <w:color w:val="auto"/>
          <w:sz w:val="72"/>
          <w:szCs w:val="52"/>
          <w:highlight w:val="none"/>
        </w:rPr>
        <w:t>建设工程施工合同</w:t>
      </w:r>
    </w:p>
    <w:p w14:paraId="7CBF848A">
      <w:pPr>
        <w:spacing w:line="8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52"/>
          <w:szCs w:val="52"/>
          <w:highlight w:val="none"/>
        </w:rPr>
        <w:t>（示范文本）</w:t>
      </w:r>
    </w:p>
    <w:p w14:paraId="0BBCF87E">
      <w:pPr>
        <w:spacing w:line="340" w:lineRule="exact"/>
        <w:rPr>
          <w:rFonts w:hint="eastAsia" w:ascii="宋体" w:hAnsi="宋体" w:eastAsia="宋体" w:cs="宋体"/>
          <w:b/>
          <w:color w:val="auto"/>
          <w:sz w:val="28"/>
          <w:szCs w:val="28"/>
          <w:highlight w:val="none"/>
        </w:rPr>
      </w:pPr>
    </w:p>
    <w:p w14:paraId="0DBC10C9">
      <w:pPr>
        <w:spacing w:line="340" w:lineRule="exact"/>
        <w:rPr>
          <w:rFonts w:hint="eastAsia" w:ascii="宋体" w:hAnsi="宋体" w:eastAsia="宋体" w:cs="宋体"/>
          <w:b/>
          <w:color w:val="auto"/>
          <w:sz w:val="28"/>
          <w:szCs w:val="28"/>
          <w:highlight w:val="none"/>
        </w:rPr>
      </w:pPr>
    </w:p>
    <w:p w14:paraId="52C26D8B">
      <w:pPr>
        <w:spacing w:line="340" w:lineRule="exact"/>
        <w:rPr>
          <w:rFonts w:hint="eastAsia" w:ascii="宋体" w:hAnsi="宋体" w:eastAsia="宋体" w:cs="宋体"/>
          <w:b/>
          <w:color w:val="auto"/>
          <w:sz w:val="28"/>
          <w:szCs w:val="28"/>
          <w:highlight w:val="none"/>
        </w:rPr>
      </w:pPr>
    </w:p>
    <w:p w14:paraId="599CCD69">
      <w:pPr>
        <w:spacing w:line="340" w:lineRule="exact"/>
        <w:rPr>
          <w:rFonts w:hint="eastAsia" w:ascii="宋体" w:hAnsi="宋体" w:eastAsia="宋体" w:cs="宋体"/>
          <w:b/>
          <w:color w:val="auto"/>
          <w:sz w:val="28"/>
          <w:szCs w:val="28"/>
          <w:highlight w:val="none"/>
        </w:rPr>
      </w:pPr>
    </w:p>
    <w:p w14:paraId="4005E078">
      <w:pPr>
        <w:spacing w:line="340" w:lineRule="exact"/>
        <w:rPr>
          <w:rFonts w:hint="eastAsia" w:ascii="宋体" w:hAnsi="宋体" w:eastAsia="宋体" w:cs="宋体"/>
          <w:b/>
          <w:color w:val="auto"/>
          <w:sz w:val="28"/>
          <w:szCs w:val="28"/>
          <w:highlight w:val="none"/>
        </w:rPr>
      </w:pPr>
    </w:p>
    <w:p w14:paraId="22FC5C1B">
      <w:pPr>
        <w:pStyle w:val="20"/>
        <w:rPr>
          <w:rFonts w:hint="eastAsia" w:ascii="宋体" w:hAnsi="宋体" w:eastAsia="宋体" w:cs="宋体"/>
          <w:b/>
          <w:color w:val="auto"/>
          <w:sz w:val="28"/>
          <w:szCs w:val="28"/>
          <w:highlight w:val="none"/>
        </w:rPr>
      </w:pPr>
    </w:p>
    <w:p w14:paraId="567B19DC">
      <w:pPr>
        <w:pStyle w:val="19"/>
        <w:rPr>
          <w:rFonts w:hint="eastAsia" w:ascii="宋体" w:hAnsi="宋体" w:eastAsia="宋体" w:cs="宋体"/>
          <w:color w:val="auto"/>
          <w:highlight w:val="none"/>
        </w:rPr>
      </w:pPr>
    </w:p>
    <w:p w14:paraId="6135A8B8">
      <w:pPr>
        <w:spacing w:line="340" w:lineRule="exact"/>
        <w:rPr>
          <w:rFonts w:hint="eastAsia" w:ascii="宋体" w:hAnsi="宋体" w:eastAsia="宋体" w:cs="宋体"/>
          <w:b/>
          <w:color w:val="auto"/>
          <w:sz w:val="28"/>
          <w:szCs w:val="28"/>
          <w:highlight w:val="none"/>
        </w:rPr>
      </w:pPr>
    </w:p>
    <w:p w14:paraId="69A33C26">
      <w:pPr>
        <w:spacing w:line="340" w:lineRule="exact"/>
        <w:ind w:right="3108" w:rightChars="1295" w:firstLine="3129" w:firstLineChars="1304"/>
        <w:jc w:val="distribute"/>
        <w:rPr>
          <w:rFonts w:hint="eastAsia" w:ascii="宋体" w:hAnsi="宋体" w:eastAsia="宋体" w:cs="宋体"/>
          <w:b/>
          <w:color w:val="auto"/>
          <w:sz w:val="32"/>
          <w:szCs w:val="28"/>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4" name="文本框 1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6C43E343">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35T9JgUCAAAOBAAADgAAAGRycy9lMm9Eb2MueG1srVNL&#10;jhMxEN0jcQfLe9KZMGGYVjojQQgbBEgDB3D86bbkn1xOunMBuAErNuw5V84xZXcm82GTBb1wl6ue&#10;n6telRc3gzVkJyNo7xp6MZlSIh33Qru2od+/rV+9pQQSc4IZ72RD9xLozfLli0UfajnznTdCRoIk&#10;Duo+NLRLKdRVBbyTlsHEB+kwqHy0LOE2tpWIrEd2a6rZdPqm6n0UIXouAdC7GoP0yBjPIfRKaS5X&#10;nm+tdGlkjdKwhCVBpwPQZclWKcnTF6VAJmIaipWmsuIlaG/yWi0XrG4jC53mxxTYOSk8q8ky7fDS&#10;E9WKJUa2Uf9DZTWPHrxKE+5tNRZSFMEqLqbPtLntWJClFpQawkl0+H+0/PPuayRa4CRcUuKYxY4f&#10;fv08/P57+PODoA8F6gPUiLsNiEzDOz8g+N4P6Mx1Dyra/MeKCMZR3v1JXjkkwtF5NXt9PcUIx9Dl&#10;/AqHIbNUD4dDhPRRekuy0dCI3Suist0nSCP0HpLvcn6tjSkdNI70Db2ez+ZIz3AqFU4DmjZgZeDa&#10;QgPeaJGP5MMQ2817E8mO4WSsy3fM5gks37di0I24EsowVludZCxWJ5n44ARJ+4DiOXw0NCdjpaDE&#10;SHxj2SrIxLQ5B4mSGIfKZOFHgbOVhs2ANNnceLHHZmxD1G2HSpV2FDiOSZH0ONJ5Dh/vC+nDM17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HNLXHYAAAACQEAAA8AAAAAAAAAAQAgAAAAIgAAAGRy&#10;cy9kb3ducmV2LnhtbFBLAQIUABQAAAAIAIdO4kDflP0mBQIAAA4EAAAOAAAAAAAAAAEAIAAAACcB&#10;AABkcnMvZTJvRG9jLnhtbFBLBQYAAAAABgAGAFkBAACeBQAAAAA=&#10;">
                <v:fill on="f" focussize="0,0"/>
                <v:stroke color="#FFFFFF" joinstyle="miter"/>
                <v:imagedata o:title=""/>
                <o:lock v:ext="edit" aspectratio="f"/>
                <v:textbox>
                  <w:txbxContent>
                    <w:p w14:paraId="6C43E343">
                      <w:pPr>
                        <w:rPr>
                          <w:b/>
                          <w:bCs/>
                          <w:sz w:val="32"/>
                        </w:rPr>
                      </w:pPr>
                      <w:r>
                        <w:rPr>
                          <w:rFonts w:hint="eastAsia"/>
                          <w:b/>
                          <w:bCs/>
                          <w:sz w:val="32"/>
                        </w:rPr>
                        <w:t>制定</w:t>
                      </w:r>
                    </w:p>
                  </w:txbxContent>
                </v:textbox>
              </v:shape>
            </w:pict>
          </mc:Fallback>
        </mc:AlternateContent>
      </w:r>
      <w:r>
        <w:rPr>
          <w:rFonts w:hint="eastAsia" w:ascii="宋体" w:hAnsi="宋体" w:eastAsia="宋体" w:cs="宋体"/>
          <w:b/>
          <w:color w:val="auto"/>
          <w:sz w:val="32"/>
          <w:szCs w:val="28"/>
          <w:highlight w:val="none"/>
        </w:rPr>
        <w:t>住房城乡建设部</w:t>
      </w:r>
    </w:p>
    <w:p w14:paraId="115621A6">
      <w:pPr>
        <w:spacing w:line="340" w:lineRule="exact"/>
        <w:ind w:right="3108" w:rightChars="1295" w:firstLine="4189" w:firstLineChars="1304"/>
        <w:jc w:val="distribute"/>
        <w:rPr>
          <w:rFonts w:hint="eastAsia" w:ascii="宋体" w:hAnsi="宋体" w:eastAsia="宋体" w:cs="宋体"/>
          <w:b/>
          <w:color w:val="auto"/>
          <w:sz w:val="32"/>
          <w:szCs w:val="28"/>
          <w:highlight w:val="none"/>
        </w:rPr>
      </w:pPr>
    </w:p>
    <w:p w14:paraId="3F720EFC">
      <w:pPr>
        <w:spacing w:line="340" w:lineRule="exact"/>
        <w:ind w:right="3108" w:rightChars="1295" w:firstLine="2750" w:firstLineChars="856"/>
        <w:jc w:val="distribute"/>
        <w:rPr>
          <w:rFonts w:hint="eastAsia" w:ascii="宋体" w:hAnsi="宋体" w:eastAsia="宋体" w:cs="宋体"/>
          <w:b/>
          <w:color w:val="auto"/>
          <w:sz w:val="32"/>
          <w:szCs w:val="28"/>
          <w:highlight w:val="none"/>
        </w:rPr>
      </w:pPr>
      <w:r>
        <w:rPr>
          <w:rFonts w:hint="eastAsia" w:ascii="宋体" w:hAnsi="宋体" w:eastAsia="宋体" w:cs="宋体"/>
          <w:b/>
          <w:color w:val="auto"/>
          <w:sz w:val="32"/>
          <w:szCs w:val="28"/>
          <w:highlight w:val="none"/>
          <w:lang w:eastAsia="zh-CN"/>
        </w:rPr>
        <w:t>国家市场监督管理总局</w:t>
      </w:r>
    </w:p>
    <w:p w14:paraId="3D869E2D">
      <w:pPr>
        <w:adjustRightInd w:val="0"/>
        <w:snapToGrid w:val="0"/>
        <w:jc w:val="left"/>
        <w:rPr>
          <w:rFonts w:hint="eastAsia" w:ascii="宋体" w:hAnsi="宋体" w:eastAsia="宋体" w:cs="宋体"/>
          <w:snapToGrid w:val="0"/>
          <w:color w:val="auto"/>
          <w:kern w:val="0"/>
          <w:szCs w:val="21"/>
          <w:highlight w:val="none"/>
        </w:rPr>
      </w:pPr>
    </w:p>
    <w:p w14:paraId="2483C7D5">
      <w:pPr>
        <w:rPr>
          <w:rFonts w:hint="eastAsia" w:ascii="宋体" w:hAnsi="宋体" w:eastAsia="宋体" w:cs="宋体"/>
          <w:color w:val="auto"/>
          <w:sz w:val="21"/>
          <w:szCs w:val="21"/>
          <w:highlight w:val="none"/>
        </w:rPr>
      </w:pPr>
      <w:bookmarkStart w:id="227" w:name="_Toc510377766"/>
      <w:bookmarkStart w:id="228" w:name="_Toc504119051"/>
      <w:bookmarkStart w:id="229" w:name="_Toc512164583"/>
      <w:bookmarkStart w:id="230" w:name="_Toc505785350"/>
      <w:r>
        <w:rPr>
          <w:rFonts w:hint="eastAsia" w:ascii="宋体" w:hAnsi="宋体" w:eastAsia="宋体" w:cs="宋体"/>
          <w:color w:val="auto"/>
          <w:sz w:val="21"/>
          <w:szCs w:val="21"/>
          <w:highlight w:val="none"/>
        </w:rPr>
        <w:br w:type="page"/>
      </w:r>
    </w:p>
    <w:p w14:paraId="71DF6DEA">
      <w:pPr>
        <w:pStyle w:val="5"/>
        <w:jc w:val="center"/>
        <w:rPr>
          <w:rFonts w:hint="eastAsia" w:ascii="宋体" w:hAnsi="宋体" w:eastAsia="宋体" w:cs="宋体"/>
          <w:caps/>
          <w:color w:val="auto"/>
          <w:sz w:val="21"/>
          <w:szCs w:val="21"/>
          <w:highlight w:val="none"/>
        </w:rPr>
      </w:pPr>
      <w:r>
        <w:rPr>
          <w:rFonts w:hint="eastAsia" w:ascii="宋体" w:hAnsi="宋体" w:eastAsia="宋体" w:cs="宋体"/>
          <w:color w:val="auto"/>
          <w:sz w:val="21"/>
          <w:szCs w:val="21"/>
          <w:highlight w:val="none"/>
        </w:rPr>
        <w:t>第一部分合同协议书</w:t>
      </w:r>
      <w:bookmarkEnd w:id="227"/>
      <w:bookmarkEnd w:id="228"/>
      <w:bookmarkEnd w:id="229"/>
      <w:bookmarkEnd w:id="230"/>
    </w:p>
    <w:p w14:paraId="78C54AC9">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发包人（全称）：</w:t>
      </w:r>
    </w:p>
    <w:p w14:paraId="20DE939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p>
    <w:p w14:paraId="195FAFA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》《中华人民共和国建筑法》及有关法律规定，遵循平等、自愿、公平和诚实信用的原则，双方就</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施工及有关事项协商一致，共同达成如下协议：</w:t>
      </w:r>
    </w:p>
    <w:p w14:paraId="129448F3">
      <w:pPr>
        <w:spacing w:line="360" w:lineRule="auto"/>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一、工程概况</w:t>
      </w:r>
    </w:p>
    <w:p w14:paraId="089B020F">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1.工程名称</w:t>
      </w:r>
      <w:r>
        <w:rPr>
          <w:rFonts w:hint="eastAsia" w:ascii="宋体" w:hAnsi="宋体" w:eastAsia="宋体" w:cs="宋体"/>
          <w:bCs/>
          <w:color w:val="auto"/>
          <w:szCs w:val="21"/>
          <w:highlight w:val="none"/>
          <w:lang w:eastAsia="zh-CN"/>
        </w:rPr>
        <w:t>：。</w:t>
      </w:r>
    </w:p>
    <w:p w14:paraId="36E2FA64">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2.工程地点：</w:t>
      </w:r>
      <w:r>
        <w:rPr>
          <w:rFonts w:hint="eastAsia" w:ascii="宋体" w:hAnsi="宋体" w:eastAsia="宋体" w:cs="宋体"/>
          <w:color w:val="auto"/>
          <w:szCs w:val="21"/>
          <w:highlight w:val="none"/>
        </w:rPr>
        <w:t>。</w:t>
      </w:r>
    </w:p>
    <w:p w14:paraId="02B144A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3.工程立项批准文号：</w:t>
      </w:r>
      <w:r>
        <w:rPr>
          <w:rFonts w:hint="eastAsia" w:ascii="宋体" w:hAnsi="宋体" w:eastAsia="宋体" w:cs="宋体"/>
          <w:color w:val="auto"/>
          <w:szCs w:val="21"/>
          <w:highlight w:val="none"/>
        </w:rPr>
        <w:t>。</w:t>
      </w:r>
    </w:p>
    <w:p w14:paraId="4114DA98">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4.资金来源：。</w:t>
      </w:r>
    </w:p>
    <w:p w14:paraId="0FD50B2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5.工程内容：</w:t>
      </w:r>
      <w:r>
        <w:rPr>
          <w:rFonts w:hint="eastAsia" w:ascii="宋体" w:hAnsi="宋体" w:eastAsia="宋体" w:cs="宋体"/>
          <w:color w:val="auto"/>
          <w:szCs w:val="21"/>
          <w:highlight w:val="none"/>
        </w:rPr>
        <w:t>。</w:t>
      </w:r>
    </w:p>
    <w:p w14:paraId="2B655B3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群体工程应附《承包人承揽工程项目一览表》（附件1）。</w:t>
      </w:r>
    </w:p>
    <w:p w14:paraId="6A5567B9">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6.工程承包范围：</w:t>
      </w:r>
      <w:r>
        <w:rPr>
          <w:rFonts w:hint="eastAsia" w:ascii="宋体" w:hAnsi="宋体" w:eastAsia="宋体" w:cs="宋体"/>
          <w:color w:val="auto"/>
          <w:szCs w:val="21"/>
          <w:highlight w:val="none"/>
        </w:rPr>
        <w:t>。</w:t>
      </w:r>
    </w:p>
    <w:p w14:paraId="38EEA4D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二、合同工期</w:t>
      </w:r>
    </w:p>
    <w:p w14:paraId="7479FD5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计划开工日期：年月日。</w:t>
      </w:r>
    </w:p>
    <w:p w14:paraId="662854E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计划竣工日期：年月日。</w:t>
      </w:r>
    </w:p>
    <w:p w14:paraId="50EBCE3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工期总日历天数：天。工期总日历天数与根据前述计划开竣工日期计算的工期天数不一致的，以工期总日历天数为准。</w:t>
      </w:r>
    </w:p>
    <w:p w14:paraId="24C21290">
      <w:pPr>
        <w:spacing w:line="360" w:lineRule="auto"/>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三、质量标准</w:t>
      </w:r>
    </w:p>
    <w:p w14:paraId="2E1ECD6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工程质量符合标准。</w:t>
      </w:r>
    </w:p>
    <w:p w14:paraId="6BD06C3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四、签约合同价与合同价格形式</w:t>
      </w:r>
    </w:p>
    <w:p w14:paraId="61D528A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1.签约合同价为：</w:t>
      </w:r>
    </w:p>
    <w:p w14:paraId="684DD63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人民币（大写）（¥元）；</w:t>
      </w:r>
    </w:p>
    <w:p w14:paraId="52E1341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14:paraId="4D59637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⑴安全文明施工费：</w:t>
      </w:r>
    </w:p>
    <w:p w14:paraId="64B85A3F">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人民币（大写）（¥元）；</w:t>
      </w:r>
    </w:p>
    <w:p w14:paraId="1610565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⑵材料和工程设备暂估价金额：</w:t>
      </w:r>
    </w:p>
    <w:p w14:paraId="71328ADC">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人民币（大写）（¥元）；</w:t>
      </w:r>
    </w:p>
    <w:p w14:paraId="00F1E66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⑶专业工程暂估价金额：</w:t>
      </w:r>
    </w:p>
    <w:p w14:paraId="05FDAB9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人民币（大写）（¥元）；</w:t>
      </w:r>
    </w:p>
    <w:p w14:paraId="200CC87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⑷暂列金额：</w:t>
      </w:r>
    </w:p>
    <w:p w14:paraId="300E6D2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人民币（大写）（¥元）。</w:t>
      </w:r>
    </w:p>
    <w:p w14:paraId="2E2FFA9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2.合同价格形式：。</w:t>
      </w:r>
    </w:p>
    <w:p w14:paraId="0DCCA91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五、项目经理</w:t>
      </w:r>
    </w:p>
    <w:p w14:paraId="547E493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0"/>
          <w:highlight w:val="none"/>
          <w:u w:val="single"/>
        </w:rPr>
        <w:t xml:space="preserve">     </w:t>
      </w:r>
      <w:r>
        <w:rPr>
          <w:rFonts w:hint="eastAsia" w:ascii="宋体" w:hAnsi="宋体" w:eastAsia="宋体" w:cs="宋体"/>
          <w:color w:val="auto"/>
          <w:szCs w:val="21"/>
          <w:highlight w:val="none"/>
        </w:rPr>
        <w:t>；</w:t>
      </w:r>
    </w:p>
    <w:p w14:paraId="72A5BF8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p w14:paraId="55528D2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p w14:paraId="248F8D1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建造师执业资格证书号：；</w:t>
      </w:r>
    </w:p>
    <w:p w14:paraId="24D28AF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p>
    <w:p w14:paraId="5552165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p>
    <w:p w14:paraId="7114EF1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p>
    <w:p w14:paraId="7C151E94">
      <w:pPr>
        <w:spacing w:line="360" w:lineRule="auto"/>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六、合同文件构成</w:t>
      </w:r>
    </w:p>
    <w:p w14:paraId="09626657">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本协议书与下列文件一起构成合同文件：</w:t>
      </w:r>
    </w:p>
    <w:p w14:paraId="1DD8C50C">
      <w:pPr>
        <w:autoSpaceDE w:val="0"/>
        <w:autoSpaceDN w:val="0"/>
        <w:adjustRightIn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⑴中标通知书；</w:t>
      </w:r>
    </w:p>
    <w:p w14:paraId="7573CD32">
      <w:pPr>
        <w:autoSpaceDE w:val="0"/>
        <w:autoSpaceDN w:val="0"/>
        <w:adjustRightIn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⑵投标函及其附录；</w:t>
      </w:r>
    </w:p>
    <w:p w14:paraId="6AF97AF0">
      <w:pPr>
        <w:autoSpaceDE w:val="0"/>
        <w:autoSpaceDN w:val="0"/>
        <w:adjustRightIn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⑶专用合同条款及其附件；</w:t>
      </w:r>
    </w:p>
    <w:p w14:paraId="16819D17">
      <w:pPr>
        <w:autoSpaceDE w:val="0"/>
        <w:autoSpaceDN w:val="0"/>
        <w:adjustRightIn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⑷通用合同条款；</w:t>
      </w:r>
    </w:p>
    <w:p w14:paraId="7FF158A9">
      <w:pPr>
        <w:autoSpaceDE w:val="0"/>
        <w:autoSpaceDN w:val="0"/>
        <w:adjustRightIn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⑸技术标准和要求；</w:t>
      </w:r>
    </w:p>
    <w:p w14:paraId="13335B6C">
      <w:pPr>
        <w:autoSpaceDE w:val="0"/>
        <w:autoSpaceDN w:val="0"/>
        <w:adjustRightIn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⑹图纸；</w:t>
      </w:r>
    </w:p>
    <w:p w14:paraId="6DB48C15">
      <w:pPr>
        <w:autoSpaceDE w:val="0"/>
        <w:autoSpaceDN w:val="0"/>
        <w:adjustRightIn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⑺已标价工程量清单或预算书；</w:t>
      </w:r>
    </w:p>
    <w:p w14:paraId="77C97540">
      <w:pPr>
        <w:autoSpaceDE w:val="0"/>
        <w:autoSpaceDN w:val="0"/>
        <w:adjustRightIn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⑻其他合同文件。</w:t>
      </w:r>
    </w:p>
    <w:p w14:paraId="0A9739E6">
      <w:pPr>
        <w:autoSpaceDE w:val="0"/>
        <w:autoSpaceDN w:val="0"/>
        <w:adjustRightIn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14:paraId="1B555F30">
      <w:pPr>
        <w:autoSpaceDE w:val="0"/>
        <w:autoSpaceDN w:val="0"/>
        <w:adjustRightInd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3FFA418D">
      <w:pPr>
        <w:autoSpaceDE w:val="0"/>
        <w:autoSpaceDN w:val="0"/>
        <w:adjustRightInd w:val="0"/>
        <w:spacing w:line="360" w:lineRule="auto"/>
        <w:ind w:firstLine="48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七、承诺</w:t>
      </w:r>
    </w:p>
    <w:p w14:paraId="74A8A8F1">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1.发包人承诺按照法律规定履行项目审批手续、筹集工程建设资金并按照合同约定的期限和方式支付合同价款。</w:t>
      </w:r>
    </w:p>
    <w:p w14:paraId="60B13D9E">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04B519CC">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3.发包人和承包人通过招投标形式签订合同的，双方理解并承诺不再就同一工程另行签订与合同实质性内容相背离的协议。</w:t>
      </w:r>
    </w:p>
    <w:p w14:paraId="3CD85A77">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八、词语含义</w:t>
      </w:r>
    </w:p>
    <w:p w14:paraId="7A16FD2A">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14:paraId="439A171E">
      <w:pPr>
        <w:spacing w:line="360" w:lineRule="auto"/>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九、签订时间</w:t>
      </w:r>
    </w:p>
    <w:p w14:paraId="17E93CDA">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color w:val="auto"/>
          <w:szCs w:val="21"/>
          <w:highlight w:val="none"/>
        </w:rPr>
        <w:t>年月日</w:t>
      </w:r>
      <w:r>
        <w:rPr>
          <w:rFonts w:hint="eastAsia" w:ascii="宋体" w:hAnsi="宋体" w:eastAsia="宋体" w:cs="宋体"/>
          <w:bCs/>
          <w:color w:val="auto"/>
          <w:szCs w:val="21"/>
          <w:highlight w:val="none"/>
        </w:rPr>
        <w:t>签订。</w:t>
      </w:r>
    </w:p>
    <w:p w14:paraId="3DB5742C">
      <w:pPr>
        <w:spacing w:line="360" w:lineRule="auto"/>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十、签订地点</w:t>
      </w:r>
    </w:p>
    <w:p w14:paraId="604CAB90">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rPr>
        <w:t>（发包人或项目所在地）</w:t>
      </w:r>
      <w:r>
        <w:rPr>
          <w:rFonts w:hint="eastAsia" w:ascii="宋体" w:hAnsi="宋体" w:eastAsia="宋体" w:cs="宋体"/>
          <w:bCs/>
          <w:color w:val="auto"/>
          <w:szCs w:val="21"/>
          <w:highlight w:val="none"/>
        </w:rPr>
        <w:t>签订。</w:t>
      </w:r>
    </w:p>
    <w:p w14:paraId="1D40588C">
      <w:pPr>
        <w:spacing w:line="360" w:lineRule="auto"/>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十一、补充协议</w:t>
      </w:r>
    </w:p>
    <w:p w14:paraId="5EA65C70">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14:paraId="2D07B209">
      <w:pPr>
        <w:spacing w:line="360" w:lineRule="auto"/>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十二、合同生效</w:t>
      </w:r>
    </w:p>
    <w:p w14:paraId="1A08835E">
      <w:pPr>
        <w:spacing w:line="360" w:lineRule="auto"/>
        <w:ind w:firstLine="48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rPr>
        <w:t>发包人和承包人的法定代表人或其委托代理人在协议书上签字并加盖单位章后</w:t>
      </w:r>
      <w:r>
        <w:rPr>
          <w:rFonts w:hint="eastAsia" w:ascii="宋体" w:hAnsi="宋体" w:eastAsia="宋体" w:cs="宋体"/>
          <w:bCs/>
          <w:color w:val="auto"/>
          <w:szCs w:val="21"/>
          <w:highlight w:val="none"/>
        </w:rPr>
        <w:t>生效。</w:t>
      </w:r>
    </w:p>
    <w:p w14:paraId="59F853E9">
      <w:pPr>
        <w:spacing w:line="360" w:lineRule="auto"/>
        <w:ind w:firstLine="48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十三、合同份数</w:t>
      </w:r>
    </w:p>
    <w:p w14:paraId="2DBCC2C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本合同一式份，均具有同等法律效力，发包人执份，承包人执份。</w:t>
      </w:r>
    </w:p>
    <w:p w14:paraId="1B8E687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aps/>
          <w:color w:val="auto"/>
          <w:szCs w:val="21"/>
          <w:highlight w:val="none"/>
          <w:u w:val="single"/>
        </w:rPr>
        <w:t>（公章）</w:t>
      </w:r>
      <w:r>
        <w:rPr>
          <w:rFonts w:hint="eastAsia" w:ascii="宋体" w:hAnsi="宋体" w:eastAsia="宋体" w:cs="宋体"/>
          <w:color w:val="auto"/>
          <w:szCs w:val="21"/>
          <w:highlight w:val="none"/>
        </w:rPr>
        <w:t>承包人：</w:t>
      </w:r>
      <w:r>
        <w:rPr>
          <w:rFonts w:hint="eastAsia" w:ascii="宋体" w:hAnsi="宋体" w:eastAsia="宋体" w:cs="宋体"/>
          <w:caps/>
          <w:color w:val="auto"/>
          <w:szCs w:val="21"/>
          <w:highlight w:val="none"/>
          <w:u w:val="single"/>
        </w:rPr>
        <w:t>（公章）</w:t>
      </w:r>
    </w:p>
    <w:p w14:paraId="6E29B3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法定代表人或其</w:t>
      </w:r>
    </w:p>
    <w:p w14:paraId="4471562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aps/>
          <w:color w:val="auto"/>
          <w:szCs w:val="21"/>
          <w:highlight w:val="none"/>
          <w:u w:val="single"/>
        </w:rPr>
        <w:t>（签字）</w:t>
      </w:r>
      <w:r>
        <w:rPr>
          <w:rFonts w:hint="eastAsia" w:ascii="宋体" w:hAnsi="宋体" w:eastAsia="宋体" w:cs="宋体"/>
          <w:color w:val="auto"/>
          <w:szCs w:val="21"/>
          <w:highlight w:val="none"/>
        </w:rPr>
        <w:t>委托代理人：</w:t>
      </w:r>
      <w:r>
        <w:rPr>
          <w:rFonts w:hint="eastAsia" w:ascii="宋体" w:hAnsi="宋体" w:eastAsia="宋体" w:cs="宋体"/>
          <w:caps/>
          <w:color w:val="auto"/>
          <w:szCs w:val="21"/>
          <w:highlight w:val="none"/>
          <w:u w:val="single"/>
        </w:rPr>
        <w:t>（签字）</w:t>
      </w:r>
    </w:p>
    <w:p w14:paraId="2CB4F52C">
      <w:pPr>
        <w:tabs>
          <w:tab w:val="left" w:pos="4410"/>
          <w:tab w:val="left" w:pos="5103"/>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组织机构代码：组织机构代码：</w:t>
      </w:r>
    </w:p>
    <w:p w14:paraId="58FAEDA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地址：地址：</w:t>
      </w:r>
    </w:p>
    <w:p w14:paraId="34CEFDB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邮政编码：邮政编码：</w:t>
      </w:r>
    </w:p>
    <w:p w14:paraId="09EB84A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法定代表人：法定代表人：</w:t>
      </w:r>
    </w:p>
    <w:p w14:paraId="43648AC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委托代理人：委托代理人：</w:t>
      </w:r>
    </w:p>
    <w:p w14:paraId="4036647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电话：电话：</w:t>
      </w:r>
    </w:p>
    <w:p w14:paraId="5537D7C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传真：传真：</w:t>
      </w:r>
    </w:p>
    <w:p w14:paraId="5745208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电子信箱：电子信箱：</w:t>
      </w:r>
    </w:p>
    <w:p w14:paraId="60191A1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开户银行：开户银行：</w:t>
      </w:r>
    </w:p>
    <w:p w14:paraId="3A919B6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账号：账号：</w:t>
      </w:r>
    </w:p>
    <w:p w14:paraId="46E958A3">
      <w:pPr>
        <w:rPr>
          <w:rFonts w:hint="eastAsia" w:ascii="宋体" w:hAnsi="宋体" w:eastAsia="宋体" w:cs="宋体"/>
          <w:color w:val="auto"/>
          <w:sz w:val="21"/>
          <w:szCs w:val="21"/>
          <w:highlight w:val="none"/>
        </w:rPr>
      </w:pPr>
      <w:bookmarkStart w:id="231" w:name="_Toc505785351"/>
      <w:bookmarkStart w:id="232" w:name="_Toc510377767"/>
      <w:bookmarkStart w:id="233" w:name="_Toc504119052"/>
      <w:bookmarkStart w:id="234" w:name="_Toc512164584"/>
      <w:r>
        <w:rPr>
          <w:rFonts w:hint="eastAsia" w:ascii="宋体" w:hAnsi="宋体" w:eastAsia="宋体" w:cs="宋体"/>
          <w:color w:val="auto"/>
          <w:sz w:val="21"/>
          <w:szCs w:val="21"/>
          <w:highlight w:val="none"/>
        </w:rPr>
        <w:br w:type="page"/>
      </w:r>
    </w:p>
    <w:p w14:paraId="54ECCF78">
      <w:pPr>
        <w:pStyle w:val="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第二部分通用合同条款</w:t>
      </w:r>
      <w:bookmarkEnd w:id="231"/>
      <w:bookmarkEnd w:id="232"/>
      <w:bookmarkEnd w:id="233"/>
      <w:bookmarkEnd w:id="234"/>
    </w:p>
    <w:p w14:paraId="1AC2361A">
      <w:pPr>
        <w:spacing w:line="360" w:lineRule="auto"/>
        <w:jc w:val="left"/>
        <w:rPr>
          <w:rFonts w:hint="eastAsia" w:ascii="宋体" w:hAnsi="宋体" w:eastAsia="宋体" w:cs="宋体"/>
          <w:b/>
          <w:caps/>
          <w:color w:val="auto"/>
          <w:szCs w:val="21"/>
          <w:highlight w:val="none"/>
        </w:rPr>
      </w:pPr>
    </w:p>
    <w:p w14:paraId="3734D385">
      <w:pPr>
        <w:spacing w:line="360" w:lineRule="auto"/>
        <w:jc w:val="center"/>
        <w:rPr>
          <w:rFonts w:hint="eastAsia" w:ascii="宋体" w:hAnsi="宋体" w:eastAsia="宋体" w:cs="宋体"/>
          <w:b/>
          <w:caps/>
          <w:color w:val="auto"/>
          <w:szCs w:val="21"/>
          <w:highlight w:val="none"/>
        </w:rPr>
      </w:pPr>
      <w:r>
        <w:rPr>
          <w:rFonts w:hint="eastAsia" w:ascii="宋体" w:hAnsi="宋体" w:eastAsia="宋体" w:cs="宋体"/>
          <w:b/>
          <w:caps/>
          <w:color w:val="auto"/>
          <w:szCs w:val="21"/>
          <w:highlight w:val="none"/>
        </w:rPr>
        <w:t>通用合同条款执行《建设工程施工合同（示范文本）》（</w:t>
      </w:r>
      <w:r>
        <w:rPr>
          <w:rFonts w:hint="eastAsia" w:ascii="宋体" w:hAnsi="宋体" w:eastAsia="宋体" w:cs="宋体"/>
          <w:b/>
          <w:color w:val="auto"/>
          <w:szCs w:val="21"/>
          <w:highlight w:val="none"/>
        </w:rPr>
        <w:t>GF-2017-0201</w:t>
      </w:r>
      <w:r>
        <w:rPr>
          <w:rFonts w:hint="eastAsia" w:ascii="宋体" w:hAnsi="宋体" w:eastAsia="宋体" w:cs="宋体"/>
          <w:b/>
          <w:caps/>
          <w:color w:val="auto"/>
          <w:szCs w:val="21"/>
          <w:highlight w:val="none"/>
        </w:rPr>
        <w:t>）版本</w:t>
      </w:r>
    </w:p>
    <w:p w14:paraId="15710831">
      <w:pPr>
        <w:spacing w:line="360" w:lineRule="auto"/>
        <w:jc w:val="left"/>
        <w:rPr>
          <w:rFonts w:hint="eastAsia" w:ascii="宋体" w:hAnsi="宋体" w:eastAsia="宋体" w:cs="宋体"/>
          <w:b/>
          <w:caps/>
          <w:color w:val="auto"/>
          <w:szCs w:val="21"/>
          <w:highlight w:val="none"/>
        </w:rPr>
      </w:pPr>
    </w:p>
    <w:p w14:paraId="09B186F7">
      <w:pPr>
        <w:spacing w:line="360" w:lineRule="auto"/>
        <w:jc w:val="left"/>
        <w:rPr>
          <w:rFonts w:hint="eastAsia" w:ascii="宋体" w:hAnsi="宋体" w:eastAsia="宋体" w:cs="宋体"/>
          <w:b/>
          <w:caps/>
          <w:color w:val="auto"/>
          <w:szCs w:val="21"/>
          <w:highlight w:val="none"/>
        </w:rPr>
      </w:pPr>
    </w:p>
    <w:p w14:paraId="1DA2270C">
      <w:pPr>
        <w:spacing w:line="360" w:lineRule="auto"/>
        <w:jc w:val="left"/>
        <w:rPr>
          <w:rFonts w:hint="eastAsia" w:ascii="宋体" w:hAnsi="宋体" w:eastAsia="宋体" w:cs="宋体"/>
          <w:b/>
          <w:caps/>
          <w:color w:val="auto"/>
          <w:szCs w:val="21"/>
          <w:highlight w:val="none"/>
        </w:rPr>
      </w:pPr>
    </w:p>
    <w:p w14:paraId="6853718C">
      <w:pPr>
        <w:spacing w:line="360" w:lineRule="auto"/>
        <w:jc w:val="left"/>
        <w:rPr>
          <w:rFonts w:hint="eastAsia" w:ascii="宋体" w:hAnsi="宋体" w:eastAsia="宋体" w:cs="宋体"/>
          <w:b/>
          <w:caps/>
          <w:color w:val="auto"/>
          <w:szCs w:val="21"/>
          <w:highlight w:val="none"/>
        </w:rPr>
      </w:pPr>
    </w:p>
    <w:p w14:paraId="4C4E8ADC">
      <w:pPr>
        <w:spacing w:line="360" w:lineRule="auto"/>
        <w:jc w:val="left"/>
        <w:rPr>
          <w:rFonts w:hint="eastAsia" w:ascii="宋体" w:hAnsi="宋体" w:eastAsia="宋体" w:cs="宋体"/>
          <w:b/>
          <w:caps/>
          <w:color w:val="auto"/>
          <w:szCs w:val="21"/>
          <w:highlight w:val="none"/>
        </w:rPr>
      </w:pPr>
    </w:p>
    <w:p w14:paraId="0341814E">
      <w:pPr>
        <w:spacing w:line="360" w:lineRule="auto"/>
        <w:jc w:val="left"/>
        <w:rPr>
          <w:rFonts w:hint="eastAsia" w:ascii="宋体" w:hAnsi="宋体" w:eastAsia="宋体" w:cs="宋体"/>
          <w:b/>
          <w:caps/>
          <w:color w:val="auto"/>
          <w:szCs w:val="21"/>
          <w:highlight w:val="none"/>
        </w:rPr>
      </w:pPr>
    </w:p>
    <w:p w14:paraId="60A5D1D6">
      <w:pPr>
        <w:spacing w:line="360" w:lineRule="auto"/>
        <w:jc w:val="left"/>
        <w:rPr>
          <w:rFonts w:hint="eastAsia" w:ascii="宋体" w:hAnsi="宋体" w:eastAsia="宋体" w:cs="宋体"/>
          <w:b/>
          <w:caps/>
          <w:color w:val="auto"/>
          <w:szCs w:val="21"/>
          <w:highlight w:val="none"/>
        </w:rPr>
      </w:pPr>
    </w:p>
    <w:p w14:paraId="4983E151">
      <w:pPr>
        <w:spacing w:line="360" w:lineRule="auto"/>
        <w:jc w:val="left"/>
        <w:rPr>
          <w:rFonts w:hint="eastAsia" w:ascii="宋体" w:hAnsi="宋体" w:eastAsia="宋体" w:cs="宋体"/>
          <w:b/>
          <w:caps/>
          <w:color w:val="auto"/>
          <w:szCs w:val="21"/>
          <w:highlight w:val="none"/>
        </w:rPr>
      </w:pPr>
    </w:p>
    <w:p w14:paraId="38E32DB1">
      <w:pPr>
        <w:spacing w:line="360" w:lineRule="auto"/>
        <w:jc w:val="left"/>
        <w:rPr>
          <w:rFonts w:hint="eastAsia" w:ascii="宋体" w:hAnsi="宋体" w:eastAsia="宋体" w:cs="宋体"/>
          <w:b/>
          <w:caps/>
          <w:color w:val="auto"/>
          <w:szCs w:val="21"/>
          <w:highlight w:val="none"/>
        </w:rPr>
      </w:pPr>
    </w:p>
    <w:p w14:paraId="772EF5AD">
      <w:pPr>
        <w:spacing w:line="360" w:lineRule="auto"/>
        <w:jc w:val="left"/>
        <w:rPr>
          <w:rFonts w:hint="eastAsia" w:ascii="宋体" w:hAnsi="宋体" w:eastAsia="宋体" w:cs="宋体"/>
          <w:b/>
          <w:caps/>
          <w:color w:val="auto"/>
          <w:szCs w:val="21"/>
          <w:highlight w:val="none"/>
        </w:rPr>
      </w:pPr>
    </w:p>
    <w:p w14:paraId="5F73129B">
      <w:pPr>
        <w:spacing w:line="360" w:lineRule="auto"/>
        <w:jc w:val="left"/>
        <w:rPr>
          <w:rFonts w:hint="eastAsia" w:ascii="宋体" w:hAnsi="宋体" w:eastAsia="宋体" w:cs="宋体"/>
          <w:b/>
          <w:caps/>
          <w:color w:val="auto"/>
          <w:szCs w:val="21"/>
          <w:highlight w:val="none"/>
        </w:rPr>
      </w:pPr>
    </w:p>
    <w:p w14:paraId="2FA36886">
      <w:pPr>
        <w:spacing w:line="360" w:lineRule="auto"/>
        <w:jc w:val="left"/>
        <w:rPr>
          <w:rFonts w:hint="eastAsia" w:ascii="宋体" w:hAnsi="宋体" w:eastAsia="宋体" w:cs="宋体"/>
          <w:b/>
          <w:caps/>
          <w:color w:val="auto"/>
          <w:szCs w:val="21"/>
          <w:highlight w:val="none"/>
        </w:rPr>
      </w:pPr>
    </w:p>
    <w:p w14:paraId="7745C695">
      <w:pPr>
        <w:spacing w:line="360" w:lineRule="auto"/>
        <w:jc w:val="left"/>
        <w:rPr>
          <w:rFonts w:hint="eastAsia" w:ascii="宋体" w:hAnsi="宋体" w:eastAsia="宋体" w:cs="宋体"/>
          <w:b/>
          <w:caps/>
          <w:color w:val="auto"/>
          <w:szCs w:val="21"/>
          <w:highlight w:val="none"/>
        </w:rPr>
      </w:pPr>
    </w:p>
    <w:p w14:paraId="50D9A56E">
      <w:pPr>
        <w:spacing w:line="360" w:lineRule="auto"/>
        <w:jc w:val="left"/>
        <w:rPr>
          <w:rFonts w:hint="eastAsia" w:ascii="宋体" w:hAnsi="宋体" w:eastAsia="宋体" w:cs="宋体"/>
          <w:b/>
          <w:caps/>
          <w:color w:val="auto"/>
          <w:szCs w:val="21"/>
          <w:highlight w:val="none"/>
        </w:rPr>
      </w:pPr>
    </w:p>
    <w:p w14:paraId="3543ADEB">
      <w:pPr>
        <w:keepNext/>
        <w:keepLines/>
        <w:spacing w:line="360" w:lineRule="auto"/>
        <w:jc w:val="center"/>
        <w:outlineLvl w:val="9"/>
        <w:rPr>
          <w:rFonts w:hint="eastAsia" w:ascii="宋体" w:hAnsi="宋体" w:eastAsia="宋体" w:cs="宋体"/>
          <w:b/>
          <w:bCs/>
          <w:color w:val="auto"/>
          <w:szCs w:val="21"/>
          <w:highlight w:val="none"/>
          <w:lang w:val="zh-CN"/>
        </w:rPr>
      </w:pPr>
      <w:bookmarkStart w:id="235" w:name="_Toc505785352"/>
      <w:bookmarkStart w:id="236" w:name="_Toc510377768"/>
      <w:bookmarkStart w:id="237" w:name="_Toc504119053"/>
      <w:bookmarkStart w:id="238" w:name="_Toc512164585"/>
      <w:r>
        <w:rPr>
          <w:rFonts w:hint="eastAsia" w:ascii="宋体" w:hAnsi="宋体" w:eastAsia="宋体" w:cs="宋体"/>
          <w:b/>
          <w:bCs/>
          <w:color w:val="auto"/>
          <w:szCs w:val="21"/>
          <w:highlight w:val="none"/>
          <w:lang w:val="zh-CN"/>
        </w:rPr>
        <w:br w:type="page"/>
      </w:r>
    </w:p>
    <w:p w14:paraId="045EBD84">
      <w:pPr>
        <w:keepNext/>
        <w:keepLines/>
        <w:spacing w:line="360" w:lineRule="auto"/>
        <w:jc w:val="center"/>
        <w:outlineLvl w:val="2"/>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第三部分专用合同条款</w:t>
      </w:r>
      <w:bookmarkEnd w:id="235"/>
      <w:bookmarkEnd w:id="236"/>
      <w:bookmarkEnd w:id="237"/>
      <w:bookmarkEnd w:id="238"/>
    </w:p>
    <w:p w14:paraId="53BA7E2B">
      <w:pPr>
        <w:spacing w:line="360" w:lineRule="auto"/>
        <w:jc w:val="left"/>
        <w:rPr>
          <w:rFonts w:hint="eastAsia" w:ascii="宋体" w:hAnsi="宋体" w:eastAsia="宋体" w:cs="宋体"/>
          <w:caps/>
          <w:color w:val="auto"/>
          <w:szCs w:val="21"/>
          <w:highlight w:val="none"/>
        </w:rPr>
      </w:pPr>
    </w:p>
    <w:p w14:paraId="36A6800A">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39" w:name="_Toc505785353"/>
      <w:bookmarkStart w:id="240" w:name="_Toc510377769"/>
      <w:bookmarkStart w:id="241" w:name="_Toc504119054"/>
      <w:bookmarkStart w:id="242" w:name="_Toc512164586"/>
      <w:r>
        <w:rPr>
          <w:rFonts w:hint="eastAsia" w:ascii="宋体" w:hAnsi="宋体" w:eastAsia="宋体" w:cs="宋体"/>
          <w:bCs/>
          <w:color w:val="auto"/>
          <w:szCs w:val="21"/>
          <w:highlight w:val="none"/>
          <w:lang w:val="zh-CN"/>
        </w:rPr>
        <w:t>1.一般约定</w:t>
      </w:r>
      <w:bookmarkEnd w:id="239"/>
      <w:bookmarkEnd w:id="240"/>
      <w:bookmarkEnd w:id="241"/>
      <w:bookmarkEnd w:id="242"/>
    </w:p>
    <w:p w14:paraId="4EC25AE6">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43" w:name="_Toc510377770"/>
      <w:bookmarkStart w:id="244" w:name="_Toc512164587"/>
      <w:bookmarkStart w:id="245" w:name="_Toc504119055"/>
      <w:bookmarkStart w:id="246" w:name="_Toc505785354"/>
      <w:r>
        <w:rPr>
          <w:rFonts w:hint="eastAsia" w:ascii="宋体" w:hAnsi="宋体" w:eastAsia="宋体" w:cs="宋体"/>
          <w:bCs/>
          <w:color w:val="auto"/>
          <w:szCs w:val="21"/>
          <w:highlight w:val="none"/>
          <w:lang w:val="zh-CN"/>
        </w:rPr>
        <w:t>1.1 词语定义</w:t>
      </w:r>
      <w:bookmarkEnd w:id="243"/>
      <w:bookmarkEnd w:id="244"/>
      <w:bookmarkEnd w:id="245"/>
      <w:bookmarkEnd w:id="246"/>
    </w:p>
    <w:p w14:paraId="2374E767">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1.1.1合同</w:t>
      </w:r>
    </w:p>
    <w:p w14:paraId="3FAEAA70">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1.1.1.10其他合同文件包</w:t>
      </w:r>
      <w:r>
        <w:rPr>
          <w:rFonts w:hint="eastAsia" w:ascii="宋体" w:hAnsi="宋体" w:eastAsia="宋体" w:cs="宋体"/>
          <w:color w:val="auto"/>
          <w:kern w:val="0"/>
          <w:szCs w:val="21"/>
          <w:highlight w:val="none"/>
        </w:rPr>
        <w:t>括：</w:t>
      </w:r>
      <w:r>
        <w:rPr>
          <w:rFonts w:hint="eastAsia" w:ascii="宋体" w:hAnsi="宋体" w:eastAsia="宋体" w:cs="宋体"/>
          <w:color w:val="auto"/>
          <w:szCs w:val="21"/>
          <w:highlight w:val="none"/>
          <w:u w:val="single"/>
        </w:rPr>
        <w:t>招标文件、招标文件补充通知、招标答疑及其附件；洽商、变更等明确双方权利义务的纪要、书面协议等</w:t>
      </w:r>
      <w:r>
        <w:rPr>
          <w:rFonts w:hint="eastAsia" w:ascii="宋体" w:hAnsi="宋体" w:eastAsia="宋体" w:cs="宋体"/>
          <w:color w:val="auto"/>
          <w:szCs w:val="21"/>
          <w:highlight w:val="none"/>
        </w:rPr>
        <w:t>。</w:t>
      </w:r>
    </w:p>
    <w:p w14:paraId="1D58E99B">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1.1.2合同当事人及其他相关方</w:t>
      </w:r>
    </w:p>
    <w:p w14:paraId="1A7E52EC">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1.1.2.4监理人：</w:t>
      </w:r>
    </w:p>
    <w:p w14:paraId="42EA0A0C">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名称：；</w:t>
      </w:r>
    </w:p>
    <w:p w14:paraId="7FB73E62">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资质类别和等级：；</w:t>
      </w:r>
    </w:p>
    <w:p w14:paraId="3F69A83D">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联系电话：</w:t>
      </w:r>
      <w:r>
        <w:rPr>
          <w:rFonts w:hint="eastAsia" w:ascii="宋体" w:hAnsi="宋体" w:eastAsia="宋体" w:cs="宋体"/>
          <w:caps/>
          <w:color w:val="auto"/>
          <w:szCs w:val="21"/>
          <w:highlight w:val="none"/>
          <w:u w:val="single"/>
        </w:rPr>
        <w:t></w:t>
      </w:r>
      <w:r>
        <w:rPr>
          <w:rFonts w:hint="eastAsia" w:ascii="宋体" w:hAnsi="宋体" w:eastAsia="宋体" w:cs="宋体"/>
          <w:caps/>
          <w:color w:val="auto"/>
          <w:szCs w:val="21"/>
          <w:highlight w:val="none"/>
        </w:rPr>
        <w:t>；</w:t>
      </w:r>
    </w:p>
    <w:p w14:paraId="3A147E32">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电子信箱：</w:t>
      </w:r>
      <w:r>
        <w:rPr>
          <w:rFonts w:hint="eastAsia" w:ascii="宋体" w:hAnsi="宋体" w:eastAsia="宋体" w:cs="宋体"/>
          <w:caps/>
          <w:color w:val="auto"/>
          <w:szCs w:val="21"/>
          <w:highlight w:val="none"/>
          <w:u w:val="single"/>
        </w:rPr>
        <w:t></w:t>
      </w:r>
      <w:r>
        <w:rPr>
          <w:rFonts w:hint="eastAsia" w:ascii="宋体" w:hAnsi="宋体" w:eastAsia="宋体" w:cs="宋体"/>
          <w:caps/>
          <w:color w:val="auto"/>
          <w:szCs w:val="21"/>
          <w:highlight w:val="none"/>
        </w:rPr>
        <w:t>；</w:t>
      </w:r>
    </w:p>
    <w:p w14:paraId="068B985E">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通信地址：</w:t>
      </w:r>
      <w:r>
        <w:rPr>
          <w:rFonts w:hint="eastAsia" w:ascii="宋体" w:hAnsi="宋体" w:eastAsia="宋体" w:cs="宋体"/>
          <w:caps/>
          <w:color w:val="auto"/>
          <w:szCs w:val="21"/>
          <w:highlight w:val="none"/>
          <w:u w:val="single"/>
        </w:rPr>
        <w:t></w:t>
      </w:r>
      <w:r>
        <w:rPr>
          <w:rFonts w:hint="eastAsia" w:ascii="宋体" w:hAnsi="宋体" w:eastAsia="宋体" w:cs="宋体"/>
          <w:caps/>
          <w:color w:val="auto"/>
          <w:szCs w:val="21"/>
          <w:highlight w:val="none"/>
        </w:rPr>
        <w:t>。</w:t>
      </w:r>
    </w:p>
    <w:p w14:paraId="2BD3EB90">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1.1.2.5设计人：</w:t>
      </w:r>
    </w:p>
    <w:p w14:paraId="07895167">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名称：；</w:t>
      </w:r>
    </w:p>
    <w:p w14:paraId="72DBFFC0">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资质类别和等级：</w:t>
      </w:r>
      <w:r>
        <w:rPr>
          <w:rFonts w:hint="eastAsia" w:ascii="宋体" w:hAnsi="宋体" w:eastAsia="宋体" w:cs="宋体"/>
          <w:caps/>
          <w:color w:val="auto"/>
          <w:szCs w:val="21"/>
          <w:highlight w:val="none"/>
          <w:u w:val="single"/>
        </w:rPr>
        <w:t></w:t>
      </w:r>
      <w:r>
        <w:rPr>
          <w:rFonts w:hint="eastAsia" w:ascii="宋体" w:hAnsi="宋体" w:eastAsia="宋体" w:cs="宋体"/>
          <w:caps/>
          <w:color w:val="auto"/>
          <w:szCs w:val="21"/>
          <w:highlight w:val="none"/>
        </w:rPr>
        <w:t>；</w:t>
      </w:r>
    </w:p>
    <w:p w14:paraId="6F81B8D6">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联系电话：</w:t>
      </w:r>
      <w:r>
        <w:rPr>
          <w:rFonts w:hint="eastAsia" w:ascii="宋体" w:hAnsi="宋体" w:eastAsia="宋体" w:cs="宋体"/>
          <w:caps/>
          <w:color w:val="auto"/>
          <w:szCs w:val="21"/>
          <w:highlight w:val="none"/>
          <w:u w:val="single"/>
        </w:rPr>
        <w:t></w:t>
      </w:r>
      <w:r>
        <w:rPr>
          <w:rFonts w:hint="eastAsia" w:ascii="宋体" w:hAnsi="宋体" w:eastAsia="宋体" w:cs="宋体"/>
          <w:caps/>
          <w:color w:val="auto"/>
          <w:szCs w:val="21"/>
          <w:highlight w:val="none"/>
        </w:rPr>
        <w:t>；</w:t>
      </w:r>
    </w:p>
    <w:p w14:paraId="27728F8D">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电子信箱：</w:t>
      </w:r>
      <w:r>
        <w:rPr>
          <w:rFonts w:hint="eastAsia" w:ascii="宋体" w:hAnsi="宋体" w:eastAsia="宋体" w:cs="宋体"/>
          <w:caps/>
          <w:color w:val="auto"/>
          <w:szCs w:val="21"/>
          <w:highlight w:val="none"/>
          <w:u w:val="single"/>
        </w:rPr>
        <w:t></w:t>
      </w:r>
      <w:r>
        <w:rPr>
          <w:rFonts w:hint="eastAsia" w:ascii="宋体" w:hAnsi="宋体" w:eastAsia="宋体" w:cs="宋体"/>
          <w:caps/>
          <w:color w:val="auto"/>
          <w:szCs w:val="21"/>
          <w:highlight w:val="none"/>
        </w:rPr>
        <w:t>；</w:t>
      </w:r>
    </w:p>
    <w:p w14:paraId="6B2819B8">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通信地址：</w:t>
      </w:r>
      <w:r>
        <w:rPr>
          <w:rFonts w:hint="eastAsia" w:ascii="宋体" w:hAnsi="宋体" w:eastAsia="宋体" w:cs="宋体"/>
          <w:caps/>
          <w:color w:val="auto"/>
          <w:szCs w:val="21"/>
          <w:highlight w:val="none"/>
          <w:u w:val="single"/>
        </w:rPr>
        <w:t></w:t>
      </w:r>
      <w:r>
        <w:rPr>
          <w:rFonts w:hint="eastAsia" w:ascii="宋体" w:hAnsi="宋体" w:eastAsia="宋体" w:cs="宋体"/>
          <w:caps/>
          <w:color w:val="auto"/>
          <w:szCs w:val="21"/>
          <w:highlight w:val="none"/>
        </w:rPr>
        <w:t>。</w:t>
      </w:r>
    </w:p>
    <w:p w14:paraId="5E1211C3">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1.1.3工程和设备</w:t>
      </w:r>
    </w:p>
    <w:p w14:paraId="716EE434">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1.1.3.7作为施工现场组成部分的其他场所包括：</w:t>
      </w:r>
      <w:r>
        <w:rPr>
          <w:rFonts w:hint="eastAsia" w:ascii="宋体" w:hAnsi="宋体" w:eastAsia="宋体" w:cs="宋体"/>
          <w:caps/>
          <w:color w:val="auto"/>
          <w:szCs w:val="21"/>
          <w:highlight w:val="none"/>
          <w:u w:val="single"/>
        </w:rPr>
        <w:t>发包方根据项目施工实际情况指定给予承办方用于完成项目施工的场地、道路等</w:t>
      </w:r>
      <w:r>
        <w:rPr>
          <w:rFonts w:hint="eastAsia" w:ascii="宋体" w:hAnsi="宋体" w:eastAsia="宋体" w:cs="宋体"/>
          <w:caps/>
          <w:color w:val="auto"/>
          <w:szCs w:val="21"/>
          <w:highlight w:val="none"/>
        </w:rPr>
        <w:t>。</w:t>
      </w:r>
    </w:p>
    <w:p w14:paraId="1AE0F305">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1.1.3.9永久占地包括：</w:t>
      </w:r>
      <w:r>
        <w:rPr>
          <w:rFonts w:hint="eastAsia" w:ascii="宋体" w:hAnsi="宋体" w:eastAsia="宋体" w:cs="宋体"/>
          <w:caps/>
          <w:color w:val="auto"/>
          <w:szCs w:val="21"/>
          <w:highlight w:val="none"/>
          <w:u w:val="single"/>
        </w:rPr>
        <w:t>依据设计图纸确定</w:t>
      </w:r>
      <w:r>
        <w:rPr>
          <w:rFonts w:hint="eastAsia" w:ascii="宋体" w:hAnsi="宋体" w:eastAsia="宋体" w:cs="宋体"/>
          <w:caps/>
          <w:color w:val="auto"/>
          <w:szCs w:val="21"/>
          <w:highlight w:val="none"/>
        </w:rPr>
        <w:t>。</w:t>
      </w:r>
    </w:p>
    <w:p w14:paraId="21C91B03">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1.1.3.10临时占地包括：</w:t>
      </w:r>
      <w:r>
        <w:rPr>
          <w:rFonts w:hint="eastAsia" w:ascii="宋体" w:hAnsi="宋体" w:eastAsia="宋体" w:cs="宋体"/>
          <w:caps/>
          <w:color w:val="auto"/>
          <w:szCs w:val="21"/>
          <w:highlight w:val="none"/>
          <w:u w:val="single"/>
        </w:rPr>
        <w:t>双方在合同履行过程中确定</w:t>
      </w:r>
      <w:r>
        <w:rPr>
          <w:rFonts w:hint="eastAsia" w:ascii="宋体" w:hAnsi="宋体" w:eastAsia="宋体" w:cs="宋体"/>
          <w:caps/>
          <w:color w:val="auto"/>
          <w:szCs w:val="21"/>
          <w:highlight w:val="none"/>
        </w:rPr>
        <w:t>。</w:t>
      </w:r>
    </w:p>
    <w:p w14:paraId="33071A7C">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47" w:name="_Toc504119056"/>
      <w:bookmarkStart w:id="248" w:name="_Toc510377771"/>
      <w:bookmarkStart w:id="249" w:name="_Toc512164588"/>
      <w:bookmarkStart w:id="250" w:name="_Toc505785355"/>
      <w:r>
        <w:rPr>
          <w:rFonts w:hint="eastAsia" w:ascii="宋体" w:hAnsi="宋体" w:eastAsia="宋体" w:cs="宋体"/>
          <w:bCs/>
          <w:color w:val="auto"/>
          <w:szCs w:val="21"/>
          <w:highlight w:val="none"/>
          <w:lang w:val="zh-CN"/>
        </w:rPr>
        <w:t>1.3法律</w:t>
      </w:r>
      <w:bookmarkEnd w:id="247"/>
      <w:bookmarkEnd w:id="248"/>
      <w:bookmarkEnd w:id="249"/>
      <w:bookmarkEnd w:id="250"/>
    </w:p>
    <w:p w14:paraId="1A1CA7F3">
      <w:pPr>
        <w:autoSpaceDE w:val="0"/>
        <w:autoSpaceDN w:val="0"/>
        <w:adjustRightIn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适用于合同的其他规范性文件：</w:t>
      </w:r>
      <w:r>
        <w:rPr>
          <w:rFonts w:hint="eastAsia" w:ascii="宋体" w:hAnsi="宋体" w:eastAsia="宋体" w:cs="宋体"/>
          <w:color w:val="auto"/>
          <w:szCs w:val="21"/>
          <w:highlight w:val="none"/>
          <w:u w:val="single"/>
        </w:rPr>
        <w:t>《中华人民共和国建筑法》、《</w:t>
      </w:r>
      <w:r>
        <w:rPr>
          <w:rFonts w:hint="eastAsia" w:ascii="宋体" w:hAnsi="宋体" w:eastAsia="宋体" w:cs="宋体"/>
          <w:color w:val="auto"/>
          <w:szCs w:val="21"/>
          <w:highlight w:val="none"/>
          <w:u w:val="single"/>
          <w:lang w:eastAsia="zh-CN"/>
        </w:rPr>
        <w:t>中华人民共和国民法典</w:t>
      </w:r>
      <w:r>
        <w:rPr>
          <w:rFonts w:hint="eastAsia" w:ascii="宋体" w:hAnsi="宋体" w:eastAsia="宋体" w:cs="宋体"/>
          <w:color w:val="auto"/>
          <w:szCs w:val="21"/>
          <w:highlight w:val="none"/>
          <w:u w:val="single"/>
        </w:rPr>
        <w:t>》、《中华人民共和国招标投标法》、《中华人民共和国招标投标法实施条例》、《中华人民共和国安全生产法》、国务院《建设工程质量管理条例》、建设部2001年第89号令《房屋建筑和市政基础设施工程施工招标投标管理办法》、七部委2013年第30号令《工程建设项目施工招标投标办法》、中华人民共和国住房和城乡建设部第16号令《建筑工程施工发包与承包计价管理办法》及财建［2004］369号文等国家及云南省颁布的现行法律、法规和条例等</w:t>
      </w:r>
      <w:r>
        <w:rPr>
          <w:rFonts w:hint="eastAsia" w:ascii="宋体" w:hAnsi="宋体" w:eastAsia="宋体" w:cs="宋体"/>
          <w:color w:val="auto"/>
          <w:szCs w:val="21"/>
          <w:highlight w:val="none"/>
        </w:rPr>
        <w:t>。</w:t>
      </w:r>
    </w:p>
    <w:p w14:paraId="17BD6741">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51" w:name="_Toc512164589"/>
      <w:bookmarkStart w:id="252" w:name="_Toc505785356"/>
      <w:bookmarkStart w:id="253" w:name="_Toc504119057"/>
      <w:bookmarkStart w:id="254" w:name="_Toc510377772"/>
      <w:r>
        <w:rPr>
          <w:rFonts w:hint="eastAsia" w:ascii="宋体" w:hAnsi="宋体" w:eastAsia="宋体" w:cs="宋体"/>
          <w:bCs/>
          <w:color w:val="auto"/>
          <w:szCs w:val="21"/>
          <w:highlight w:val="none"/>
          <w:lang w:val="zh-CN"/>
        </w:rPr>
        <w:t>1.4标准和规范</w:t>
      </w:r>
      <w:bookmarkEnd w:id="251"/>
      <w:bookmarkEnd w:id="252"/>
      <w:bookmarkEnd w:id="253"/>
      <w:bookmarkEnd w:id="254"/>
    </w:p>
    <w:p w14:paraId="0E57C0C5">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olor w:val="auto"/>
          <w:szCs w:val="21"/>
          <w:highlight w:val="none"/>
        </w:rPr>
        <w:t>1.4.1适用于工程的标准规范包括：</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14:paraId="4FAF5E65">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1.4.2发包人提供国外标准、规范的名称：</w:t>
      </w:r>
      <w:r>
        <w:rPr>
          <w:rFonts w:hint="eastAsia" w:ascii="宋体" w:hAnsi="宋体" w:eastAsia="宋体" w:cs="宋体"/>
          <w:caps/>
          <w:color w:val="auto"/>
          <w:szCs w:val="21"/>
          <w:highlight w:val="none"/>
          <w:u w:val="single"/>
        </w:rPr>
        <w:t>无</w:t>
      </w:r>
      <w:r>
        <w:rPr>
          <w:rFonts w:hint="eastAsia" w:ascii="宋体" w:hAnsi="宋体" w:eastAsia="宋体" w:cs="宋体"/>
          <w:caps/>
          <w:color w:val="auto"/>
          <w:szCs w:val="21"/>
          <w:highlight w:val="none"/>
        </w:rPr>
        <w:t>；</w:t>
      </w:r>
    </w:p>
    <w:p w14:paraId="4420B973">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发包人提供国外标准、规范的份数：</w:t>
      </w:r>
      <w:r>
        <w:rPr>
          <w:rFonts w:hint="eastAsia" w:ascii="宋体" w:hAnsi="宋体" w:eastAsia="宋体" w:cs="宋体"/>
          <w:caps/>
          <w:color w:val="auto"/>
          <w:szCs w:val="21"/>
          <w:highlight w:val="none"/>
          <w:u w:val="single"/>
        </w:rPr>
        <w:t>无</w:t>
      </w:r>
      <w:r>
        <w:rPr>
          <w:rFonts w:hint="eastAsia" w:ascii="宋体" w:hAnsi="宋体" w:eastAsia="宋体" w:cs="宋体"/>
          <w:caps/>
          <w:color w:val="auto"/>
          <w:szCs w:val="21"/>
          <w:highlight w:val="none"/>
        </w:rPr>
        <w:t>；</w:t>
      </w:r>
    </w:p>
    <w:p w14:paraId="27A505A5">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1.4.3发包人对工程的技术标准和功能要求的特殊要求：</w:t>
      </w:r>
      <w:r>
        <w:rPr>
          <w:rFonts w:hint="eastAsia" w:ascii="宋体" w:hAnsi="宋体" w:eastAsia="宋体" w:cs="宋体"/>
          <w:caps/>
          <w:color w:val="auto"/>
          <w:szCs w:val="21"/>
          <w:highlight w:val="none"/>
          <w:u w:val="single"/>
        </w:rPr>
        <w:t>无</w:t>
      </w:r>
      <w:r>
        <w:rPr>
          <w:rFonts w:hint="eastAsia" w:ascii="宋体" w:hAnsi="宋体" w:eastAsia="宋体" w:cs="宋体"/>
          <w:caps/>
          <w:color w:val="auto"/>
          <w:szCs w:val="21"/>
          <w:highlight w:val="none"/>
        </w:rPr>
        <w:t>。</w:t>
      </w:r>
    </w:p>
    <w:p w14:paraId="57C60BB7">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55" w:name="_Toc504119058"/>
      <w:bookmarkStart w:id="256" w:name="_Toc510377773"/>
      <w:bookmarkStart w:id="257" w:name="_Toc512164590"/>
      <w:bookmarkStart w:id="258" w:name="_Toc505785357"/>
      <w:r>
        <w:rPr>
          <w:rFonts w:hint="eastAsia" w:ascii="宋体" w:hAnsi="宋体" w:eastAsia="宋体" w:cs="宋体"/>
          <w:bCs/>
          <w:color w:val="auto"/>
          <w:szCs w:val="21"/>
          <w:highlight w:val="none"/>
          <w:lang w:val="zh-CN"/>
        </w:rPr>
        <w:t>1.5合同文件的优先顺序</w:t>
      </w:r>
      <w:bookmarkEnd w:id="255"/>
      <w:bookmarkEnd w:id="256"/>
      <w:bookmarkEnd w:id="257"/>
      <w:bookmarkEnd w:id="258"/>
    </w:p>
    <w:p w14:paraId="7D92EEB8">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合同文件组成及优先顺序为：</w:t>
      </w:r>
      <w:r>
        <w:rPr>
          <w:rFonts w:hint="eastAsia" w:ascii="宋体" w:hAnsi="宋体" w:eastAsia="宋体" w:cs="宋体"/>
          <w:caps/>
          <w:color w:val="auto"/>
          <w:szCs w:val="21"/>
          <w:highlight w:val="none"/>
          <w:u w:val="single"/>
        </w:rPr>
        <w:t>①合同协议书②中标通知书③投标函及其附录④专用合同条款及其附件⑤通用合同条款⑥技术标准和要求⑦图纸⑧已标价工程量清单或预算书⑨施工组织设计⑩招标文件</w:t>
      </w:r>
      <w:r>
        <w:rPr>
          <w:rFonts w:hint="eastAsia" w:ascii="宋体" w:hAnsi="宋体" w:eastAsia="宋体" w:cs="宋体"/>
          <w:caps/>
          <w:color w:val="auto"/>
          <w:szCs w:val="21"/>
          <w:highlight w:val="none"/>
        </w:rPr>
        <w:t>。</w:t>
      </w:r>
    </w:p>
    <w:p w14:paraId="31C56C54">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59" w:name="_Toc510377774"/>
      <w:bookmarkStart w:id="260" w:name="_Toc505785358"/>
      <w:bookmarkStart w:id="261" w:name="_Toc512164591"/>
      <w:bookmarkStart w:id="262" w:name="_Toc504119059"/>
      <w:r>
        <w:rPr>
          <w:rFonts w:hint="eastAsia" w:ascii="宋体" w:hAnsi="宋体" w:eastAsia="宋体" w:cs="宋体"/>
          <w:bCs/>
          <w:color w:val="auto"/>
          <w:szCs w:val="21"/>
          <w:highlight w:val="none"/>
          <w:lang w:val="zh-CN"/>
        </w:rPr>
        <w:t>1.6图纸和承包人文件</w:t>
      </w:r>
      <w:bookmarkEnd w:id="259"/>
      <w:bookmarkEnd w:id="260"/>
      <w:bookmarkEnd w:id="261"/>
      <w:bookmarkEnd w:id="262"/>
    </w:p>
    <w:p w14:paraId="6722AA57">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1.6.1图纸的提供</w:t>
      </w:r>
    </w:p>
    <w:p w14:paraId="401E4DF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开工通知载明开工日期前14天</w:t>
      </w:r>
      <w:r>
        <w:rPr>
          <w:rFonts w:hint="eastAsia" w:ascii="宋体" w:hAnsi="宋体" w:eastAsia="宋体" w:cs="宋体"/>
          <w:color w:val="auto"/>
          <w:szCs w:val="21"/>
          <w:highlight w:val="none"/>
        </w:rPr>
        <w:t>；</w:t>
      </w:r>
    </w:p>
    <w:p w14:paraId="075ED56C">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 xml:space="preserve"> 8份</w:t>
      </w:r>
      <w:r>
        <w:rPr>
          <w:rFonts w:hint="eastAsia" w:ascii="宋体" w:hAnsi="宋体" w:eastAsia="宋体" w:cs="宋体"/>
          <w:color w:val="auto"/>
          <w:szCs w:val="21"/>
          <w:highlight w:val="none"/>
        </w:rPr>
        <w:t>；</w:t>
      </w:r>
    </w:p>
    <w:p w14:paraId="1925A1FF">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施工图</w:t>
      </w:r>
      <w:r>
        <w:rPr>
          <w:rFonts w:hint="eastAsia" w:ascii="宋体" w:hAnsi="宋体" w:eastAsia="宋体" w:cs="宋体"/>
          <w:color w:val="auto"/>
          <w:szCs w:val="21"/>
          <w:highlight w:val="none"/>
        </w:rPr>
        <w:t>。</w:t>
      </w:r>
    </w:p>
    <w:p w14:paraId="69C48C0E">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1.6.4承包人文件</w:t>
      </w:r>
    </w:p>
    <w:p w14:paraId="6D40E3AA">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需要由承包人提供的文件，包括：</w:t>
      </w:r>
      <w:r>
        <w:rPr>
          <w:rFonts w:hint="eastAsia" w:ascii="宋体" w:hAnsi="宋体" w:eastAsia="宋体" w:cs="宋体"/>
          <w:caps/>
          <w:color w:val="auto"/>
          <w:szCs w:val="21"/>
          <w:highlight w:val="none"/>
          <w:u w:val="single"/>
        </w:rPr>
        <w:t>施工组织设计、工程进度计划、专项施工方案、完成工程项目所需的其他文件</w:t>
      </w:r>
      <w:r>
        <w:rPr>
          <w:rFonts w:hint="eastAsia" w:ascii="宋体" w:hAnsi="宋体" w:eastAsia="宋体" w:cs="宋体"/>
          <w:caps/>
          <w:color w:val="auto"/>
          <w:szCs w:val="21"/>
          <w:highlight w:val="none"/>
        </w:rPr>
        <w:t>；</w:t>
      </w:r>
    </w:p>
    <w:p w14:paraId="0FB8C294">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承包人提供的文件的期限为：</w:t>
      </w:r>
      <w:r>
        <w:rPr>
          <w:rFonts w:hint="eastAsia" w:ascii="宋体" w:hAnsi="宋体" w:eastAsia="宋体" w:cs="宋体"/>
          <w:caps/>
          <w:color w:val="auto"/>
          <w:szCs w:val="21"/>
          <w:highlight w:val="none"/>
          <w:u w:val="single"/>
        </w:rPr>
        <w:t>相应工程施工前14天向监理人提供，并由监理人报送发包人</w:t>
      </w:r>
      <w:r>
        <w:rPr>
          <w:rFonts w:hint="eastAsia" w:ascii="宋体" w:hAnsi="宋体" w:eastAsia="宋体" w:cs="宋体"/>
          <w:caps/>
          <w:color w:val="auto"/>
          <w:szCs w:val="21"/>
          <w:highlight w:val="none"/>
        </w:rPr>
        <w:t>；</w:t>
      </w:r>
    </w:p>
    <w:p w14:paraId="2E2C7919">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承包人提供的文件的数量为：</w:t>
      </w:r>
      <w:r>
        <w:rPr>
          <w:rFonts w:hint="eastAsia" w:ascii="宋体" w:hAnsi="宋体" w:eastAsia="宋体" w:cs="宋体"/>
          <w:caps/>
          <w:color w:val="auto"/>
          <w:szCs w:val="21"/>
          <w:highlight w:val="none"/>
          <w:u w:val="single"/>
        </w:rPr>
        <w:t xml:space="preserve"> 8套</w:t>
      </w:r>
      <w:r>
        <w:rPr>
          <w:rFonts w:hint="eastAsia" w:ascii="宋体" w:hAnsi="宋体" w:eastAsia="宋体" w:cs="宋体"/>
          <w:caps/>
          <w:color w:val="auto"/>
          <w:szCs w:val="21"/>
          <w:highlight w:val="none"/>
        </w:rPr>
        <w:t>；</w:t>
      </w:r>
    </w:p>
    <w:p w14:paraId="33E72F6F">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承包人提供的文件的形式为：</w:t>
      </w:r>
      <w:r>
        <w:rPr>
          <w:rFonts w:hint="eastAsia" w:ascii="宋体" w:hAnsi="宋体" w:eastAsia="宋体" w:cs="宋体"/>
          <w:caps/>
          <w:color w:val="auto"/>
          <w:szCs w:val="21"/>
          <w:highlight w:val="none"/>
          <w:u w:val="single"/>
        </w:rPr>
        <w:t>纸质版文件和内容一致的电子版文件</w:t>
      </w:r>
      <w:r>
        <w:rPr>
          <w:rFonts w:hint="eastAsia" w:ascii="宋体" w:hAnsi="宋体" w:eastAsia="宋体" w:cs="宋体"/>
          <w:caps/>
          <w:color w:val="auto"/>
          <w:szCs w:val="21"/>
          <w:highlight w:val="none"/>
        </w:rPr>
        <w:t>；</w:t>
      </w:r>
    </w:p>
    <w:p w14:paraId="090E1939">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发包人审批承包人文件的期限：</w:t>
      </w:r>
      <w:r>
        <w:rPr>
          <w:rFonts w:hint="eastAsia" w:ascii="宋体" w:hAnsi="宋体" w:eastAsia="宋体" w:cs="宋体"/>
          <w:caps/>
          <w:color w:val="auto"/>
          <w:szCs w:val="21"/>
          <w:highlight w:val="none"/>
          <w:u w:val="single"/>
        </w:rPr>
        <w:t>收到承包人文件后14天内审查完毕</w:t>
      </w:r>
      <w:r>
        <w:rPr>
          <w:rFonts w:hint="eastAsia" w:ascii="宋体" w:hAnsi="宋体" w:eastAsia="宋体" w:cs="宋体"/>
          <w:caps/>
          <w:color w:val="auto"/>
          <w:szCs w:val="21"/>
          <w:highlight w:val="none"/>
        </w:rPr>
        <w:t>。</w:t>
      </w:r>
    </w:p>
    <w:p w14:paraId="1E3062DE">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1.6.5现场图纸准备</w:t>
      </w:r>
    </w:p>
    <w:p w14:paraId="1A58563D">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关于现场图纸准备的约定：</w:t>
      </w:r>
      <w:r>
        <w:rPr>
          <w:rFonts w:hint="eastAsia" w:ascii="宋体" w:hAnsi="宋体" w:eastAsia="宋体" w:cs="宋体"/>
          <w:caps/>
          <w:color w:val="auto"/>
          <w:szCs w:val="21"/>
          <w:highlight w:val="none"/>
          <w:u w:val="single"/>
        </w:rPr>
        <w:t>承包人负责保存一套完整的图纸及承包人文件</w:t>
      </w:r>
      <w:r>
        <w:rPr>
          <w:rFonts w:hint="eastAsia" w:ascii="宋体" w:hAnsi="宋体" w:eastAsia="宋体" w:cs="宋体"/>
          <w:caps/>
          <w:color w:val="auto"/>
          <w:szCs w:val="21"/>
          <w:highlight w:val="none"/>
        </w:rPr>
        <w:t>。</w:t>
      </w:r>
    </w:p>
    <w:p w14:paraId="602908D1">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63" w:name="_Toc512164592"/>
      <w:bookmarkStart w:id="264" w:name="_Toc510377775"/>
      <w:bookmarkStart w:id="265" w:name="_Toc504119060"/>
      <w:bookmarkStart w:id="266" w:name="_Toc505785359"/>
      <w:r>
        <w:rPr>
          <w:rFonts w:hint="eastAsia" w:ascii="宋体" w:hAnsi="宋体" w:eastAsia="宋体" w:cs="宋体"/>
          <w:bCs/>
          <w:color w:val="auto"/>
          <w:szCs w:val="21"/>
          <w:highlight w:val="none"/>
          <w:lang w:val="zh-CN"/>
        </w:rPr>
        <w:t>1.7联络</w:t>
      </w:r>
      <w:bookmarkEnd w:id="263"/>
      <w:bookmarkEnd w:id="264"/>
      <w:bookmarkEnd w:id="265"/>
      <w:bookmarkEnd w:id="266"/>
    </w:p>
    <w:p w14:paraId="1F23E167">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1.7.1发包人和承包人应当在</w:t>
      </w:r>
      <w:r>
        <w:rPr>
          <w:rFonts w:hint="eastAsia" w:ascii="宋体" w:hAnsi="宋体" w:eastAsia="宋体" w:cs="宋体"/>
          <w:caps/>
          <w:color w:val="auto"/>
          <w:szCs w:val="21"/>
          <w:highlight w:val="none"/>
          <w:u w:val="single"/>
        </w:rPr>
        <w:t xml:space="preserve"> 14 </w:t>
      </w:r>
      <w:r>
        <w:rPr>
          <w:rFonts w:hint="eastAsia" w:ascii="宋体" w:hAnsi="宋体" w:eastAsia="宋体" w:cs="宋体"/>
          <w:caps/>
          <w:color w:val="auto"/>
          <w:szCs w:val="21"/>
          <w:highlight w:val="none"/>
        </w:rPr>
        <w:t>天内将与合同有关的通知、批准、证明、证书、指示、指令、要求、请求、同意、意见、确定和决定等书面函件送达对方当事人。</w:t>
      </w:r>
    </w:p>
    <w:p w14:paraId="404FA73C">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1.7.2发包人接收文件的地点：</w:t>
      </w:r>
      <w:r>
        <w:rPr>
          <w:rFonts w:hint="eastAsia" w:ascii="宋体" w:hAnsi="宋体" w:eastAsia="宋体" w:cs="宋体"/>
          <w:caps/>
          <w:color w:val="auto"/>
          <w:szCs w:val="21"/>
          <w:highlight w:val="none"/>
          <w:u w:val="single"/>
        </w:rPr>
        <w:t>项目指挥部或项目现场办公室</w:t>
      </w:r>
      <w:r>
        <w:rPr>
          <w:rFonts w:hint="eastAsia" w:ascii="宋体" w:hAnsi="宋体" w:eastAsia="宋体" w:cs="宋体"/>
          <w:caps/>
          <w:color w:val="auto"/>
          <w:szCs w:val="21"/>
          <w:highlight w:val="none"/>
        </w:rPr>
        <w:t>；</w:t>
      </w:r>
    </w:p>
    <w:p w14:paraId="51B686FA">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发包人指定的接收人为：</w:t>
      </w:r>
      <w:r>
        <w:rPr>
          <w:rFonts w:hint="eastAsia" w:ascii="宋体" w:hAnsi="宋体" w:eastAsia="宋体" w:cs="宋体"/>
          <w:caps/>
          <w:color w:val="auto"/>
          <w:szCs w:val="21"/>
          <w:highlight w:val="none"/>
          <w:u w:val="single"/>
        </w:rPr>
        <w:t>发包人代表</w:t>
      </w:r>
      <w:r>
        <w:rPr>
          <w:rFonts w:hint="eastAsia" w:ascii="宋体" w:hAnsi="宋体" w:eastAsia="宋体" w:cs="宋体"/>
          <w:caps/>
          <w:color w:val="auto"/>
          <w:szCs w:val="21"/>
          <w:highlight w:val="none"/>
        </w:rPr>
        <w:t>；</w:t>
      </w:r>
    </w:p>
    <w:p w14:paraId="73661491">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承包人接收文件的地点：</w:t>
      </w:r>
      <w:r>
        <w:rPr>
          <w:rFonts w:hint="eastAsia" w:ascii="宋体" w:hAnsi="宋体" w:eastAsia="宋体" w:cs="宋体"/>
          <w:caps/>
          <w:color w:val="auto"/>
          <w:szCs w:val="21"/>
          <w:highlight w:val="none"/>
          <w:u w:val="single"/>
        </w:rPr>
        <w:t>现场办公室</w:t>
      </w:r>
      <w:r>
        <w:rPr>
          <w:rFonts w:hint="eastAsia" w:ascii="宋体" w:hAnsi="宋体" w:eastAsia="宋体" w:cs="宋体"/>
          <w:caps/>
          <w:color w:val="auto"/>
          <w:szCs w:val="21"/>
          <w:highlight w:val="none"/>
        </w:rPr>
        <w:t>；</w:t>
      </w:r>
    </w:p>
    <w:p w14:paraId="61C92CCF">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承包人指定的接收人为：</w:t>
      </w:r>
      <w:r>
        <w:rPr>
          <w:rFonts w:hint="eastAsia" w:ascii="宋体" w:hAnsi="宋体" w:eastAsia="宋体" w:cs="宋体"/>
          <w:caps/>
          <w:color w:val="auto"/>
          <w:szCs w:val="21"/>
          <w:highlight w:val="none"/>
          <w:u w:val="single"/>
        </w:rPr>
        <w:t>项目负责人</w:t>
      </w:r>
      <w:r>
        <w:rPr>
          <w:rFonts w:hint="eastAsia" w:ascii="宋体" w:hAnsi="宋体" w:eastAsia="宋体" w:cs="宋体"/>
          <w:caps/>
          <w:color w:val="auto"/>
          <w:szCs w:val="21"/>
          <w:highlight w:val="none"/>
        </w:rPr>
        <w:t>；</w:t>
      </w:r>
    </w:p>
    <w:p w14:paraId="6EE6F6E2">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监理人接收文件的地点：</w:t>
      </w:r>
      <w:r>
        <w:rPr>
          <w:rFonts w:hint="eastAsia" w:ascii="宋体" w:hAnsi="宋体" w:eastAsia="宋体" w:cs="宋体"/>
          <w:caps/>
          <w:color w:val="auto"/>
          <w:szCs w:val="21"/>
          <w:highlight w:val="none"/>
          <w:u w:val="single"/>
        </w:rPr>
        <w:t>现场办公室</w:t>
      </w:r>
      <w:r>
        <w:rPr>
          <w:rFonts w:hint="eastAsia" w:ascii="宋体" w:hAnsi="宋体" w:eastAsia="宋体" w:cs="宋体"/>
          <w:caps/>
          <w:color w:val="auto"/>
          <w:szCs w:val="21"/>
          <w:highlight w:val="none"/>
        </w:rPr>
        <w:t>；</w:t>
      </w:r>
    </w:p>
    <w:p w14:paraId="0229906D">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监理人指定的接收人为：</w:t>
      </w:r>
      <w:r>
        <w:rPr>
          <w:rFonts w:hint="eastAsia" w:ascii="宋体" w:hAnsi="宋体" w:eastAsia="宋体" w:cs="宋体"/>
          <w:caps/>
          <w:color w:val="auto"/>
          <w:szCs w:val="21"/>
          <w:highlight w:val="none"/>
          <w:u w:val="single"/>
        </w:rPr>
        <w:t>项目总监理工程师</w:t>
      </w:r>
      <w:r>
        <w:rPr>
          <w:rFonts w:hint="eastAsia" w:ascii="宋体" w:hAnsi="宋体" w:eastAsia="宋体" w:cs="宋体"/>
          <w:caps/>
          <w:color w:val="auto"/>
          <w:szCs w:val="21"/>
          <w:highlight w:val="none"/>
        </w:rPr>
        <w:t>。</w:t>
      </w:r>
    </w:p>
    <w:p w14:paraId="0D8F19EF">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67" w:name="_Toc504119061"/>
      <w:bookmarkStart w:id="268" w:name="_Toc512164593"/>
      <w:bookmarkStart w:id="269" w:name="_Toc505785360"/>
      <w:bookmarkStart w:id="270" w:name="_Toc510377776"/>
      <w:r>
        <w:rPr>
          <w:rFonts w:hint="eastAsia" w:ascii="宋体" w:hAnsi="宋体" w:eastAsia="宋体" w:cs="宋体"/>
          <w:bCs/>
          <w:color w:val="auto"/>
          <w:szCs w:val="21"/>
          <w:highlight w:val="none"/>
          <w:lang w:val="zh-CN"/>
        </w:rPr>
        <w:t>1.10交通运输</w:t>
      </w:r>
      <w:bookmarkEnd w:id="267"/>
      <w:bookmarkEnd w:id="268"/>
      <w:bookmarkEnd w:id="269"/>
      <w:bookmarkEnd w:id="270"/>
    </w:p>
    <w:p w14:paraId="6D906323">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1.10.1出入现场的权利</w:t>
      </w:r>
    </w:p>
    <w:p w14:paraId="2940F262">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关于出入现场的权利的约定：</w:t>
      </w:r>
      <w:r>
        <w:rPr>
          <w:rFonts w:hint="eastAsia" w:ascii="宋体" w:hAnsi="宋体" w:eastAsia="宋体" w:cs="宋体"/>
          <w:caps/>
          <w:color w:val="auto"/>
          <w:szCs w:val="21"/>
          <w:highlight w:val="none"/>
          <w:u w:val="single"/>
        </w:rPr>
        <w:t>按通用条款1.10.1条执行</w:t>
      </w:r>
      <w:r>
        <w:rPr>
          <w:rFonts w:hint="eastAsia" w:ascii="宋体" w:hAnsi="宋体" w:eastAsia="宋体" w:cs="宋体"/>
          <w:caps/>
          <w:color w:val="auto"/>
          <w:szCs w:val="21"/>
          <w:highlight w:val="none"/>
        </w:rPr>
        <w:t>。</w:t>
      </w:r>
    </w:p>
    <w:p w14:paraId="143005D4">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1.10.3场内交通</w:t>
      </w:r>
    </w:p>
    <w:p w14:paraId="31234E69">
      <w:pPr>
        <w:spacing w:line="360" w:lineRule="auto"/>
        <w:ind w:firstLine="480" w:firstLineChars="200"/>
        <w:rPr>
          <w:rFonts w:hint="eastAsia" w:ascii="宋体" w:hAnsi="宋体" w:eastAsia="宋体" w:cs="宋体"/>
          <w:caps/>
          <w:color w:val="auto"/>
          <w:szCs w:val="21"/>
          <w:highlight w:val="none"/>
        </w:rPr>
      </w:pPr>
      <w:r>
        <w:rPr>
          <w:rFonts w:hint="eastAsia" w:ascii="宋体" w:hAnsi="宋体" w:eastAsia="宋体" w:cs="宋体"/>
          <w:caps/>
          <w:color w:val="auto"/>
          <w:szCs w:val="21"/>
          <w:highlight w:val="none"/>
        </w:rPr>
        <w:t>关于场外交通和场内交通的边界的约定：</w:t>
      </w:r>
      <w:r>
        <w:rPr>
          <w:rFonts w:hint="eastAsia" w:ascii="宋体" w:hAnsi="宋体" w:eastAsia="宋体" w:cs="宋体"/>
          <w:caps/>
          <w:color w:val="auto"/>
          <w:szCs w:val="21"/>
          <w:highlight w:val="none"/>
          <w:u w:val="single"/>
        </w:rPr>
        <w:t>以已建的扩建项目的边界条件为准</w:t>
      </w:r>
      <w:r>
        <w:rPr>
          <w:rFonts w:hint="eastAsia" w:ascii="宋体" w:hAnsi="宋体" w:eastAsia="宋体" w:cs="宋体"/>
          <w:caps/>
          <w:color w:val="auto"/>
          <w:szCs w:val="21"/>
          <w:highlight w:val="none"/>
        </w:rPr>
        <w:t>。</w:t>
      </w:r>
    </w:p>
    <w:p w14:paraId="55305DE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关于发包人向承包人免费提供满足工程施工需要的场内道路和交通设施的约定：</w:t>
      </w:r>
      <w:r>
        <w:rPr>
          <w:rFonts w:hint="eastAsia" w:ascii="宋体" w:hAnsi="宋体" w:eastAsia="宋体" w:cs="宋体"/>
          <w:color w:val="auto"/>
          <w:szCs w:val="21"/>
          <w:highlight w:val="none"/>
          <w:u w:val="single"/>
        </w:rPr>
        <w:t>承包人可使用场内道路和交通设施，道路维护由承包人负责。因承包人原因造成道路或交通设施损坏的，承包人负责修复并承担由此增加的费用</w:t>
      </w:r>
      <w:r>
        <w:rPr>
          <w:rFonts w:hint="eastAsia" w:ascii="宋体" w:hAnsi="宋体" w:eastAsia="宋体" w:cs="宋体"/>
          <w:color w:val="auto"/>
          <w:szCs w:val="21"/>
          <w:highlight w:val="none"/>
        </w:rPr>
        <w:t>。</w:t>
      </w:r>
    </w:p>
    <w:p w14:paraId="3DBC9B1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1.10.4超大件和超重件的运输</w:t>
      </w:r>
    </w:p>
    <w:p w14:paraId="504602C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承包人</w:t>
      </w:r>
      <w:r>
        <w:rPr>
          <w:rFonts w:hint="eastAsia" w:ascii="宋体" w:hAnsi="宋体" w:eastAsia="宋体" w:cs="宋体"/>
          <w:color w:val="auto"/>
          <w:szCs w:val="21"/>
          <w:highlight w:val="none"/>
        </w:rPr>
        <w:t>承担。</w:t>
      </w:r>
    </w:p>
    <w:p w14:paraId="251DC553">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71" w:name="_Toc510377777"/>
      <w:bookmarkStart w:id="272" w:name="_Toc505785361"/>
      <w:bookmarkStart w:id="273" w:name="_Toc504119062"/>
      <w:bookmarkStart w:id="274" w:name="_Toc512164594"/>
      <w:r>
        <w:rPr>
          <w:rFonts w:hint="eastAsia" w:ascii="宋体" w:hAnsi="宋体" w:eastAsia="宋体" w:cs="宋体"/>
          <w:bCs/>
          <w:color w:val="auto"/>
          <w:szCs w:val="21"/>
          <w:highlight w:val="none"/>
          <w:lang w:val="zh-CN"/>
        </w:rPr>
        <w:t>1.11知识产权</w:t>
      </w:r>
      <w:bookmarkEnd w:id="271"/>
      <w:bookmarkEnd w:id="272"/>
      <w:bookmarkEnd w:id="273"/>
      <w:bookmarkEnd w:id="274"/>
    </w:p>
    <w:p w14:paraId="47D14255">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著作权属于发包人所有</w:t>
      </w:r>
      <w:r>
        <w:rPr>
          <w:rFonts w:hint="eastAsia" w:ascii="宋体" w:hAnsi="宋体" w:eastAsia="宋体" w:cs="宋体"/>
          <w:color w:val="auto"/>
          <w:szCs w:val="21"/>
          <w:highlight w:val="none"/>
        </w:rPr>
        <w:t>。</w:t>
      </w:r>
    </w:p>
    <w:p w14:paraId="33ACC4E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szCs w:val="21"/>
          <w:highlight w:val="none"/>
          <w:u w:val="single"/>
        </w:rPr>
        <w:t>未经发包人书面同意，承包人不得为合同以外的目的而复制、使用上述文件或将之提供给任何第三方</w:t>
      </w:r>
      <w:r>
        <w:rPr>
          <w:rFonts w:hint="eastAsia" w:ascii="宋体" w:hAnsi="宋体" w:eastAsia="宋体" w:cs="宋体"/>
          <w:color w:val="auto"/>
          <w:szCs w:val="21"/>
          <w:highlight w:val="none"/>
        </w:rPr>
        <w:t>。</w:t>
      </w:r>
    </w:p>
    <w:p w14:paraId="3D70D7F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关于承包人为实施工程所编制文件的著作权的归属：</w:t>
      </w:r>
      <w:r>
        <w:rPr>
          <w:rFonts w:hint="eastAsia" w:ascii="宋体" w:hAnsi="宋体" w:eastAsia="宋体" w:cs="宋体"/>
          <w:color w:val="auto"/>
          <w:szCs w:val="21"/>
          <w:highlight w:val="none"/>
          <w:u w:val="single"/>
        </w:rPr>
        <w:t>除署名权以外的著作权属于发包人</w:t>
      </w:r>
      <w:r>
        <w:rPr>
          <w:rFonts w:hint="eastAsia" w:ascii="宋体" w:hAnsi="宋体" w:eastAsia="宋体" w:cs="宋体"/>
          <w:color w:val="auto"/>
          <w:szCs w:val="21"/>
          <w:highlight w:val="none"/>
        </w:rPr>
        <w:t>。</w:t>
      </w:r>
    </w:p>
    <w:p w14:paraId="7B54B55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未经承包人书面同意，发包人不得将承包人署名权的文件提供给任何第三方</w:t>
      </w:r>
      <w:r>
        <w:rPr>
          <w:rFonts w:hint="eastAsia" w:ascii="宋体" w:hAnsi="宋体" w:eastAsia="宋体" w:cs="宋体"/>
          <w:color w:val="auto"/>
          <w:szCs w:val="21"/>
          <w:highlight w:val="none"/>
        </w:rPr>
        <w:t>。</w:t>
      </w:r>
    </w:p>
    <w:p w14:paraId="78141A5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1.11.4 承包人在施工过程中所采用的专利、专有技术、技术秘密的使用费的承担方式：</w:t>
      </w:r>
      <w:r>
        <w:rPr>
          <w:rFonts w:hint="eastAsia" w:ascii="宋体" w:hAnsi="宋体" w:eastAsia="宋体" w:cs="宋体"/>
          <w:color w:val="auto"/>
          <w:szCs w:val="21"/>
          <w:highlight w:val="none"/>
          <w:u w:val="single"/>
        </w:rPr>
        <w:t>由承包人自行承担</w:t>
      </w:r>
      <w:r>
        <w:rPr>
          <w:rFonts w:hint="eastAsia" w:ascii="宋体" w:hAnsi="宋体" w:eastAsia="宋体" w:cs="宋体"/>
          <w:color w:val="auto"/>
          <w:szCs w:val="21"/>
          <w:highlight w:val="none"/>
        </w:rPr>
        <w:t>。</w:t>
      </w:r>
    </w:p>
    <w:p w14:paraId="063BEF98">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75" w:name="_Toc504119063"/>
      <w:bookmarkStart w:id="276" w:name="_Toc512164595"/>
      <w:bookmarkStart w:id="277" w:name="_Toc510377778"/>
      <w:bookmarkStart w:id="278" w:name="_Toc505785362"/>
      <w:r>
        <w:rPr>
          <w:rFonts w:hint="eastAsia" w:ascii="宋体" w:hAnsi="宋体" w:eastAsia="宋体" w:cs="宋体"/>
          <w:bCs/>
          <w:color w:val="auto"/>
          <w:szCs w:val="21"/>
          <w:highlight w:val="none"/>
          <w:lang w:val="zh-CN"/>
        </w:rPr>
        <w:t>1.13工程量清单错误的修正</w:t>
      </w:r>
      <w:bookmarkEnd w:id="275"/>
      <w:bookmarkEnd w:id="276"/>
      <w:bookmarkEnd w:id="277"/>
      <w:bookmarkEnd w:id="278"/>
    </w:p>
    <w:p w14:paraId="347FBD6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出现工程量清单错误时，是否调整合同价格：</w:t>
      </w:r>
      <w:r>
        <w:rPr>
          <w:rFonts w:hint="eastAsia" w:ascii="宋体" w:hAnsi="宋体" w:eastAsia="宋体" w:cs="宋体"/>
          <w:b/>
          <w:color w:val="auto"/>
          <w:szCs w:val="21"/>
          <w:highlight w:val="none"/>
          <w:u w:val="single"/>
        </w:rPr>
        <w:t>予以调整合同价格</w:t>
      </w:r>
      <w:r>
        <w:rPr>
          <w:rFonts w:hint="eastAsia" w:ascii="宋体" w:hAnsi="宋体" w:eastAsia="宋体" w:cs="宋体"/>
          <w:color w:val="auto"/>
          <w:szCs w:val="21"/>
          <w:highlight w:val="none"/>
        </w:rPr>
        <w:t>。</w:t>
      </w:r>
    </w:p>
    <w:p w14:paraId="63738F45">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允许调整合同价格的工程量偏差范围：</w:t>
      </w:r>
      <w:r>
        <w:rPr>
          <w:rFonts w:hint="eastAsia" w:ascii="宋体" w:hAnsi="宋体" w:eastAsia="宋体" w:cs="宋体"/>
          <w:b/>
          <w:color w:val="auto"/>
          <w:szCs w:val="21"/>
          <w:highlight w:val="none"/>
          <w:u w:val="single"/>
        </w:rPr>
        <w:t>①工程量清单存在缺项、漏项的；②工程量清单偏差超出10％的；③由于工程量清单偏差超出10％引起的总价措施费及单价措施费变化。</w:t>
      </w:r>
    </w:p>
    <w:p w14:paraId="5A6464C0">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79" w:name="_Toc510377779"/>
      <w:bookmarkStart w:id="280" w:name="_Toc504119064"/>
      <w:bookmarkStart w:id="281" w:name="_Toc512164596"/>
      <w:bookmarkStart w:id="282" w:name="_Toc505785363"/>
      <w:r>
        <w:rPr>
          <w:rFonts w:hint="eastAsia" w:ascii="宋体" w:hAnsi="宋体" w:eastAsia="宋体" w:cs="宋体"/>
          <w:bCs/>
          <w:color w:val="auto"/>
          <w:szCs w:val="21"/>
          <w:highlight w:val="none"/>
          <w:lang w:val="zh-CN"/>
        </w:rPr>
        <w:t>2.发包人</w:t>
      </w:r>
      <w:bookmarkEnd w:id="279"/>
      <w:bookmarkEnd w:id="280"/>
      <w:bookmarkEnd w:id="281"/>
      <w:bookmarkEnd w:id="282"/>
    </w:p>
    <w:p w14:paraId="31370A6B">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83" w:name="_Toc505785364"/>
      <w:bookmarkStart w:id="284" w:name="_Toc512164597"/>
      <w:bookmarkStart w:id="285" w:name="_Toc504119065"/>
      <w:bookmarkStart w:id="286" w:name="_Toc510377780"/>
      <w:r>
        <w:rPr>
          <w:rFonts w:hint="eastAsia" w:ascii="宋体" w:hAnsi="宋体" w:eastAsia="宋体" w:cs="宋体"/>
          <w:bCs/>
          <w:color w:val="auto"/>
          <w:szCs w:val="21"/>
          <w:highlight w:val="none"/>
          <w:lang w:val="zh-CN"/>
        </w:rPr>
        <w:t>2.2发包人代表</w:t>
      </w:r>
      <w:bookmarkEnd w:id="283"/>
      <w:bookmarkEnd w:id="284"/>
      <w:bookmarkEnd w:id="285"/>
      <w:bookmarkEnd w:id="286"/>
    </w:p>
    <w:p w14:paraId="561C3F3D">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w:t>
      </w:r>
    </w:p>
    <w:p w14:paraId="338AA7D9">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p w14:paraId="2A9C6F4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p>
    <w:p w14:paraId="3737D25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p w14:paraId="3107468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2177C6F9">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p>
    <w:p w14:paraId="0562573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p w14:paraId="27CA51B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督促指导监理工程师行使职权，协调施工现场各方面的关系，协调工程质量，进度和安全文明施工中存在的问题，解决有关设计和技术签证，办理、签认现场经济技术签证，审核工程进度报表、工程价款洽商、索赔事项的处理，在监理人配合下处理合同变更的事项</w:t>
      </w:r>
      <w:r>
        <w:rPr>
          <w:rFonts w:hint="eastAsia" w:ascii="宋体" w:hAnsi="宋体" w:eastAsia="宋体" w:cs="宋体"/>
          <w:color w:val="auto"/>
          <w:szCs w:val="21"/>
          <w:highlight w:val="none"/>
        </w:rPr>
        <w:t>。</w:t>
      </w:r>
    </w:p>
    <w:p w14:paraId="1CBD1618">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87" w:name="_Toc505785365"/>
      <w:bookmarkStart w:id="288" w:name="_Toc504119066"/>
      <w:bookmarkStart w:id="289" w:name="_Toc512164598"/>
      <w:bookmarkStart w:id="290" w:name="_Toc510377781"/>
      <w:r>
        <w:rPr>
          <w:rFonts w:hint="eastAsia" w:ascii="宋体" w:hAnsi="宋体" w:eastAsia="宋体" w:cs="宋体"/>
          <w:bCs/>
          <w:color w:val="auto"/>
          <w:szCs w:val="21"/>
          <w:highlight w:val="none"/>
          <w:lang w:val="zh-CN"/>
        </w:rPr>
        <w:t>2.4施工现场、施工条件和基础资料的提供</w:t>
      </w:r>
      <w:bookmarkEnd w:id="287"/>
      <w:bookmarkEnd w:id="288"/>
      <w:bookmarkEnd w:id="289"/>
      <w:bookmarkEnd w:id="290"/>
    </w:p>
    <w:p w14:paraId="07220CD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2.4.1提供施工现场</w:t>
      </w:r>
    </w:p>
    <w:p w14:paraId="08E18CF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r>
        <w:rPr>
          <w:rFonts w:hint="eastAsia" w:ascii="宋体" w:hAnsi="宋体" w:eastAsia="宋体" w:cs="宋体"/>
          <w:color w:val="auto"/>
          <w:szCs w:val="21"/>
          <w:highlight w:val="none"/>
          <w:u w:val="single"/>
        </w:rPr>
        <w:t>合同签订后已定开工时间前7天内向承包人移交施工现场</w:t>
      </w:r>
      <w:r>
        <w:rPr>
          <w:rFonts w:hint="eastAsia" w:ascii="宋体" w:hAnsi="宋体" w:eastAsia="宋体" w:cs="宋体"/>
          <w:color w:val="auto"/>
          <w:szCs w:val="21"/>
          <w:highlight w:val="none"/>
        </w:rPr>
        <w:t>。</w:t>
      </w:r>
    </w:p>
    <w:p w14:paraId="632DBD2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2.4.2提供施工条件</w:t>
      </w:r>
    </w:p>
    <w:p w14:paraId="5FE81186">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color w:val="auto"/>
          <w:szCs w:val="21"/>
          <w:highlight w:val="none"/>
          <w:u w:val="single"/>
        </w:rPr>
        <w:t>满足施工条件所需要的“三通一平”，并向承包人指定施工用水、施工用电接点，并满足施工要求，接点至施工现场段管道及管线、计量设备由承包人自行解决，施工期间至竣工验收所产生的水、电费由承包人承担，每月底向电力公司、供水公司缴纳水电费（价格执行项目所在地价格），相应水电设备的看管和维护由承包人负责</w:t>
      </w:r>
      <w:r>
        <w:rPr>
          <w:rFonts w:hint="eastAsia" w:ascii="宋体" w:hAnsi="宋体" w:eastAsia="宋体" w:cs="宋体"/>
          <w:color w:val="auto"/>
          <w:szCs w:val="21"/>
          <w:highlight w:val="none"/>
        </w:rPr>
        <w:t>。</w:t>
      </w:r>
    </w:p>
    <w:p w14:paraId="0832A33A">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91" w:name="_Toc505785366"/>
      <w:bookmarkStart w:id="292" w:name="_Toc510377782"/>
      <w:bookmarkStart w:id="293" w:name="_Toc504119067"/>
      <w:bookmarkStart w:id="294" w:name="_Toc512164599"/>
      <w:r>
        <w:rPr>
          <w:rFonts w:hint="eastAsia" w:ascii="宋体" w:hAnsi="宋体" w:eastAsia="宋体" w:cs="宋体"/>
          <w:bCs/>
          <w:color w:val="auto"/>
          <w:szCs w:val="21"/>
          <w:highlight w:val="none"/>
          <w:lang w:val="zh-CN"/>
        </w:rPr>
        <w:t>2.5资金来源证明及支付担保</w:t>
      </w:r>
      <w:bookmarkEnd w:id="291"/>
      <w:bookmarkEnd w:id="292"/>
      <w:bookmarkEnd w:id="293"/>
      <w:bookmarkEnd w:id="294"/>
    </w:p>
    <w:p w14:paraId="5253725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49C5758C">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5A42BE5">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发包人提供支付担保的形式：</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3DE6CB28">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95" w:name="_Toc504119068"/>
      <w:bookmarkStart w:id="296" w:name="_Toc510377783"/>
      <w:bookmarkStart w:id="297" w:name="_Toc512164600"/>
      <w:bookmarkStart w:id="298" w:name="_Toc505785367"/>
      <w:r>
        <w:rPr>
          <w:rFonts w:hint="eastAsia" w:ascii="宋体" w:hAnsi="宋体" w:eastAsia="宋体" w:cs="宋体"/>
          <w:bCs/>
          <w:color w:val="auto"/>
          <w:szCs w:val="21"/>
          <w:highlight w:val="none"/>
          <w:lang w:val="zh-CN"/>
        </w:rPr>
        <w:t>3.承包人</w:t>
      </w:r>
      <w:bookmarkEnd w:id="295"/>
      <w:bookmarkEnd w:id="296"/>
      <w:bookmarkEnd w:id="297"/>
      <w:bookmarkEnd w:id="298"/>
    </w:p>
    <w:p w14:paraId="0DE1063A">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299" w:name="_Toc504119069"/>
      <w:bookmarkStart w:id="300" w:name="_Toc510377784"/>
      <w:bookmarkStart w:id="301" w:name="_Toc505785368"/>
      <w:bookmarkStart w:id="302" w:name="_Toc512164601"/>
      <w:r>
        <w:rPr>
          <w:rFonts w:hint="eastAsia" w:ascii="宋体" w:hAnsi="宋体" w:eastAsia="宋体" w:cs="宋体"/>
          <w:bCs/>
          <w:color w:val="auto"/>
          <w:szCs w:val="21"/>
          <w:highlight w:val="none"/>
          <w:lang w:val="zh-CN"/>
        </w:rPr>
        <w:t>3.1承包人的一般义务</w:t>
      </w:r>
      <w:bookmarkEnd w:id="299"/>
      <w:bookmarkEnd w:id="300"/>
      <w:bookmarkEnd w:id="301"/>
      <w:bookmarkEnd w:id="302"/>
    </w:p>
    <w:p w14:paraId="382D8CD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⑼</w:t>
      </w:r>
      <w:r>
        <w:rPr>
          <w:rFonts w:hint="eastAsia" w:ascii="宋体" w:hAnsi="宋体" w:eastAsia="宋体" w:cs="宋体"/>
          <w:color w:val="auto"/>
          <w:szCs w:val="21"/>
          <w:highlight w:val="none"/>
        </w:rPr>
        <w:t>承包人提交的竣工资料的内容：</w:t>
      </w:r>
      <w:r>
        <w:rPr>
          <w:rFonts w:hint="eastAsia" w:ascii="宋体" w:hAnsi="宋体" w:eastAsia="宋体" w:cs="宋体"/>
          <w:color w:val="auto"/>
          <w:szCs w:val="21"/>
          <w:highlight w:val="none"/>
          <w:u w:val="single"/>
        </w:rPr>
        <w:t>承包人向发包人提交完整的竣工图纸、资料及内容一致的电子文档，必须满足存档要求</w:t>
      </w:r>
      <w:r>
        <w:rPr>
          <w:rFonts w:hint="eastAsia" w:ascii="宋体" w:hAnsi="宋体" w:eastAsia="宋体" w:cs="宋体"/>
          <w:color w:val="auto"/>
          <w:szCs w:val="21"/>
          <w:highlight w:val="none"/>
        </w:rPr>
        <w:t>。</w:t>
      </w:r>
    </w:p>
    <w:p w14:paraId="726A426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w:t>
      </w:r>
      <w:r>
        <w:rPr>
          <w:rFonts w:hint="eastAsia" w:ascii="宋体" w:hAnsi="宋体" w:eastAsia="宋体" w:cs="宋体"/>
          <w:color w:val="auto"/>
          <w:szCs w:val="21"/>
          <w:highlight w:val="none"/>
          <w:u w:val="single"/>
        </w:rPr>
        <w:t>按实际需要提供</w:t>
      </w:r>
      <w:r>
        <w:rPr>
          <w:rFonts w:hint="eastAsia" w:ascii="宋体" w:hAnsi="宋体" w:eastAsia="宋体" w:cs="宋体"/>
          <w:color w:val="auto"/>
          <w:szCs w:val="21"/>
          <w:highlight w:val="none"/>
        </w:rPr>
        <w:t>。</w:t>
      </w:r>
    </w:p>
    <w:p w14:paraId="74FFABA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szCs w:val="21"/>
          <w:highlight w:val="none"/>
        </w:rPr>
        <w:t>。</w:t>
      </w:r>
    </w:p>
    <w:p w14:paraId="378DF2B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工程竣工验收合格后60天内</w:t>
      </w:r>
      <w:r>
        <w:rPr>
          <w:rFonts w:hint="eastAsia" w:ascii="宋体" w:hAnsi="宋体" w:eastAsia="宋体" w:cs="宋体"/>
          <w:color w:val="auto"/>
          <w:szCs w:val="21"/>
          <w:highlight w:val="none"/>
        </w:rPr>
        <w:t>。</w:t>
      </w:r>
    </w:p>
    <w:p w14:paraId="5C2C46B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Cs w:val="21"/>
          <w:highlight w:val="none"/>
          <w:u w:val="single"/>
        </w:rPr>
        <w:t>满足存档要求的纸质及电子文档资料</w:t>
      </w:r>
      <w:r>
        <w:rPr>
          <w:rFonts w:hint="eastAsia" w:ascii="宋体" w:hAnsi="宋体" w:eastAsia="宋体" w:cs="宋体"/>
          <w:color w:val="auto"/>
          <w:szCs w:val="21"/>
          <w:highlight w:val="none"/>
        </w:rPr>
        <w:t>。</w:t>
      </w:r>
    </w:p>
    <w:p w14:paraId="4C45F39F">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⑽承包人应履行的其他义务：</w:t>
      </w:r>
      <w:r>
        <w:rPr>
          <w:rFonts w:hint="eastAsia" w:ascii="宋体" w:hAnsi="宋体" w:eastAsia="宋体" w:cs="宋体"/>
          <w:color w:val="auto"/>
          <w:kern w:val="0"/>
          <w:szCs w:val="21"/>
          <w:highlight w:val="none"/>
          <w:u w:val="single"/>
        </w:rPr>
        <w:t>承包人应当对施工现场或者附近实施与合同工程有关的其它工作的独立承包人履行管理、协调、配合、照管和服务义务</w:t>
      </w:r>
      <w:r>
        <w:rPr>
          <w:rFonts w:hint="eastAsia" w:ascii="宋体" w:hAnsi="宋体" w:eastAsia="宋体" w:cs="宋体"/>
          <w:color w:val="auto"/>
          <w:kern w:val="0"/>
          <w:szCs w:val="21"/>
          <w:highlight w:val="none"/>
        </w:rPr>
        <w:t>。</w:t>
      </w:r>
    </w:p>
    <w:p w14:paraId="47E0E874">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03" w:name="_Toc512164602"/>
      <w:bookmarkStart w:id="304" w:name="_Toc504119070"/>
      <w:bookmarkStart w:id="305" w:name="_Toc505785369"/>
      <w:bookmarkStart w:id="306" w:name="_Toc510377785"/>
      <w:r>
        <w:rPr>
          <w:rFonts w:hint="eastAsia" w:ascii="宋体" w:hAnsi="宋体" w:eastAsia="宋体" w:cs="宋体"/>
          <w:bCs/>
          <w:color w:val="auto"/>
          <w:szCs w:val="21"/>
          <w:highlight w:val="none"/>
          <w:lang w:val="zh-CN"/>
        </w:rPr>
        <w:t>3.2项目经理</w:t>
      </w:r>
      <w:bookmarkEnd w:id="303"/>
      <w:bookmarkEnd w:id="304"/>
      <w:bookmarkEnd w:id="305"/>
      <w:bookmarkEnd w:id="306"/>
    </w:p>
    <w:p w14:paraId="03698355">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3.2.1</w:t>
      </w:r>
      <w:r>
        <w:rPr>
          <w:rFonts w:hint="eastAsia" w:ascii="宋体" w:hAnsi="宋体" w:eastAsia="宋体" w:cs="宋体"/>
          <w:color w:val="auto"/>
          <w:szCs w:val="21"/>
          <w:highlight w:val="none"/>
        </w:rPr>
        <w:t>项目经理：</w:t>
      </w:r>
    </w:p>
    <w:p w14:paraId="75C0CFE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7F616F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353D00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BFC9CBF">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092A14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8C14995">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BC33B4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30DBA3F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3A433C1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6ECB2A2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承包人对项目经理的授权范围如下：</w:t>
      </w:r>
      <w:r>
        <w:rPr>
          <w:rFonts w:hint="eastAsia" w:ascii="宋体" w:hAnsi="宋体" w:eastAsia="宋体" w:cs="宋体"/>
          <w:color w:val="auto"/>
          <w:szCs w:val="21"/>
          <w:highlight w:val="none"/>
          <w:u w:val="single"/>
        </w:rPr>
        <w:t>代表承包人行使本合同约定的权利，履行本合同约定的义务，处理施工期间的突发事件，其行为后果由承包人承担</w:t>
      </w:r>
      <w:r>
        <w:rPr>
          <w:rFonts w:hint="eastAsia" w:ascii="宋体" w:hAnsi="宋体" w:eastAsia="宋体" w:cs="宋体"/>
          <w:color w:val="auto"/>
          <w:szCs w:val="21"/>
          <w:highlight w:val="none"/>
        </w:rPr>
        <w:t>。</w:t>
      </w:r>
    </w:p>
    <w:p w14:paraId="09E4F06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关于项目经理每月在施工现场的时间要求：</w:t>
      </w:r>
      <w:r>
        <w:rPr>
          <w:rFonts w:hint="eastAsia" w:ascii="宋体" w:hAnsi="宋体" w:eastAsia="宋体" w:cs="宋体"/>
          <w:color w:val="auto"/>
          <w:szCs w:val="21"/>
          <w:highlight w:val="none"/>
          <w:u w:val="single"/>
        </w:rPr>
        <w:t>每个月的驻工地时间不得少于21天</w:t>
      </w:r>
      <w:r>
        <w:rPr>
          <w:rFonts w:hint="eastAsia" w:ascii="宋体" w:hAnsi="宋体" w:eastAsia="宋体" w:cs="宋体"/>
          <w:color w:val="auto"/>
          <w:szCs w:val="21"/>
          <w:highlight w:val="none"/>
        </w:rPr>
        <w:t>。</w:t>
      </w:r>
    </w:p>
    <w:p w14:paraId="46259399">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承包人未提交劳动合同，以及没有为项目经理缴纳社会保险证明的违约责任：</w:t>
      </w:r>
      <w:r>
        <w:rPr>
          <w:rFonts w:hint="eastAsia" w:ascii="宋体" w:hAnsi="宋体" w:eastAsia="宋体" w:cs="宋体"/>
          <w:color w:val="auto"/>
          <w:szCs w:val="21"/>
          <w:highlight w:val="none"/>
          <w:u w:val="single"/>
        </w:rPr>
        <w:t>承担由此造成得后果，并赔偿由此引发的经济损失</w:t>
      </w:r>
      <w:r>
        <w:rPr>
          <w:rFonts w:hint="eastAsia" w:ascii="宋体" w:hAnsi="宋体" w:eastAsia="宋体" w:cs="宋体"/>
          <w:color w:val="auto"/>
          <w:szCs w:val="21"/>
          <w:highlight w:val="none"/>
        </w:rPr>
        <w:t>。</w:t>
      </w:r>
    </w:p>
    <w:p w14:paraId="34EB0C2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项目经理未经批准，擅自离开施工现场的违约责任：</w:t>
      </w:r>
      <w:r>
        <w:rPr>
          <w:rFonts w:hint="eastAsia" w:ascii="宋体" w:hAnsi="宋体" w:eastAsia="宋体" w:cs="宋体"/>
          <w:color w:val="auto"/>
          <w:szCs w:val="21"/>
          <w:highlight w:val="none"/>
          <w:u w:val="single"/>
        </w:rPr>
        <w:t>承包人向发包人支付1000元／次的违约金，并按发包人要求立即整改，承包人承担上述违约给发包人造成的一切损失</w:t>
      </w:r>
      <w:r>
        <w:rPr>
          <w:rFonts w:hint="eastAsia" w:ascii="宋体" w:hAnsi="宋体" w:eastAsia="宋体" w:cs="宋体"/>
          <w:color w:val="auto"/>
          <w:szCs w:val="21"/>
          <w:highlight w:val="none"/>
        </w:rPr>
        <w:t>。</w:t>
      </w:r>
    </w:p>
    <w:p w14:paraId="1B6EABF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承包人擅自更换项目经理的违约责任：</w:t>
      </w:r>
      <w:r>
        <w:rPr>
          <w:rFonts w:hint="eastAsia" w:ascii="宋体" w:hAnsi="宋体" w:eastAsia="宋体" w:cs="宋体"/>
          <w:color w:val="auto"/>
          <w:szCs w:val="21"/>
          <w:highlight w:val="none"/>
          <w:u w:val="single"/>
        </w:rPr>
        <w:t>承包人向发包人支付1000元／次的违约金，并按发包人要求立即整改，承担由此引发给发包人造成的一切损失</w:t>
      </w:r>
      <w:r>
        <w:rPr>
          <w:rFonts w:hint="eastAsia" w:ascii="宋体" w:hAnsi="宋体" w:eastAsia="宋体" w:cs="宋体"/>
          <w:color w:val="auto"/>
          <w:szCs w:val="21"/>
          <w:highlight w:val="none"/>
        </w:rPr>
        <w:t>。</w:t>
      </w:r>
    </w:p>
    <w:p w14:paraId="6FD29CA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color w:val="auto"/>
          <w:szCs w:val="21"/>
          <w:highlight w:val="none"/>
          <w:u w:val="single"/>
        </w:rPr>
        <w:t>因项目经理管理能力缺乏、工作怠慢或不作为，造成发包人要求更换项目经理，且承包人拒绝更换的，除承担由此引发的损失赔偿外，还应承担解除合同的风险</w:t>
      </w:r>
      <w:r>
        <w:rPr>
          <w:rFonts w:hint="eastAsia" w:ascii="宋体" w:hAnsi="宋体" w:eastAsia="宋体" w:cs="宋体"/>
          <w:color w:val="auto"/>
          <w:szCs w:val="21"/>
          <w:highlight w:val="none"/>
        </w:rPr>
        <w:t>。</w:t>
      </w:r>
    </w:p>
    <w:p w14:paraId="550AB8B0">
      <w:pPr>
        <w:keepNext/>
        <w:keepLines/>
        <w:spacing w:line="360" w:lineRule="auto"/>
        <w:ind w:firstLine="480" w:firstLineChars="200"/>
        <w:outlineLvl w:val="3"/>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3.3承包人人员</w:t>
      </w:r>
    </w:p>
    <w:p w14:paraId="0FEA805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3.3.1承包人提交项目管理机构及施工现场管理人员安排报告的期限：</w:t>
      </w:r>
      <w:r>
        <w:rPr>
          <w:rFonts w:hint="eastAsia" w:ascii="宋体" w:hAnsi="宋体" w:eastAsia="宋体" w:cs="宋体"/>
          <w:color w:val="auto"/>
          <w:szCs w:val="21"/>
          <w:highlight w:val="none"/>
          <w:u w:val="single"/>
        </w:rPr>
        <w:t>开工前7天</w:t>
      </w:r>
      <w:r>
        <w:rPr>
          <w:rFonts w:hint="eastAsia" w:ascii="宋体" w:hAnsi="宋体" w:eastAsia="宋体" w:cs="宋体"/>
          <w:color w:val="auto"/>
          <w:szCs w:val="21"/>
          <w:highlight w:val="none"/>
        </w:rPr>
        <w:t>。</w:t>
      </w:r>
    </w:p>
    <w:p w14:paraId="0F9472F9">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承包人无正当理由拒绝撤换主要施工管理人员的违约责任：</w:t>
      </w:r>
      <w:r>
        <w:rPr>
          <w:rFonts w:hint="eastAsia" w:ascii="宋体" w:hAnsi="宋体" w:eastAsia="宋体" w:cs="宋体"/>
          <w:color w:val="auto"/>
          <w:szCs w:val="21"/>
          <w:highlight w:val="none"/>
          <w:u w:val="single"/>
        </w:rPr>
        <w:t>向发包人支付1000元／次的违约金，按发包人要求立即整改，并承担由此引发给发包人造成的一切损失</w:t>
      </w:r>
      <w:r>
        <w:rPr>
          <w:rFonts w:hint="eastAsia" w:ascii="宋体" w:hAnsi="宋体" w:eastAsia="宋体" w:cs="宋体"/>
          <w:color w:val="auto"/>
          <w:szCs w:val="21"/>
          <w:highlight w:val="none"/>
        </w:rPr>
        <w:t>。</w:t>
      </w:r>
    </w:p>
    <w:p w14:paraId="22213F3C">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 承包人主要施工管理人员离开施工现场的批准要求：</w:t>
      </w:r>
      <w:r>
        <w:rPr>
          <w:rFonts w:hint="eastAsia" w:ascii="宋体" w:hAnsi="宋体" w:eastAsia="宋体" w:cs="宋体"/>
          <w:color w:val="auto"/>
          <w:szCs w:val="21"/>
          <w:highlight w:val="none"/>
          <w:u w:val="single"/>
        </w:rPr>
        <w:t>应经监理工程师或发包人代表批准同意</w:t>
      </w:r>
      <w:r>
        <w:rPr>
          <w:rFonts w:hint="eastAsia" w:ascii="宋体" w:hAnsi="宋体" w:eastAsia="宋体" w:cs="宋体"/>
          <w:color w:val="auto"/>
          <w:szCs w:val="21"/>
          <w:highlight w:val="none"/>
        </w:rPr>
        <w:t>。</w:t>
      </w:r>
    </w:p>
    <w:p w14:paraId="6693D21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3.3.5承包人擅自更换主要施工管理人员的违约责任：</w:t>
      </w:r>
      <w:r>
        <w:rPr>
          <w:rFonts w:hint="eastAsia" w:ascii="宋体" w:hAnsi="宋体" w:eastAsia="宋体" w:cs="宋体"/>
          <w:color w:val="auto"/>
          <w:szCs w:val="21"/>
          <w:highlight w:val="none"/>
          <w:u w:val="single"/>
        </w:rPr>
        <w:t>承包人向发包人支付1000元／人•次的违约金，并按发包人要求立即整改，承包人承担上述违约给发包人造成的一切损失</w:t>
      </w:r>
      <w:r>
        <w:rPr>
          <w:rFonts w:hint="eastAsia" w:ascii="宋体" w:hAnsi="宋体" w:eastAsia="宋体" w:cs="宋体"/>
          <w:color w:val="auto"/>
          <w:szCs w:val="21"/>
          <w:highlight w:val="none"/>
        </w:rPr>
        <w:t>。</w:t>
      </w:r>
    </w:p>
    <w:p w14:paraId="7A8571C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承包人主要施工管理人员擅自离开施工现场的违约责任：</w:t>
      </w:r>
      <w:r>
        <w:rPr>
          <w:rFonts w:hint="eastAsia" w:ascii="宋体" w:hAnsi="宋体" w:eastAsia="宋体" w:cs="宋体"/>
          <w:color w:val="auto"/>
          <w:szCs w:val="21"/>
          <w:highlight w:val="none"/>
          <w:u w:val="single"/>
        </w:rPr>
        <w:t>承包人主要施工管理人员擅自离开施工现场，给工程造成损失的，承包人向发包人支付1000元／人•次的违约金，并按发包人要求立即整改，承包人承担上述违约给发包人造成的一切损失</w:t>
      </w:r>
      <w:r>
        <w:rPr>
          <w:rFonts w:hint="eastAsia" w:ascii="宋体" w:hAnsi="宋体" w:eastAsia="宋体" w:cs="宋体"/>
          <w:color w:val="auto"/>
          <w:szCs w:val="21"/>
          <w:highlight w:val="none"/>
        </w:rPr>
        <w:t>。</w:t>
      </w:r>
    </w:p>
    <w:p w14:paraId="2BC0E697">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07" w:name="_Toc510377786"/>
      <w:bookmarkStart w:id="308" w:name="_Toc512164603"/>
      <w:bookmarkStart w:id="309" w:name="_Toc505785370"/>
      <w:bookmarkStart w:id="310" w:name="_Toc504119071"/>
      <w:r>
        <w:rPr>
          <w:rFonts w:hint="eastAsia" w:ascii="宋体" w:hAnsi="宋体" w:eastAsia="宋体" w:cs="宋体"/>
          <w:bCs/>
          <w:color w:val="auto"/>
          <w:szCs w:val="21"/>
          <w:highlight w:val="none"/>
          <w:lang w:val="zh-CN"/>
        </w:rPr>
        <w:t>3.5分包</w:t>
      </w:r>
      <w:bookmarkEnd w:id="307"/>
      <w:bookmarkEnd w:id="308"/>
      <w:bookmarkEnd w:id="309"/>
      <w:bookmarkEnd w:id="310"/>
    </w:p>
    <w:p w14:paraId="6BE8E6B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3.5.1分包的一般约定</w:t>
      </w:r>
    </w:p>
    <w:p w14:paraId="7FC9A885">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w:t>
      </w:r>
      <w:r>
        <w:rPr>
          <w:rFonts w:hint="eastAsia" w:ascii="宋体" w:hAnsi="宋体" w:eastAsia="宋体" w:cs="宋体"/>
          <w:color w:val="auto"/>
          <w:szCs w:val="21"/>
          <w:highlight w:val="none"/>
          <w:u w:val="single"/>
        </w:rPr>
        <w:t>本项目主体工程、关键性工作</w:t>
      </w:r>
      <w:r>
        <w:rPr>
          <w:rFonts w:hint="eastAsia" w:ascii="宋体" w:hAnsi="宋体" w:eastAsia="宋体" w:cs="宋体"/>
          <w:color w:val="auto"/>
          <w:szCs w:val="21"/>
          <w:highlight w:val="none"/>
        </w:rPr>
        <w:t>。</w:t>
      </w:r>
    </w:p>
    <w:p w14:paraId="62FAD288">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主体结构、关键性工作的范围：。</w:t>
      </w:r>
    </w:p>
    <w:p w14:paraId="0B5DF3F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3.5.2分包的确定</w:t>
      </w:r>
    </w:p>
    <w:p w14:paraId="5F6F92F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rPr>
        <w:t>本项目专业工程未经发包人批准不得分包，涉及专业工程的分包须经发包人同意，具体在合同谈判时由双方协商确定</w:t>
      </w:r>
      <w:r>
        <w:rPr>
          <w:rFonts w:hint="eastAsia" w:ascii="宋体" w:hAnsi="宋体" w:eastAsia="宋体" w:cs="宋体"/>
          <w:color w:val="auto"/>
          <w:szCs w:val="21"/>
          <w:highlight w:val="none"/>
        </w:rPr>
        <w:t>。</w:t>
      </w:r>
    </w:p>
    <w:p w14:paraId="51393AD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其他关于分包的约定：</w:t>
      </w:r>
      <w:r>
        <w:rPr>
          <w:rFonts w:hint="eastAsia" w:ascii="宋体" w:hAnsi="宋体" w:eastAsia="宋体" w:cs="宋体"/>
          <w:color w:val="auto"/>
          <w:szCs w:val="21"/>
          <w:highlight w:val="none"/>
          <w:u w:val="single"/>
        </w:rPr>
        <w:t>承包人确需分包时，选择专业分包单位应报监理人对其资信条件进行审查并经发包人书面认定；分包合同均由承包人与承接工程的分包人签订，工程分包不能解除承包人的任何责任与义务。承包人对施工工期、工程质量向发包人负责，分包人的任何违约行为或疏忽导致工程损害或给发包人造成其它损失的，由承包人承担连带责任</w:t>
      </w:r>
      <w:r>
        <w:rPr>
          <w:rFonts w:hint="eastAsia" w:ascii="宋体" w:hAnsi="宋体" w:eastAsia="宋体" w:cs="宋体"/>
          <w:color w:val="auto"/>
          <w:szCs w:val="21"/>
          <w:highlight w:val="none"/>
        </w:rPr>
        <w:t>。</w:t>
      </w:r>
    </w:p>
    <w:p w14:paraId="5BF5809D">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3.5.4分包合同价款</w:t>
      </w:r>
    </w:p>
    <w:p w14:paraId="0CEF4FD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关于分包合同价款支付的约定：</w:t>
      </w:r>
      <w:r>
        <w:rPr>
          <w:rFonts w:hint="eastAsia" w:ascii="宋体" w:hAnsi="宋体" w:eastAsia="宋体" w:cs="宋体"/>
          <w:color w:val="auto"/>
          <w:szCs w:val="21"/>
          <w:highlight w:val="none"/>
          <w:u w:val="single"/>
        </w:rPr>
        <w:t>由承包人与承接工程的分包人自行协商</w:t>
      </w:r>
      <w:r>
        <w:rPr>
          <w:rFonts w:hint="eastAsia" w:ascii="宋体" w:hAnsi="宋体" w:eastAsia="宋体" w:cs="宋体"/>
          <w:color w:val="auto"/>
          <w:szCs w:val="21"/>
          <w:highlight w:val="none"/>
        </w:rPr>
        <w:t>。</w:t>
      </w:r>
    </w:p>
    <w:p w14:paraId="66059692">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11" w:name="_Toc505785371"/>
      <w:bookmarkStart w:id="312" w:name="_Toc510377787"/>
      <w:bookmarkStart w:id="313" w:name="_Toc512164604"/>
      <w:bookmarkStart w:id="314" w:name="_Toc504119072"/>
      <w:r>
        <w:rPr>
          <w:rFonts w:hint="eastAsia" w:ascii="宋体" w:hAnsi="宋体" w:eastAsia="宋体" w:cs="宋体"/>
          <w:bCs/>
          <w:color w:val="auto"/>
          <w:szCs w:val="21"/>
          <w:highlight w:val="none"/>
          <w:lang w:val="zh-CN"/>
        </w:rPr>
        <w:t>3.6工程照管与成品、半成品保护</w:t>
      </w:r>
      <w:bookmarkEnd w:id="311"/>
      <w:bookmarkEnd w:id="312"/>
      <w:bookmarkEnd w:id="313"/>
      <w:bookmarkEnd w:id="314"/>
    </w:p>
    <w:p w14:paraId="11C11EF8">
      <w:pPr>
        <w:spacing w:line="360" w:lineRule="auto"/>
        <w:ind w:firstLine="48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设备、人员进场至验收交付使用前由承包人负责照管保修，无其它特殊要求的，费用由承包人承担</w:t>
      </w:r>
      <w:r>
        <w:rPr>
          <w:rFonts w:hint="eastAsia" w:ascii="宋体" w:hAnsi="宋体" w:eastAsia="宋体" w:cs="宋体"/>
          <w:color w:val="auto"/>
          <w:kern w:val="0"/>
          <w:szCs w:val="21"/>
          <w:highlight w:val="none"/>
        </w:rPr>
        <w:t>。</w:t>
      </w:r>
    </w:p>
    <w:p w14:paraId="7DEFE852">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15" w:name="_Toc505785372"/>
      <w:bookmarkStart w:id="316" w:name="_Toc504119073"/>
      <w:bookmarkStart w:id="317" w:name="_Toc510377788"/>
      <w:bookmarkStart w:id="318" w:name="_Toc512164605"/>
      <w:r>
        <w:rPr>
          <w:rFonts w:hint="eastAsia" w:ascii="宋体" w:hAnsi="宋体" w:eastAsia="宋体" w:cs="宋体"/>
          <w:bCs/>
          <w:color w:val="auto"/>
          <w:szCs w:val="21"/>
          <w:highlight w:val="none"/>
          <w:lang w:val="zh-CN"/>
        </w:rPr>
        <w:t>3.7履约担保</w:t>
      </w:r>
      <w:bookmarkEnd w:id="315"/>
      <w:bookmarkEnd w:id="316"/>
      <w:bookmarkEnd w:id="317"/>
      <w:bookmarkEnd w:id="318"/>
    </w:p>
    <w:p w14:paraId="3E15FB5A">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承包人是否提供履约担保：</w:t>
      </w:r>
      <w:r>
        <w:rPr>
          <w:rFonts w:hint="eastAsia" w:ascii="宋体" w:hAnsi="宋体" w:eastAsia="宋体" w:cs="宋体"/>
          <w:color w:val="auto"/>
          <w:szCs w:val="21"/>
          <w:highlight w:val="none"/>
          <w:u w:val="single"/>
        </w:rPr>
        <w:t>提供履约担保</w:t>
      </w:r>
      <w:r>
        <w:rPr>
          <w:rFonts w:hint="eastAsia" w:ascii="宋体" w:hAnsi="宋体" w:eastAsia="宋体" w:cs="宋体"/>
          <w:color w:val="auto"/>
          <w:szCs w:val="21"/>
          <w:highlight w:val="none"/>
        </w:rPr>
        <w:t>。</w:t>
      </w:r>
    </w:p>
    <w:p w14:paraId="2F9DD7D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承包人提供履约担保的形式、金额及期限的：</w:t>
      </w:r>
      <w:r>
        <w:rPr>
          <w:rFonts w:hint="eastAsia" w:ascii="宋体" w:hAnsi="宋体" w:eastAsia="宋体" w:cs="宋体"/>
          <w:color w:val="auto"/>
          <w:szCs w:val="21"/>
          <w:highlight w:val="none"/>
          <w:u w:val="single"/>
        </w:rPr>
        <w:t>金额为为合同价款的10％，以银行存款或银行保函的形式，在签订合同前10天内付清，至工程竣工验收合格后不计息退还</w:t>
      </w:r>
      <w:r>
        <w:rPr>
          <w:rFonts w:hint="eastAsia" w:ascii="宋体" w:hAnsi="宋体" w:eastAsia="宋体" w:cs="宋体"/>
          <w:color w:val="auto"/>
          <w:szCs w:val="21"/>
          <w:highlight w:val="none"/>
        </w:rPr>
        <w:t>。</w:t>
      </w:r>
    </w:p>
    <w:p w14:paraId="62EEC146">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19" w:name="_Toc505785373"/>
      <w:bookmarkStart w:id="320" w:name="_Toc512164606"/>
      <w:bookmarkStart w:id="321" w:name="_Toc504119074"/>
      <w:bookmarkStart w:id="322" w:name="_Toc510377789"/>
      <w:r>
        <w:rPr>
          <w:rFonts w:hint="eastAsia" w:ascii="宋体" w:hAnsi="宋体" w:eastAsia="宋体" w:cs="宋体"/>
          <w:bCs/>
          <w:color w:val="auto"/>
          <w:szCs w:val="21"/>
          <w:highlight w:val="none"/>
          <w:lang w:val="zh-CN"/>
        </w:rPr>
        <w:t>4.监理人</w:t>
      </w:r>
      <w:bookmarkEnd w:id="319"/>
      <w:bookmarkEnd w:id="320"/>
      <w:bookmarkEnd w:id="321"/>
      <w:bookmarkEnd w:id="322"/>
    </w:p>
    <w:p w14:paraId="26B4FB33">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23" w:name="_Toc505785374"/>
      <w:bookmarkStart w:id="324" w:name="_Toc512164607"/>
      <w:bookmarkStart w:id="325" w:name="_Toc510377790"/>
      <w:bookmarkStart w:id="326" w:name="_Toc504119075"/>
      <w:r>
        <w:rPr>
          <w:rFonts w:hint="eastAsia" w:ascii="宋体" w:hAnsi="宋体" w:eastAsia="宋体" w:cs="宋体"/>
          <w:bCs/>
          <w:color w:val="auto"/>
          <w:szCs w:val="21"/>
          <w:highlight w:val="none"/>
          <w:lang w:val="zh-CN"/>
        </w:rPr>
        <w:t>4.1监理人的一般规定</w:t>
      </w:r>
      <w:bookmarkEnd w:id="323"/>
      <w:bookmarkEnd w:id="324"/>
      <w:bookmarkEnd w:id="325"/>
      <w:bookmarkEnd w:id="326"/>
    </w:p>
    <w:p w14:paraId="5F68B19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详见监理合同</w:t>
      </w:r>
      <w:r>
        <w:rPr>
          <w:rFonts w:hint="eastAsia" w:ascii="宋体" w:hAnsi="宋体" w:eastAsia="宋体" w:cs="宋体"/>
          <w:color w:val="auto"/>
          <w:szCs w:val="21"/>
          <w:highlight w:val="none"/>
        </w:rPr>
        <w:t>。</w:t>
      </w:r>
    </w:p>
    <w:p w14:paraId="4FE7566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关于监理人的监理权限：</w:t>
      </w:r>
      <w:r>
        <w:rPr>
          <w:rFonts w:hint="eastAsia" w:ascii="宋体" w:hAnsi="宋体" w:eastAsia="宋体" w:cs="宋体"/>
          <w:color w:val="auto"/>
          <w:szCs w:val="21"/>
          <w:highlight w:val="none"/>
          <w:u w:val="single"/>
        </w:rPr>
        <w:t>工程进度、造价、施工安全、处理索赔（不包括索赔申请终止审核权）、保修等施工阶段全过程监理权限，详见监理合同及实施细则</w:t>
      </w:r>
      <w:r>
        <w:rPr>
          <w:rFonts w:hint="eastAsia" w:ascii="宋体" w:hAnsi="宋体" w:eastAsia="宋体" w:cs="宋体"/>
          <w:color w:val="auto"/>
          <w:szCs w:val="21"/>
          <w:highlight w:val="none"/>
        </w:rPr>
        <w:t>。</w:t>
      </w:r>
    </w:p>
    <w:p w14:paraId="16AAF75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监理人在施工现场的办公场所由承包人提供，生活场所监理人自行负责</w:t>
      </w:r>
      <w:r>
        <w:rPr>
          <w:rFonts w:hint="eastAsia" w:ascii="宋体" w:hAnsi="宋体" w:eastAsia="宋体" w:cs="宋体"/>
          <w:color w:val="auto"/>
          <w:szCs w:val="21"/>
          <w:highlight w:val="none"/>
        </w:rPr>
        <w:t>。</w:t>
      </w:r>
    </w:p>
    <w:p w14:paraId="2AFE6A2C">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27" w:name="_Toc512164608"/>
      <w:bookmarkStart w:id="328" w:name="_Toc505785375"/>
      <w:bookmarkStart w:id="329" w:name="_Toc510377791"/>
      <w:bookmarkStart w:id="330" w:name="_Toc504119076"/>
      <w:r>
        <w:rPr>
          <w:rFonts w:hint="eastAsia" w:ascii="宋体" w:hAnsi="宋体" w:eastAsia="宋体" w:cs="宋体"/>
          <w:bCs/>
          <w:color w:val="auto"/>
          <w:szCs w:val="21"/>
          <w:highlight w:val="none"/>
          <w:lang w:val="zh-CN"/>
        </w:rPr>
        <w:t>4.2监理人员</w:t>
      </w:r>
      <w:bookmarkEnd w:id="327"/>
      <w:bookmarkEnd w:id="328"/>
      <w:bookmarkEnd w:id="329"/>
      <w:bookmarkEnd w:id="330"/>
    </w:p>
    <w:p w14:paraId="70E7BCC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p w14:paraId="73630C7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3980135D">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DC241E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30261F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31819AD">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DF2526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1D772BFD">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关于监理人的其他约定：</w:t>
      </w:r>
      <w:r>
        <w:rPr>
          <w:rFonts w:hint="eastAsia" w:ascii="宋体" w:hAnsi="宋体" w:eastAsia="宋体" w:cs="宋体"/>
          <w:color w:val="auto"/>
          <w:szCs w:val="21"/>
          <w:highlight w:val="none"/>
          <w:u w:val="single"/>
        </w:rPr>
        <w:t>总监理工程师的指令、确认、答复、处理等行为监理人认可并承担全部责任</w:t>
      </w:r>
      <w:r>
        <w:rPr>
          <w:rFonts w:hint="eastAsia" w:ascii="宋体" w:hAnsi="宋体" w:eastAsia="宋体" w:cs="宋体"/>
          <w:color w:val="auto"/>
          <w:szCs w:val="21"/>
          <w:highlight w:val="none"/>
        </w:rPr>
        <w:t>。</w:t>
      </w:r>
    </w:p>
    <w:p w14:paraId="47C795FE">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31" w:name="_Toc510377792"/>
      <w:bookmarkStart w:id="332" w:name="_Toc505785376"/>
      <w:bookmarkStart w:id="333" w:name="_Toc512164609"/>
      <w:bookmarkStart w:id="334" w:name="_Toc504119077"/>
      <w:r>
        <w:rPr>
          <w:rFonts w:hint="eastAsia" w:ascii="宋体" w:hAnsi="宋体" w:eastAsia="宋体" w:cs="宋体"/>
          <w:bCs/>
          <w:color w:val="auto"/>
          <w:szCs w:val="21"/>
          <w:highlight w:val="none"/>
          <w:lang w:val="zh-CN"/>
        </w:rPr>
        <w:t>4.4商定或确定</w:t>
      </w:r>
      <w:bookmarkEnd w:id="331"/>
      <w:bookmarkEnd w:id="332"/>
      <w:bookmarkEnd w:id="333"/>
      <w:bookmarkEnd w:id="334"/>
    </w:p>
    <w:p w14:paraId="26453F7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在发包人和承包人不能通过协商达成一致意见时，发包人授权监理人对以下事项进行确定：</w:t>
      </w:r>
    </w:p>
    <w:p w14:paraId="70104D4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w:t>
      </w:r>
      <w:r>
        <w:rPr>
          <w:rFonts w:hint="eastAsia" w:ascii="宋体" w:hAnsi="宋体" w:eastAsia="宋体" w:cs="宋体"/>
          <w:color w:val="auto"/>
          <w:szCs w:val="21"/>
          <w:highlight w:val="none"/>
          <w:u w:val="single"/>
        </w:rPr>
        <w:t>施工过程中对施工图纸不明确或需要变更对发包人或设计单位的建议权</w:t>
      </w:r>
      <w:r>
        <w:rPr>
          <w:rFonts w:hint="eastAsia" w:ascii="宋体" w:hAnsi="宋体" w:eastAsia="宋体" w:cs="宋体"/>
          <w:color w:val="auto"/>
          <w:szCs w:val="21"/>
          <w:highlight w:val="none"/>
        </w:rPr>
        <w:t>；</w:t>
      </w:r>
    </w:p>
    <w:p w14:paraId="4FBF230C">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w:t>
      </w:r>
      <w:r>
        <w:rPr>
          <w:rFonts w:hint="eastAsia" w:ascii="宋体" w:hAnsi="宋体" w:eastAsia="宋体" w:cs="宋体"/>
          <w:color w:val="auto"/>
          <w:szCs w:val="21"/>
          <w:highlight w:val="none"/>
          <w:u w:val="single"/>
        </w:rPr>
        <w:t>对承包人的施工进度、质量、安全、造价等的监督权</w:t>
      </w:r>
      <w:r>
        <w:rPr>
          <w:rFonts w:hint="eastAsia" w:ascii="宋体" w:hAnsi="宋体" w:eastAsia="宋体" w:cs="宋体"/>
          <w:color w:val="auto"/>
          <w:szCs w:val="21"/>
          <w:highlight w:val="none"/>
        </w:rPr>
        <w:t>；</w:t>
      </w:r>
    </w:p>
    <w:p w14:paraId="4396BFDC">
      <w:pPr>
        <w:spacing w:line="360" w:lineRule="auto"/>
        <w:ind w:firstLine="48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⑶</w:t>
      </w:r>
      <w:r>
        <w:rPr>
          <w:rFonts w:hint="eastAsia" w:ascii="宋体" w:hAnsi="宋体" w:eastAsia="宋体" w:cs="宋体"/>
          <w:color w:val="auto"/>
          <w:szCs w:val="21"/>
          <w:highlight w:val="none"/>
          <w:u w:val="single"/>
        </w:rPr>
        <w:t>施工现场交叉作业，配合施工组织协调权</w:t>
      </w:r>
      <w:r>
        <w:rPr>
          <w:rFonts w:hint="eastAsia" w:ascii="宋体" w:hAnsi="宋体" w:eastAsia="宋体" w:cs="宋体"/>
          <w:color w:val="auto"/>
          <w:szCs w:val="21"/>
          <w:highlight w:val="none"/>
        </w:rPr>
        <w:t>。</w:t>
      </w:r>
    </w:p>
    <w:p w14:paraId="6D955F90">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35" w:name="_Toc510377793"/>
      <w:bookmarkStart w:id="336" w:name="_Toc512164610"/>
      <w:bookmarkStart w:id="337" w:name="_Toc505785377"/>
      <w:bookmarkStart w:id="338" w:name="_Toc504119078"/>
      <w:r>
        <w:rPr>
          <w:rFonts w:hint="eastAsia" w:ascii="宋体" w:hAnsi="宋体" w:eastAsia="宋体" w:cs="宋体"/>
          <w:bCs/>
          <w:color w:val="auto"/>
          <w:szCs w:val="21"/>
          <w:highlight w:val="none"/>
          <w:lang w:val="zh-CN"/>
        </w:rPr>
        <w:t>5.工程质量</w:t>
      </w:r>
      <w:bookmarkEnd w:id="335"/>
      <w:bookmarkEnd w:id="336"/>
      <w:bookmarkEnd w:id="337"/>
      <w:bookmarkEnd w:id="338"/>
    </w:p>
    <w:p w14:paraId="0B39BB3A">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39" w:name="_Toc504119079"/>
      <w:bookmarkStart w:id="340" w:name="_Toc505785378"/>
      <w:bookmarkStart w:id="341" w:name="_Toc510377794"/>
      <w:bookmarkStart w:id="342" w:name="_Toc512164611"/>
      <w:r>
        <w:rPr>
          <w:rFonts w:hint="eastAsia" w:ascii="宋体" w:hAnsi="宋体" w:eastAsia="宋体" w:cs="宋体"/>
          <w:bCs/>
          <w:color w:val="auto"/>
          <w:szCs w:val="21"/>
          <w:highlight w:val="none"/>
          <w:lang w:val="zh-CN"/>
        </w:rPr>
        <w:t>5.1质量要求</w:t>
      </w:r>
      <w:bookmarkEnd w:id="339"/>
      <w:bookmarkEnd w:id="340"/>
      <w:bookmarkEnd w:id="341"/>
      <w:bookmarkEnd w:id="342"/>
    </w:p>
    <w:p w14:paraId="60AA3C13">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5.1.1特殊质量标准和要求：</w:t>
      </w:r>
      <w:r>
        <w:rPr>
          <w:rFonts w:hint="eastAsia" w:ascii="宋体" w:hAnsi="宋体" w:eastAsia="宋体" w:cs="宋体"/>
          <w:color w:val="auto"/>
          <w:szCs w:val="21"/>
          <w:highlight w:val="none"/>
          <w:u w:val="single"/>
        </w:rPr>
        <w:t>满足设计文件的要求，工程质量必须符合现行国家有关工程施工质量验收规范和标准的要求</w:t>
      </w:r>
      <w:r>
        <w:rPr>
          <w:rFonts w:hint="eastAsia" w:ascii="宋体" w:hAnsi="宋体" w:eastAsia="宋体" w:cs="宋体"/>
          <w:color w:val="auto"/>
          <w:szCs w:val="21"/>
          <w:highlight w:val="none"/>
        </w:rPr>
        <w:t>。</w:t>
      </w:r>
    </w:p>
    <w:p w14:paraId="7006BF61">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关于工程奖项的约定：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708D05A">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43" w:name="_Toc504119080"/>
      <w:bookmarkStart w:id="344" w:name="_Toc505785379"/>
      <w:bookmarkStart w:id="345" w:name="_Toc512164612"/>
      <w:bookmarkStart w:id="346" w:name="_Toc510377795"/>
      <w:r>
        <w:rPr>
          <w:rFonts w:hint="eastAsia" w:ascii="宋体" w:hAnsi="宋体" w:eastAsia="宋体" w:cs="宋体"/>
          <w:bCs/>
          <w:color w:val="auto"/>
          <w:szCs w:val="21"/>
          <w:highlight w:val="none"/>
          <w:lang w:val="zh-CN"/>
        </w:rPr>
        <w:t>5.3隐蔽工程检查</w:t>
      </w:r>
      <w:bookmarkEnd w:id="343"/>
      <w:bookmarkEnd w:id="344"/>
      <w:bookmarkEnd w:id="345"/>
      <w:bookmarkEnd w:id="346"/>
    </w:p>
    <w:p w14:paraId="7BA5DF29">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5.3.2承包人提前通知监理人隐蔽工程检查的期限的约定：</w:t>
      </w:r>
      <w:r>
        <w:rPr>
          <w:rFonts w:hint="eastAsia" w:ascii="宋体" w:hAnsi="宋体" w:eastAsia="宋体" w:cs="宋体"/>
          <w:color w:val="auto"/>
          <w:szCs w:val="21"/>
          <w:highlight w:val="none"/>
          <w:u w:val="single"/>
        </w:rPr>
        <w:t>共同检查前48小时书面通知监理人</w:t>
      </w:r>
      <w:r>
        <w:rPr>
          <w:rFonts w:hint="eastAsia" w:ascii="宋体" w:hAnsi="宋体" w:eastAsia="宋体" w:cs="宋体"/>
          <w:color w:val="auto"/>
          <w:szCs w:val="21"/>
          <w:highlight w:val="none"/>
        </w:rPr>
        <w:t>。</w:t>
      </w:r>
    </w:p>
    <w:p w14:paraId="24E64909">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监理人不能按时进行检查时，应提前</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小时提交书面延期要求。</w:t>
      </w:r>
    </w:p>
    <w:p w14:paraId="1F500F6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48 </w:t>
      </w:r>
      <w:r>
        <w:rPr>
          <w:rFonts w:hint="eastAsia" w:ascii="宋体" w:hAnsi="宋体" w:eastAsia="宋体" w:cs="宋体"/>
          <w:color w:val="auto"/>
          <w:szCs w:val="21"/>
          <w:highlight w:val="none"/>
        </w:rPr>
        <w:t>小时。</w:t>
      </w:r>
    </w:p>
    <w:p w14:paraId="58EB467D">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47" w:name="_Toc510377796"/>
      <w:bookmarkStart w:id="348" w:name="_Toc504119081"/>
      <w:bookmarkStart w:id="349" w:name="_Toc512164613"/>
      <w:bookmarkStart w:id="350" w:name="_Toc505785380"/>
      <w:r>
        <w:rPr>
          <w:rFonts w:hint="eastAsia" w:ascii="宋体" w:hAnsi="宋体" w:eastAsia="宋体" w:cs="宋体"/>
          <w:bCs/>
          <w:color w:val="auto"/>
          <w:szCs w:val="21"/>
          <w:highlight w:val="none"/>
          <w:lang w:val="zh-CN"/>
        </w:rPr>
        <w:t>6.安全文明施工与环境保护</w:t>
      </w:r>
      <w:bookmarkEnd w:id="347"/>
      <w:bookmarkEnd w:id="348"/>
      <w:bookmarkEnd w:id="349"/>
      <w:bookmarkEnd w:id="350"/>
    </w:p>
    <w:p w14:paraId="39E67C02">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51" w:name="_Toc505785381"/>
      <w:bookmarkStart w:id="352" w:name="_Toc504119082"/>
      <w:bookmarkStart w:id="353" w:name="_Toc510377797"/>
      <w:bookmarkStart w:id="354" w:name="_Toc512164614"/>
      <w:r>
        <w:rPr>
          <w:rFonts w:hint="eastAsia" w:ascii="宋体" w:hAnsi="宋体" w:eastAsia="宋体" w:cs="宋体"/>
          <w:bCs/>
          <w:color w:val="auto"/>
          <w:szCs w:val="21"/>
          <w:highlight w:val="none"/>
          <w:lang w:val="zh-CN"/>
        </w:rPr>
        <w:t>6.1安全文明施工</w:t>
      </w:r>
      <w:bookmarkEnd w:id="351"/>
      <w:bookmarkEnd w:id="352"/>
      <w:bookmarkEnd w:id="353"/>
      <w:bookmarkEnd w:id="354"/>
    </w:p>
    <w:p w14:paraId="13D048EF">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6.1.1项目安全生产的达标目标及相应事项的约定：</w:t>
      </w:r>
      <w:r>
        <w:rPr>
          <w:rFonts w:hint="eastAsia" w:ascii="宋体" w:hAnsi="宋体" w:eastAsia="宋体" w:cs="宋体"/>
          <w:color w:val="auto"/>
          <w:szCs w:val="21"/>
          <w:highlight w:val="none"/>
          <w:u w:val="single"/>
        </w:rPr>
        <w:t>要求达到《建筑施工安全检查标准》（JGJ59-2011）及云南省和红河州现行相关标准</w:t>
      </w:r>
      <w:r>
        <w:rPr>
          <w:rFonts w:hint="eastAsia" w:ascii="宋体" w:hAnsi="宋体" w:eastAsia="宋体" w:cs="宋体"/>
          <w:color w:val="auto"/>
          <w:szCs w:val="21"/>
          <w:highlight w:val="none"/>
        </w:rPr>
        <w:t>。</w:t>
      </w:r>
    </w:p>
    <w:p w14:paraId="7BA419F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6.1.4关于治安保卫的特别约定：</w:t>
      </w:r>
      <w:r>
        <w:rPr>
          <w:rFonts w:hint="eastAsia" w:ascii="宋体" w:hAnsi="宋体" w:eastAsia="宋体" w:cs="宋体"/>
          <w:color w:val="auto"/>
          <w:szCs w:val="21"/>
          <w:highlight w:val="none"/>
          <w:u w:val="single"/>
        </w:rPr>
        <w:t>按通用条款6.1.4条执行</w:t>
      </w:r>
      <w:r>
        <w:rPr>
          <w:rFonts w:hint="eastAsia" w:ascii="宋体" w:hAnsi="宋体" w:eastAsia="宋体" w:cs="宋体"/>
          <w:color w:val="auto"/>
          <w:szCs w:val="21"/>
          <w:highlight w:val="none"/>
        </w:rPr>
        <w:t>。</w:t>
      </w:r>
    </w:p>
    <w:p w14:paraId="4FE0AA95">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承包人在开工3天前向发包人和监理人提供施工场地治安管理计划</w:t>
      </w:r>
      <w:r>
        <w:rPr>
          <w:rFonts w:hint="eastAsia" w:ascii="宋体" w:hAnsi="宋体" w:eastAsia="宋体" w:cs="宋体"/>
          <w:color w:val="auto"/>
          <w:szCs w:val="21"/>
          <w:highlight w:val="none"/>
        </w:rPr>
        <w:t>。</w:t>
      </w:r>
    </w:p>
    <w:p w14:paraId="28ABD2E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6.1.5文明施工</w:t>
      </w:r>
    </w:p>
    <w:p w14:paraId="4B1282A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达到《建筑施工现场环境与卫生标准》（JGJ146-2013）云南省和红河州现行相关标准。若文明不达标，自愿向发包人交纳违约金10000元；竣工验收后十天内，做到料净场清，若因承包人原因，未在规定时间内完成上述工作，则发包人有权自行安排清理，发生费用按实际发生费用的2倍从承包人工程款中扣除</w:t>
      </w:r>
      <w:r>
        <w:rPr>
          <w:rFonts w:hint="eastAsia" w:ascii="宋体" w:hAnsi="宋体" w:eastAsia="宋体" w:cs="宋体"/>
          <w:color w:val="auto"/>
          <w:szCs w:val="21"/>
          <w:highlight w:val="none"/>
        </w:rPr>
        <w:t>。</w:t>
      </w:r>
    </w:p>
    <w:p w14:paraId="3FB760C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6.1.6关于安全文明施工费支付比例和支付期限的约定：</w:t>
      </w:r>
      <w:r>
        <w:rPr>
          <w:rFonts w:hint="eastAsia" w:ascii="宋体" w:hAnsi="宋体" w:eastAsia="宋体" w:cs="宋体"/>
          <w:color w:val="auto"/>
          <w:szCs w:val="21"/>
          <w:highlight w:val="none"/>
          <w:u w:val="single"/>
        </w:rPr>
        <w:t>纳入合同价格支付</w:t>
      </w:r>
      <w:r>
        <w:rPr>
          <w:rFonts w:hint="eastAsia" w:ascii="宋体" w:hAnsi="宋体" w:eastAsia="宋体" w:cs="宋体"/>
          <w:color w:val="auto"/>
          <w:szCs w:val="21"/>
          <w:highlight w:val="none"/>
        </w:rPr>
        <w:t>。</w:t>
      </w:r>
    </w:p>
    <w:p w14:paraId="3F90B373">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55" w:name="_Toc512164615"/>
      <w:bookmarkStart w:id="356" w:name="_Toc505785382"/>
      <w:bookmarkStart w:id="357" w:name="_Toc510377798"/>
      <w:bookmarkStart w:id="358" w:name="_Toc504119083"/>
      <w:r>
        <w:rPr>
          <w:rFonts w:hint="eastAsia" w:ascii="宋体" w:hAnsi="宋体" w:eastAsia="宋体" w:cs="宋体"/>
          <w:bCs/>
          <w:color w:val="auto"/>
          <w:szCs w:val="21"/>
          <w:highlight w:val="none"/>
          <w:lang w:val="zh-CN"/>
        </w:rPr>
        <w:t>7.工期和进度</w:t>
      </w:r>
      <w:bookmarkEnd w:id="355"/>
      <w:bookmarkEnd w:id="356"/>
      <w:bookmarkEnd w:id="357"/>
      <w:bookmarkEnd w:id="358"/>
    </w:p>
    <w:p w14:paraId="49769835">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59" w:name="_Toc504119084"/>
      <w:bookmarkStart w:id="360" w:name="_Toc510377799"/>
      <w:bookmarkStart w:id="361" w:name="_Toc512164616"/>
      <w:bookmarkStart w:id="362" w:name="_Toc505785383"/>
      <w:r>
        <w:rPr>
          <w:rFonts w:hint="eastAsia" w:ascii="宋体" w:hAnsi="宋体" w:eastAsia="宋体" w:cs="宋体"/>
          <w:bCs/>
          <w:color w:val="auto"/>
          <w:szCs w:val="21"/>
          <w:highlight w:val="none"/>
          <w:lang w:val="zh-CN"/>
        </w:rPr>
        <w:t>7.1施工组织设计</w:t>
      </w:r>
      <w:bookmarkEnd w:id="359"/>
      <w:bookmarkEnd w:id="360"/>
      <w:bookmarkEnd w:id="361"/>
      <w:bookmarkEnd w:id="362"/>
    </w:p>
    <w:p w14:paraId="0FCBAEFA">
      <w:pPr>
        <w:autoSpaceDE w:val="0"/>
        <w:autoSpaceDN w:val="0"/>
        <w:adjustRightInd w:val="0"/>
        <w:spacing w:line="360" w:lineRule="auto"/>
        <w:ind w:firstLine="48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7.1.1合</w:t>
      </w:r>
      <w:r>
        <w:rPr>
          <w:rFonts w:hint="eastAsia" w:ascii="宋体" w:hAnsi="宋体" w:eastAsia="宋体" w:cs="宋体"/>
          <w:color w:val="auto"/>
          <w:kern w:val="0"/>
          <w:szCs w:val="21"/>
          <w:highlight w:val="none"/>
        </w:rPr>
        <w:t>同当事人约定的施工组织设计应包括的其他内容：</w:t>
      </w:r>
      <w:r>
        <w:rPr>
          <w:rFonts w:hint="eastAsia" w:ascii="宋体" w:hAnsi="宋体" w:eastAsia="宋体" w:cs="宋体"/>
          <w:color w:val="auto"/>
          <w:kern w:val="0"/>
          <w:szCs w:val="21"/>
          <w:highlight w:val="none"/>
          <w:u w:val="single"/>
        </w:rPr>
        <w:t>对于危险性较大的分部分项工程，承包人在施工组织设计中应根据《危险性较大的分部分项工程安全管理办法》等相关规定，编制危险性较大的分部分项工程的专项施工方案，对于超过一定规模的危险性较大的分部分项工程，承包人还应组织专家对此专项方案进行论证评审</w:t>
      </w:r>
      <w:r>
        <w:rPr>
          <w:rFonts w:hint="eastAsia" w:ascii="宋体" w:hAnsi="宋体" w:eastAsia="宋体" w:cs="宋体"/>
          <w:color w:val="auto"/>
          <w:kern w:val="0"/>
          <w:szCs w:val="21"/>
          <w:highlight w:val="none"/>
        </w:rPr>
        <w:t>。</w:t>
      </w:r>
    </w:p>
    <w:p w14:paraId="31550BA7">
      <w:pPr>
        <w:autoSpaceDE w:val="0"/>
        <w:autoSpaceDN w:val="0"/>
        <w:adjustRightInd w:val="0"/>
        <w:spacing w:line="360" w:lineRule="auto"/>
        <w:ind w:firstLine="48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7.1.2</w:t>
      </w:r>
      <w:r>
        <w:rPr>
          <w:rFonts w:hint="eastAsia" w:ascii="宋体" w:hAnsi="宋体" w:eastAsia="宋体" w:cs="宋体"/>
          <w:color w:val="auto"/>
          <w:kern w:val="0"/>
          <w:szCs w:val="21"/>
          <w:highlight w:val="none"/>
        </w:rPr>
        <w:t>施工组织设计的提交和修改</w:t>
      </w:r>
    </w:p>
    <w:p w14:paraId="4B57145E">
      <w:pPr>
        <w:autoSpaceDE w:val="0"/>
        <w:autoSpaceDN w:val="0"/>
        <w:adjustRightIn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kern w:val="0"/>
          <w:szCs w:val="21"/>
          <w:highlight w:val="none"/>
          <w:u w:val="single"/>
        </w:rPr>
        <w:t>单位工程或单项工程</w:t>
      </w:r>
      <w:r>
        <w:rPr>
          <w:rFonts w:hint="eastAsia" w:ascii="宋体" w:hAnsi="宋体" w:eastAsia="宋体" w:cs="宋体"/>
          <w:color w:val="auto"/>
          <w:szCs w:val="21"/>
          <w:highlight w:val="none"/>
          <w:u w:val="single"/>
        </w:rPr>
        <w:t>开工前3天内，承包人向发包人提供施工组织设计书，经发包人和监理人批准后实施，并在当月20日前提供次月施工进度计划表</w:t>
      </w:r>
      <w:r>
        <w:rPr>
          <w:rFonts w:hint="eastAsia" w:ascii="宋体" w:hAnsi="宋体" w:eastAsia="宋体" w:cs="宋体"/>
          <w:color w:val="auto"/>
          <w:szCs w:val="21"/>
          <w:highlight w:val="none"/>
        </w:rPr>
        <w:t>。</w:t>
      </w:r>
    </w:p>
    <w:p w14:paraId="44DA807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color w:val="auto"/>
          <w:szCs w:val="21"/>
          <w:highlight w:val="none"/>
          <w:u w:val="single"/>
        </w:rPr>
        <w:t>收到上述资料后五天内确认或提出修改意见，逾期不确认或提出修改意见的，视为认可</w:t>
      </w:r>
      <w:r>
        <w:rPr>
          <w:rFonts w:hint="eastAsia" w:ascii="宋体" w:hAnsi="宋体" w:eastAsia="宋体" w:cs="宋体"/>
          <w:color w:val="auto"/>
          <w:szCs w:val="21"/>
          <w:highlight w:val="none"/>
        </w:rPr>
        <w:t>。</w:t>
      </w:r>
    </w:p>
    <w:p w14:paraId="47FFE855">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63" w:name="_Toc512164617"/>
      <w:bookmarkStart w:id="364" w:name="_Toc504119085"/>
      <w:bookmarkStart w:id="365" w:name="_Toc505785384"/>
      <w:bookmarkStart w:id="366" w:name="_Toc510377800"/>
      <w:r>
        <w:rPr>
          <w:rFonts w:hint="eastAsia" w:ascii="宋体" w:hAnsi="宋体" w:eastAsia="宋体" w:cs="宋体"/>
          <w:bCs/>
          <w:color w:val="auto"/>
          <w:szCs w:val="21"/>
          <w:highlight w:val="none"/>
          <w:lang w:val="zh-CN"/>
        </w:rPr>
        <w:t>7.2施工进度计划</w:t>
      </w:r>
      <w:bookmarkEnd w:id="363"/>
      <w:bookmarkEnd w:id="364"/>
      <w:bookmarkEnd w:id="365"/>
      <w:bookmarkEnd w:id="366"/>
    </w:p>
    <w:p w14:paraId="6635AEB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7.2.2施工进度计划的修订</w:t>
      </w:r>
    </w:p>
    <w:p w14:paraId="1BA0C15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发包人和监理人在收到修订的施工进度计划后确认或提出修改意见的期限：</w:t>
      </w:r>
      <w:r>
        <w:rPr>
          <w:rFonts w:hint="eastAsia" w:ascii="宋体" w:hAnsi="宋体" w:eastAsia="宋体" w:cs="宋体"/>
          <w:color w:val="auto"/>
          <w:szCs w:val="21"/>
          <w:highlight w:val="none"/>
          <w:u w:val="single"/>
        </w:rPr>
        <w:t>收到上述资料后7天内确认或提出修改意见，逾期不确认或提出修改意见的，视为认可</w:t>
      </w:r>
      <w:r>
        <w:rPr>
          <w:rFonts w:hint="eastAsia" w:ascii="宋体" w:hAnsi="宋体" w:eastAsia="宋体" w:cs="宋体"/>
          <w:color w:val="auto"/>
          <w:szCs w:val="21"/>
          <w:highlight w:val="none"/>
        </w:rPr>
        <w:t>。</w:t>
      </w:r>
    </w:p>
    <w:p w14:paraId="6CD3E5DE">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67" w:name="_Toc504119086"/>
      <w:bookmarkStart w:id="368" w:name="_Toc512164618"/>
      <w:bookmarkStart w:id="369" w:name="_Toc510377801"/>
      <w:bookmarkStart w:id="370" w:name="_Toc505785385"/>
      <w:r>
        <w:rPr>
          <w:rFonts w:hint="eastAsia" w:ascii="宋体" w:hAnsi="宋体" w:eastAsia="宋体" w:cs="宋体"/>
          <w:bCs/>
          <w:color w:val="auto"/>
          <w:szCs w:val="21"/>
          <w:highlight w:val="none"/>
          <w:lang w:val="zh-CN"/>
        </w:rPr>
        <w:t>7.3开工</w:t>
      </w:r>
      <w:bookmarkEnd w:id="367"/>
      <w:bookmarkEnd w:id="368"/>
      <w:bookmarkEnd w:id="369"/>
      <w:bookmarkEnd w:id="370"/>
    </w:p>
    <w:p w14:paraId="7CCA3425">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7.3.1开工准备</w:t>
      </w:r>
    </w:p>
    <w:p w14:paraId="0C50E191">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color w:val="auto"/>
          <w:kern w:val="0"/>
          <w:szCs w:val="21"/>
          <w:highlight w:val="none"/>
          <w:u w:val="single"/>
        </w:rPr>
        <w:t>合同签订后14天内</w:t>
      </w:r>
      <w:r>
        <w:rPr>
          <w:rFonts w:hint="eastAsia" w:ascii="宋体" w:hAnsi="宋体" w:eastAsia="宋体" w:cs="宋体"/>
          <w:color w:val="auto"/>
          <w:szCs w:val="21"/>
          <w:highlight w:val="none"/>
        </w:rPr>
        <w:t>。</w:t>
      </w:r>
    </w:p>
    <w:p w14:paraId="04A33A2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载明的开工时间3天前</w:t>
      </w:r>
      <w:r>
        <w:rPr>
          <w:rFonts w:hint="eastAsia" w:ascii="宋体" w:hAnsi="宋体" w:eastAsia="宋体" w:cs="宋体"/>
          <w:color w:val="auto"/>
          <w:szCs w:val="21"/>
          <w:highlight w:val="none"/>
        </w:rPr>
        <w:t>。</w:t>
      </w:r>
    </w:p>
    <w:p w14:paraId="3011913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color w:val="auto"/>
          <w:szCs w:val="21"/>
          <w:highlight w:val="none"/>
          <w:u w:val="single"/>
        </w:rPr>
        <w:t>承包人按相关要求和约定自行准备</w:t>
      </w:r>
      <w:r>
        <w:rPr>
          <w:rFonts w:hint="eastAsia" w:ascii="宋体" w:hAnsi="宋体" w:eastAsia="宋体" w:cs="宋体"/>
          <w:color w:val="auto"/>
          <w:szCs w:val="21"/>
          <w:highlight w:val="none"/>
        </w:rPr>
        <w:t>。</w:t>
      </w:r>
    </w:p>
    <w:p w14:paraId="07DE0FC9">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7.3.2开工通知</w:t>
      </w:r>
    </w:p>
    <w:p w14:paraId="0D977FB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因发包人原因造成监理人未能在计划开工日期之日起</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天内发出开工通知的，承包人有权提出价格调整要求，或者解除合同。</w:t>
      </w:r>
    </w:p>
    <w:p w14:paraId="6C6C2E39">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71" w:name="_Toc505785386"/>
      <w:bookmarkStart w:id="372" w:name="_Toc504119087"/>
      <w:bookmarkStart w:id="373" w:name="_Toc510377802"/>
      <w:bookmarkStart w:id="374" w:name="_Toc512164619"/>
      <w:r>
        <w:rPr>
          <w:rFonts w:hint="eastAsia" w:ascii="宋体" w:hAnsi="宋体" w:eastAsia="宋体" w:cs="宋体"/>
          <w:bCs/>
          <w:color w:val="auto"/>
          <w:szCs w:val="21"/>
          <w:highlight w:val="none"/>
          <w:lang w:val="zh-CN"/>
        </w:rPr>
        <w:t>7.4测量放线</w:t>
      </w:r>
      <w:bookmarkEnd w:id="371"/>
      <w:bookmarkEnd w:id="372"/>
      <w:bookmarkEnd w:id="373"/>
      <w:bookmarkEnd w:id="374"/>
    </w:p>
    <w:p w14:paraId="059B8005">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rPr>
        <w:t>合同签订后，开工前</w:t>
      </w:r>
      <w:r>
        <w:rPr>
          <w:rFonts w:hint="eastAsia" w:ascii="宋体" w:hAnsi="宋体" w:eastAsia="宋体" w:cs="宋体"/>
          <w:color w:val="auto"/>
          <w:szCs w:val="21"/>
          <w:highlight w:val="none"/>
        </w:rPr>
        <w:t>。</w:t>
      </w:r>
    </w:p>
    <w:p w14:paraId="798789EA">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75" w:name="_Toc505785387"/>
      <w:bookmarkStart w:id="376" w:name="_Toc512164620"/>
      <w:bookmarkStart w:id="377" w:name="_Toc510377803"/>
      <w:bookmarkStart w:id="378" w:name="_Toc504119088"/>
      <w:r>
        <w:rPr>
          <w:rFonts w:hint="eastAsia" w:ascii="宋体" w:hAnsi="宋体" w:eastAsia="宋体" w:cs="宋体"/>
          <w:bCs/>
          <w:color w:val="auto"/>
          <w:szCs w:val="21"/>
          <w:highlight w:val="none"/>
          <w:lang w:val="zh-CN"/>
        </w:rPr>
        <w:t>7.5工期延误</w:t>
      </w:r>
      <w:bookmarkEnd w:id="375"/>
      <w:bookmarkEnd w:id="376"/>
      <w:bookmarkEnd w:id="377"/>
      <w:bookmarkEnd w:id="378"/>
    </w:p>
    <w:p w14:paraId="2C3C4D1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7.5.1因发包人原因导致工期延误</w:t>
      </w:r>
    </w:p>
    <w:p w14:paraId="3B8FC15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⑺因发包人原因导致工期延误的其他情形：</w:t>
      </w:r>
      <w:r>
        <w:rPr>
          <w:rFonts w:hint="eastAsia" w:ascii="宋体" w:hAnsi="宋体" w:eastAsia="宋体" w:cs="宋体"/>
          <w:color w:val="auto"/>
          <w:szCs w:val="21"/>
          <w:highlight w:val="none"/>
          <w:u w:val="single"/>
        </w:rPr>
        <w:t>①发包人未按合同规定支付工程款并确实影响施工进度；②重大设计变更而影响施工进度；③政策处理问题影响施工进度；④不可抗力，此延误工期须在发生后七天内办理签证，逾期不予认可</w:t>
      </w:r>
      <w:r>
        <w:rPr>
          <w:rFonts w:hint="eastAsia" w:ascii="宋体" w:hAnsi="宋体" w:eastAsia="宋体" w:cs="宋体"/>
          <w:color w:val="auto"/>
          <w:szCs w:val="21"/>
          <w:highlight w:val="none"/>
        </w:rPr>
        <w:t>。</w:t>
      </w:r>
    </w:p>
    <w:p w14:paraId="5464CC6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7.5.2因承包人原因导致工期延误</w:t>
      </w:r>
    </w:p>
    <w:p w14:paraId="3D1648A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因承包人原因造成工期延误，逾期竣工违约金的计算方法为：</w:t>
      </w:r>
      <w:r>
        <w:rPr>
          <w:rFonts w:hint="eastAsia" w:ascii="宋体" w:hAnsi="宋体" w:eastAsia="宋体" w:cs="宋体"/>
          <w:color w:val="auto"/>
          <w:szCs w:val="21"/>
          <w:highlight w:val="none"/>
          <w:u w:val="single"/>
        </w:rPr>
        <w:t>每逾期一天按人民币1000元／天违约金</w:t>
      </w:r>
      <w:r>
        <w:rPr>
          <w:rFonts w:hint="eastAsia" w:ascii="宋体" w:hAnsi="宋体" w:eastAsia="宋体" w:cs="宋体"/>
          <w:color w:val="auto"/>
          <w:szCs w:val="21"/>
          <w:highlight w:val="none"/>
        </w:rPr>
        <w:t>。</w:t>
      </w:r>
    </w:p>
    <w:p w14:paraId="5F9A3D7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因承包人原因造成工期延误，逾期竣工违约金的上限：</w:t>
      </w:r>
      <w:r>
        <w:rPr>
          <w:rFonts w:hint="eastAsia" w:ascii="宋体" w:hAnsi="宋体" w:eastAsia="宋体" w:cs="宋体"/>
          <w:color w:val="auto"/>
          <w:szCs w:val="21"/>
          <w:highlight w:val="none"/>
          <w:u w:val="single"/>
        </w:rPr>
        <w:t>总额不超过合同价款的10％</w:t>
      </w:r>
      <w:r>
        <w:rPr>
          <w:rFonts w:hint="eastAsia" w:ascii="宋体" w:hAnsi="宋体" w:eastAsia="宋体" w:cs="宋体"/>
          <w:color w:val="auto"/>
          <w:szCs w:val="21"/>
          <w:highlight w:val="none"/>
        </w:rPr>
        <w:t>。</w:t>
      </w:r>
    </w:p>
    <w:p w14:paraId="291945A7">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79" w:name="_Toc510377804"/>
      <w:bookmarkStart w:id="380" w:name="_Toc505785388"/>
      <w:bookmarkStart w:id="381" w:name="_Toc504119089"/>
      <w:bookmarkStart w:id="382" w:name="_Toc512164621"/>
      <w:r>
        <w:rPr>
          <w:rFonts w:hint="eastAsia" w:ascii="宋体" w:hAnsi="宋体" w:eastAsia="宋体" w:cs="宋体"/>
          <w:bCs/>
          <w:color w:val="auto"/>
          <w:szCs w:val="21"/>
          <w:highlight w:val="none"/>
          <w:lang w:val="zh-CN"/>
        </w:rPr>
        <w:t>7.6不利物质条件</w:t>
      </w:r>
      <w:bookmarkEnd w:id="379"/>
      <w:bookmarkEnd w:id="380"/>
      <w:bookmarkEnd w:id="381"/>
      <w:bookmarkEnd w:id="382"/>
    </w:p>
    <w:p w14:paraId="6C2E38C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不利物质条件的其他情形和有关约定：</w:t>
      </w:r>
      <w:r>
        <w:rPr>
          <w:rFonts w:hint="eastAsia" w:ascii="宋体" w:hAnsi="宋体" w:eastAsia="宋体" w:cs="宋体"/>
          <w:color w:val="auto"/>
          <w:szCs w:val="21"/>
          <w:highlight w:val="none"/>
          <w:u w:val="single"/>
        </w:rPr>
        <w:t>①地质勘查过程中未发现的特殊岩层构造；②意外发现的地下管道、管线、文物；③异常的地下水位</w:t>
      </w:r>
      <w:r>
        <w:rPr>
          <w:rFonts w:hint="eastAsia" w:ascii="宋体" w:hAnsi="宋体" w:eastAsia="宋体" w:cs="宋体"/>
          <w:color w:val="auto"/>
          <w:szCs w:val="21"/>
          <w:highlight w:val="none"/>
        </w:rPr>
        <w:t>。</w:t>
      </w:r>
    </w:p>
    <w:p w14:paraId="2F391AA5">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83" w:name="_Toc504119090"/>
      <w:bookmarkStart w:id="384" w:name="_Toc505785389"/>
      <w:bookmarkStart w:id="385" w:name="_Toc512164622"/>
      <w:bookmarkStart w:id="386" w:name="_Toc510377805"/>
      <w:r>
        <w:rPr>
          <w:rFonts w:hint="eastAsia" w:ascii="宋体" w:hAnsi="宋体" w:eastAsia="宋体" w:cs="宋体"/>
          <w:bCs/>
          <w:color w:val="auto"/>
          <w:szCs w:val="21"/>
          <w:highlight w:val="none"/>
          <w:lang w:val="zh-CN"/>
        </w:rPr>
        <w:t>7.7异常恶劣的气候条件</w:t>
      </w:r>
      <w:bookmarkEnd w:id="383"/>
      <w:bookmarkEnd w:id="384"/>
      <w:bookmarkEnd w:id="385"/>
      <w:bookmarkEnd w:id="386"/>
    </w:p>
    <w:p w14:paraId="051AD2F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发包人和承包人同意以下情形视为异常恶劣的气候条件：</w:t>
      </w:r>
    </w:p>
    <w:p w14:paraId="2280487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w:t>
      </w:r>
      <w:r>
        <w:rPr>
          <w:rFonts w:hint="eastAsia" w:ascii="宋体" w:hAnsi="宋体" w:eastAsia="宋体" w:cs="宋体"/>
          <w:color w:val="auto"/>
          <w:szCs w:val="21"/>
          <w:highlight w:val="none"/>
          <w:u w:val="single"/>
        </w:rPr>
        <w:t xml:space="preserve"> 24小时内降雨量大于50mm的大暴雨</w:t>
      </w:r>
      <w:r>
        <w:rPr>
          <w:rFonts w:hint="eastAsia" w:ascii="宋体" w:hAnsi="宋体" w:eastAsia="宋体" w:cs="宋体"/>
          <w:color w:val="auto"/>
          <w:szCs w:val="21"/>
          <w:highlight w:val="none"/>
        </w:rPr>
        <w:t>；</w:t>
      </w:r>
    </w:p>
    <w:p w14:paraId="5A6BF89F">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w:t>
      </w:r>
      <w:r>
        <w:rPr>
          <w:rFonts w:hint="eastAsia" w:ascii="宋体" w:hAnsi="宋体" w:eastAsia="宋体" w:cs="宋体"/>
          <w:color w:val="auto"/>
          <w:szCs w:val="21"/>
          <w:highlight w:val="none"/>
          <w:u w:val="single"/>
        </w:rPr>
        <w:t>风速达到8级台风灾害</w:t>
      </w:r>
      <w:r>
        <w:rPr>
          <w:rFonts w:hint="eastAsia" w:ascii="宋体" w:hAnsi="宋体" w:eastAsia="宋体" w:cs="宋体"/>
          <w:color w:val="auto"/>
          <w:szCs w:val="21"/>
          <w:highlight w:val="none"/>
        </w:rPr>
        <w:t>；</w:t>
      </w:r>
    </w:p>
    <w:p w14:paraId="57B1386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w:t>
      </w:r>
      <w:r>
        <w:rPr>
          <w:rFonts w:hint="eastAsia" w:ascii="宋体" w:hAnsi="宋体" w:eastAsia="宋体" w:cs="宋体"/>
          <w:color w:val="auto"/>
          <w:szCs w:val="21"/>
          <w:highlight w:val="none"/>
          <w:u w:val="single"/>
        </w:rPr>
        <w:t>日气温超过38℃的高温大于5天</w:t>
      </w:r>
      <w:r>
        <w:rPr>
          <w:rFonts w:hint="eastAsia" w:ascii="宋体" w:hAnsi="宋体" w:eastAsia="宋体" w:cs="宋体"/>
          <w:color w:val="auto"/>
          <w:szCs w:val="21"/>
          <w:highlight w:val="none"/>
        </w:rPr>
        <w:t>；</w:t>
      </w:r>
    </w:p>
    <w:p w14:paraId="1F2F841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⑷</w:t>
      </w:r>
      <w:r>
        <w:rPr>
          <w:rFonts w:hint="eastAsia" w:ascii="宋体" w:hAnsi="宋体" w:eastAsia="宋体" w:cs="宋体"/>
          <w:color w:val="auto"/>
          <w:szCs w:val="21"/>
          <w:highlight w:val="none"/>
          <w:u w:val="single"/>
        </w:rPr>
        <w:t>日气温低于－20℃的严寒大于5天</w:t>
      </w:r>
      <w:r>
        <w:rPr>
          <w:rFonts w:hint="eastAsia" w:ascii="宋体" w:hAnsi="宋体" w:eastAsia="宋体" w:cs="宋体"/>
          <w:color w:val="auto"/>
          <w:szCs w:val="21"/>
          <w:highlight w:val="none"/>
        </w:rPr>
        <w:t>。</w:t>
      </w:r>
    </w:p>
    <w:p w14:paraId="774F6069">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87" w:name="_Toc504119091"/>
      <w:bookmarkStart w:id="388" w:name="_Toc512164623"/>
      <w:bookmarkStart w:id="389" w:name="_Toc510377806"/>
      <w:bookmarkStart w:id="390" w:name="_Toc505785390"/>
      <w:r>
        <w:rPr>
          <w:rFonts w:hint="eastAsia" w:ascii="宋体" w:hAnsi="宋体" w:eastAsia="宋体" w:cs="宋体"/>
          <w:bCs/>
          <w:color w:val="auto"/>
          <w:szCs w:val="21"/>
          <w:highlight w:val="none"/>
          <w:lang w:val="zh-CN"/>
        </w:rPr>
        <w:t>7.9提前竣工的奖励</w:t>
      </w:r>
      <w:bookmarkEnd w:id="387"/>
      <w:bookmarkEnd w:id="388"/>
      <w:bookmarkEnd w:id="389"/>
      <w:bookmarkEnd w:id="390"/>
    </w:p>
    <w:p w14:paraId="0ACF4599">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7.9.2提前竣工的奖励：</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5ACBD633">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91" w:name="_Toc510377807"/>
      <w:bookmarkStart w:id="392" w:name="_Toc505785391"/>
      <w:bookmarkStart w:id="393" w:name="_Toc512164624"/>
      <w:bookmarkStart w:id="394" w:name="_Toc504119092"/>
      <w:r>
        <w:rPr>
          <w:rFonts w:hint="eastAsia" w:ascii="宋体" w:hAnsi="宋体" w:eastAsia="宋体" w:cs="宋体"/>
          <w:bCs/>
          <w:color w:val="auto"/>
          <w:szCs w:val="21"/>
          <w:highlight w:val="none"/>
          <w:lang w:val="zh-CN"/>
        </w:rPr>
        <w:t>8.材料与设备</w:t>
      </w:r>
      <w:bookmarkEnd w:id="391"/>
      <w:bookmarkEnd w:id="392"/>
      <w:bookmarkEnd w:id="393"/>
      <w:bookmarkEnd w:id="394"/>
    </w:p>
    <w:p w14:paraId="289208B2">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95" w:name="_Toc441577935"/>
      <w:bookmarkStart w:id="396" w:name="_Toc512164625"/>
      <w:bookmarkStart w:id="397" w:name="_Toc445462551"/>
      <w:r>
        <w:rPr>
          <w:rFonts w:hint="eastAsia" w:ascii="宋体" w:hAnsi="宋体" w:eastAsia="宋体" w:cs="宋体"/>
          <w:bCs/>
          <w:color w:val="auto"/>
          <w:szCs w:val="21"/>
          <w:highlight w:val="none"/>
          <w:lang w:val="zh-CN"/>
        </w:rPr>
        <w:t>8.1发包人供应材料与工程设备</w:t>
      </w:r>
      <w:bookmarkEnd w:id="395"/>
      <w:r>
        <w:rPr>
          <w:rFonts w:hint="eastAsia" w:ascii="宋体" w:hAnsi="宋体" w:eastAsia="宋体" w:cs="宋体"/>
          <w:bCs/>
          <w:color w:val="auto"/>
          <w:szCs w:val="21"/>
          <w:highlight w:val="none"/>
          <w:lang w:val="zh-CN"/>
        </w:rPr>
        <w:t>：无</w:t>
      </w:r>
      <w:bookmarkEnd w:id="396"/>
      <w:bookmarkEnd w:id="397"/>
      <w:r>
        <w:rPr>
          <w:rFonts w:hint="eastAsia" w:ascii="宋体" w:hAnsi="宋体" w:eastAsia="宋体" w:cs="宋体"/>
          <w:bCs/>
          <w:color w:val="auto"/>
          <w:szCs w:val="21"/>
          <w:highlight w:val="none"/>
          <w:lang w:val="zh-CN"/>
        </w:rPr>
        <w:t>。</w:t>
      </w:r>
    </w:p>
    <w:p w14:paraId="6D4DC10C">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398" w:name="_Toc445462552"/>
      <w:bookmarkStart w:id="399" w:name="_Toc441577936"/>
      <w:bookmarkStart w:id="400" w:name="_Toc512164626"/>
      <w:r>
        <w:rPr>
          <w:rFonts w:hint="eastAsia" w:ascii="宋体" w:hAnsi="宋体" w:eastAsia="宋体" w:cs="宋体"/>
          <w:bCs/>
          <w:color w:val="auto"/>
          <w:szCs w:val="21"/>
          <w:highlight w:val="none"/>
          <w:lang w:val="zh-CN"/>
        </w:rPr>
        <w:t>8.2承包人采购材料与工程设备</w:t>
      </w:r>
      <w:bookmarkEnd w:id="398"/>
      <w:bookmarkEnd w:id="399"/>
      <w:bookmarkEnd w:id="400"/>
    </w:p>
    <w:p w14:paraId="3EDE0B22">
      <w:pPr>
        <w:autoSpaceDE w:val="0"/>
        <w:autoSpaceDN w:val="0"/>
        <w:adjustRightInd w:val="0"/>
        <w:spacing w:line="360" w:lineRule="auto"/>
        <w:ind w:firstLine="48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⑴本工程所使用的材料由承包人自行采购，所购材料必须符合设计规范，并经监理验收后方可使用。对材料和建材制品，承包人必须提供生产厂家相关产品的生产许可证、质量证书和产品材料清单，如需检测的还应提供相应的检测报告，并经发包人、监理人看样，书面认可后方可订货使用，以确保工程质量，杜绝不合格材料进场</w:t>
      </w:r>
      <w:r>
        <w:rPr>
          <w:rFonts w:hint="eastAsia" w:ascii="宋体" w:hAnsi="宋体" w:eastAsia="宋体" w:cs="宋体"/>
          <w:color w:val="auto"/>
          <w:kern w:val="0"/>
          <w:szCs w:val="21"/>
          <w:highlight w:val="none"/>
        </w:rPr>
        <w:t>。</w:t>
      </w:r>
    </w:p>
    <w:p w14:paraId="0AB75EF0">
      <w:pPr>
        <w:autoSpaceDE w:val="0"/>
        <w:autoSpaceDN w:val="0"/>
        <w:adjustRightInd w:val="0"/>
        <w:spacing w:line="360" w:lineRule="auto"/>
        <w:ind w:firstLine="48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⑵对设计和质量标准要求不符合的材料，发包人代表可拒绝验收，并由承包人按发包人代表要求的时间退出施工现场，重新采购符合要求的材料，承担由此产生的费用，工期不予顺延。</w:t>
      </w:r>
    </w:p>
    <w:p w14:paraId="59F974A8">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01" w:name="_Toc505785392"/>
      <w:bookmarkStart w:id="402" w:name="_Toc512164627"/>
      <w:bookmarkStart w:id="403" w:name="_Toc510377808"/>
      <w:bookmarkStart w:id="404" w:name="_Toc504119093"/>
      <w:r>
        <w:rPr>
          <w:rFonts w:hint="eastAsia" w:ascii="宋体" w:hAnsi="宋体" w:eastAsia="宋体" w:cs="宋体"/>
          <w:bCs/>
          <w:color w:val="auto"/>
          <w:szCs w:val="21"/>
          <w:highlight w:val="none"/>
          <w:lang w:val="zh-CN"/>
        </w:rPr>
        <w:t>8.4材料与工程设备的保管与使用</w:t>
      </w:r>
      <w:bookmarkEnd w:id="401"/>
      <w:bookmarkEnd w:id="402"/>
      <w:bookmarkEnd w:id="403"/>
      <w:bookmarkEnd w:id="404"/>
    </w:p>
    <w:p w14:paraId="654B2F4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8.4.1发包人供应的材料设备的保管费用的承担：</w:t>
      </w:r>
      <w:r>
        <w:rPr>
          <w:rFonts w:hint="eastAsia" w:ascii="宋体" w:hAnsi="宋体" w:eastAsia="宋体" w:cs="宋体"/>
          <w:color w:val="auto"/>
          <w:szCs w:val="21"/>
          <w:highlight w:val="none"/>
          <w:u w:val="single"/>
        </w:rPr>
        <w:t>材料设备移交给承包人后，由承包人承担</w:t>
      </w:r>
      <w:r>
        <w:rPr>
          <w:rFonts w:hint="eastAsia" w:ascii="宋体" w:hAnsi="宋体" w:eastAsia="宋体" w:cs="宋体"/>
          <w:color w:val="auto"/>
          <w:szCs w:val="21"/>
          <w:highlight w:val="none"/>
        </w:rPr>
        <w:t>。</w:t>
      </w:r>
    </w:p>
    <w:p w14:paraId="61951086">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05" w:name="_Toc505785393"/>
      <w:bookmarkStart w:id="406" w:name="_Toc504119094"/>
      <w:bookmarkStart w:id="407" w:name="_Toc510377809"/>
      <w:bookmarkStart w:id="408" w:name="_Toc512164628"/>
      <w:r>
        <w:rPr>
          <w:rFonts w:hint="eastAsia" w:ascii="宋体" w:hAnsi="宋体" w:eastAsia="宋体" w:cs="宋体"/>
          <w:bCs/>
          <w:color w:val="auto"/>
          <w:szCs w:val="21"/>
          <w:highlight w:val="none"/>
          <w:lang w:val="zh-CN"/>
        </w:rPr>
        <w:t>8.6样品</w:t>
      </w:r>
      <w:bookmarkEnd w:id="405"/>
      <w:bookmarkEnd w:id="406"/>
      <w:bookmarkEnd w:id="407"/>
      <w:bookmarkEnd w:id="408"/>
    </w:p>
    <w:p w14:paraId="645F0EC6">
      <w:pPr>
        <w:autoSpaceDE w:val="0"/>
        <w:autoSpaceDN w:val="0"/>
        <w:adjustRightInd w:val="0"/>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8.6.1样品的报送与封存</w:t>
      </w:r>
    </w:p>
    <w:p w14:paraId="2BC2988C">
      <w:pPr>
        <w:autoSpaceDE w:val="0"/>
        <w:autoSpaceDN w:val="0"/>
        <w:adjustRightIn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kern w:val="0"/>
          <w:szCs w:val="21"/>
          <w:highlight w:val="none"/>
          <w:u w:val="single"/>
        </w:rPr>
        <w:t>按施工规程、监理单位要求和发包人需求确定</w:t>
      </w:r>
      <w:r>
        <w:rPr>
          <w:rFonts w:hint="eastAsia" w:ascii="宋体" w:hAnsi="宋体" w:eastAsia="宋体" w:cs="宋体"/>
          <w:color w:val="auto"/>
          <w:szCs w:val="21"/>
          <w:highlight w:val="none"/>
        </w:rPr>
        <w:t>。</w:t>
      </w:r>
    </w:p>
    <w:p w14:paraId="0BFE52E4">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09" w:name="_Toc510377810"/>
      <w:bookmarkStart w:id="410" w:name="_Toc504119095"/>
      <w:bookmarkStart w:id="411" w:name="_Toc512164629"/>
      <w:bookmarkStart w:id="412" w:name="_Toc505785394"/>
      <w:r>
        <w:rPr>
          <w:rFonts w:hint="eastAsia" w:ascii="宋体" w:hAnsi="宋体" w:eastAsia="宋体" w:cs="宋体"/>
          <w:bCs/>
          <w:color w:val="auto"/>
          <w:szCs w:val="21"/>
          <w:highlight w:val="none"/>
          <w:lang w:val="zh-CN"/>
        </w:rPr>
        <w:t>8.8施工设备和临时设施</w:t>
      </w:r>
      <w:bookmarkEnd w:id="409"/>
      <w:bookmarkEnd w:id="410"/>
      <w:bookmarkEnd w:id="411"/>
      <w:bookmarkEnd w:id="412"/>
    </w:p>
    <w:p w14:paraId="405C4C4F">
      <w:pPr>
        <w:autoSpaceDE w:val="0"/>
        <w:autoSpaceDN w:val="0"/>
        <w:adjustRightIn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8.8.1承包人提供的施工设备和临时设施</w:t>
      </w:r>
    </w:p>
    <w:p w14:paraId="15C7FC34">
      <w:pPr>
        <w:autoSpaceDE w:val="0"/>
        <w:autoSpaceDN w:val="0"/>
        <w:adjustRightIn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关于修建临时设施费用承担的约定：</w:t>
      </w:r>
      <w:r>
        <w:rPr>
          <w:rFonts w:hint="eastAsia" w:ascii="宋体" w:hAnsi="宋体" w:eastAsia="宋体" w:cs="宋体"/>
          <w:color w:val="auto"/>
          <w:szCs w:val="21"/>
          <w:highlight w:val="none"/>
          <w:u w:val="single"/>
        </w:rPr>
        <w:t>由承包人承担</w:t>
      </w:r>
      <w:r>
        <w:rPr>
          <w:rFonts w:hint="eastAsia" w:ascii="宋体" w:hAnsi="宋体" w:eastAsia="宋体" w:cs="宋体"/>
          <w:color w:val="auto"/>
          <w:szCs w:val="21"/>
          <w:highlight w:val="none"/>
        </w:rPr>
        <w:t>。</w:t>
      </w:r>
    </w:p>
    <w:p w14:paraId="2C96B807">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13" w:name="_Toc510377811"/>
      <w:bookmarkStart w:id="414" w:name="_Toc504119096"/>
      <w:bookmarkStart w:id="415" w:name="_Toc512164630"/>
      <w:bookmarkStart w:id="416" w:name="_Toc505785395"/>
      <w:r>
        <w:rPr>
          <w:rFonts w:hint="eastAsia" w:ascii="宋体" w:hAnsi="宋体" w:eastAsia="宋体" w:cs="宋体"/>
          <w:bCs/>
          <w:color w:val="auto"/>
          <w:szCs w:val="21"/>
          <w:highlight w:val="none"/>
          <w:lang w:val="zh-CN"/>
        </w:rPr>
        <w:t>9.试验与检验</w:t>
      </w:r>
      <w:bookmarkEnd w:id="413"/>
      <w:bookmarkEnd w:id="414"/>
      <w:bookmarkEnd w:id="415"/>
      <w:bookmarkEnd w:id="416"/>
    </w:p>
    <w:p w14:paraId="6295F7CB">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17" w:name="_Toc510377812"/>
      <w:bookmarkStart w:id="418" w:name="_Toc512164631"/>
      <w:bookmarkStart w:id="419" w:name="_Toc504119097"/>
      <w:bookmarkStart w:id="420" w:name="_Toc505785396"/>
      <w:r>
        <w:rPr>
          <w:rFonts w:hint="eastAsia" w:ascii="宋体" w:hAnsi="宋体" w:eastAsia="宋体" w:cs="宋体"/>
          <w:bCs/>
          <w:color w:val="auto"/>
          <w:szCs w:val="21"/>
          <w:highlight w:val="none"/>
          <w:lang w:val="zh-CN"/>
        </w:rPr>
        <w:t>9.1试验设备与试验人员</w:t>
      </w:r>
      <w:bookmarkEnd w:id="417"/>
      <w:bookmarkEnd w:id="418"/>
      <w:bookmarkEnd w:id="419"/>
      <w:bookmarkEnd w:id="420"/>
    </w:p>
    <w:p w14:paraId="43DA799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9.1.2试验设备</w:t>
      </w:r>
    </w:p>
    <w:p w14:paraId="4C770F9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施工现场需要配置的试验场所：</w:t>
      </w:r>
      <w:r>
        <w:rPr>
          <w:rFonts w:hint="eastAsia" w:ascii="宋体" w:hAnsi="宋体" w:eastAsia="宋体" w:cs="宋体"/>
          <w:color w:val="auto"/>
          <w:szCs w:val="21"/>
          <w:highlight w:val="none"/>
          <w:u w:val="single"/>
        </w:rPr>
        <w:t>由承包人解决</w:t>
      </w:r>
      <w:r>
        <w:rPr>
          <w:rFonts w:hint="eastAsia" w:ascii="宋体" w:hAnsi="宋体" w:eastAsia="宋体" w:cs="宋体"/>
          <w:color w:val="auto"/>
          <w:szCs w:val="21"/>
          <w:highlight w:val="none"/>
        </w:rPr>
        <w:t>。</w:t>
      </w:r>
    </w:p>
    <w:p w14:paraId="08BC9F9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由承包人配置</w:t>
      </w:r>
      <w:r>
        <w:rPr>
          <w:rFonts w:hint="eastAsia" w:ascii="宋体" w:hAnsi="宋体" w:eastAsia="宋体" w:cs="宋体"/>
          <w:color w:val="auto"/>
          <w:szCs w:val="21"/>
          <w:highlight w:val="none"/>
        </w:rPr>
        <w:t>。</w:t>
      </w:r>
    </w:p>
    <w:p w14:paraId="12D2ECA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由承包人完善</w:t>
      </w:r>
      <w:r>
        <w:rPr>
          <w:rFonts w:hint="eastAsia" w:ascii="宋体" w:hAnsi="宋体" w:eastAsia="宋体" w:cs="宋体"/>
          <w:color w:val="auto"/>
          <w:szCs w:val="21"/>
          <w:highlight w:val="none"/>
        </w:rPr>
        <w:t>。</w:t>
      </w:r>
    </w:p>
    <w:p w14:paraId="0404570F">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21" w:name="_Toc510377813"/>
      <w:bookmarkStart w:id="422" w:name="_Toc512164632"/>
      <w:bookmarkStart w:id="423" w:name="_Toc505785397"/>
      <w:bookmarkStart w:id="424" w:name="_Toc504119098"/>
      <w:r>
        <w:rPr>
          <w:rFonts w:hint="eastAsia" w:ascii="宋体" w:hAnsi="宋体" w:eastAsia="宋体" w:cs="宋体"/>
          <w:bCs/>
          <w:color w:val="auto"/>
          <w:szCs w:val="21"/>
          <w:highlight w:val="none"/>
          <w:lang w:val="zh-CN"/>
        </w:rPr>
        <w:t>9.4现场工艺试验</w:t>
      </w:r>
      <w:bookmarkEnd w:id="421"/>
      <w:bookmarkEnd w:id="422"/>
      <w:bookmarkEnd w:id="423"/>
      <w:bookmarkEnd w:id="424"/>
    </w:p>
    <w:p w14:paraId="5E89915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现场工艺试验的有关约定：</w:t>
      </w:r>
      <w:r>
        <w:rPr>
          <w:rFonts w:hint="eastAsia" w:ascii="宋体" w:hAnsi="宋体" w:eastAsia="宋体" w:cs="宋体"/>
          <w:color w:val="auto"/>
          <w:szCs w:val="21"/>
          <w:highlight w:val="none"/>
          <w:u w:val="single"/>
        </w:rPr>
        <w:t>特殊的、大型的现场工艺试验（如：桩基础承载力的试验等），应编制专项工艺试验措施、计划，报监理人审查，并经发包人确认，试验费用由发包人承担</w:t>
      </w:r>
      <w:r>
        <w:rPr>
          <w:rFonts w:hint="eastAsia" w:ascii="宋体" w:hAnsi="宋体" w:eastAsia="宋体" w:cs="宋体"/>
          <w:color w:val="auto"/>
          <w:szCs w:val="21"/>
          <w:highlight w:val="none"/>
        </w:rPr>
        <w:t>。</w:t>
      </w:r>
    </w:p>
    <w:p w14:paraId="250AF78C">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25" w:name="_Toc512164633"/>
      <w:bookmarkStart w:id="426" w:name="_Toc504119099"/>
      <w:bookmarkStart w:id="427" w:name="_Toc505785398"/>
      <w:bookmarkStart w:id="428" w:name="_Toc510377814"/>
      <w:r>
        <w:rPr>
          <w:rFonts w:hint="eastAsia" w:ascii="宋体" w:hAnsi="宋体" w:eastAsia="宋体" w:cs="宋体"/>
          <w:bCs/>
          <w:color w:val="auto"/>
          <w:szCs w:val="21"/>
          <w:highlight w:val="none"/>
          <w:lang w:val="zh-CN"/>
        </w:rPr>
        <w:t>10.变更</w:t>
      </w:r>
      <w:bookmarkEnd w:id="425"/>
      <w:bookmarkEnd w:id="426"/>
      <w:bookmarkEnd w:id="427"/>
      <w:bookmarkEnd w:id="428"/>
    </w:p>
    <w:p w14:paraId="1A6D9C93">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29" w:name="_Toc505785399"/>
      <w:bookmarkStart w:id="430" w:name="_Toc504119100"/>
      <w:bookmarkStart w:id="431" w:name="_Toc510377815"/>
      <w:bookmarkStart w:id="432" w:name="_Toc512164634"/>
      <w:r>
        <w:rPr>
          <w:rFonts w:hint="eastAsia" w:ascii="宋体" w:hAnsi="宋体" w:eastAsia="宋体" w:cs="宋体"/>
          <w:bCs/>
          <w:color w:val="auto"/>
          <w:szCs w:val="21"/>
          <w:highlight w:val="none"/>
          <w:lang w:val="zh-CN"/>
        </w:rPr>
        <w:t>10.1变更的范围</w:t>
      </w:r>
      <w:bookmarkEnd w:id="429"/>
      <w:bookmarkEnd w:id="430"/>
      <w:bookmarkEnd w:id="431"/>
      <w:bookmarkEnd w:id="432"/>
    </w:p>
    <w:p w14:paraId="1434778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关于变更的范围的约定：</w:t>
      </w:r>
      <w:r>
        <w:rPr>
          <w:rFonts w:hint="eastAsia" w:ascii="宋体" w:hAnsi="宋体" w:eastAsia="宋体" w:cs="宋体"/>
          <w:color w:val="auto"/>
          <w:szCs w:val="21"/>
          <w:highlight w:val="none"/>
          <w:u w:val="single"/>
        </w:rPr>
        <w:t>设计变更项目以设计单位出具并经发包人、监理人确认的设计变更通知书为准。其它变更项目以发包人、承包人、监理人现场共同签证为准。其余按通用条款10.1条执行</w:t>
      </w:r>
      <w:r>
        <w:rPr>
          <w:rFonts w:hint="eastAsia" w:ascii="宋体" w:hAnsi="宋体" w:eastAsia="宋体" w:cs="宋体"/>
          <w:color w:val="auto"/>
          <w:szCs w:val="21"/>
          <w:highlight w:val="none"/>
        </w:rPr>
        <w:t>。</w:t>
      </w:r>
    </w:p>
    <w:p w14:paraId="163F99BD">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33" w:name="_Toc505785400"/>
      <w:bookmarkStart w:id="434" w:name="_Toc504119101"/>
      <w:bookmarkStart w:id="435" w:name="_Toc512164635"/>
      <w:bookmarkStart w:id="436" w:name="_Toc510377816"/>
      <w:r>
        <w:rPr>
          <w:rFonts w:hint="eastAsia" w:ascii="宋体" w:hAnsi="宋体" w:eastAsia="宋体" w:cs="宋体"/>
          <w:bCs/>
          <w:color w:val="auto"/>
          <w:szCs w:val="21"/>
          <w:highlight w:val="none"/>
          <w:lang w:val="zh-CN"/>
        </w:rPr>
        <w:t>10.4变更估价</w:t>
      </w:r>
      <w:bookmarkEnd w:id="433"/>
      <w:bookmarkEnd w:id="434"/>
      <w:bookmarkEnd w:id="435"/>
      <w:bookmarkEnd w:id="436"/>
    </w:p>
    <w:p w14:paraId="6A0BE51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10.4.1变更估价原则</w:t>
      </w:r>
    </w:p>
    <w:p w14:paraId="3102958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关于变更估价的约定：</w:t>
      </w:r>
    </w:p>
    <w:p w14:paraId="6C7B4417">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u w:val="single"/>
        </w:rPr>
        <w:t>合同中有相同或类似工程项目单价的，可以参照合同中相同或类似项目的综合单价计算确定</w:t>
      </w:r>
      <w:r>
        <w:rPr>
          <w:rFonts w:hint="eastAsia" w:ascii="宋体" w:hAnsi="宋体" w:eastAsia="宋体" w:cs="宋体"/>
          <w:color w:val="auto"/>
          <w:szCs w:val="21"/>
          <w:highlight w:val="none"/>
        </w:rPr>
        <w:t>。</w:t>
      </w:r>
    </w:p>
    <w:p w14:paraId="1F8E950F">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u w:val="single"/>
        </w:rPr>
        <w:t>合同中没有类似工程项目综合单价的，由承包人根据合同中约定的组价原则或参考“计价依据”提出适当的单价，经发包人或其委托的工程造价咨询单位审定后，作为结算的依据</w:t>
      </w:r>
      <w:r>
        <w:rPr>
          <w:rFonts w:hint="eastAsia" w:ascii="宋体" w:hAnsi="宋体" w:eastAsia="宋体" w:cs="宋体"/>
          <w:color w:val="auto"/>
          <w:szCs w:val="21"/>
          <w:highlight w:val="none"/>
        </w:rPr>
        <w:t>。</w:t>
      </w:r>
    </w:p>
    <w:p w14:paraId="50114F53">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u w:val="single"/>
        </w:rPr>
        <w:t>变更导致实际完成的变更工程量与标价工程量清单的变化幅度超过 10％的</w:t>
      </w:r>
      <w:r>
        <w:rPr>
          <w:rFonts w:hint="eastAsia" w:ascii="宋体" w:hAnsi="宋体" w:eastAsia="宋体" w:cs="宋体"/>
          <w:color w:val="auto"/>
          <w:szCs w:val="21"/>
          <w:highlight w:val="none"/>
        </w:rPr>
        <w:t>。</w:t>
      </w:r>
    </w:p>
    <w:p w14:paraId="46F8954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w:t>
      </w:r>
      <w:r>
        <w:rPr>
          <w:rFonts w:hint="eastAsia" w:ascii="宋体" w:hAnsi="宋体" w:eastAsia="宋体" w:cs="宋体"/>
          <w:color w:val="auto"/>
          <w:szCs w:val="21"/>
          <w:highlight w:val="none"/>
          <w:u w:val="single"/>
        </w:rPr>
        <w:t>以上重新组价的综合单价不能高于按云南省和红河州现行工程造价计价规则和计价依据规定计算的价格，并按中标价与招标控制价间的下浮幅度下浮相同比例</w:t>
      </w:r>
      <w:r>
        <w:rPr>
          <w:rFonts w:hint="eastAsia" w:ascii="宋体" w:hAnsi="宋体" w:eastAsia="宋体" w:cs="宋体"/>
          <w:color w:val="auto"/>
          <w:szCs w:val="21"/>
          <w:highlight w:val="none"/>
        </w:rPr>
        <w:t>。</w:t>
      </w:r>
    </w:p>
    <w:p w14:paraId="5938D15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w:t>
      </w:r>
      <w:r>
        <w:rPr>
          <w:rFonts w:hint="eastAsia" w:ascii="宋体" w:hAnsi="宋体" w:eastAsia="宋体" w:cs="宋体"/>
          <w:color w:val="auto"/>
          <w:szCs w:val="21"/>
          <w:highlight w:val="none"/>
          <w:u w:val="single"/>
        </w:rPr>
        <w:t>由于变更引起措施项目费的调整原则按照工程量计价规范的9.3.2条计算确定</w:t>
      </w:r>
      <w:r>
        <w:rPr>
          <w:rFonts w:hint="eastAsia" w:ascii="宋体" w:hAnsi="宋体" w:eastAsia="宋体" w:cs="宋体"/>
          <w:color w:val="auto"/>
          <w:szCs w:val="21"/>
          <w:highlight w:val="none"/>
        </w:rPr>
        <w:t>。</w:t>
      </w:r>
    </w:p>
    <w:p w14:paraId="24B5140E">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37" w:name="_Toc504119102"/>
      <w:bookmarkStart w:id="438" w:name="_Toc510377817"/>
      <w:bookmarkStart w:id="439" w:name="_Toc505785401"/>
      <w:bookmarkStart w:id="440" w:name="_Toc512164636"/>
      <w:r>
        <w:rPr>
          <w:rFonts w:hint="eastAsia" w:ascii="宋体" w:hAnsi="宋体" w:eastAsia="宋体" w:cs="宋体"/>
          <w:bCs/>
          <w:color w:val="auto"/>
          <w:szCs w:val="21"/>
          <w:highlight w:val="none"/>
          <w:lang w:val="zh-CN"/>
        </w:rPr>
        <w:t>10.5承包人的合理化建议</w:t>
      </w:r>
      <w:bookmarkEnd w:id="437"/>
      <w:bookmarkEnd w:id="438"/>
      <w:bookmarkEnd w:id="439"/>
      <w:bookmarkEnd w:id="440"/>
    </w:p>
    <w:p w14:paraId="10107139">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监理人审查承包人合理化建议的期限：</w:t>
      </w:r>
      <w:r>
        <w:rPr>
          <w:rFonts w:hint="eastAsia" w:ascii="宋体" w:hAnsi="宋体" w:eastAsia="宋体" w:cs="宋体"/>
          <w:color w:val="auto"/>
          <w:szCs w:val="21"/>
          <w:highlight w:val="none"/>
          <w:u w:val="single"/>
        </w:rPr>
        <w:t>收到合理化建议书7天内</w:t>
      </w:r>
      <w:r>
        <w:rPr>
          <w:rFonts w:hint="eastAsia" w:ascii="宋体" w:hAnsi="宋体" w:eastAsia="宋体" w:cs="宋体"/>
          <w:color w:val="auto"/>
          <w:szCs w:val="21"/>
          <w:highlight w:val="none"/>
        </w:rPr>
        <w:t>。</w:t>
      </w:r>
    </w:p>
    <w:p w14:paraId="3EEA962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color w:val="auto"/>
          <w:szCs w:val="21"/>
          <w:highlight w:val="none"/>
          <w:u w:val="single"/>
        </w:rPr>
        <w:t>收到合理化建议书7天内</w:t>
      </w:r>
      <w:r>
        <w:rPr>
          <w:rFonts w:hint="eastAsia" w:ascii="宋体" w:hAnsi="宋体" w:eastAsia="宋体" w:cs="宋体"/>
          <w:color w:val="auto"/>
          <w:szCs w:val="21"/>
          <w:highlight w:val="none"/>
        </w:rPr>
        <w:t>。</w:t>
      </w:r>
    </w:p>
    <w:p w14:paraId="743B78D3">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承包人提出的合理化建议降低了合同价格或者提高了工程经济效益的奖励的方法和金额为：</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5973CA8D">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41" w:name="_Toc512164637"/>
      <w:bookmarkStart w:id="442" w:name="_Toc504119103"/>
      <w:bookmarkStart w:id="443" w:name="_Toc505785402"/>
      <w:bookmarkStart w:id="444" w:name="_Toc510377818"/>
      <w:r>
        <w:rPr>
          <w:rFonts w:hint="eastAsia" w:ascii="宋体" w:hAnsi="宋体" w:eastAsia="宋体" w:cs="宋体"/>
          <w:bCs/>
          <w:color w:val="auto"/>
          <w:szCs w:val="21"/>
          <w:highlight w:val="none"/>
          <w:lang w:val="zh-CN"/>
        </w:rPr>
        <w:t>10.7暂估价</w:t>
      </w:r>
      <w:bookmarkEnd w:id="441"/>
      <w:bookmarkEnd w:id="442"/>
      <w:bookmarkEnd w:id="443"/>
      <w:bookmarkEnd w:id="444"/>
    </w:p>
    <w:p w14:paraId="2DCB023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暂估价材料和工程设备的明细详见附件11：《</w:t>
      </w:r>
      <w:r>
        <w:rPr>
          <w:rFonts w:hint="eastAsia" w:ascii="宋体" w:hAnsi="宋体" w:eastAsia="宋体" w:cs="宋体"/>
          <w:color w:val="auto"/>
          <w:szCs w:val="21"/>
          <w:highlight w:val="none"/>
        </w:rPr>
        <w:t>暂估价一览表》</w:t>
      </w:r>
      <w:r>
        <w:rPr>
          <w:rFonts w:hint="eastAsia" w:ascii="宋体" w:hAnsi="宋体" w:eastAsia="宋体" w:cs="宋体"/>
          <w:color w:val="auto"/>
          <w:kern w:val="0"/>
          <w:szCs w:val="21"/>
          <w:highlight w:val="none"/>
        </w:rPr>
        <w:t>。</w:t>
      </w:r>
    </w:p>
    <w:p w14:paraId="4A07D109">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10.7.1依法必须招标的暂估价项目</w:t>
      </w:r>
    </w:p>
    <w:p w14:paraId="3ABE0AE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对于依法必须招标的暂估价项目的确认和批准采取第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种方式确定。</w:t>
      </w:r>
    </w:p>
    <w:p w14:paraId="0A90145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10.7.2不属于依法必须招标的暂估价项目</w:t>
      </w:r>
    </w:p>
    <w:p w14:paraId="5B7C1FE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对于不属于依法必须招标的暂估价项目的确认和批准采取第</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种方式确定。</w:t>
      </w:r>
    </w:p>
    <w:p w14:paraId="651527BD">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第3种方式：</w:t>
      </w:r>
      <w:r>
        <w:rPr>
          <w:rFonts w:hint="eastAsia" w:ascii="宋体" w:hAnsi="宋体" w:eastAsia="宋体" w:cs="宋体"/>
          <w:color w:val="auto"/>
          <w:kern w:val="0"/>
          <w:szCs w:val="21"/>
          <w:highlight w:val="none"/>
        </w:rPr>
        <w:t>承包人直接实施的暂估价项目</w:t>
      </w:r>
    </w:p>
    <w:p w14:paraId="3105EBD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承包人直接实施的暂估价项目的约定：</w:t>
      </w:r>
      <w:r>
        <w:rPr>
          <w:rFonts w:hint="eastAsia" w:ascii="宋体" w:hAnsi="宋体" w:eastAsia="宋体" w:cs="宋体"/>
          <w:color w:val="auto"/>
          <w:szCs w:val="21"/>
          <w:highlight w:val="none"/>
          <w:u w:val="single"/>
        </w:rPr>
        <w:t>材料设备暂估价需经发包方、承包方、监理人、造价咨询人四方确认材质、品牌、价格后承包方方能实施</w:t>
      </w:r>
      <w:r>
        <w:rPr>
          <w:rFonts w:hint="eastAsia" w:ascii="宋体" w:hAnsi="宋体" w:eastAsia="宋体" w:cs="宋体"/>
          <w:color w:val="auto"/>
          <w:szCs w:val="21"/>
          <w:highlight w:val="none"/>
        </w:rPr>
        <w:t>。</w:t>
      </w:r>
    </w:p>
    <w:p w14:paraId="2F128712">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45" w:name="_Toc504119104"/>
      <w:bookmarkStart w:id="446" w:name="_Toc510377819"/>
      <w:bookmarkStart w:id="447" w:name="_Toc512164638"/>
      <w:bookmarkStart w:id="448" w:name="_Toc505785403"/>
      <w:r>
        <w:rPr>
          <w:rFonts w:hint="eastAsia" w:ascii="宋体" w:hAnsi="宋体" w:eastAsia="宋体" w:cs="宋体"/>
          <w:bCs/>
          <w:color w:val="auto"/>
          <w:szCs w:val="21"/>
          <w:highlight w:val="none"/>
          <w:lang w:val="zh-CN"/>
        </w:rPr>
        <w:t>10.8暂列金额</w:t>
      </w:r>
      <w:bookmarkEnd w:id="445"/>
      <w:bookmarkEnd w:id="446"/>
      <w:bookmarkEnd w:id="447"/>
      <w:bookmarkEnd w:id="448"/>
    </w:p>
    <w:p w14:paraId="0EABFA84">
      <w:pPr>
        <w:autoSpaceDE w:val="0"/>
        <w:autoSpaceDN w:val="0"/>
        <w:adjustRightInd w:val="0"/>
        <w:spacing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合同当事人关于暂列金额使用的约定：</w:t>
      </w:r>
      <w:r>
        <w:rPr>
          <w:rFonts w:hint="eastAsia" w:ascii="宋体" w:hAnsi="宋体" w:eastAsia="宋体" w:cs="宋体"/>
          <w:color w:val="auto"/>
          <w:szCs w:val="21"/>
          <w:highlight w:val="none"/>
          <w:u w:val="single"/>
        </w:rPr>
        <w:t>暂列金额按照发包人的要求使用，发包人的要求通过监理人向承包人发出</w:t>
      </w:r>
      <w:r>
        <w:rPr>
          <w:rFonts w:hint="eastAsia" w:ascii="宋体" w:hAnsi="宋体" w:eastAsia="宋体" w:cs="宋体"/>
          <w:color w:val="auto"/>
          <w:kern w:val="0"/>
          <w:szCs w:val="21"/>
          <w:highlight w:val="none"/>
        </w:rPr>
        <w:t>。</w:t>
      </w:r>
    </w:p>
    <w:p w14:paraId="06C53C8E">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49" w:name="_Toc512164639"/>
      <w:bookmarkStart w:id="450" w:name="_Toc504119105"/>
      <w:bookmarkStart w:id="451" w:name="_Toc505785404"/>
      <w:bookmarkStart w:id="452" w:name="_Toc510377820"/>
      <w:r>
        <w:rPr>
          <w:rFonts w:hint="eastAsia" w:ascii="宋体" w:hAnsi="宋体" w:eastAsia="宋体" w:cs="宋体"/>
          <w:bCs/>
          <w:color w:val="auto"/>
          <w:szCs w:val="21"/>
          <w:highlight w:val="none"/>
          <w:lang w:val="zh-CN"/>
        </w:rPr>
        <w:t>11.价格调整</w:t>
      </w:r>
      <w:bookmarkEnd w:id="449"/>
      <w:bookmarkEnd w:id="450"/>
      <w:bookmarkEnd w:id="451"/>
      <w:bookmarkEnd w:id="452"/>
    </w:p>
    <w:p w14:paraId="24015B40">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53" w:name="_Toc504119106"/>
      <w:bookmarkStart w:id="454" w:name="_Toc512164640"/>
      <w:bookmarkStart w:id="455" w:name="_Toc510377821"/>
      <w:bookmarkStart w:id="456" w:name="_Toc505785405"/>
      <w:r>
        <w:rPr>
          <w:rFonts w:hint="eastAsia" w:ascii="宋体" w:hAnsi="宋体" w:eastAsia="宋体" w:cs="宋体"/>
          <w:bCs/>
          <w:color w:val="auto"/>
          <w:szCs w:val="21"/>
          <w:highlight w:val="none"/>
          <w:lang w:val="zh-CN"/>
        </w:rPr>
        <w:t>11.1市场价格波动引起的调整</w:t>
      </w:r>
      <w:bookmarkEnd w:id="453"/>
      <w:bookmarkEnd w:id="454"/>
      <w:bookmarkEnd w:id="455"/>
      <w:bookmarkEnd w:id="456"/>
    </w:p>
    <w:p w14:paraId="1BC5167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eastAsia="宋体" w:cs="宋体"/>
          <w:color w:val="auto"/>
          <w:szCs w:val="21"/>
          <w:highlight w:val="none"/>
          <w:u w:val="single"/>
        </w:rPr>
        <w:t>只调整《承包人提供主要材料和工程设备一览表》中约定的材料，其他材料价格均不予调整</w:t>
      </w:r>
      <w:r>
        <w:rPr>
          <w:rFonts w:hint="eastAsia" w:ascii="宋体" w:hAnsi="宋体" w:eastAsia="宋体" w:cs="宋体"/>
          <w:color w:val="auto"/>
          <w:szCs w:val="21"/>
          <w:highlight w:val="none"/>
        </w:rPr>
        <w:t>。</w:t>
      </w:r>
    </w:p>
    <w:p w14:paraId="275B1E8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因市场价格波动调整合同价格，采用</w:t>
      </w:r>
      <w:r>
        <w:rPr>
          <w:rFonts w:hint="eastAsia" w:ascii="宋体" w:hAnsi="宋体" w:eastAsia="宋体" w:cs="宋体"/>
          <w:color w:val="auto"/>
          <w:szCs w:val="21"/>
          <w:highlight w:val="none"/>
          <w:lang w:eastAsia="zh-CN"/>
        </w:rPr>
        <w:t>以下几种</w:t>
      </w:r>
      <w:r>
        <w:rPr>
          <w:rFonts w:hint="eastAsia" w:ascii="宋体" w:hAnsi="宋体" w:eastAsia="宋体" w:cs="宋体"/>
          <w:color w:val="auto"/>
          <w:szCs w:val="21"/>
          <w:highlight w:val="none"/>
        </w:rPr>
        <w:t>方式对合同价格进行调整：</w:t>
      </w:r>
    </w:p>
    <w:p w14:paraId="43385C85">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第1种方式：采用价格指数进行价格调整。</w:t>
      </w:r>
    </w:p>
    <w:p w14:paraId="0FF44AA8">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关于各可调因子、定值和变值权重，以及基本价格指数及其来源的约定：</w:t>
      </w:r>
    </w:p>
    <w:p w14:paraId="7666449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第2种方式：采用造价信息进行价格调整。</w:t>
      </w:r>
    </w:p>
    <w:p w14:paraId="3DFD8BE5">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⑵关于基准价格的约定：</w:t>
      </w:r>
      <w:r>
        <w:rPr>
          <w:rFonts w:hint="eastAsia" w:ascii="宋体" w:hAnsi="宋体" w:eastAsia="宋体" w:cs="宋体"/>
          <w:color w:val="auto"/>
          <w:szCs w:val="21"/>
          <w:highlight w:val="none"/>
          <w:u w:val="single"/>
        </w:rPr>
        <w:t>人工费按照云南省建设行政管理部门发布的人工费信息价作为基准价（但已标价的投标报价人工费及人工单价高于发布价格的不予调整）；主要建筑材料价格以工程所在地造价管理部门发布的材料指导价格为基准；即《红河州建设工程材料、设备价格信息》、《红河州造价信息网》公布的材料设备价格</w:t>
      </w:r>
      <w:r>
        <w:rPr>
          <w:rFonts w:hint="eastAsia" w:ascii="宋体" w:hAnsi="宋体" w:eastAsia="宋体" w:cs="宋体"/>
          <w:color w:val="auto"/>
          <w:szCs w:val="21"/>
          <w:highlight w:val="none"/>
        </w:rPr>
        <w:t>。</w:t>
      </w:r>
    </w:p>
    <w:p w14:paraId="129B98B1">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专用合同条款</w:t>
      </w:r>
      <w:r>
        <w:rPr>
          <w:rFonts w:hint="eastAsia" w:ascii="宋体" w:hAnsi="宋体" w:eastAsia="宋体" w:cs="宋体"/>
          <w:color w:val="auto"/>
          <w:szCs w:val="21"/>
          <w:highlight w:val="none"/>
          <w:u w:val="single"/>
        </w:rPr>
        <w:t>①承包人在已标价工程量清单或预算书中载明的材料单价低于基准价格的：专用合同条款合同履行期间材料单价涨幅以基准价格为基础超过10％时，或材料单价跌幅以已标价工程量清单或预算书中载明材料单价为基础超过10％时，其超过部分据实调整</w:t>
      </w:r>
      <w:r>
        <w:rPr>
          <w:rFonts w:hint="eastAsia" w:ascii="宋体" w:hAnsi="宋体" w:eastAsia="宋体" w:cs="宋体"/>
          <w:color w:val="auto"/>
          <w:szCs w:val="21"/>
          <w:highlight w:val="none"/>
        </w:rPr>
        <w:t>。</w:t>
      </w:r>
    </w:p>
    <w:p w14:paraId="6F46F91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②承包人在已标价工程量清单或预算书中载明的材料单价高于基准价格的：专用合同条款合同履行期间材料单价跌幅以基准价格为基础超过10％时，材料单价涨幅以已标价工程量清单或预算书中载明材料单价为基础超过10％时，其超过部分据实调整</w:t>
      </w:r>
      <w:r>
        <w:rPr>
          <w:rFonts w:hint="eastAsia" w:ascii="宋体" w:hAnsi="宋体" w:eastAsia="宋体" w:cs="宋体"/>
          <w:color w:val="auto"/>
          <w:szCs w:val="21"/>
          <w:highlight w:val="none"/>
        </w:rPr>
        <w:t>。</w:t>
      </w:r>
    </w:p>
    <w:p w14:paraId="3CDA8EF6">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③承包人在已标价工程量清单或预算书中载明的材料单价等于基准单价的：专用合同条款合同履行期间材料单价涨跌幅以基准单价为基础超过±10％时，其超过部分据实调整。</w:t>
      </w:r>
    </w:p>
    <w:p w14:paraId="01AACAF2">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第3种方式：其他价格调整方式：</w:t>
      </w:r>
    </w:p>
    <w:p w14:paraId="4B16C0FC">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主要材料的价格变动与投标时材料设备的基准单价相比较，基准价范围以内的主要材料（含设备）单价发生上涨或下降的情况，其幅度在±10％以内（含10％）的，其价差由承包人承担或受益；超过±10％的据实调整</w:t>
      </w:r>
      <w:r>
        <w:rPr>
          <w:rFonts w:hint="eastAsia" w:ascii="宋体" w:hAnsi="宋体" w:eastAsia="宋体" w:cs="宋体"/>
          <w:color w:val="auto"/>
          <w:szCs w:val="21"/>
          <w:highlight w:val="none"/>
        </w:rPr>
        <w:t>。</w:t>
      </w:r>
    </w:p>
    <w:p w14:paraId="7FA19E02">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主要建筑材料价格超出调整幅度时价差的取定：应以工程所在地造价管理部门发布的材料指导价格为基准，《红河州建设工程材料、设备价格信息》、《红河州造价信息网》公布的材料设备价格；以上价格信息中没有的材料，由发包人，监理单位、造价咨询单位、承包人四方进行询价确定，差价为施工期间同类材料加权平均指导价格与合同工程基准期（招标工程为递交投标文件截止日期前28天）当期的材料指导价格的差额</w:t>
      </w:r>
      <w:r>
        <w:rPr>
          <w:rFonts w:hint="eastAsia" w:ascii="宋体" w:hAnsi="宋体" w:eastAsia="宋体" w:cs="宋体"/>
          <w:color w:val="auto"/>
          <w:szCs w:val="21"/>
          <w:highlight w:val="none"/>
        </w:rPr>
        <w:t>。</w:t>
      </w:r>
    </w:p>
    <w:p w14:paraId="4399509E">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施工期材料加权平均指导价按下列公式计算：施工期材料加权平均指导价＝∑（每月形象进度消耗量×当期材料指导价）／同类材料总用量</w:t>
      </w:r>
      <w:r>
        <w:rPr>
          <w:rFonts w:hint="eastAsia" w:ascii="宋体" w:hAnsi="宋体" w:eastAsia="宋体" w:cs="宋体"/>
          <w:color w:val="auto"/>
          <w:szCs w:val="21"/>
          <w:highlight w:val="none"/>
        </w:rPr>
        <w:t>。</w:t>
      </w:r>
    </w:p>
    <w:p w14:paraId="3E0DD7D7">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u w:val="single"/>
        </w:rPr>
        <w:t>因发包人原因造成工期延误的，延误期间发生的材料价格上涨差额由发包人承担；因承包人原因造成工期延误的，延误期间发生的材料价格上涨差额由承包人承担</w:t>
      </w:r>
      <w:r>
        <w:rPr>
          <w:rFonts w:hint="eastAsia" w:ascii="宋体" w:hAnsi="宋体" w:eastAsia="宋体" w:cs="宋体"/>
          <w:color w:val="auto"/>
          <w:szCs w:val="21"/>
          <w:highlight w:val="none"/>
        </w:rPr>
        <w:t>。</w:t>
      </w:r>
    </w:p>
    <w:p w14:paraId="4CE0BD37">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57" w:name="_Toc505785406"/>
      <w:bookmarkStart w:id="458" w:name="_Toc510377822"/>
      <w:bookmarkStart w:id="459" w:name="_Toc504119107"/>
      <w:bookmarkStart w:id="460" w:name="_Toc512164641"/>
      <w:r>
        <w:rPr>
          <w:rFonts w:hint="eastAsia" w:ascii="宋体" w:hAnsi="宋体" w:eastAsia="宋体" w:cs="宋体"/>
          <w:bCs/>
          <w:color w:val="auto"/>
          <w:szCs w:val="21"/>
          <w:highlight w:val="none"/>
          <w:lang w:val="zh-CN"/>
        </w:rPr>
        <w:t>12.合同价格、计量与支付</w:t>
      </w:r>
      <w:bookmarkEnd w:id="457"/>
      <w:bookmarkEnd w:id="458"/>
      <w:bookmarkEnd w:id="459"/>
      <w:bookmarkEnd w:id="460"/>
    </w:p>
    <w:p w14:paraId="7DCAEFF3">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61" w:name="_Toc504119108"/>
      <w:bookmarkStart w:id="462" w:name="_Toc512164642"/>
      <w:bookmarkStart w:id="463" w:name="_Toc505785407"/>
      <w:bookmarkStart w:id="464" w:name="_Toc510377823"/>
      <w:r>
        <w:rPr>
          <w:rFonts w:hint="eastAsia" w:ascii="宋体" w:hAnsi="宋体" w:eastAsia="宋体" w:cs="宋体"/>
          <w:bCs/>
          <w:color w:val="auto"/>
          <w:szCs w:val="21"/>
          <w:highlight w:val="none"/>
          <w:lang w:val="zh-CN"/>
        </w:rPr>
        <w:t>12.1合同价格形式</w:t>
      </w:r>
      <w:bookmarkEnd w:id="461"/>
      <w:bookmarkEnd w:id="462"/>
      <w:bookmarkEnd w:id="463"/>
      <w:bookmarkEnd w:id="464"/>
    </w:p>
    <w:p w14:paraId="2EDC4D55">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1、单价合同</w:t>
      </w:r>
    </w:p>
    <w:p w14:paraId="24B1DA3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综合单价包含的风险范围</w:t>
      </w:r>
      <w:r>
        <w:rPr>
          <w:rFonts w:hint="eastAsia" w:ascii="宋体" w:hAnsi="宋体" w:eastAsia="宋体" w:cs="宋体"/>
          <w:b/>
          <w:color w:val="auto"/>
          <w:szCs w:val="21"/>
          <w:highlight w:val="none"/>
          <w:u w:val="single"/>
        </w:rPr>
        <w:t>①清单工程量±10％以内的变更引起的综合单价变化的风险；②市场主要材料价格波动±10％以内的风险；③投标截止日前28天政策性调整风险</w:t>
      </w:r>
      <w:r>
        <w:rPr>
          <w:rFonts w:hint="eastAsia" w:ascii="宋体" w:hAnsi="宋体" w:eastAsia="宋体" w:cs="宋体"/>
          <w:color w:val="auto"/>
          <w:szCs w:val="21"/>
          <w:highlight w:val="none"/>
        </w:rPr>
        <w:t>。</w:t>
      </w:r>
    </w:p>
    <w:p w14:paraId="1EA5921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风险费用的计算方法：</w:t>
      </w:r>
      <w:r>
        <w:rPr>
          <w:rFonts w:hint="eastAsia" w:ascii="宋体" w:hAnsi="宋体" w:eastAsia="宋体" w:cs="宋体"/>
          <w:b/>
          <w:color w:val="auto"/>
          <w:szCs w:val="21"/>
          <w:highlight w:val="none"/>
          <w:u w:val="single"/>
        </w:rPr>
        <w:t>本工程在招标时，为加强项目成本管理，强化项目的成本控制，</w:t>
      </w:r>
      <w:r>
        <w:rPr>
          <w:rFonts w:hint="eastAsia" w:ascii="宋体" w:hAnsi="宋体" w:eastAsia="宋体" w:cs="宋体"/>
          <w:b/>
          <w:color w:val="auto"/>
          <w:szCs w:val="21"/>
          <w:highlight w:val="none"/>
          <w:u w:val="single"/>
          <w:lang w:eastAsia="zh-CN"/>
        </w:rPr>
        <w:t>采购人</w:t>
      </w:r>
      <w:r>
        <w:rPr>
          <w:rFonts w:hint="eastAsia" w:ascii="宋体" w:hAnsi="宋体" w:eastAsia="宋体" w:cs="宋体"/>
          <w:b/>
          <w:color w:val="auto"/>
          <w:szCs w:val="21"/>
          <w:highlight w:val="none"/>
          <w:u w:val="single"/>
        </w:rPr>
        <w:t>在招标文件及投标答疑中已作了明确的诠释。承包人投标报价时，完全了解施工场地，了解图纸，理解设计意图，查清了施工要求，并对建筑物资、材料的种类、价格标准、调整幅度等受市场供需因素的影响及可能影响合同履行的风险都做了深入的分析和考虑。所以，本合同在履行过程中，合同价所包含的工程量，承包人必须保质保量的完成，在风险约定范围内价格不予调整</w:t>
      </w:r>
      <w:r>
        <w:rPr>
          <w:rFonts w:hint="eastAsia" w:ascii="宋体" w:hAnsi="宋体" w:eastAsia="宋体" w:cs="宋体"/>
          <w:color w:val="auto"/>
          <w:szCs w:val="21"/>
          <w:highlight w:val="none"/>
        </w:rPr>
        <w:t>。</w:t>
      </w:r>
    </w:p>
    <w:p w14:paraId="1FE3DAC6">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b/>
          <w:color w:val="auto"/>
          <w:szCs w:val="21"/>
          <w:highlight w:val="none"/>
          <w:u w:val="single"/>
        </w:rPr>
        <w:t>①工程设计变更、②现场签证、③市场主要材料价格的波动±10％以外的调整、④清单工程量变化超过±10％、⑤由于清单工程量变化超过±10％引起的总价措施费及单价措施费变化、⑥工程量清单存在缺项、漏项。（注：主要材料价格波动以当月州信息平台公布的价格为参照）</w:t>
      </w:r>
    </w:p>
    <w:p w14:paraId="31898A6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w:t>
      </w:r>
    </w:p>
    <w:p w14:paraId="359D3801">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总价包含的风险范围：</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4629F1BE">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风险费用的计算方法：</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65C22388">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4FEE33C7">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3、其他价格方式：</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7F97F7D2">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65" w:name="_Toc505785408"/>
      <w:bookmarkStart w:id="466" w:name="_Toc512164643"/>
      <w:bookmarkStart w:id="467" w:name="_Toc504119109"/>
      <w:bookmarkStart w:id="468" w:name="_Toc510377824"/>
      <w:r>
        <w:rPr>
          <w:rFonts w:hint="eastAsia" w:ascii="宋体" w:hAnsi="宋体" w:eastAsia="宋体" w:cs="宋体"/>
          <w:bCs/>
          <w:color w:val="auto"/>
          <w:szCs w:val="21"/>
          <w:highlight w:val="none"/>
          <w:lang w:val="zh-CN"/>
        </w:rPr>
        <w:t>12.2预付款</w:t>
      </w:r>
      <w:bookmarkEnd w:id="465"/>
      <w:bookmarkEnd w:id="466"/>
      <w:bookmarkEnd w:id="467"/>
      <w:bookmarkEnd w:id="468"/>
    </w:p>
    <w:p w14:paraId="62A2974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12.2.1预付款的支付</w:t>
      </w:r>
    </w:p>
    <w:p w14:paraId="7CD7B6E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预付款支付比例或金额：。</w:t>
      </w:r>
    </w:p>
    <w:p w14:paraId="6ADFA3EF">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预付款支付期限：</w:t>
      </w:r>
      <w:r>
        <w:rPr>
          <w:rFonts w:hint="eastAsia" w:ascii="宋体" w:hAnsi="宋体" w:eastAsia="宋体" w:cs="宋体"/>
          <w:color w:val="auto"/>
          <w:szCs w:val="21"/>
          <w:highlight w:val="none"/>
          <w:u w:val="single"/>
        </w:rPr>
        <w:t>合同签订后，监理下达开工令后10个工作日内支付</w:t>
      </w:r>
      <w:r>
        <w:rPr>
          <w:rFonts w:hint="eastAsia" w:ascii="宋体" w:hAnsi="宋体" w:eastAsia="宋体" w:cs="宋体"/>
          <w:color w:val="auto"/>
          <w:szCs w:val="21"/>
          <w:highlight w:val="none"/>
        </w:rPr>
        <w:t>。</w:t>
      </w:r>
    </w:p>
    <w:p w14:paraId="5D27519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预付款扣回的方式：</w:t>
      </w:r>
      <w:r>
        <w:rPr>
          <w:rFonts w:hint="eastAsia" w:ascii="宋体" w:hAnsi="宋体" w:eastAsia="宋体" w:cs="宋体"/>
          <w:color w:val="auto"/>
          <w:szCs w:val="21"/>
          <w:highlight w:val="none"/>
          <w:u w:val="single"/>
        </w:rPr>
        <w:t>不扣除</w:t>
      </w:r>
      <w:r>
        <w:rPr>
          <w:rFonts w:hint="eastAsia" w:ascii="宋体" w:hAnsi="宋体" w:eastAsia="宋体" w:cs="宋体"/>
          <w:color w:val="auto"/>
          <w:szCs w:val="21"/>
          <w:highlight w:val="none"/>
        </w:rPr>
        <w:t>。</w:t>
      </w:r>
    </w:p>
    <w:p w14:paraId="220B2B7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12.2.2预付款担保</w:t>
      </w:r>
    </w:p>
    <w:p w14:paraId="2ED6516D">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3BB9AED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506CE28">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69" w:name="_Toc512164644"/>
      <w:bookmarkStart w:id="470" w:name="_Toc504119110"/>
      <w:bookmarkStart w:id="471" w:name="_Toc510377825"/>
      <w:bookmarkStart w:id="472" w:name="_Toc505785409"/>
      <w:r>
        <w:rPr>
          <w:rFonts w:hint="eastAsia" w:ascii="宋体" w:hAnsi="宋体" w:eastAsia="宋体" w:cs="宋体"/>
          <w:bCs/>
          <w:color w:val="auto"/>
          <w:szCs w:val="21"/>
          <w:highlight w:val="none"/>
          <w:lang w:val="zh-CN"/>
        </w:rPr>
        <w:t>12.3计量</w:t>
      </w:r>
      <w:bookmarkEnd w:id="469"/>
      <w:bookmarkEnd w:id="470"/>
      <w:bookmarkEnd w:id="471"/>
      <w:bookmarkEnd w:id="472"/>
    </w:p>
    <w:p w14:paraId="7CD7EB00">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12.3.1计量原则</w:t>
      </w:r>
    </w:p>
    <w:p w14:paraId="1D086903">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工程量计算规则：</w:t>
      </w:r>
      <w:r>
        <w:rPr>
          <w:rFonts w:hint="eastAsia" w:ascii="宋体" w:hAnsi="宋体" w:eastAsia="宋体" w:cs="宋体"/>
          <w:color w:val="auto"/>
          <w:szCs w:val="21"/>
          <w:highlight w:val="none"/>
          <w:u w:val="single"/>
        </w:rPr>
        <w:t>按《建设工程工程量清单计价规范》（GB50500-2013）以及云南省现行建设工程计价定额执行</w:t>
      </w:r>
      <w:r>
        <w:rPr>
          <w:rFonts w:hint="eastAsia" w:ascii="宋体" w:hAnsi="宋体" w:eastAsia="宋体" w:cs="宋体"/>
          <w:color w:val="auto"/>
          <w:szCs w:val="21"/>
          <w:highlight w:val="none"/>
        </w:rPr>
        <w:t>。</w:t>
      </w:r>
    </w:p>
    <w:p w14:paraId="3F26BC0F">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12.3.2计量周期</w:t>
      </w:r>
    </w:p>
    <w:p w14:paraId="66432CFC">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按现场监理规范及时计量</w:t>
      </w:r>
      <w:r>
        <w:rPr>
          <w:rFonts w:hint="eastAsia" w:ascii="宋体" w:hAnsi="宋体" w:eastAsia="宋体" w:cs="宋体"/>
          <w:color w:val="auto"/>
          <w:szCs w:val="21"/>
          <w:highlight w:val="none"/>
        </w:rPr>
        <w:t>。</w:t>
      </w:r>
    </w:p>
    <w:p w14:paraId="350B8328">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12.3.3单价合同的计量</w:t>
      </w:r>
    </w:p>
    <w:p w14:paraId="59BADB6C">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r>
        <w:rPr>
          <w:rFonts w:hint="eastAsia" w:ascii="宋体" w:hAnsi="宋体" w:eastAsia="宋体" w:cs="宋体"/>
          <w:color w:val="auto"/>
          <w:szCs w:val="21"/>
          <w:highlight w:val="none"/>
          <w:u w:val="single"/>
        </w:rPr>
        <w:t>⑴承包人应于每月25日向监理人报送上月20日至当月19日已完成的工程量报告，并附具进度付款申请表、已完工程量报表和有关资料。⑵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r>
        <w:rPr>
          <w:rFonts w:hint="eastAsia" w:ascii="宋体" w:hAnsi="宋体" w:eastAsia="宋体" w:cs="宋体"/>
          <w:color w:val="auto"/>
          <w:szCs w:val="21"/>
          <w:highlight w:val="none"/>
        </w:rPr>
        <w:t>。</w:t>
      </w:r>
    </w:p>
    <w:p w14:paraId="2F993D5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12.3.4总价合同的计量</w:t>
      </w:r>
    </w:p>
    <w:p w14:paraId="2CEA154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关于总价合同计量的约定：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3276A5E">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12.3.5总价合同采用支付分解表计量支付的，是否适用第</w:t>
      </w:r>
      <w:r>
        <w:rPr>
          <w:rFonts w:hint="eastAsia" w:ascii="宋体" w:hAnsi="宋体" w:eastAsia="宋体" w:cs="宋体"/>
          <w:color w:val="auto"/>
          <w:kern w:val="0"/>
          <w:szCs w:val="21"/>
          <w:highlight w:val="none"/>
        </w:rPr>
        <w:t xml:space="preserve">12.3.4 </w:t>
      </w:r>
      <w:r>
        <w:rPr>
          <w:rFonts w:hint="eastAsia" w:ascii="宋体" w:hAnsi="宋体" w:eastAsia="宋体" w:cs="宋体"/>
          <w:color w:val="auto"/>
          <w:szCs w:val="21"/>
          <w:highlight w:val="none"/>
        </w:rPr>
        <w:t>项</w:t>
      </w:r>
      <w:r>
        <w:rPr>
          <w:rFonts w:hint="eastAsia" w:ascii="宋体" w:hAnsi="宋体" w:eastAsia="宋体" w:cs="宋体"/>
          <w:color w:val="auto"/>
          <w:kern w:val="0"/>
          <w:szCs w:val="21"/>
          <w:highlight w:val="none"/>
        </w:rPr>
        <w:t>〔总价合同的计量〕</w:t>
      </w:r>
      <w:r>
        <w:rPr>
          <w:rFonts w:hint="eastAsia" w:ascii="宋体" w:hAnsi="宋体" w:eastAsia="宋体" w:cs="宋体"/>
          <w:color w:val="auto"/>
          <w:szCs w:val="21"/>
          <w:highlight w:val="none"/>
        </w:rPr>
        <w:t>约定进行计量：</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38E7F274">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12.3.6其他价格形式合同的计量</w:t>
      </w:r>
    </w:p>
    <w:p w14:paraId="1E2EC6E3">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4259B8FA">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12.4工程进度款支付</w:t>
      </w:r>
    </w:p>
    <w:p w14:paraId="7DABCB40">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12.4.1付款周期</w:t>
      </w:r>
    </w:p>
    <w:p w14:paraId="650DBFFD">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关于付款周期的约定：</w:t>
      </w:r>
      <w:r>
        <w:rPr>
          <w:rFonts w:hint="eastAsia" w:ascii="宋体" w:hAnsi="宋体" w:eastAsia="宋体" w:cs="宋体"/>
          <w:color w:val="auto"/>
          <w:szCs w:val="21"/>
          <w:highlight w:val="none"/>
          <w:u w:val="single"/>
        </w:rPr>
        <w:t>以双方协商为准</w:t>
      </w:r>
      <w:r>
        <w:rPr>
          <w:rFonts w:hint="eastAsia" w:ascii="宋体" w:hAnsi="宋体" w:eastAsia="宋体" w:cs="宋体"/>
          <w:color w:val="auto"/>
          <w:szCs w:val="21"/>
          <w:highlight w:val="none"/>
        </w:rPr>
        <w:t>。</w:t>
      </w:r>
    </w:p>
    <w:p w14:paraId="442E7F9F">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12.4.2进度付款申请单的编制</w:t>
      </w:r>
    </w:p>
    <w:p w14:paraId="6BF1D4F4">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color w:val="auto"/>
          <w:szCs w:val="21"/>
          <w:highlight w:val="none"/>
          <w:u w:val="single"/>
        </w:rPr>
        <w:t>一式四份</w:t>
      </w:r>
      <w:r>
        <w:rPr>
          <w:rFonts w:hint="eastAsia" w:ascii="宋体" w:hAnsi="宋体" w:eastAsia="宋体" w:cs="宋体"/>
          <w:color w:val="auto"/>
          <w:szCs w:val="21"/>
          <w:highlight w:val="none"/>
        </w:rPr>
        <w:t>。</w:t>
      </w:r>
    </w:p>
    <w:p w14:paraId="31E94FDA">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12.4.3进度付款申请单的提交</w:t>
      </w:r>
    </w:p>
    <w:p w14:paraId="4929B480">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⑴单价合同进度付款申请单提交的约定：</w:t>
      </w:r>
      <w:r>
        <w:rPr>
          <w:rFonts w:hint="eastAsia" w:ascii="宋体" w:hAnsi="宋体" w:eastAsia="宋体" w:cs="宋体"/>
          <w:color w:val="auto"/>
          <w:szCs w:val="21"/>
          <w:highlight w:val="none"/>
          <w:u w:val="single"/>
        </w:rPr>
        <w:t>每周监理例会提交本周完成工程进度报表一式四份</w:t>
      </w:r>
      <w:r>
        <w:rPr>
          <w:rFonts w:hint="eastAsia" w:ascii="宋体" w:hAnsi="宋体" w:eastAsia="宋体" w:cs="宋体"/>
          <w:color w:val="auto"/>
          <w:szCs w:val="21"/>
          <w:highlight w:val="none"/>
        </w:rPr>
        <w:t>。</w:t>
      </w:r>
    </w:p>
    <w:p w14:paraId="6ABD612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⑵总价合同进度付款申请单提交的约定：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EEACE0E">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⑶其他价格形式合同进度付款申请单提交的约定：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F0BEA4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12.4.4进度款审核和支付</w:t>
      </w:r>
    </w:p>
    <w:p w14:paraId="60D13291">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⑴监理人审查并报送发包人的期限：</w:t>
      </w:r>
      <w:r>
        <w:rPr>
          <w:rFonts w:hint="eastAsia" w:ascii="宋体" w:hAnsi="宋体" w:eastAsia="宋体" w:cs="宋体"/>
          <w:color w:val="auto"/>
          <w:szCs w:val="21"/>
          <w:highlight w:val="none"/>
          <w:u w:val="single"/>
        </w:rPr>
        <w:t>收到申请7天内</w:t>
      </w:r>
      <w:r>
        <w:rPr>
          <w:rFonts w:hint="eastAsia" w:ascii="宋体" w:hAnsi="宋体" w:eastAsia="宋体" w:cs="宋体"/>
          <w:color w:val="auto"/>
          <w:szCs w:val="21"/>
          <w:highlight w:val="none"/>
        </w:rPr>
        <w:t>。</w:t>
      </w:r>
    </w:p>
    <w:p w14:paraId="6F803369">
      <w:pPr>
        <w:spacing w:line="360" w:lineRule="auto"/>
        <w:ind w:firstLine="48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发包人完成审批并签发进度款支付证书的期限及额度：</w:t>
      </w:r>
      <w:r>
        <w:rPr>
          <w:rFonts w:hint="eastAsia" w:ascii="宋体" w:hAnsi="宋体" w:eastAsia="宋体" w:cs="宋体"/>
          <w:color w:val="auto"/>
          <w:szCs w:val="21"/>
          <w:highlight w:val="none"/>
          <w:u w:val="single"/>
        </w:rPr>
        <w:t>收到监理人审核确认的申请单后7日内，按审核后的工程已完进度额度的60％支付当月已完工程进度款项，工程竣工验收合格、完成工程结算报送发包人委托的审计单位，取得最终审计决算报告后30天内支付至工程决算金额的97％，留3％作为工程质量保修金，在工程保修期满后无质量问题在30天内不计息退还，如出现质量问题，按实际双方协商的情况不计息退还</w:t>
      </w:r>
      <w:r>
        <w:rPr>
          <w:rFonts w:hint="eastAsia" w:ascii="宋体" w:hAnsi="宋体" w:eastAsia="宋体" w:cs="宋体"/>
          <w:color w:val="auto"/>
          <w:szCs w:val="21"/>
          <w:highlight w:val="none"/>
        </w:rPr>
        <w:t>。</w:t>
      </w:r>
    </w:p>
    <w:p w14:paraId="0765A6FE">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⑵发包人支付进度款的期限：</w:t>
      </w:r>
      <w:r>
        <w:rPr>
          <w:rFonts w:hint="eastAsia" w:ascii="宋体" w:hAnsi="宋体" w:eastAsia="宋体" w:cs="宋体"/>
          <w:color w:val="auto"/>
          <w:szCs w:val="21"/>
          <w:highlight w:val="none"/>
          <w:u w:val="single"/>
        </w:rPr>
        <w:t xml:space="preserve"> 7天内</w:t>
      </w:r>
      <w:r>
        <w:rPr>
          <w:rFonts w:hint="eastAsia" w:ascii="宋体" w:hAnsi="宋体" w:eastAsia="宋体" w:cs="宋体"/>
          <w:color w:val="auto"/>
          <w:szCs w:val="21"/>
          <w:highlight w:val="none"/>
        </w:rPr>
        <w:t>。</w:t>
      </w:r>
    </w:p>
    <w:p w14:paraId="5DA81610">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付款申请经审查通过后14天内支付，但若发包人资金还没有到位时，承包人不能因资金不到位影响施工工期，不得怠工、停工，必须确保工程质量进度按期完成，所缺资金自行解决</w:t>
      </w:r>
      <w:r>
        <w:rPr>
          <w:rFonts w:hint="eastAsia" w:ascii="宋体" w:hAnsi="宋体" w:eastAsia="宋体" w:cs="宋体"/>
          <w:color w:val="auto"/>
          <w:szCs w:val="21"/>
          <w:highlight w:val="none"/>
        </w:rPr>
        <w:t>。</w:t>
      </w:r>
    </w:p>
    <w:p w14:paraId="620A71FE">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12.4.6 支付分解表的编制</w:t>
      </w:r>
    </w:p>
    <w:p w14:paraId="5A2A2D6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2、总价合同支付分解表的编制与审批：</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60BEF3B8">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3、单价合同的总价项目支付分解表的编制与审批：</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1FE5EC90">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73" w:name="_Toc512164645"/>
      <w:bookmarkStart w:id="474" w:name="_Toc505785410"/>
      <w:bookmarkStart w:id="475" w:name="_Toc504119111"/>
      <w:bookmarkStart w:id="476" w:name="_Toc510377826"/>
      <w:r>
        <w:rPr>
          <w:rFonts w:hint="eastAsia" w:ascii="宋体" w:hAnsi="宋体" w:eastAsia="宋体" w:cs="宋体"/>
          <w:bCs/>
          <w:color w:val="auto"/>
          <w:szCs w:val="21"/>
          <w:highlight w:val="none"/>
          <w:lang w:val="zh-CN"/>
        </w:rPr>
        <w:t>13.验收和工程试车</w:t>
      </w:r>
      <w:bookmarkEnd w:id="473"/>
      <w:bookmarkEnd w:id="474"/>
      <w:bookmarkEnd w:id="475"/>
      <w:bookmarkEnd w:id="476"/>
    </w:p>
    <w:p w14:paraId="6F6E954D">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77" w:name="_Toc504119112"/>
      <w:bookmarkStart w:id="478" w:name="_Toc505785411"/>
      <w:bookmarkStart w:id="479" w:name="_Toc512164646"/>
      <w:bookmarkStart w:id="480" w:name="_Toc510377827"/>
      <w:r>
        <w:rPr>
          <w:rFonts w:hint="eastAsia" w:ascii="宋体" w:hAnsi="宋体" w:eastAsia="宋体" w:cs="宋体"/>
          <w:bCs/>
          <w:color w:val="auto"/>
          <w:szCs w:val="21"/>
          <w:highlight w:val="none"/>
          <w:lang w:val="zh-CN"/>
        </w:rPr>
        <w:t>13.1分部分项工程验收</w:t>
      </w:r>
      <w:bookmarkEnd w:id="477"/>
      <w:bookmarkEnd w:id="478"/>
      <w:bookmarkEnd w:id="479"/>
      <w:bookmarkEnd w:id="480"/>
    </w:p>
    <w:p w14:paraId="46A1A81A">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13.1.2监理人不能按时进行验收时，应提前</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小时提交书面延期要求。</w:t>
      </w:r>
    </w:p>
    <w:p w14:paraId="7CB5B220">
      <w:pPr>
        <w:spacing w:line="360" w:lineRule="auto"/>
        <w:ind w:firstLine="48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48 </w:t>
      </w:r>
      <w:r>
        <w:rPr>
          <w:rFonts w:hint="eastAsia" w:ascii="宋体" w:hAnsi="宋体" w:eastAsia="宋体" w:cs="宋体"/>
          <w:color w:val="auto"/>
          <w:szCs w:val="21"/>
          <w:highlight w:val="none"/>
        </w:rPr>
        <w:t>小时。</w:t>
      </w:r>
    </w:p>
    <w:p w14:paraId="47817ACB">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81" w:name="_Toc504119113"/>
      <w:bookmarkStart w:id="482" w:name="_Toc510377828"/>
      <w:bookmarkStart w:id="483" w:name="_Toc505785412"/>
      <w:bookmarkStart w:id="484" w:name="_Toc512164647"/>
      <w:r>
        <w:rPr>
          <w:rFonts w:hint="eastAsia" w:ascii="宋体" w:hAnsi="宋体" w:eastAsia="宋体" w:cs="宋体"/>
          <w:bCs/>
          <w:color w:val="auto"/>
          <w:szCs w:val="21"/>
          <w:highlight w:val="none"/>
          <w:lang w:val="zh-CN"/>
        </w:rPr>
        <w:t>13.2竣工验收</w:t>
      </w:r>
      <w:bookmarkEnd w:id="481"/>
      <w:bookmarkEnd w:id="482"/>
      <w:bookmarkEnd w:id="483"/>
      <w:bookmarkEnd w:id="484"/>
    </w:p>
    <w:p w14:paraId="798343AE">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13.2.2竣工验收程序</w:t>
      </w:r>
    </w:p>
    <w:p w14:paraId="3A5EF61B">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color w:val="auto"/>
          <w:szCs w:val="21"/>
          <w:highlight w:val="none"/>
          <w:u w:val="single"/>
        </w:rPr>
        <w:t>①分部分项工程验收：分部分项工程完工后，承包人应在三天内向监理提出书面验收通知，监理人接到通知后应在合理的时间内组织相关人员进行验收。②隐蔽工程的验收：隐蔽工程完工后，由承包人发出隐蔽工程验收通知，由监理组织相关人员验收，变更工程的隐蔽工程还须通知审计方参加验收。③承包人必须保证分部分项工程及整体工程一次性达到100％验收合格。④承包人在工程竣工验收后，应在有关法规规定的期限内，向发包人提供一式六份完整的、经核验签证后的竣工资料及竣工图，且必须保证其符合城建档案规定的要求</w:t>
      </w:r>
      <w:r>
        <w:rPr>
          <w:rFonts w:hint="eastAsia" w:ascii="宋体" w:hAnsi="宋体" w:eastAsia="宋体" w:cs="宋体"/>
          <w:color w:val="auto"/>
          <w:szCs w:val="21"/>
          <w:highlight w:val="none"/>
        </w:rPr>
        <w:t>。</w:t>
      </w:r>
    </w:p>
    <w:p w14:paraId="69ADE090">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143FCC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13.2.5移交、接收全部与部分工程</w:t>
      </w:r>
    </w:p>
    <w:p w14:paraId="1A0AA061">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color w:val="auto"/>
          <w:szCs w:val="21"/>
          <w:highlight w:val="none"/>
          <w:u w:val="single"/>
        </w:rPr>
        <w:t>颁发工程接收证书后7天内</w:t>
      </w:r>
      <w:r>
        <w:rPr>
          <w:rFonts w:hint="eastAsia" w:ascii="宋体" w:hAnsi="宋体" w:eastAsia="宋体" w:cs="宋体"/>
          <w:color w:val="auto"/>
          <w:szCs w:val="21"/>
          <w:highlight w:val="none"/>
        </w:rPr>
        <w:t>。</w:t>
      </w:r>
    </w:p>
    <w:p w14:paraId="70DBA037">
      <w:pPr>
        <w:spacing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66584E1D">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承包人未按时移交工程的，违约金的计算方法为：</w:t>
      </w:r>
      <w:r>
        <w:rPr>
          <w:rFonts w:hint="eastAsia" w:ascii="宋体" w:hAnsi="宋体" w:eastAsia="宋体" w:cs="宋体"/>
          <w:color w:val="auto"/>
          <w:szCs w:val="21"/>
          <w:highlight w:val="none"/>
          <w:u w:val="single"/>
        </w:rPr>
        <w:t>双方另行确定</w:t>
      </w:r>
      <w:r>
        <w:rPr>
          <w:rFonts w:hint="eastAsia" w:ascii="宋体" w:hAnsi="宋体" w:eastAsia="宋体" w:cs="宋体"/>
          <w:color w:val="auto"/>
          <w:szCs w:val="21"/>
          <w:highlight w:val="none"/>
        </w:rPr>
        <w:t>。</w:t>
      </w:r>
    </w:p>
    <w:p w14:paraId="61FFD750">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85" w:name="_Toc512164648"/>
      <w:bookmarkStart w:id="486" w:name="_Toc504119114"/>
      <w:bookmarkStart w:id="487" w:name="_Toc510377829"/>
      <w:bookmarkStart w:id="488" w:name="_Toc505785413"/>
      <w:r>
        <w:rPr>
          <w:rFonts w:hint="eastAsia" w:ascii="宋体" w:hAnsi="宋体" w:eastAsia="宋体" w:cs="宋体"/>
          <w:bCs/>
          <w:color w:val="auto"/>
          <w:szCs w:val="21"/>
          <w:highlight w:val="none"/>
          <w:lang w:val="zh-CN"/>
        </w:rPr>
        <w:t>13.3工程试车</w:t>
      </w:r>
      <w:bookmarkEnd w:id="485"/>
      <w:bookmarkEnd w:id="486"/>
      <w:bookmarkEnd w:id="487"/>
      <w:bookmarkEnd w:id="488"/>
    </w:p>
    <w:p w14:paraId="45E8210E">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13.3.1试车程序</w:t>
      </w:r>
    </w:p>
    <w:p w14:paraId="1C6769F8">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工程试车内容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施工图设计及合同约定项下的全部内容</w:t>
      </w:r>
      <w:r>
        <w:rPr>
          <w:rFonts w:hint="eastAsia" w:ascii="宋体" w:hAnsi="宋体" w:eastAsia="宋体" w:cs="宋体"/>
          <w:color w:val="auto"/>
          <w:szCs w:val="21"/>
          <w:highlight w:val="none"/>
        </w:rPr>
        <w:t>。</w:t>
      </w:r>
    </w:p>
    <w:p w14:paraId="51126CA8">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⑴单机无负荷试车费用由</w:t>
      </w:r>
      <w:r>
        <w:rPr>
          <w:rFonts w:hint="eastAsia" w:ascii="宋体" w:hAnsi="宋体" w:eastAsia="宋体" w:cs="宋体"/>
          <w:color w:val="auto"/>
          <w:szCs w:val="21"/>
          <w:highlight w:val="none"/>
          <w:u w:val="single"/>
        </w:rPr>
        <w:t>承包人</w:t>
      </w:r>
      <w:r>
        <w:rPr>
          <w:rFonts w:hint="eastAsia" w:ascii="宋体" w:hAnsi="宋体" w:eastAsia="宋体" w:cs="宋体"/>
          <w:color w:val="auto"/>
          <w:kern w:val="0"/>
          <w:szCs w:val="21"/>
          <w:highlight w:val="none"/>
        </w:rPr>
        <w:t>承担；</w:t>
      </w:r>
    </w:p>
    <w:p w14:paraId="7E0AEE61">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⑵无负荷联动试车费用由</w:t>
      </w:r>
      <w:r>
        <w:rPr>
          <w:rFonts w:hint="eastAsia" w:ascii="宋体" w:hAnsi="宋体" w:eastAsia="宋体" w:cs="宋体"/>
          <w:color w:val="auto"/>
          <w:szCs w:val="21"/>
          <w:highlight w:val="none"/>
          <w:u w:val="single"/>
        </w:rPr>
        <w:t>承包人</w:t>
      </w:r>
      <w:r>
        <w:rPr>
          <w:rFonts w:hint="eastAsia" w:ascii="宋体" w:hAnsi="宋体" w:eastAsia="宋体" w:cs="宋体"/>
          <w:color w:val="auto"/>
          <w:kern w:val="0"/>
          <w:szCs w:val="21"/>
          <w:highlight w:val="none"/>
        </w:rPr>
        <w:t>承担。</w:t>
      </w:r>
    </w:p>
    <w:p w14:paraId="530B5A9C">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13.3.3投料试车</w:t>
      </w:r>
    </w:p>
    <w:p w14:paraId="6C1B98F3">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关于投料试车相关事项的约定</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需投料试车的相关项目费用由承包人承担至验收合格</w:t>
      </w:r>
      <w:r>
        <w:rPr>
          <w:rFonts w:hint="eastAsia" w:ascii="宋体" w:hAnsi="宋体" w:eastAsia="宋体" w:cs="宋体"/>
          <w:color w:val="auto"/>
          <w:szCs w:val="21"/>
          <w:highlight w:val="none"/>
        </w:rPr>
        <w:t>。</w:t>
      </w:r>
    </w:p>
    <w:p w14:paraId="062571C4">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89" w:name="_Toc505785414"/>
      <w:bookmarkStart w:id="490" w:name="_Toc504119115"/>
      <w:bookmarkStart w:id="491" w:name="_Toc512164649"/>
      <w:bookmarkStart w:id="492" w:name="_Toc510377830"/>
      <w:r>
        <w:rPr>
          <w:rFonts w:hint="eastAsia" w:ascii="宋体" w:hAnsi="宋体" w:eastAsia="宋体" w:cs="宋体"/>
          <w:bCs/>
          <w:color w:val="auto"/>
          <w:szCs w:val="21"/>
          <w:highlight w:val="none"/>
          <w:lang w:val="zh-CN"/>
        </w:rPr>
        <w:t>13.6竣工退场</w:t>
      </w:r>
      <w:bookmarkEnd w:id="489"/>
      <w:bookmarkEnd w:id="490"/>
      <w:bookmarkEnd w:id="491"/>
      <w:bookmarkEnd w:id="492"/>
    </w:p>
    <w:p w14:paraId="4069C92D">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13.6.1竣工退场</w:t>
      </w:r>
    </w:p>
    <w:p w14:paraId="0C111912">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color w:val="auto"/>
          <w:szCs w:val="21"/>
          <w:highlight w:val="none"/>
          <w:u w:val="single"/>
        </w:rPr>
        <w:t>颁发工程接收证书后，并完成通用条款13.6.1条所列内容后7天内完成竣工退场</w:t>
      </w:r>
      <w:r>
        <w:rPr>
          <w:rFonts w:hint="eastAsia" w:ascii="宋体" w:hAnsi="宋体" w:eastAsia="宋体" w:cs="宋体"/>
          <w:color w:val="auto"/>
          <w:kern w:val="0"/>
          <w:szCs w:val="21"/>
          <w:highlight w:val="none"/>
        </w:rPr>
        <w:t>。</w:t>
      </w:r>
    </w:p>
    <w:p w14:paraId="604176A6">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93" w:name="_Toc505785415"/>
      <w:bookmarkStart w:id="494" w:name="_Toc504119116"/>
      <w:bookmarkStart w:id="495" w:name="_Toc512164650"/>
      <w:bookmarkStart w:id="496" w:name="_Toc510377831"/>
      <w:r>
        <w:rPr>
          <w:rFonts w:hint="eastAsia" w:ascii="宋体" w:hAnsi="宋体" w:eastAsia="宋体" w:cs="宋体"/>
          <w:bCs/>
          <w:color w:val="auto"/>
          <w:szCs w:val="21"/>
          <w:highlight w:val="none"/>
          <w:lang w:val="zh-CN"/>
        </w:rPr>
        <w:t>14.竣工结算</w:t>
      </w:r>
      <w:bookmarkEnd w:id="493"/>
      <w:bookmarkEnd w:id="494"/>
      <w:bookmarkEnd w:id="495"/>
      <w:bookmarkEnd w:id="496"/>
    </w:p>
    <w:p w14:paraId="1E2C1E8F">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497" w:name="_Toc504119117"/>
      <w:bookmarkStart w:id="498" w:name="_Toc512164651"/>
      <w:bookmarkStart w:id="499" w:name="_Toc510377832"/>
      <w:bookmarkStart w:id="500" w:name="_Toc505785416"/>
      <w:r>
        <w:rPr>
          <w:rFonts w:hint="eastAsia" w:ascii="宋体" w:hAnsi="宋体" w:eastAsia="宋体" w:cs="宋体"/>
          <w:bCs/>
          <w:color w:val="auto"/>
          <w:szCs w:val="21"/>
          <w:highlight w:val="none"/>
          <w:lang w:val="zh-CN"/>
        </w:rPr>
        <w:t>14.1竣工付款申请</w:t>
      </w:r>
      <w:bookmarkEnd w:id="497"/>
      <w:bookmarkEnd w:id="498"/>
      <w:bookmarkEnd w:id="499"/>
      <w:bookmarkEnd w:id="500"/>
    </w:p>
    <w:p w14:paraId="05FE598D">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承包人提交竣工付款申请单的期限：</w:t>
      </w:r>
      <w:r>
        <w:rPr>
          <w:rFonts w:hint="eastAsia" w:ascii="宋体" w:hAnsi="宋体" w:eastAsia="宋体" w:cs="宋体"/>
          <w:color w:val="auto"/>
          <w:szCs w:val="21"/>
          <w:highlight w:val="none"/>
          <w:u w:val="single"/>
        </w:rPr>
        <w:t>工程竣工验收合格移交发包人后28天内</w:t>
      </w:r>
      <w:r>
        <w:rPr>
          <w:rFonts w:hint="eastAsia" w:ascii="宋体" w:hAnsi="宋体" w:eastAsia="宋体" w:cs="宋体"/>
          <w:color w:val="auto"/>
          <w:szCs w:val="21"/>
          <w:highlight w:val="none"/>
        </w:rPr>
        <w:t>。</w:t>
      </w:r>
    </w:p>
    <w:p w14:paraId="1B98347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竣工付款申请单应包括的内容：</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Cs w:val="21"/>
          <w:highlight w:val="none"/>
        </w:rPr>
        <w:t>。</w:t>
      </w:r>
    </w:p>
    <w:p w14:paraId="16F76D40">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01" w:name="_Toc510377833"/>
      <w:bookmarkStart w:id="502" w:name="_Toc512164652"/>
      <w:bookmarkStart w:id="503" w:name="_Toc505785417"/>
      <w:bookmarkStart w:id="504" w:name="_Toc504119118"/>
      <w:r>
        <w:rPr>
          <w:rFonts w:hint="eastAsia" w:ascii="宋体" w:hAnsi="宋体" w:eastAsia="宋体" w:cs="宋体"/>
          <w:bCs/>
          <w:color w:val="auto"/>
          <w:szCs w:val="21"/>
          <w:highlight w:val="none"/>
          <w:lang w:val="zh-CN"/>
        </w:rPr>
        <w:t>14.2竣工结算审核</w:t>
      </w:r>
      <w:bookmarkEnd w:id="501"/>
      <w:bookmarkEnd w:id="502"/>
      <w:bookmarkEnd w:id="503"/>
      <w:bookmarkEnd w:id="504"/>
    </w:p>
    <w:p w14:paraId="31FDD47D">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发包人审批竣工付款申请单的期限：</w:t>
      </w:r>
      <w:r>
        <w:rPr>
          <w:rFonts w:hint="eastAsia" w:ascii="宋体" w:hAnsi="宋体" w:eastAsia="宋体" w:cs="宋体"/>
          <w:color w:val="auto"/>
          <w:szCs w:val="21"/>
          <w:highlight w:val="none"/>
          <w:u w:val="single"/>
        </w:rPr>
        <w:t>发包人收到监理人审核通过的竣工付款申请单28天内</w:t>
      </w:r>
      <w:r>
        <w:rPr>
          <w:rFonts w:hint="eastAsia" w:ascii="宋体" w:hAnsi="宋体" w:eastAsia="宋体" w:cs="宋体"/>
          <w:color w:val="auto"/>
          <w:szCs w:val="21"/>
          <w:highlight w:val="none"/>
        </w:rPr>
        <w:t>。</w:t>
      </w:r>
    </w:p>
    <w:p w14:paraId="6D14C3E6">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签发竣工付款申请单28天内</w:t>
      </w:r>
      <w:r>
        <w:rPr>
          <w:rFonts w:hint="eastAsia" w:ascii="宋体" w:hAnsi="宋体" w:eastAsia="宋体" w:cs="宋体"/>
          <w:color w:val="auto"/>
          <w:szCs w:val="21"/>
          <w:highlight w:val="none"/>
        </w:rPr>
        <w:t>。</w:t>
      </w:r>
    </w:p>
    <w:p w14:paraId="7FB0E2D9">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color w:val="auto"/>
          <w:szCs w:val="21"/>
          <w:highlight w:val="none"/>
          <w:u w:val="single"/>
        </w:rPr>
        <w:t>执行通用条款</w:t>
      </w:r>
      <w:r>
        <w:rPr>
          <w:rFonts w:hint="eastAsia" w:ascii="宋体" w:hAnsi="宋体" w:eastAsia="宋体" w:cs="宋体"/>
          <w:color w:val="auto"/>
          <w:szCs w:val="21"/>
          <w:highlight w:val="none"/>
        </w:rPr>
        <w:t>。</w:t>
      </w:r>
    </w:p>
    <w:p w14:paraId="7C2A2F12">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05" w:name="_Toc504119119"/>
      <w:bookmarkStart w:id="506" w:name="_Toc512164653"/>
      <w:bookmarkStart w:id="507" w:name="_Toc505785418"/>
      <w:bookmarkStart w:id="508" w:name="_Toc510377834"/>
      <w:r>
        <w:rPr>
          <w:rFonts w:hint="eastAsia" w:ascii="宋体" w:hAnsi="宋体" w:eastAsia="宋体" w:cs="宋体"/>
          <w:bCs/>
          <w:color w:val="auto"/>
          <w:szCs w:val="21"/>
          <w:highlight w:val="none"/>
          <w:lang w:val="zh-CN"/>
        </w:rPr>
        <w:t>14.4最终结清</w:t>
      </w:r>
      <w:bookmarkEnd w:id="505"/>
      <w:bookmarkEnd w:id="506"/>
      <w:bookmarkEnd w:id="507"/>
      <w:bookmarkEnd w:id="508"/>
    </w:p>
    <w:p w14:paraId="7399517B">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14.4.1最终结清申请单</w:t>
      </w:r>
    </w:p>
    <w:p w14:paraId="280D47F9">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szCs w:val="21"/>
          <w:highlight w:val="none"/>
          <w:u w:val="single"/>
        </w:rPr>
        <w:t>四份</w:t>
      </w:r>
      <w:r>
        <w:rPr>
          <w:rFonts w:hint="eastAsia" w:ascii="宋体" w:hAnsi="宋体" w:eastAsia="宋体" w:cs="宋体"/>
          <w:color w:val="auto"/>
          <w:szCs w:val="21"/>
          <w:highlight w:val="none"/>
        </w:rPr>
        <w:t>。</w:t>
      </w:r>
    </w:p>
    <w:p w14:paraId="27CE2699">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szCs w:val="21"/>
          <w:highlight w:val="none"/>
          <w:u w:val="single"/>
        </w:rPr>
        <w:t>缺陷责任期终止、证书颁发后7天内</w:t>
      </w:r>
      <w:r>
        <w:rPr>
          <w:rFonts w:hint="eastAsia" w:ascii="宋体" w:hAnsi="宋体" w:eastAsia="宋体" w:cs="宋体"/>
          <w:color w:val="auto"/>
          <w:szCs w:val="21"/>
          <w:highlight w:val="none"/>
        </w:rPr>
        <w:t>。</w:t>
      </w:r>
    </w:p>
    <w:p w14:paraId="2FC9AECF">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14.4.2最终结清证书和支付</w:t>
      </w:r>
    </w:p>
    <w:p w14:paraId="6990E973">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⑴发包人完成最终结清申请单的审批并颁发最终结清证书的期限：</w:t>
      </w:r>
      <w:r>
        <w:rPr>
          <w:rFonts w:hint="eastAsia" w:ascii="宋体" w:hAnsi="宋体" w:eastAsia="宋体" w:cs="宋体"/>
          <w:color w:val="auto"/>
          <w:szCs w:val="21"/>
          <w:highlight w:val="none"/>
          <w:u w:val="single"/>
        </w:rPr>
        <w:t>发包人收到监理人审核通过的最终结清申请单28天内</w:t>
      </w:r>
      <w:r>
        <w:rPr>
          <w:rFonts w:hint="eastAsia" w:ascii="宋体" w:hAnsi="宋体" w:eastAsia="宋体" w:cs="宋体"/>
          <w:color w:val="auto"/>
          <w:szCs w:val="21"/>
          <w:highlight w:val="none"/>
        </w:rPr>
        <w:t>。</w:t>
      </w:r>
    </w:p>
    <w:p w14:paraId="48B9C681">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⑵发包人完成支付的期限：</w:t>
      </w:r>
      <w:r>
        <w:rPr>
          <w:rFonts w:hint="eastAsia" w:ascii="宋体" w:hAnsi="宋体" w:eastAsia="宋体" w:cs="宋体"/>
          <w:color w:val="auto"/>
          <w:szCs w:val="21"/>
          <w:highlight w:val="none"/>
          <w:u w:val="single"/>
        </w:rPr>
        <w:t>签发最终结清申请单28天内</w:t>
      </w:r>
      <w:r>
        <w:rPr>
          <w:rFonts w:hint="eastAsia" w:ascii="宋体" w:hAnsi="宋体" w:eastAsia="宋体" w:cs="宋体"/>
          <w:color w:val="auto"/>
          <w:szCs w:val="21"/>
          <w:highlight w:val="none"/>
        </w:rPr>
        <w:t>。</w:t>
      </w:r>
    </w:p>
    <w:p w14:paraId="5F8779AA">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09" w:name="_Toc504119120"/>
      <w:bookmarkStart w:id="510" w:name="_Toc505785419"/>
      <w:bookmarkStart w:id="511" w:name="_Toc512164654"/>
      <w:bookmarkStart w:id="512" w:name="_Toc510377835"/>
      <w:r>
        <w:rPr>
          <w:rFonts w:hint="eastAsia" w:ascii="宋体" w:hAnsi="宋体" w:eastAsia="宋体" w:cs="宋体"/>
          <w:bCs/>
          <w:color w:val="auto"/>
          <w:szCs w:val="21"/>
          <w:highlight w:val="none"/>
          <w:lang w:val="zh-CN"/>
        </w:rPr>
        <w:t>15.缺陷责任期与保修</w:t>
      </w:r>
      <w:bookmarkEnd w:id="509"/>
      <w:bookmarkEnd w:id="510"/>
      <w:bookmarkEnd w:id="511"/>
      <w:bookmarkEnd w:id="512"/>
    </w:p>
    <w:p w14:paraId="0E181EA4">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13" w:name="_Toc512164655"/>
      <w:bookmarkStart w:id="514" w:name="_Toc504119121"/>
      <w:bookmarkStart w:id="515" w:name="_Toc505785420"/>
      <w:bookmarkStart w:id="516" w:name="_Toc510377836"/>
      <w:r>
        <w:rPr>
          <w:rFonts w:hint="eastAsia" w:ascii="宋体" w:hAnsi="宋体" w:eastAsia="宋体" w:cs="宋体"/>
          <w:bCs/>
          <w:color w:val="auto"/>
          <w:szCs w:val="21"/>
          <w:highlight w:val="none"/>
          <w:lang w:val="zh-CN"/>
        </w:rPr>
        <w:t>15.2缺陷责任期</w:t>
      </w:r>
      <w:bookmarkEnd w:id="513"/>
      <w:bookmarkEnd w:id="514"/>
      <w:bookmarkEnd w:id="515"/>
      <w:bookmarkEnd w:id="516"/>
    </w:p>
    <w:p w14:paraId="27825F6F">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缺陷责任期的具体期限：</w:t>
      </w:r>
      <w:r>
        <w:rPr>
          <w:rFonts w:hint="eastAsia" w:ascii="宋体" w:hAnsi="宋体" w:eastAsia="宋体" w:cs="宋体"/>
          <w:color w:val="auto"/>
          <w:szCs w:val="21"/>
          <w:highlight w:val="none"/>
          <w:u w:val="single"/>
        </w:rPr>
        <w:t>本项目竣工验收合格之日起24个月</w:t>
      </w:r>
      <w:r>
        <w:rPr>
          <w:rFonts w:hint="eastAsia" w:ascii="宋体" w:hAnsi="宋体" w:eastAsia="宋体" w:cs="宋体"/>
          <w:color w:val="auto"/>
          <w:szCs w:val="21"/>
          <w:highlight w:val="none"/>
        </w:rPr>
        <w:t>。</w:t>
      </w:r>
    </w:p>
    <w:p w14:paraId="0C0B0D12">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17" w:name="_Toc512164656"/>
      <w:bookmarkStart w:id="518" w:name="_Toc505785421"/>
      <w:bookmarkStart w:id="519" w:name="_Toc504119122"/>
      <w:bookmarkStart w:id="520" w:name="_Toc510377837"/>
      <w:r>
        <w:rPr>
          <w:rFonts w:hint="eastAsia" w:ascii="宋体" w:hAnsi="宋体" w:eastAsia="宋体" w:cs="宋体"/>
          <w:bCs/>
          <w:color w:val="auto"/>
          <w:szCs w:val="21"/>
          <w:highlight w:val="none"/>
          <w:lang w:val="zh-CN"/>
        </w:rPr>
        <w:t>15.3质量保证金</w:t>
      </w:r>
      <w:bookmarkEnd w:id="517"/>
      <w:bookmarkEnd w:id="518"/>
      <w:bookmarkEnd w:id="519"/>
      <w:bookmarkEnd w:id="520"/>
    </w:p>
    <w:p w14:paraId="1FBB2EC0">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根据《云南省住房和城乡建设厅、云南省财政厅文件云建建［2017］352号》规定：</w:t>
      </w:r>
    </w:p>
    <w:p w14:paraId="51E3F6BC">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⑴在合同签订时已缴纳履约保证金的，不在扣留质量保证金。</w:t>
      </w:r>
    </w:p>
    <w:p w14:paraId="2CEFE630">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⑵在合同签订时未缴纳履约保证金的，按工程造价预留3％的质量保证金。</w:t>
      </w:r>
    </w:p>
    <w:p w14:paraId="241A2ACA">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15.3.1承包人提供质量保证金的方式</w:t>
      </w:r>
    </w:p>
    <w:p w14:paraId="6D53EC0A">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w:t>
      </w:r>
    </w:p>
    <w:p w14:paraId="79475447">
      <w:pPr>
        <w:autoSpaceDE w:val="0"/>
        <w:autoSpaceDN w:val="0"/>
        <w:adjustRightInd w:val="0"/>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⑴质量保证金保函，保证金额为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7FA028E4">
      <w:pPr>
        <w:autoSpaceDE w:val="0"/>
        <w:autoSpaceDN w:val="0"/>
        <w:adjustRightInd w:val="0"/>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⑵</w:t>
      </w:r>
      <w:r>
        <w:rPr>
          <w:rFonts w:hint="eastAsia" w:ascii="宋体" w:hAnsi="宋体" w:eastAsia="宋体" w:cs="宋体"/>
          <w:color w:val="auto"/>
          <w:kern w:val="0"/>
          <w:szCs w:val="21"/>
          <w:highlight w:val="none"/>
          <w:u w:val="single"/>
        </w:rPr>
        <w:t xml:space="preserve"> 3 </w:t>
      </w:r>
      <w:r>
        <w:rPr>
          <w:rFonts w:hint="eastAsia" w:ascii="宋体" w:hAnsi="宋体" w:eastAsia="宋体" w:cs="宋体"/>
          <w:color w:val="auto"/>
          <w:kern w:val="0"/>
          <w:szCs w:val="21"/>
          <w:highlight w:val="none"/>
        </w:rPr>
        <w:t>％的工程款；</w:t>
      </w:r>
    </w:p>
    <w:p w14:paraId="35072DAF">
      <w:pPr>
        <w:autoSpaceDE w:val="0"/>
        <w:autoSpaceDN w:val="0"/>
        <w:adjustRightInd w:val="0"/>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⑶其他方式</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EBC7F59">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15.3.2质量保证金的扣留</w:t>
      </w:r>
    </w:p>
    <w:p w14:paraId="6D2105C1">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⑵</w:t>
      </w:r>
      <w:r>
        <w:rPr>
          <w:rFonts w:hint="eastAsia" w:ascii="宋体" w:hAnsi="宋体" w:eastAsia="宋体" w:cs="宋体"/>
          <w:color w:val="auto"/>
          <w:szCs w:val="21"/>
          <w:highlight w:val="none"/>
        </w:rPr>
        <w:t>种方式：</w:t>
      </w:r>
    </w:p>
    <w:p w14:paraId="503F6286">
      <w:pPr>
        <w:autoSpaceDE w:val="0"/>
        <w:autoSpaceDN w:val="0"/>
        <w:adjustRightInd w:val="0"/>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⑴在支付工程进度款时逐次扣留，在此情形下，质量保证金的计算基数不包括预付款的支付、扣回以及价格调整的金额；</w:t>
      </w:r>
    </w:p>
    <w:p w14:paraId="4C92C9A4">
      <w:pPr>
        <w:autoSpaceDE w:val="0"/>
        <w:autoSpaceDN w:val="0"/>
        <w:adjustRightInd w:val="0"/>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⑵工程竣工结算时一次性扣留质量保证金；</w:t>
      </w:r>
    </w:p>
    <w:p w14:paraId="4FB258FD">
      <w:pPr>
        <w:autoSpaceDE w:val="0"/>
        <w:autoSpaceDN w:val="0"/>
        <w:adjustRightInd w:val="0"/>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⑶其他扣留方式</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63B5CBFA">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关于质量保证金的补充约定：</w:t>
      </w:r>
      <w:r>
        <w:rPr>
          <w:rFonts w:hint="eastAsia" w:ascii="宋体" w:hAnsi="宋体" w:eastAsia="宋体" w:cs="宋体"/>
          <w:color w:val="auto"/>
          <w:kern w:val="0"/>
          <w:szCs w:val="21"/>
          <w:highlight w:val="none"/>
          <w:u w:val="single"/>
        </w:rPr>
        <w:t>合同项目保修期满后20天内一次性退还（保修金退还时不计利息）</w:t>
      </w:r>
      <w:r>
        <w:rPr>
          <w:rFonts w:hint="eastAsia" w:ascii="宋体" w:hAnsi="宋体" w:eastAsia="宋体" w:cs="宋体"/>
          <w:color w:val="auto"/>
          <w:kern w:val="0"/>
          <w:szCs w:val="21"/>
          <w:highlight w:val="none"/>
        </w:rPr>
        <w:t>。</w:t>
      </w:r>
    </w:p>
    <w:p w14:paraId="0F0CDC96">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21" w:name="_Toc512164657"/>
      <w:bookmarkStart w:id="522" w:name="_Toc505785422"/>
      <w:bookmarkStart w:id="523" w:name="_Toc510377838"/>
      <w:bookmarkStart w:id="524" w:name="_Toc504119123"/>
      <w:r>
        <w:rPr>
          <w:rFonts w:hint="eastAsia" w:ascii="宋体" w:hAnsi="宋体" w:eastAsia="宋体" w:cs="宋体"/>
          <w:bCs/>
          <w:color w:val="auto"/>
          <w:szCs w:val="21"/>
          <w:highlight w:val="none"/>
          <w:lang w:val="zh-CN"/>
        </w:rPr>
        <w:t>15.4保修</w:t>
      </w:r>
      <w:bookmarkEnd w:id="521"/>
      <w:bookmarkEnd w:id="522"/>
      <w:bookmarkEnd w:id="523"/>
      <w:bookmarkEnd w:id="524"/>
    </w:p>
    <w:p w14:paraId="0D1A30F9">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15.4.1保修责任</w:t>
      </w:r>
    </w:p>
    <w:p w14:paraId="3037BC9C">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工程保修期为：</w:t>
      </w:r>
      <w:r>
        <w:rPr>
          <w:rFonts w:hint="eastAsia" w:ascii="宋体" w:hAnsi="宋体" w:eastAsia="宋体" w:cs="宋体"/>
          <w:color w:val="auto"/>
          <w:kern w:val="0"/>
          <w:szCs w:val="21"/>
          <w:highlight w:val="none"/>
          <w:u w:val="single"/>
        </w:rPr>
        <w:t>24个月</w:t>
      </w:r>
      <w:r>
        <w:rPr>
          <w:rFonts w:hint="eastAsia" w:ascii="宋体" w:hAnsi="宋体" w:eastAsia="宋体" w:cs="宋体"/>
          <w:color w:val="auto"/>
          <w:kern w:val="0"/>
          <w:szCs w:val="21"/>
          <w:highlight w:val="none"/>
        </w:rPr>
        <w:t>。</w:t>
      </w:r>
    </w:p>
    <w:p w14:paraId="519060A8">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15.4.3修复通知</w:t>
      </w:r>
    </w:p>
    <w:p w14:paraId="12200012">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承包人收到保修通知并到达工程现场的合理时间：</w:t>
      </w:r>
      <w:r>
        <w:rPr>
          <w:rFonts w:hint="eastAsia" w:ascii="宋体" w:hAnsi="宋体" w:eastAsia="宋体" w:cs="宋体"/>
          <w:color w:val="auto"/>
          <w:kern w:val="0"/>
          <w:szCs w:val="21"/>
          <w:highlight w:val="none"/>
          <w:u w:val="single"/>
        </w:rPr>
        <w:t xml:space="preserve"> 24小时内</w:t>
      </w:r>
      <w:r>
        <w:rPr>
          <w:rFonts w:hint="eastAsia" w:ascii="宋体" w:hAnsi="宋体" w:eastAsia="宋体" w:cs="宋体"/>
          <w:color w:val="auto"/>
          <w:kern w:val="0"/>
          <w:szCs w:val="21"/>
          <w:highlight w:val="none"/>
        </w:rPr>
        <w:t>。</w:t>
      </w:r>
    </w:p>
    <w:p w14:paraId="7A93FC6F">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25" w:name="_Toc510377839"/>
      <w:bookmarkStart w:id="526" w:name="_Toc512164658"/>
      <w:bookmarkStart w:id="527" w:name="_Toc505785423"/>
      <w:bookmarkStart w:id="528" w:name="_Toc504119124"/>
      <w:r>
        <w:rPr>
          <w:rFonts w:hint="eastAsia" w:ascii="宋体" w:hAnsi="宋体" w:eastAsia="宋体" w:cs="宋体"/>
          <w:bCs/>
          <w:color w:val="auto"/>
          <w:szCs w:val="21"/>
          <w:highlight w:val="none"/>
          <w:lang w:val="zh-CN"/>
        </w:rPr>
        <w:t>16.违约</w:t>
      </w:r>
      <w:bookmarkEnd w:id="525"/>
      <w:bookmarkEnd w:id="526"/>
      <w:bookmarkEnd w:id="527"/>
      <w:bookmarkEnd w:id="528"/>
    </w:p>
    <w:p w14:paraId="4970C7FC">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29" w:name="_Toc504119125"/>
      <w:bookmarkStart w:id="530" w:name="_Toc512164659"/>
      <w:bookmarkStart w:id="531" w:name="_Toc510377840"/>
      <w:bookmarkStart w:id="532" w:name="_Toc505785424"/>
      <w:r>
        <w:rPr>
          <w:rFonts w:hint="eastAsia" w:ascii="宋体" w:hAnsi="宋体" w:eastAsia="宋体" w:cs="宋体"/>
          <w:bCs/>
          <w:color w:val="auto"/>
          <w:szCs w:val="21"/>
          <w:highlight w:val="none"/>
          <w:lang w:val="zh-CN"/>
        </w:rPr>
        <w:t>16.1发包人违约</w:t>
      </w:r>
      <w:bookmarkEnd w:id="529"/>
      <w:bookmarkEnd w:id="530"/>
      <w:bookmarkEnd w:id="531"/>
      <w:bookmarkEnd w:id="532"/>
    </w:p>
    <w:p w14:paraId="2A91C199">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16.1.1发包人违约的情形</w:t>
      </w:r>
    </w:p>
    <w:p w14:paraId="70394D22">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发包人违约的其他情形</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除通用条款16.1.1条规定的情形外，合同签订后因政策调整造成工期延误，工期顺延</w:t>
      </w:r>
      <w:r>
        <w:rPr>
          <w:rFonts w:hint="eastAsia" w:ascii="宋体" w:hAnsi="宋体" w:eastAsia="宋体" w:cs="宋体"/>
          <w:color w:val="auto"/>
          <w:szCs w:val="21"/>
          <w:highlight w:val="none"/>
        </w:rPr>
        <w:t>。</w:t>
      </w:r>
    </w:p>
    <w:p w14:paraId="1D7D490A">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16.1.2发包人违约的责任</w:t>
      </w:r>
    </w:p>
    <w:p w14:paraId="2EDC738E">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发包人违约责任的承担方式和计算方法：</w:t>
      </w:r>
    </w:p>
    <w:p w14:paraId="6163BD4F">
      <w:pPr>
        <w:spacing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⑴因发包人原因未能在计划开工日期前7天内下达开工通知的违约责任：</w:t>
      </w:r>
      <w:r>
        <w:rPr>
          <w:rFonts w:hint="eastAsia" w:ascii="宋体" w:hAnsi="宋体" w:eastAsia="宋体" w:cs="宋体"/>
          <w:color w:val="auto"/>
          <w:kern w:val="0"/>
          <w:szCs w:val="21"/>
          <w:highlight w:val="none"/>
          <w:u w:val="single"/>
        </w:rPr>
        <w:t>工期顺延</w:t>
      </w:r>
      <w:r>
        <w:rPr>
          <w:rFonts w:hint="eastAsia" w:ascii="宋体" w:hAnsi="宋体" w:eastAsia="宋体" w:cs="宋体"/>
          <w:color w:val="auto"/>
          <w:kern w:val="0"/>
          <w:szCs w:val="21"/>
          <w:highlight w:val="none"/>
        </w:rPr>
        <w:t>。</w:t>
      </w:r>
    </w:p>
    <w:p w14:paraId="1CDE028D">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⑵因发包人原因未能按合同约定支付合同价款的违约责任：</w:t>
      </w:r>
      <w:r>
        <w:rPr>
          <w:rFonts w:hint="eastAsia" w:ascii="宋体" w:hAnsi="宋体" w:eastAsia="宋体" w:cs="宋体"/>
          <w:color w:val="auto"/>
          <w:kern w:val="0"/>
          <w:szCs w:val="21"/>
          <w:highlight w:val="none"/>
          <w:u w:val="single"/>
        </w:rPr>
        <w:t>按照专用条款12.4.4第⑵条执行</w:t>
      </w:r>
      <w:r>
        <w:rPr>
          <w:rFonts w:hint="eastAsia" w:ascii="宋体" w:hAnsi="宋体" w:eastAsia="宋体" w:cs="宋体"/>
          <w:color w:val="auto"/>
          <w:kern w:val="0"/>
          <w:szCs w:val="21"/>
          <w:highlight w:val="none"/>
        </w:rPr>
        <w:t>。</w:t>
      </w:r>
    </w:p>
    <w:p w14:paraId="4C92E001">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⑶发包人违反第10.1款〔变更的范围〕第⑵项约定，自行实施被取消的工作或转由他人实施的违约责任：</w:t>
      </w:r>
      <w:r>
        <w:rPr>
          <w:rFonts w:hint="eastAsia" w:ascii="宋体" w:hAnsi="宋体" w:eastAsia="宋体" w:cs="宋体"/>
          <w:color w:val="auto"/>
          <w:kern w:val="0"/>
          <w:szCs w:val="21"/>
          <w:highlight w:val="none"/>
          <w:u w:val="single"/>
        </w:rPr>
        <w:t>按取消或转出部分价款的10％支付违约金</w:t>
      </w:r>
      <w:r>
        <w:rPr>
          <w:rFonts w:hint="eastAsia" w:ascii="宋体" w:hAnsi="宋体" w:eastAsia="宋体" w:cs="宋体"/>
          <w:color w:val="auto"/>
          <w:kern w:val="0"/>
          <w:szCs w:val="21"/>
          <w:highlight w:val="none"/>
        </w:rPr>
        <w:t>。</w:t>
      </w:r>
    </w:p>
    <w:p w14:paraId="15573671">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⑷发包人提供的材料、工程设备的规格、数量或质量不符合合同约定，或因发包人原因导致交货日期延误或交货地点变更等情况的违约责任：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rPr>
        <w:t>工期顺延，所增加的费用由发包人承担</w:t>
      </w:r>
      <w:r>
        <w:rPr>
          <w:rFonts w:hint="eastAsia" w:ascii="宋体" w:hAnsi="宋体" w:eastAsia="宋体" w:cs="宋体"/>
          <w:color w:val="auto"/>
          <w:kern w:val="0"/>
          <w:szCs w:val="21"/>
          <w:highlight w:val="none"/>
        </w:rPr>
        <w:t>。</w:t>
      </w:r>
    </w:p>
    <w:p w14:paraId="493B44D4">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⑸因发包人违反合同约定造成暂停施工的违约责任：</w:t>
      </w:r>
      <w:r>
        <w:rPr>
          <w:rFonts w:hint="eastAsia" w:ascii="宋体" w:hAnsi="宋体" w:eastAsia="宋体" w:cs="宋体"/>
          <w:color w:val="auto"/>
          <w:kern w:val="0"/>
          <w:szCs w:val="21"/>
          <w:highlight w:val="none"/>
          <w:u w:val="single"/>
        </w:rPr>
        <w:t>工期顺延，给施工方造成的损失双方协商解决</w:t>
      </w:r>
      <w:r>
        <w:rPr>
          <w:rFonts w:hint="eastAsia" w:ascii="宋体" w:hAnsi="宋体" w:eastAsia="宋体" w:cs="宋体"/>
          <w:color w:val="auto"/>
          <w:kern w:val="0"/>
          <w:szCs w:val="21"/>
          <w:highlight w:val="none"/>
        </w:rPr>
        <w:t>。</w:t>
      </w:r>
    </w:p>
    <w:p w14:paraId="3E4BD5D1">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⑹发包人无正当理由没有在约定期限内发出复工指示，导致承包人无法复工的违约责任：</w:t>
      </w:r>
      <w:r>
        <w:rPr>
          <w:rFonts w:hint="eastAsia" w:ascii="宋体" w:hAnsi="宋体" w:eastAsia="宋体" w:cs="宋体"/>
          <w:color w:val="auto"/>
          <w:kern w:val="0"/>
          <w:szCs w:val="21"/>
          <w:highlight w:val="none"/>
          <w:u w:val="single"/>
        </w:rPr>
        <w:t>工期顺延，给施工方造成的损失双方协商解决</w:t>
      </w:r>
      <w:r>
        <w:rPr>
          <w:rFonts w:hint="eastAsia" w:ascii="宋体" w:hAnsi="宋体" w:eastAsia="宋体" w:cs="宋体"/>
          <w:color w:val="auto"/>
          <w:kern w:val="0"/>
          <w:szCs w:val="21"/>
          <w:highlight w:val="none"/>
        </w:rPr>
        <w:t>。</w:t>
      </w:r>
    </w:p>
    <w:p w14:paraId="413BA03B">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⑺其他</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7D91AD6">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16.1.3因发包人违约解除合同</w:t>
      </w:r>
    </w:p>
    <w:p w14:paraId="496791EC">
      <w:pPr>
        <w:autoSpaceDE w:val="0"/>
        <w:autoSpaceDN w:val="0"/>
        <w:adjustRightInd w:val="0"/>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承包人按16.1.1项〔发包人违约的情形〕约定暂停施工满</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天后发包人仍不纠正其违约行为并致使合同目的不能实现的，承包人有权解除合同。</w:t>
      </w:r>
    </w:p>
    <w:p w14:paraId="50F88550">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33" w:name="_Toc504119126"/>
      <w:bookmarkStart w:id="534" w:name="_Toc505785425"/>
      <w:bookmarkStart w:id="535" w:name="_Toc510377841"/>
      <w:bookmarkStart w:id="536" w:name="_Toc512164660"/>
      <w:r>
        <w:rPr>
          <w:rFonts w:hint="eastAsia" w:ascii="宋体" w:hAnsi="宋体" w:eastAsia="宋体" w:cs="宋体"/>
          <w:bCs/>
          <w:color w:val="auto"/>
          <w:szCs w:val="21"/>
          <w:highlight w:val="none"/>
          <w:lang w:val="zh-CN"/>
        </w:rPr>
        <w:t>16.2承包人违约</w:t>
      </w:r>
      <w:bookmarkEnd w:id="533"/>
      <w:bookmarkEnd w:id="534"/>
      <w:bookmarkEnd w:id="535"/>
      <w:bookmarkEnd w:id="536"/>
    </w:p>
    <w:p w14:paraId="14600CBD">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16.2.1承包人违约的情形</w:t>
      </w:r>
    </w:p>
    <w:p w14:paraId="515EA5C9">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承包人违约的其他情形</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除通用条款16.1.2条规定的情形外，及承包人无故停工的行为</w:t>
      </w:r>
      <w:r>
        <w:rPr>
          <w:rFonts w:hint="eastAsia" w:ascii="宋体" w:hAnsi="宋体" w:eastAsia="宋体" w:cs="宋体"/>
          <w:color w:val="auto"/>
          <w:szCs w:val="21"/>
          <w:highlight w:val="none"/>
        </w:rPr>
        <w:t>。</w:t>
      </w:r>
    </w:p>
    <w:p w14:paraId="78483A84">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16.2.2承包人违约的责任</w:t>
      </w:r>
    </w:p>
    <w:p w14:paraId="555BED95">
      <w:pPr>
        <w:spacing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承包人违约责任的承担方式和计算方法：</w:t>
      </w:r>
      <w:r>
        <w:rPr>
          <w:rFonts w:hint="eastAsia" w:ascii="宋体" w:hAnsi="宋体" w:eastAsia="宋体" w:cs="宋体"/>
          <w:color w:val="auto"/>
          <w:kern w:val="0"/>
          <w:szCs w:val="21"/>
          <w:highlight w:val="none"/>
          <w:u w:val="single"/>
        </w:rPr>
        <w:t>由承包人按相关规定承担全部费用及相关法律责任</w:t>
      </w:r>
      <w:r>
        <w:rPr>
          <w:rFonts w:hint="eastAsia" w:ascii="宋体" w:hAnsi="宋体" w:eastAsia="宋体" w:cs="宋体"/>
          <w:color w:val="auto"/>
          <w:kern w:val="0"/>
          <w:szCs w:val="21"/>
          <w:highlight w:val="none"/>
        </w:rPr>
        <w:t>。</w:t>
      </w:r>
    </w:p>
    <w:p w14:paraId="41C74501">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16.2.3因承包人违约解除合同</w:t>
      </w:r>
    </w:p>
    <w:p w14:paraId="1C99CB28">
      <w:pPr>
        <w:spacing w:line="360" w:lineRule="auto"/>
        <w:ind w:firstLine="48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color w:val="auto"/>
          <w:szCs w:val="21"/>
          <w:highlight w:val="none"/>
          <w:u w:val="single"/>
        </w:rPr>
        <w:t>在监理人的监督下清理现场，7天内撤离；撤离时除施工设备外，已进场的材料、临时工程、文件及承包人编制的其他文件严禁撤离</w:t>
      </w:r>
      <w:r>
        <w:rPr>
          <w:rFonts w:hint="eastAsia" w:ascii="宋体" w:hAnsi="宋体" w:eastAsia="宋体" w:cs="宋体"/>
          <w:color w:val="auto"/>
          <w:kern w:val="0"/>
          <w:szCs w:val="21"/>
          <w:highlight w:val="none"/>
        </w:rPr>
        <w:t>。</w:t>
      </w:r>
    </w:p>
    <w:p w14:paraId="6D5F2A40">
      <w:pPr>
        <w:spacing w:line="360" w:lineRule="auto"/>
        <w:ind w:firstLine="48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rPr>
        <w:t>由承包人自行承担</w:t>
      </w:r>
      <w:r>
        <w:rPr>
          <w:rFonts w:hint="eastAsia" w:ascii="宋体" w:hAnsi="宋体" w:eastAsia="宋体" w:cs="宋体"/>
          <w:color w:val="auto"/>
          <w:kern w:val="0"/>
          <w:szCs w:val="21"/>
          <w:highlight w:val="none"/>
        </w:rPr>
        <w:t>。</w:t>
      </w:r>
    </w:p>
    <w:p w14:paraId="744A178F">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37" w:name="_Toc505785426"/>
      <w:bookmarkStart w:id="538" w:name="_Toc512164661"/>
      <w:bookmarkStart w:id="539" w:name="_Toc504119127"/>
      <w:bookmarkStart w:id="540" w:name="_Toc510377842"/>
      <w:r>
        <w:rPr>
          <w:rFonts w:hint="eastAsia" w:ascii="宋体" w:hAnsi="宋体" w:eastAsia="宋体" w:cs="宋体"/>
          <w:bCs/>
          <w:color w:val="auto"/>
          <w:szCs w:val="21"/>
          <w:highlight w:val="none"/>
          <w:lang w:val="zh-CN"/>
        </w:rPr>
        <w:t>17.不可抗力</w:t>
      </w:r>
      <w:bookmarkEnd w:id="537"/>
      <w:bookmarkEnd w:id="538"/>
      <w:bookmarkEnd w:id="539"/>
      <w:bookmarkEnd w:id="540"/>
    </w:p>
    <w:p w14:paraId="61551742">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41" w:name="_Toc510377843"/>
      <w:bookmarkStart w:id="542" w:name="_Toc505785427"/>
      <w:bookmarkStart w:id="543" w:name="_Toc504119128"/>
      <w:bookmarkStart w:id="544" w:name="_Toc512164662"/>
      <w:r>
        <w:rPr>
          <w:rFonts w:hint="eastAsia" w:ascii="宋体" w:hAnsi="宋体" w:eastAsia="宋体" w:cs="宋体"/>
          <w:bCs/>
          <w:color w:val="auto"/>
          <w:szCs w:val="21"/>
          <w:highlight w:val="none"/>
          <w:lang w:val="zh-CN"/>
        </w:rPr>
        <w:t>17.1不可抗力的确认</w:t>
      </w:r>
      <w:bookmarkEnd w:id="541"/>
      <w:bookmarkEnd w:id="542"/>
      <w:bookmarkEnd w:id="543"/>
      <w:bookmarkEnd w:id="544"/>
    </w:p>
    <w:p w14:paraId="2C92D96B">
      <w:pPr>
        <w:spacing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除通用合同条款约定的不可抗力事件之外，视为不可抗力的其他情形：</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48461E4A">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45" w:name="_Toc504119129"/>
      <w:bookmarkStart w:id="546" w:name="_Toc505785428"/>
      <w:bookmarkStart w:id="547" w:name="_Toc510377844"/>
      <w:bookmarkStart w:id="548" w:name="_Toc512164663"/>
      <w:r>
        <w:rPr>
          <w:rFonts w:hint="eastAsia" w:ascii="宋体" w:hAnsi="宋体" w:eastAsia="宋体" w:cs="宋体"/>
          <w:bCs/>
          <w:color w:val="auto"/>
          <w:szCs w:val="21"/>
          <w:highlight w:val="none"/>
          <w:lang w:val="zh-CN"/>
        </w:rPr>
        <w:t>17.4因不可抗力解除合同</w:t>
      </w:r>
      <w:bookmarkEnd w:id="545"/>
      <w:bookmarkEnd w:id="546"/>
      <w:bookmarkEnd w:id="547"/>
      <w:bookmarkEnd w:id="548"/>
    </w:p>
    <w:p w14:paraId="7E3BF609">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天内完成款项的支付。</w:t>
      </w:r>
    </w:p>
    <w:p w14:paraId="6BE37D32">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49" w:name="_Toc512164664"/>
      <w:bookmarkStart w:id="550" w:name="_Toc504119130"/>
      <w:bookmarkStart w:id="551" w:name="_Toc510377845"/>
      <w:bookmarkStart w:id="552" w:name="_Toc505785429"/>
      <w:r>
        <w:rPr>
          <w:rFonts w:hint="eastAsia" w:ascii="宋体" w:hAnsi="宋体" w:eastAsia="宋体" w:cs="宋体"/>
          <w:bCs/>
          <w:color w:val="auto"/>
          <w:szCs w:val="21"/>
          <w:highlight w:val="none"/>
          <w:lang w:val="zh-CN"/>
        </w:rPr>
        <w:t>18.保险</w:t>
      </w:r>
      <w:bookmarkEnd w:id="549"/>
      <w:bookmarkEnd w:id="550"/>
      <w:bookmarkEnd w:id="551"/>
      <w:bookmarkEnd w:id="552"/>
    </w:p>
    <w:p w14:paraId="6DB989AA">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53" w:name="_Toc512164665"/>
      <w:bookmarkStart w:id="554" w:name="_Toc505785430"/>
      <w:bookmarkStart w:id="555" w:name="_Toc510377846"/>
      <w:bookmarkStart w:id="556" w:name="_Toc504119131"/>
      <w:r>
        <w:rPr>
          <w:rFonts w:hint="eastAsia" w:ascii="宋体" w:hAnsi="宋体" w:eastAsia="宋体" w:cs="宋体"/>
          <w:bCs/>
          <w:color w:val="auto"/>
          <w:szCs w:val="21"/>
          <w:highlight w:val="none"/>
          <w:lang w:val="zh-CN"/>
        </w:rPr>
        <w:t>18.1工程保险</w:t>
      </w:r>
      <w:bookmarkEnd w:id="553"/>
      <w:bookmarkEnd w:id="554"/>
      <w:bookmarkEnd w:id="555"/>
      <w:bookmarkEnd w:id="556"/>
    </w:p>
    <w:p w14:paraId="6FB1A6D3">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single"/>
        </w:rPr>
        <w:t>通用条款约定相关保险及建筑工程和安装工程一切险由承包人承担</w:t>
      </w:r>
      <w:r>
        <w:rPr>
          <w:rFonts w:hint="eastAsia" w:ascii="宋体" w:hAnsi="宋体" w:eastAsia="宋体" w:cs="宋体"/>
          <w:color w:val="auto"/>
          <w:kern w:val="0"/>
          <w:szCs w:val="21"/>
          <w:highlight w:val="none"/>
        </w:rPr>
        <w:t>。</w:t>
      </w:r>
    </w:p>
    <w:p w14:paraId="099FEDA2">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57" w:name="_Toc510377847"/>
      <w:bookmarkStart w:id="558" w:name="_Toc512164666"/>
      <w:bookmarkStart w:id="559" w:name="_Toc505785431"/>
      <w:bookmarkStart w:id="560" w:name="_Toc504119132"/>
      <w:r>
        <w:rPr>
          <w:rFonts w:hint="eastAsia" w:ascii="宋体" w:hAnsi="宋体" w:eastAsia="宋体" w:cs="宋体"/>
          <w:bCs/>
          <w:color w:val="auto"/>
          <w:szCs w:val="21"/>
          <w:highlight w:val="none"/>
          <w:lang w:val="zh-CN"/>
        </w:rPr>
        <w:t>18.3其他保险</w:t>
      </w:r>
      <w:bookmarkEnd w:id="557"/>
      <w:bookmarkEnd w:id="558"/>
      <w:bookmarkEnd w:id="559"/>
      <w:bookmarkEnd w:id="560"/>
    </w:p>
    <w:p w14:paraId="24B82756">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10B4DB2">
      <w:pPr>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u w:val="single"/>
        </w:rPr>
        <w:t>是</w:t>
      </w:r>
      <w:r>
        <w:rPr>
          <w:rFonts w:hint="eastAsia" w:ascii="宋体" w:hAnsi="宋体" w:eastAsia="宋体" w:cs="宋体"/>
          <w:color w:val="auto"/>
          <w:kern w:val="0"/>
          <w:szCs w:val="21"/>
          <w:highlight w:val="none"/>
        </w:rPr>
        <w:t>。</w:t>
      </w:r>
    </w:p>
    <w:p w14:paraId="7479B4E5">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61" w:name="_Toc512164667"/>
      <w:bookmarkStart w:id="562" w:name="_Toc510377848"/>
      <w:bookmarkStart w:id="563" w:name="_Toc505785432"/>
      <w:bookmarkStart w:id="564" w:name="_Toc504119133"/>
      <w:r>
        <w:rPr>
          <w:rFonts w:hint="eastAsia" w:ascii="宋体" w:hAnsi="宋体" w:eastAsia="宋体" w:cs="宋体"/>
          <w:bCs/>
          <w:color w:val="auto"/>
          <w:szCs w:val="21"/>
          <w:highlight w:val="none"/>
          <w:lang w:val="zh-CN"/>
        </w:rPr>
        <w:t>18.7通知义务</w:t>
      </w:r>
      <w:bookmarkEnd w:id="561"/>
      <w:bookmarkEnd w:id="562"/>
      <w:bookmarkEnd w:id="563"/>
      <w:bookmarkEnd w:id="564"/>
    </w:p>
    <w:p w14:paraId="6148A73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关于变更保险合同时的通知义务的约定：</w:t>
      </w:r>
      <w:r>
        <w:rPr>
          <w:rFonts w:hint="eastAsia" w:ascii="宋体" w:hAnsi="宋体" w:eastAsia="宋体" w:cs="宋体"/>
          <w:color w:val="auto"/>
          <w:szCs w:val="21"/>
          <w:highlight w:val="none"/>
          <w:u w:val="single"/>
        </w:rPr>
        <w:t>执行通用条款第18.7条</w:t>
      </w:r>
      <w:r>
        <w:rPr>
          <w:rFonts w:hint="eastAsia" w:ascii="宋体" w:hAnsi="宋体" w:eastAsia="宋体" w:cs="宋体"/>
          <w:color w:val="auto"/>
          <w:kern w:val="0"/>
          <w:szCs w:val="21"/>
          <w:highlight w:val="none"/>
        </w:rPr>
        <w:t>。</w:t>
      </w:r>
    </w:p>
    <w:p w14:paraId="613FE73E">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65" w:name="_Toc504119134"/>
      <w:bookmarkStart w:id="566" w:name="_Toc510377849"/>
      <w:bookmarkStart w:id="567" w:name="_Toc505785433"/>
      <w:bookmarkStart w:id="568" w:name="_Toc512164668"/>
      <w:r>
        <w:rPr>
          <w:rFonts w:hint="eastAsia" w:ascii="宋体" w:hAnsi="宋体" w:eastAsia="宋体" w:cs="宋体"/>
          <w:bCs/>
          <w:color w:val="auto"/>
          <w:szCs w:val="21"/>
          <w:highlight w:val="none"/>
          <w:lang w:val="zh-CN"/>
        </w:rPr>
        <w:t>20.争议解决</w:t>
      </w:r>
      <w:bookmarkEnd w:id="565"/>
      <w:bookmarkEnd w:id="566"/>
      <w:bookmarkEnd w:id="567"/>
      <w:bookmarkEnd w:id="568"/>
    </w:p>
    <w:p w14:paraId="594B3951">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69" w:name="_Toc504119135"/>
      <w:bookmarkStart w:id="570" w:name="_Toc510377850"/>
      <w:bookmarkStart w:id="571" w:name="_Toc505785434"/>
      <w:bookmarkStart w:id="572" w:name="_Toc512164669"/>
      <w:r>
        <w:rPr>
          <w:rFonts w:hint="eastAsia" w:ascii="宋体" w:hAnsi="宋体" w:eastAsia="宋体" w:cs="宋体"/>
          <w:bCs/>
          <w:color w:val="auto"/>
          <w:szCs w:val="21"/>
          <w:highlight w:val="none"/>
          <w:lang w:val="zh-CN"/>
        </w:rPr>
        <w:t>20.3争议评审</w:t>
      </w:r>
      <w:bookmarkEnd w:id="569"/>
      <w:bookmarkEnd w:id="570"/>
      <w:bookmarkEnd w:id="571"/>
      <w:bookmarkEnd w:id="572"/>
    </w:p>
    <w:p w14:paraId="557A6E94">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否</w:t>
      </w:r>
      <w:r>
        <w:rPr>
          <w:rFonts w:hint="eastAsia" w:ascii="宋体" w:hAnsi="宋体" w:eastAsia="宋体" w:cs="宋体"/>
          <w:color w:val="auto"/>
          <w:szCs w:val="21"/>
          <w:highlight w:val="none"/>
        </w:rPr>
        <w:t>。</w:t>
      </w:r>
    </w:p>
    <w:p w14:paraId="1629AD26">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20.3.1争议评审小组的确定</w:t>
      </w:r>
    </w:p>
    <w:p w14:paraId="09770D95">
      <w:pPr>
        <w:spacing w:line="360" w:lineRule="auto"/>
        <w:ind w:firstLine="48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2019699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11FACCD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70FFBF73">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14876E15">
      <w:pPr>
        <w:autoSpaceDE w:val="0"/>
        <w:autoSpaceDN w:val="0"/>
        <w:adjustRightInd w:val="0"/>
        <w:spacing w:line="360" w:lineRule="auto"/>
        <w:ind w:firstLine="48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20.3.2争议评审小组的决定</w:t>
      </w:r>
    </w:p>
    <w:p w14:paraId="2DE506D4">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14:paraId="65AEAD6A">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73" w:name="_Toc505785435"/>
      <w:bookmarkStart w:id="574" w:name="_Toc510377851"/>
      <w:bookmarkStart w:id="575" w:name="_Toc512164670"/>
      <w:bookmarkStart w:id="576" w:name="_Toc504119136"/>
      <w:r>
        <w:rPr>
          <w:rFonts w:hint="eastAsia" w:ascii="宋体" w:hAnsi="宋体" w:eastAsia="宋体" w:cs="宋体"/>
          <w:bCs/>
          <w:color w:val="auto"/>
          <w:szCs w:val="21"/>
          <w:highlight w:val="none"/>
          <w:lang w:val="zh-CN"/>
        </w:rPr>
        <w:t>20.4仲裁或诉讼</w:t>
      </w:r>
      <w:bookmarkEnd w:id="573"/>
      <w:bookmarkEnd w:id="574"/>
      <w:bookmarkEnd w:id="575"/>
      <w:bookmarkEnd w:id="576"/>
    </w:p>
    <w:p w14:paraId="58485853">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⑵</w:t>
      </w:r>
      <w:r>
        <w:rPr>
          <w:rFonts w:hint="eastAsia" w:ascii="宋体" w:hAnsi="宋体" w:eastAsia="宋体" w:cs="宋体"/>
          <w:color w:val="auto"/>
          <w:szCs w:val="21"/>
          <w:highlight w:val="none"/>
        </w:rPr>
        <w:t>种方式解决：</w:t>
      </w:r>
    </w:p>
    <w:p w14:paraId="681AD3AD">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⑴向</w:t>
      </w:r>
      <w:r>
        <w:rPr>
          <w:rFonts w:hint="eastAsia" w:ascii="宋体" w:hAnsi="宋体" w:eastAsia="宋体" w:cs="宋体"/>
          <w:color w:val="auto"/>
          <w:szCs w:val="21"/>
          <w:highlight w:val="none"/>
          <w:u w:val="single"/>
        </w:rPr>
        <w:t>项目所在地</w:t>
      </w:r>
      <w:r>
        <w:rPr>
          <w:rFonts w:hint="eastAsia" w:ascii="宋体" w:hAnsi="宋体" w:eastAsia="宋体" w:cs="宋体"/>
          <w:color w:val="auto"/>
          <w:szCs w:val="21"/>
          <w:highlight w:val="none"/>
        </w:rPr>
        <w:t>仲裁委员会申请仲裁；</w:t>
      </w:r>
    </w:p>
    <w:p w14:paraId="35751D3C">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⑵向</w:t>
      </w:r>
      <w:r>
        <w:rPr>
          <w:rFonts w:hint="eastAsia" w:ascii="宋体" w:hAnsi="宋体" w:eastAsia="宋体" w:cs="宋体"/>
          <w:color w:val="auto"/>
          <w:szCs w:val="21"/>
          <w:highlight w:val="none"/>
          <w:u w:val="single"/>
        </w:rPr>
        <w:t>项目所在地</w:t>
      </w:r>
      <w:r>
        <w:rPr>
          <w:rFonts w:hint="eastAsia" w:ascii="宋体" w:hAnsi="宋体" w:eastAsia="宋体" w:cs="宋体"/>
          <w:color w:val="auto"/>
          <w:szCs w:val="21"/>
          <w:highlight w:val="none"/>
        </w:rPr>
        <w:t>人民法院起诉。</w:t>
      </w:r>
    </w:p>
    <w:p w14:paraId="11AB58BE">
      <w:pPr>
        <w:keepNext/>
        <w:keepLines/>
        <w:spacing w:line="360" w:lineRule="auto"/>
        <w:ind w:firstLine="480" w:firstLineChars="200"/>
        <w:jc w:val="left"/>
        <w:outlineLvl w:val="2"/>
        <w:rPr>
          <w:rFonts w:hint="eastAsia" w:ascii="宋体" w:hAnsi="宋体" w:eastAsia="宋体" w:cs="宋体"/>
          <w:bCs/>
          <w:color w:val="auto"/>
          <w:szCs w:val="21"/>
          <w:highlight w:val="none"/>
          <w:lang w:val="zh-CN"/>
        </w:rPr>
      </w:pPr>
      <w:bookmarkStart w:id="577" w:name="_Toc512164671"/>
      <w:bookmarkStart w:id="578" w:name="_Toc505785436"/>
      <w:bookmarkStart w:id="579" w:name="_Toc510377852"/>
      <w:bookmarkStart w:id="580" w:name="_Toc504119137"/>
      <w:r>
        <w:rPr>
          <w:rFonts w:hint="eastAsia" w:ascii="宋体" w:hAnsi="宋体" w:eastAsia="宋体" w:cs="宋体"/>
          <w:bCs/>
          <w:color w:val="auto"/>
          <w:szCs w:val="21"/>
          <w:highlight w:val="none"/>
          <w:lang w:val="zh-CN"/>
        </w:rPr>
        <w:t>21.补充条款</w:t>
      </w:r>
      <w:bookmarkEnd w:id="577"/>
      <w:bookmarkEnd w:id="578"/>
      <w:bookmarkEnd w:id="579"/>
      <w:bookmarkEnd w:id="580"/>
    </w:p>
    <w:p w14:paraId="0860685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21.1承包人若因报价过低致使合同履行中无故要求变更投标承诺和变更投标报价（含单价、合价和总价）的，按下列规定执行：</w:t>
      </w:r>
    </w:p>
    <w:p w14:paraId="0D061976">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不全面履行合同的，除扣除履约担保金外，还应承担由此造成发包人的实际损失。此外，发包人可将有关情况报建设行政主管部门，由建设行政主管部门依照有关法律、法规给予相应处罚，并作为不良市场行为记录；</w:t>
      </w:r>
    </w:p>
    <w:p w14:paraId="70918ACC">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在合同履行中，承包人无故要求变更投标承诺和变更投标报价（含单价、合价和总价）的，发包人不给予调整，可视情况终止合同，由此造成发包人的实际损失由承包人承担赔偿责任。发包人可将有关情况报建设行政主管部门，由建设行政主管部门依照有关法律、法规给予相应处罚，并作为不良市场行为记录。</w:t>
      </w:r>
    </w:p>
    <w:p w14:paraId="5E75617A">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承包人必须保证资金专款专用，绝不挪作他用，在收到工程预付款和进度款前必须列出开支计划，确保民工工资的支付，并接受发包人的监督。若发生挪作他用或不按开支计划合理使用工程资金，发包人有权停止支付款项，并有权直接支付相应开支，且承包人不能因此而停止工程的施工。</w:t>
      </w:r>
    </w:p>
    <w:p w14:paraId="21906E1F">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承包人通过对现场考察，应结合本工程的实际情况，对施工现场作周密布置，除充分考虑上述规定外，还应对现场施工用水的排放及排污做统一安排。若因排水、排污妨碍沿线居民正常生活或工农业生产，一切责任由承包人承担。</w:t>
      </w:r>
    </w:p>
    <w:p w14:paraId="2754429F">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21.4若工程师对承包人所用材料有疑虑，以云南省质量技术监督局或其它专业资质机构鉴定结果为准，检验费用由承包人承担。</w:t>
      </w:r>
    </w:p>
    <w:p w14:paraId="001679CC">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21.5本项目实行全过程审计监控，承包人应配合全过程审计监控项目组的工作。</w:t>
      </w:r>
    </w:p>
    <w:p w14:paraId="5B1489FB">
      <w:pPr>
        <w:spacing w:line="360" w:lineRule="auto"/>
        <w:jc w:val="left"/>
        <w:rPr>
          <w:rFonts w:hint="eastAsia" w:ascii="宋体" w:hAnsi="宋体" w:eastAsia="宋体" w:cs="宋体"/>
          <w:b/>
          <w:color w:val="auto"/>
          <w:szCs w:val="21"/>
          <w:highlight w:val="none"/>
        </w:rPr>
      </w:pPr>
    </w:p>
    <w:p w14:paraId="04BE714C">
      <w:pPr>
        <w:spacing w:line="360" w:lineRule="auto"/>
        <w:jc w:val="left"/>
        <w:rPr>
          <w:rFonts w:hint="eastAsia" w:ascii="宋体" w:hAnsi="宋体" w:eastAsia="宋体" w:cs="宋体"/>
          <w:b/>
          <w:color w:val="auto"/>
          <w:szCs w:val="21"/>
          <w:highlight w:val="none"/>
        </w:rPr>
      </w:pPr>
    </w:p>
    <w:p w14:paraId="3C7C79A3">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p>
    <w:p w14:paraId="2477BC4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协议书附件：</w:t>
      </w:r>
    </w:p>
    <w:p w14:paraId="56BBE22A">
      <w:pPr>
        <w:spacing w:line="360" w:lineRule="auto"/>
        <w:jc w:val="left"/>
        <w:outlineLvl w:val="0"/>
        <w:rPr>
          <w:rFonts w:hint="eastAsia" w:ascii="宋体" w:hAnsi="宋体" w:eastAsia="宋体" w:cs="宋体"/>
          <w:color w:val="auto"/>
          <w:szCs w:val="21"/>
          <w:highlight w:val="none"/>
        </w:rPr>
      </w:pPr>
      <w:bookmarkStart w:id="581" w:name="_Toc17876"/>
      <w:bookmarkStart w:id="582" w:name="_Toc24022"/>
      <w:bookmarkStart w:id="583" w:name="_Toc11836"/>
      <w:bookmarkStart w:id="584" w:name="_Toc12124"/>
      <w:r>
        <w:rPr>
          <w:rFonts w:hint="eastAsia" w:ascii="宋体" w:hAnsi="宋体" w:eastAsia="宋体" w:cs="宋体"/>
          <w:color w:val="auto"/>
          <w:szCs w:val="21"/>
          <w:highlight w:val="none"/>
        </w:rPr>
        <w:t>附件1：承包人承揽工程项目一览表</w:t>
      </w:r>
      <w:bookmarkEnd w:id="581"/>
      <w:bookmarkEnd w:id="582"/>
      <w:bookmarkEnd w:id="583"/>
      <w:bookmarkEnd w:id="584"/>
    </w:p>
    <w:p w14:paraId="23DE2CB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专用合同条款附件：</w:t>
      </w:r>
    </w:p>
    <w:p w14:paraId="2E1BB61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附件2：发包人供应材料设备一览表</w:t>
      </w:r>
    </w:p>
    <w:p w14:paraId="72A1C4F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附件3：工程质量保修书</w:t>
      </w:r>
    </w:p>
    <w:p w14:paraId="236398A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附件4：主要建设工程文件目录</w:t>
      </w:r>
    </w:p>
    <w:p w14:paraId="02FACD0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附件5：承包人用于本工程施工的机械设备表</w:t>
      </w:r>
    </w:p>
    <w:p w14:paraId="116D9BA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附件6：承包人主要施工管理人员表</w:t>
      </w:r>
    </w:p>
    <w:p w14:paraId="4484C26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附件7：分包人主要施工管理人员表</w:t>
      </w:r>
    </w:p>
    <w:p w14:paraId="579325B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附件8：履约担保格式</w:t>
      </w:r>
    </w:p>
    <w:p w14:paraId="0C2709A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附件9：预付款担保格式</w:t>
      </w:r>
    </w:p>
    <w:p w14:paraId="3EDB236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附件10：支付担保格式</w:t>
      </w:r>
    </w:p>
    <w:p w14:paraId="36E8AC6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附件11：暂估价一览表</w:t>
      </w:r>
    </w:p>
    <w:p w14:paraId="067158BF">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（注：以上附件内容执行《建设工程施工合同（示范文本）》（GF-2017-0201）格式）</w:t>
      </w:r>
    </w:p>
    <w:bookmarkEnd w:id="196"/>
    <w:bookmarkEnd w:id="216"/>
    <w:bookmarkEnd w:id="217"/>
    <w:p w14:paraId="484CC7B9">
      <w:pPr>
        <w:rPr>
          <w:rFonts w:hint="eastAsia" w:ascii="宋体" w:hAnsi="宋体" w:eastAsia="宋体" w:cs="宋体"/>
          <w:bCs w:val="0"/>
          <w:color w:val="auto"/>
          <w:sz w:val="44"/>
          <w:szCs w:val="44"/>
          <w:highlight w:val="none"/>
        </w:rPr>
      </w:pPr>
      <w:bookmarkStart w:id="585" w:name="_Toc24257"/>
      <w:bookmarkStart w:id="586" w:name="_Toc4314"/>
      <w:bookmarkStart w:id="587" w:name="_Toc10338"/>
      <w:bookmarkStart w:id="588" w:name="_Toc31232"/>
      <w:r>
        <w:rPr>
          <w:rFonts w:hint="eastAsia" w:ascii="宋体" w:hAnsi="宋体" w:eastAsia="宋体" w:cs="宋体"/>
          <w:bCs w:val="0"/>
          <w:color w:val="auto"/>
          <w:sz w:val="44"/>
          <w:szCs w:val="44"/>
          <w:highlight w:val="none"/>
        </w:rPr>
        <w:br w:type="page"/>
      </w:r>
    </w:p>
    <w:p w14:paraId="22087BB6">
      <w:pPr>
        <w:pStyle w:val="3"/>
        <w:tabs>
          <w:tab w:val="left" w:pos="432"/>
        </w:tabs>
        <w:snapToGrid w:val="0"/>
        <w:spacing w:before="0" w:after="0" w:line="360" w:lineRule="auto"/>
        <w:jc w:val="center"/>
        <w:outlineLvl w:val="9"/>
        <w:rPr>
          <w:rFonts w:hint="eastAsia" w:ascii="宋体" w:hAnsi="宋体" w:eastAsia="宋体" w:cs="宋体"/>
          <w:bCs w:val="0"/>
          <w:color w:val="auto"/>
          <w:sz w:val="44"/>
          <w:szCs w:val="44"/>
          <w:highlight w:val="none"/>
        </w:rPr>
      </w:pPr>
    </w:p>
    <w:p w14:paraId="28F3083A">
      <w:pPr>
        <w:pStyle w:val="3"/>
        <w:tabs>
          <w:tab w:val="left" w:pos="432"/>
        </w:tabs>
        <w:snapToGrid w:val="0"/>
        <w:spacing w:before="0" w:after="0" w:line="360" w:lineRule="auto"/>
        <w:jc w:val="center"/>
        <w:rPr>
          <w:rFonts w:hint="eastAsia" w:ascii="宋体" w:hAnsi="宋体" w:eastAsia="宋体" w:cs="宋体"/>
          <w:bCs w:val="0"/>
          <w:color w:val="auto"/>
          <w:sz w:val="44"/>
          <w:szCs w:val="44"/>
          <w:highlight w:val="none"/>
        </w:rPr>
      </w:pPr>
      <w:bookmarkStart w:id="589" w:name="_Toc12290"/>
      <w:r>
        <w:rPr>
          <w:rFonts w:hint="eastAsia" w:ascii="宋体" w:hAnsi="宋体" w:eastAsia="宋体" w:cs="宋体"/>
          <w:bCs w:val="0"/>
          <w:color w:val="auto"/>
          <w:sz w:val="44"/>
          <w:szCs w:val="44"/>
          <w:highlight w:val="none"/>
        </w:rPr>
        <w:t>第五章  响应文件格式</w:t>
      </w:r>
      <w:bookmarkEnd w:id="585"/>
      <w:bookmarkEnd w:id="586"/>
      <w:bookmarkEnd w:id="587"/>
      <w:bookmarkEnd w:id="588"/>
      <w:bookmarkEnd w:id="589"/>
    </w:p>
    <w:p w14:paraId="450514D3">
      <w:pPr>
        <w:spacing w:before="15" w:line="360" w:lineRule="auto"/>
        <w:jc w:val="center"/>
        <w:outlineLvl w:val="9"/>
        <w:rPr>
          <w:rFonts w:hint="eastAsia" w:ascii="宋体" w:hAnsi="宋体" w:eastAsia="宋体" w:cs="宋体"/>
          <w:b/>
          <w:color w:val="auto"/>
          <w:kern w:val="2"/>
          <w:sz w:val="44"/>
          <w:szCs w:val="44"/>
          <w:highlight w:val="none"/>
          <w:lang w:eastAsia="zh-CN"/>
        </w:rPr>
      </w:pPr>
    </w:p>
    <w:p w14:paraId="53DDB026">
      <w:pPr>
        <w:spacing w:before="15" w:line="360" w:lineRule="auto"/>
        <w:jc w:val="center"/>
        <w:rPr>
          <w:rFonts w:hint="eastAsia" w:ascii="宋体" w:hAnsi="宋体" w:eastAsia="宋体" w:cs="宋体"/>
          <w:color w:val="auto"/>
          <w:highlight w:val="none"/>
        </w:rPr>
      </w:pPr>
      <w:r>
        <w:rPr>
          <w:rFonts w:hint="eastAsia" w:ascii="宋体" w:hAnsi="宋体" w:eastAsia="宋体" w:cs="宋体"/>
          <w:b/>
          <w:bCs w:val="0"/>
          <w:color w:val="auto"/>
          <w:kern w:val="44"/>
          <w:sz w:val="44"/>
          <w:szCs w:val="44"/>
          <w:highlight w:val="none"/>
          <w:lang w:val="en-US" w:eastAsia="zh-CN" w:bidi="ar-SA"/>
        </w:rPr>
        <w:t>红河县车古乡利博村委会至龙腾公路工程建设项目</w:t>
      </w:r>
    </w:p>
    <w:p w14:paraId="05E5FA17">
      <w:pPr>
        <w:tabs>
          <w:tab w:val="left" w:pos="3600"/>
          <w:tab w:val="left" w:pos="4480"/>
          <w:tab w:val="left" w:pos="5360"/>
        </w:tabs>
        <w:spacing w:line="360" w:lineRule="auto"/>
        <w:jc w:val="center"/>
        <w:rPr>
          <w:rFonts w:hint="eastAsia" w:ascii="宋体" w:hAnsi="宋体" w:eastAsia="宋体" w:cs="宋体"/>
          <w:color w:val="auto"/>
          <w:sz w:val="72"/>
          <w:szCs w:val="72"/>
          <w:highlight w:val="none"/>
        </w:rPr>
      </w:pPr>
    </w:p>
    <w:p w14:paraId="2B8EB437">
      <w:pPr>
        <w:tabs>
          <w:tab w:val="left" w:pos="3600"/>
          <w:tab w:val="left" w:pos="4480"/>
          <w:tab w:val="left" w:pos="5360"/>
        </w:tabs>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响 应 文 件</w:t>
      </w:r>
    </w:p>
    <w:p w14:paraId="4C4952FA">
      <w:pPr>
        <w:spacing w:line="360" w:lineRule="auto"/>
        <w:jc w:val="center"/>
        <w:rPr>
          <w:rFonts w:hint="eastAsia" w:ascii="宋体" w:hAnsi="宋体" w:eastAsia="宋体" w:cs="宋体"/>
          <w:b/>
          <w:color w:val="auto"/>
          <w:kern w:val="2"/>
          <w:sz w:val="28"/>
          <w:szCs w:val="28"/>
          <w:highlight w:val="none"/>
          <w:lang w:eastAsia="zh-CN"/>
        </w:rPr>
      </w:pPr>
      <w:r>
        <w:rPr>
          <w:rFonts w:hint="eastAsia" w:ascii="宋体" w:hAnsi="宋体" w:eastAsia="宋体" w:cs="宋体"/>
          <w:b/>
          <w:color w:val="auto"/>
          <w:kern w:val="2"/>
          <w:sz w:val="28"/>
          <w:szCs w:val="28"/>
          <w:highlight w:val="none"/>
        </w:rPr>
        <w:t>项目编号：</w:t>
      </w:r>
      <w:r>
        <w:rPr>
          <w:rFonts w:hint="eastAsia" w:ascii="宋体" w:hAnsi="宋体" w:eastAsia="宋体" w:cs="宋体"/>
          <w:b/>
          <w:color w:val="auto"/>
          <w:kern w:val="2"/>
          <w:sz w:val="28"/>
          <w:szCs w:val="28"/>
          <w:highlight w:val="none"/>
          <w:lang w:eastAsia="zh-CN"/>
        </w:rPr>
        <w:t>YNJY-260518</w:t>
      </w:r>
    </w:p>
    <w:p w14:paraId="78BCC87F">
      <w:pPr>
        <w:spacing w:line="360" w:lineRule="auto"/>
        <w:rPr>
          <w:rFonts w:hint="eastAsia" w:ascii="宋体" w:hAnsi="宋体" w:eastAsia="宋体" w:cs="宋体"/>
          <w:color w:val="auto"/>
          <w:sz w:val="20"/>
          <w:highlight w:val="none"/>
        </w:rPr>
      </w:pPr>
    </w:p>
    <w:p w14:paraId="5C1D8FAB">
      <w:pPr>
        <w:spacing w:line="360" w:lineRule="auto"/>
        <w:rPr>
          <w:rFonts w:hint="eastAsia" w:ascii="宋体" w:hAnsi="宋体" w:eastAsia="宋体" w:cs="宋体"/>
          <w:color w:val="auto"/>
          <w:sz w:val="20"/>
          <w:highlight w:val="none"/>
        </w:rPr>
      </w:pPr>
    </w:p>
    <w:p w14:paraId="0F216940">
      <w:pPr>
        <w:spacing w:line="360" w:lineRule="auto"/>
        <w:rPr>
          <w:rFonts w:hint="eastAsia" w:ascii="宋体" w:hAnsi="宋体" w:eastAsia="宋体" w:cs="宋体"/>
          <w:color w:val="auto"/>
          <w:sz w:val="20"/>
          <w:highlight w:val="none"/>
        </w:rPr>
      </w:pPr>
    </w:p>
    <w:p w14:paraId="114F5F97">
      <w:pPr>
        <w:spacing w:line="360" w:lineRule="auto"/>
        <w:rPr>
          <w:rFonts w:hint="eastAsia" w:ascii="宋体" w:hAnsi="宋体" w:eastAsia="宋体" w:cs="宋体"/>
          <w:color w:val="auto"/>
          <w:sz w:val="20"/>
          <w:highlight w:val="none"/>
        </w:rPr>
      </w:pPr>
    </w:p>
    <w:p w14:paraId="5830B9ED">
      <w:pPr>
        <w:spacing w:line="360" w:lineRule="auto"/>
        <w:rPr>
          <w:rFonts w:hint="eastAsia" w:ascii="宋体" w:hAnsi="宋体" w:eastAsia="宋体" w:cs="宋体"/>
          <w:color w:val="auto"/>
          <w:sz w:val="20"/>
          <w:highlight w:val="none"/>
        </w:rPr>
      </w:pPr>
    </w:p>
    <w:p w14:paraId="0DC85290">
      <w:pPr>
        <w:spacing w:line="360" w:lineRule="auto"/>
        <w:rPr>
          <w:rFonts w:hint="eastAsia" w:ascii="宋体" w:hAnsi="宋体" w:eastAsia="宋体" w:cs="宋体"/>
          <w:color w:val="auto"/>
          <w:sz w:val="20"/>
          <w:highlight w:val="none"/>
        </w:rPr>
      </w:pPr>
    </w:p>
    <w:p w14:paraId="676901D5">
      <w:pPr>
        <w:spacing w:line="360" w:lineRule="auto"/>
        <w:rPr>
          <w:rFonts w:hint="eastAsia" w:ascii="宋体" w:hAnsi="宋体" w:eastAsia="宋体" w:cs="宋体"/>
          <w:color w:val="auto"/>
          <w:sz w:val="20"/>
          <w:highlight w:val="none"/>
        </w:rPr>
      </w:pPr>
    </w:p>
    <w:p w14:paraId="1FC2FD98">
      <w:pPr>
        <w:tabs>
          <w:tab w:val="left" w:pos="6080"/>
          <w:tab w:val="left" w:pos="6640"/>
        </w:tabs>
        <w:spacing w:line="360" w:lineRule="auto"/>
        <w:ind w:left="774" w:right="403"/>
        <w:rPr>
          <w:rFonts w:hint="eastAsia" w:ascii="宋体" w:hAnsi="宋体" w:eastAsia="宋体" w:cs="宋体"/>
          <w:color w:val="auto"/>
          <w:w w:val="99"/>
          <w:sz w:val="28"/>
          <w:szCs w:val="28"/>
          <w:highlight w:val="none"/>
        </w:rPr>
      </w:pPr>
      <w:r>
        <w:rPr>
          <w:rFonts w:hint="eastAsia" w:ascii="宋体" w:hAnsi="宋体" w:eastAsia="宋体" w:cs="宋体"/>
          <w:color w:val="auto"/>
          <w:w w:val="99"/>
          <w:sz w:val="28"/>
          <w:szCs w:val="28"/>
          <w:highlight w:val="none"/>
          <w:lang w:eastAsia="zh-CN"/>
        </w:rPr>
        <w:t>磋商申请人（</w:t>
      </w:r>
      <w:r>
        <w:rPr>
          <w:rFonts w:hint="eastAsia" w:ascii="宋体" w:hAnsi="宋体" w:eastAsia="宋体" w:cs="宋体"/>
          <w:color w:val="auto"/>
          <w:w w:val="99"/>
          <w:sz w:val="28"/>
          <w:szCs w:val="28"/>
          <w:highlight w:val="none"/>
          <w:lang w:val="en-US" w:eastAsia="zh-CN"/>
        </w:rPr>
        <w:t>全称</w:t>
      </w:r>
      <w:r>
        <w:rPr>
          <w:rFonts w:hint="eastAsia" w:ascii="宋体" w:hAnsi="宋体" w:eastAsia="宋体" w:cs="宋体"/>
          <w:color w:val="auto"/>
          <w:w w:val="99"/>
          <w:sz w:val="28"/>
          <w:szCs w:val="28"/>
          <w:highlight w:val="none"/>
          <w:lang w:eastAsia="zh-CN"/>
        </w:rPr>
        <w:t>）</w:t>
      </w:r>
      <w:r>
        <w:rPr>
          <w:rFonts w:hint="eastAsia" w:ascii="宋体" w:hAnsi="宋体" w:eastAsia="宋体" w:cs="宋体"/>
          <w:color w:val="auto"/>
          <w:spacing w:val="1"/>
          <w:w w:val="99"/>
          <w:sz w:val="28"/>
          <w:szCs w:val="28"/>
          <w:highlight w:val="none"/>
        </w:rPr>
        <w:t>：</w:t>
      </w:r>
      <w:r>
        <w:rPr>
          <w:rFonts w:hint="eastAsia" w:ascii="宋体" w:hAnsi="宋体" w:eastAsia="宋体" w:cs="宋体"/>
          <w:color w:val="auto"/>
          <w:w w:val="198"/>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w w:val="99"/>
          <w:sz w:val="28"/>
          <w:szCs w:val="28"/>
          <w:highlight w:val="none"/>
        </w:rPr>
        <w:t>（</w:t>
      </w:r>
      <w:r>
        <w:rPr>
          <w:rFonts w:hint="eastAsia" w:ascii="宋体" w:hAnsi="宋体" w:eastAsia="宋体" w:cs="宋体"/>
          <w:color w:val="auto"/>
          <w:w w:val="99"/>
          <w:sz w:val="28"/>
          <w:szCs w:val="28"/>
          <w:highlight w:val="none"/>
          <w:lang w:eastAsia="zh-CN"/>
        </w:rPr>
        <w:t>电子签章</w:t>
      </w:r>
      <w:r>
        <w:rPr>
          <w:rFonts w:hint="eastAsia" w:ascii="宋体" w:hAnsi="宋体" w:eastAsia="宋体" w:cs="宋体"/>
          <w:color w:val="auto"/>
          <w:w w:val="99"/>
          <w:sz w:val="28"/>
          <w:szCs w:val="28"/>
          <w:highlight w:val="none"/>
        </w:rPr>
        <w:t>）</w:t>
      </w:r>
    </w:p>
    <w:p w14:paraId="2E3DF093">
      <w:pPr>
        <w:tabs>
          <w:tab w:val="left" w:pos="6080"/>
          <w:tab w:val="left" w:pos="6640"/>
        </w:tabs>
        <w:spacing w:line="360" w:lineRule="auto"/>
        <w:ind w:left="774" w:right="403"/>
        <w:rPr>
          <w:rFonts w:hint="eastAsia" w:ascii="宋体" w:hAnsi="宋体" w:eastAsia="宋体" w:cs="宋体"/>
          <w:color w:val="auto"/>
          <w:w w:val="99"/>
          <w:sz w:val="28"/>
          <w:szCs w:val="28"/>
          <w:highlight w:val="none"/>
        </w:rPr>
      </w:pPr>
    </w:p>
    <w:p w14:paraId="34EB1C2F">
      <w:pPr>
        <w:tabs>
          <w:tab w:val="left" w:pos="6080"/>
          <w:tab w:val="left" w:pos="6640"/>
        </w:tabs>
        <w:spacing w:line="360" w:lineRule="auto"/>
        <w:ind w:left="774" w:right="403"/>
        <w:rPr>
          <w:rFonts w:hint="eastAsia" w:ascii="宋体" w:hAnsi="宋体" w:eastAsia="宋体" w:cs="宋体"/>
          <w:color w:val="auto"/>
          <w:sz w:val="28"/>
          <w:szCs w:val="28"/>
          <w:highlight w:val="none"/>
        </w:rPr>
      </w:pPr>
      <w:r>
        <w:rPr>
          <w:rFonts w:hint="eastAsia" w:ascii="宋体" w:hAnsi="宋体" w:eastAsia="宋体" w:cs="宋体"/>
          <w:color w:val="auto"/>
          <w:w w:val="99"/>
          <w:sz w:val="28"/>
          <w:szCs w:val="28"/>
          <w:highlight w:val="none"/>
        </w:rPr>
        <w:t>法定代表人或其委托代理人：</w:t>
      </w:r>
      <w:r>
        <w:rPr>
          <w:rFonts w:hint="eastAsia" w:ascii="宋体" w:hAnsi="宋体" w:eastAsia="宋体" w:cs="宋体"/>
          <w:color w:val="auto"/>
          <w:w w:val="198"/>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w w:val="99"/>
          <w:sz w:val="28"/>
          <w:szCs w:val="28"/>
          <w:highlight w:val="none"/>
        </w:rPr>
        <w:t>（签字</w:t>
      </w:r>
      <w:r>
        <w:rPr>
          <w:rFonts w:hint="eastAsia" w:ascii="宋体" w:hAnsi="宋体" w:eastAsia="宋体" w:cs="宋体"/>
          <w:color w:val="auto"/>
          <w:w w:val="99"/>
          <w:sz w:val="28"/>
          <w:szCs w:val="28"/>
          <w:highlight w:val="none"/>
          <w:lang w:eastAsia="zh-CN"/>
        </w:rPr>
        <w:t>或签章</w:t>
      </w:r>
      <w:r>
        <w:rPr>
          <w:rFonts w:hint="eastAsia" w:ascii="宋体" w:hAnsi="宋体" w:eastAsia="宋体" w:cs="宋体"/>
          <w:color w:val="auto"/>
          <w:w w:val="99"/>
          <w:sz w:val="28"/>
          <w:szCs w:val="28"/>
          <w:highlight w:val="none"/>
        </w:rPr>
        <w:t>）</w:t>
      </w:r>
    </w:p>
    <w:p w14:paraId="672F47D5">
      <w:pPr>
        <w:tabs>
          <w:tab w:val="left" w:pos="3280"/>
          <w:tab w:val="left" w:pos="4680"/>
          <w:tab w:val="left" w:pos="6080"/>
        </w:tabs>
        <w:spacing w:line="360" w:lineRule="auto"/>
        <w:ind w:left="2174" w:right="-20"/>
        <w:rPr>
          <w:rFonts w:hint="eastAsia" w:ascii="宋体" w:hAnsi="宋体" w:eastAsia="宋体" w:cs="宋体"/>
          <w:color w:val="auto"/>
          <w:w w:val="198"/>
          <w:sz w:val="28"/>
          <w:szCs w:val="28"/>
          <w:highlight w:val="none"/>
          <w:u w:val="single"/>
        </w:rPr>
      </w:pPr>
    </w:p>
    <w:p w14:paraId="12065A59">
      <w:pPr>
        <w:tabs>
          <w:tab w:val="left" w:pos="3280"/>
          <w:tab w:val="left" w:pos="4680"/>
          <w:tab w:val="left" w:pos="6080"/>
        </w:tabs>
        <w:spacing w:line="360" w:lineRule="auto"/>
        <w:ind w:right="-20" w:firstLine="1820" w:firstLineChars="650"/>
        <w:rPr>
          <w:rFonts w:hint="eastAsia" w:ascii="宋体" w:hAnsi="宋体" w:eastAsia="宋体" w:cs="宋体"/>
          <w:color w:val="auto"/>
          <w:w w:val="99"/>
          <w:sz w:val="28"/>
          <w:szCs w:val="28"/>
          <w:highlight w:val="none"/>
        </w:rPr>
      </w:pPr>
      <w:r>
        <w:rPr>
          <w:rFonts w:hint="eastAsia" w:ascii="宋体" w:hAnsi="宋体" w:eastAsia="宋体" w:cs="宋体"/>
          <w:color w:val="auto"/>
          <w:sz w:val="28"/>
          <w:szCs w:val="28"/>
          <w:highlight w:val="none"/>
          <w:u w:val="single"/>
        </w:rPr>
        <w:tab/>
      </w:r>
      <w:r>
        <w:rPr>
          <w:rFonts w:hint="eastAsia" w:ascii="宋体" w:hAnsi="宋体" w:eastAsia="宋体" w:cs="宋体"/>
          <w:color w:val="auto"/>
          <w:w w:val="99"/>
          <w:sz w:val="28"/>
          <w:szCs w:val="28"/>
          <w:highlight w:val="none"/>
        </w:rPr>
        <w:t>年</w:t>
      </w:r>
      <w:r>
        <w:rPr>
          <w:rFonts w:hint="eastAsia" w:ascii="宋体" w:hAnsi="宋体" w:eastAsia="宋体" w:cs="宋体"/>
          <w:color w:val="auto"/>
          <w:w w:val="198"/>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w w:val="99"/>
          <w:sz w:val="28"/>
          <w:szCs w:val="28"/>
          <w:highlight w:val="none"/>
        </w:rPr>
        <w:t>月</w:t>
      </w:r>
      <w:r>
        <w:rPr>
          <w:rFonts w:hint="eastAsia" w:ascii="宋体" w:hAnsi="宋体" w:eastAsia="宋体" w:cs="宋体"/>
          <w:color w:val="auto"/>
          <w:w w:val="198"/>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w w:val="99"/>
          <w:sz w:val="28"/>
          <w:szCs w:val="28"/>
          <w:highlight w:val="none"/>
        </w:rPr>
        <w:t>日</w:t>
      </w:r>
      <w:bookmarkEnd w:id="53"/>
      <w:bookmarkStart w:id="590" w:name="_Toc276740024"/>
      <w:bookmarkStart w:id="591" w:name="_Toc317588990"/>
    </w:p>
    <w:p w14:paraId="149024C9">
      <w:pPr>
        <w:pStyle w:val="33"/>
        <w:pageBreakBefore w:val="0"/>
        <w:snapToGrid w:val="0"/>
        <w:spacing w:before="240"/>
        <w:jc w:val="both"/>
        <w:rPr>
          <w:rFonts w:hint="eastAsia" w:ascii="宋体" w:hAnsi="宋体" w:eastAsia="宋体" w:cs="宋体"/>
          <w:b/>
          <w:color w:val="auto"/>
          <w:w w:val="99"/>
          <w:highlight w:val="none"/>
        </w:rPr>
      </w:pPr>
    </w:p>
    <w:p w14:paraId="74016642">
      <w:pPr>
        <w:pStyle w:val="33"/>
        <w:pageBreakBefore w:val="0"/>
        <w:snapToGrid w:val="0"/>
        <w:spacing w:before="240"/>
        <w:rPr>
          <w:rFonts w:hint="eastAsia" w:ascii="宋体" w:hAnsi="宋体" w:eastAsia="宋体" w:cs="宋体"/>
          <w:b/>
          <w:color w:val="auto"/>
          <w:w w:val="99"/>
          <w:highlight w:val="none"/>
        </w:rPr>
      </w:pPr>
    </w:p>
    <w:p w14:paraId="75DC031A">
      <w:pPr>
        <w:pStyle w:val="33"/>
        <w:pageBreakBefore w:val="0"/>
        <w:snapToGrid w:val="0"/>
        <w:spacing w:before="240"/>
        <w:rPr>
          <w:rFonts w:hint="eastAsia" w:ascii="宋体" w:hAnsi="宋体" w:eastAsia="宋体" w:cs="宋体"/>
          <w:b/>
          <w:color w:val="auto"/>
          <w:w w:val="99"/>
          <w:highlight w:val="none"/>
        </w:rPr>
      </w:pPr>
    </w:p>
    <w:p w14:paraId="6E73A317">
      <w:pPr>
        <w:pStyle w:val="33"/>
        <w:pageBreakBefore w:val="0"/>
        <w:snapToGrid w:val="0"/>
        <w:spacing w:before="240"/>
        <w:rPr>
          <w:rFonts w:hint="eastAsia" w:ascii="宋体" w:hAnsi="宋体" w:eastAsia="宋体" w:cs="宋体"/>
          <w:b/>
          <w:color w:val="auto"/>
          <w:w w:val="99"/>
          <w:highlight w:val="none"/>
        </w:rPr>
      </w:pPr>
      <w:r>
        <w:rPr>
          <w:rFonts w:hint="eastAsia" w:ascii="宋体" w:hAnsi="宋体" w:eastAsia="宋体" w:cs="宋体"/>
          <w:b/>
          <w:color w:val="auto"/>
          <w:w w:val="99"/>
          <w:highlight w:val="none"/>
        </w:rPr>
        <w:t>目录</w:t>
      </w:r>
    </w:p>
    <w:p w14:paraId="683D3BA7">
      <w:pPr>
        <w:snapToGrid w:val="0"/>
        <w:spacing w:line="360" w:lineRule="auto"/>
        <w:ind w:firstLine="200"/>
        <w:rPr>
          <w:rFonts w:hint="eastAsia" w:ascii="宋体" w:hAnsi="宋体" w:eastAsia="宋体" w:cs="宋体"/>
          <w:color w:val="auto"/>
          <w:szCs w:val="24"/>
          <w:highlight w:val="none"/>
          <w:lang w:eastAsia="zh-CN"/>
        </w:rPr>
      </w:pPr>
      <w:r>
        <w:rPr>
          <w:rFonts w:hint="eastAsia" w:ascii="宋体" w:hAnsi="宋体" w:eastAsia="宋体" w:cs="宋体"/>
          <w:b/>
          <w:color w:val="auto"/>
          <w:szCs w:val="24"/>
          <w:highlight w:val="none"/>
          <w:lang w:eastAsia="zh-CN"/>
        </w:rPr>
        <w:t>格式自拟。</w:t>
      </w:r>
    </w:p>
    <w:p w14:paraId="4F6E8986">
      <w:pPr>
        <w:spacing w:line="360" w:lineRule="auto"/>
        <w:jc w:val="center"/>
        <w:rPr>
          <w:rFonts w:hint="eastAsia" w:ascii="宋体" w:hAnsi="宋体" w:eastAsia="宋体" w:cs="宋体"/>
          <w:b/>
          <w:color w:val="auto"/>
          <w:sz w:val="32"/>
          <w:szCs w:val="44"/>
          <w:highlight w:val="none"/>
        </w:rPr>
      </w:pPr>
    </w:p>
    <w:p w14:paraId="56DA3F08">
      <w:pPr>
        <w:spacing w:line="360" w:lineRule="auto"/>
        <w:jc w:val="center"/>
        <w:rPr>
          <w:rFonts w:hint="eastAsia" w:ascii="宋体" w:hAnsi="宋体" w:eastAsia="宋体" w:cs="宋体"/>
          <w:b/>
          <w:color w:val="auto"/>
          <w:sz w:val="32"/>
          <w:szCs w:val="44"/>
          <w:highlight w:val="none"/>
        </w:rPr>
      </w:pPr>
    </w:p>
    <w:p w14:paraId="21119958">
      <w:pPr>
        <w:spacing w:line="360" w:lineRule="auto"/>
        <w:jc w:val="center"/>
        <w:rPr>
          <w:rFonts w:hint="eastAsia" w:ascii="宋体" w:hAnsi="宋体" w:eastAsia="宋体" w:cs="宋体"/>
          <w:b/>
          <w:color w:val="auto"/>
          <w:sz w:val="32"/>
          <w:szCs w:val="44"/>
          <w:highlight w:val="none"/>
        </w:rPr>
      </w:pPr>
    </w:p>
    <w:p w14:paraId="7E97353A">
      <w:pPr>
        <w:spacing w:line="360" w:lineRule="auto"/>
        <w:jc w:val="center"/>
        <w:rPr>
          <w:rFonts w:hint="eastAsia" w:ascii="宋体" w:hAnsi="宋体" w:eastAsia="宋体" w:cs="宋体"/>
          <w:b/>
          <w:color w:val="auto"/>
          <w:sz w:val="32"/>
          <w:szCs w:val="44"/>
          <w:highlight w:val="none"/>
        </w:rPr>
      </w:pPr>
    </w:p>
    <w:p w14:paraId="747AB016">
      <w:pPr>
        <w:spacing w:line="360" w:lineRule="auto"/>
        <w:jc w:val="center"/>
        <w:rPr>
          <w:rFonts w:hint="eastAsia" w:ascii="宋体" w:hAnsi="宋体" w:eastAsia="宋体" w:cs="宋体"/>
          <w:b/>
          <w:color w:val="auto"/>
          <w:sz w:val="32"/>
          <w:szCs w:val="44"/>
          <w:highlight w:val="none"/>
        </w:rPr>
      </w:pPr>
    </w:p>
    <w:p w14:paraId="3B1820B3">
      <w:pPr>
        <w:spacing w:line="360" w:lineRule="auto"/>
        <w:jc w:val="center"/>
        <w:rPr>
          <w:rFonts w:hint="eastAsia" w:ascii="宋体" w:hAnsi="宋体" w:eastAsia="宋体" w:cs="宋体"/>
          <w:b/>
          <w:color w:val="auto"/>
          <w:sz w:val="32"/>
          <w:szCs w:val="44"/>
          <w:highlight w:val="none"/>
        </w:rPr>
      </w:pPr>
    </w:p>
    <w:bookmarkEnd w:id="590"/>
    <w:bookmarkEnd w:id="591"/>
    <w:p w14:paraId="51865105">
      <w:pPr>
        <w:spacing w:line="360" w:lineRule="auto"/>
        <w:jc w:val="both"/>
        <w:rPr>
          <w:rFonts w:hint="eastAsia" w:ascii="宋体" w:hAnsi="宋体" w:eastAsia="宋体" w:cs="宋体"/>
          <w:b/>
          <w:color w:val="auto"/>
          <w:szCs w:val="24"/>
          <w:highlight w:val="none"/>
        </w:rPr>
      </w:pPr>
    </w:p>
    <w:p w14:paraId="43E019B0">
      <w:pPr>
        <w:pStyle w:val="7"/>
        <w:rPr>
          <w:rFonts w:hint="eastAsia" w:ascii="宋体" w:hAnsi="宋体" w:eastAsia="宋体" w:cs="宋体"/>
          <w:b/>
          <w:color w:val="auto"/>
          <w:szCs w:val="24"/>
          <w:highlight w:val="none"/>
        </w:rPr>
      </w:pPr>
    </w:p>
    <w:p w14:paraId="4345A2E5">
      <w:pPr>
        <w:pStyle w:val="16"/>
        <w:rPr>
          <w:rFonts w:hint="eastAsia" w:ascii="宋体" w:hAnsi="宋体" w:eastAsia="宋体" w:cs="宋体"/>
          <w:color w:val="auto"/>
          <w:highlight w:val="none"/>
        </w:rPr>
      </w:pPr>
    </w:p>
    <w:p w14:paraId="08895E24">
      <w:pPr>
        <w:pStyle w:val="4"/>
        <w:spacing w:line="360" w:lineRule="auto"/>
        <w:jc w:val="center"/>
        <w:outlineLvl w:val="9"/>
        <w:rPr>
          <w:rFonts w:hint="eastAsia" w:ascii="宋体" w:hAnsi="宋体" w:eastAsia="宋体" w:cs="宋体"/>
          <w:color w:val="auto"/>
          <w:sz w:val="36"/>
          <w:szCs w:val="36"/>
          <w:highlight w:val="none"/>
        </w:rPr>
      </w:pPr>
      <w:bookmarkStart w:id="592" w:name="_Toc4571"/>
      <w:r>
        <w:rPr>
          <w:rFonts w:hint="eastAsia" w:ascii="宋体" w:hAnsi="宋体" w:eastAsia="宋体" w:cs="宋体"/>
          <w:color w:val="auto"/>
          <w:sz w:val="36"/>
          <w:szCs w:val="36"/>
          <w:highlight w:val="none"/>
        </w:rPr>
        <w:br w:type="page"/>
      </w:r>
    </w:p>
    <w:p w14:paraId="71E2D3A8">
      <w:pPr>
        <w:pStyle w:val="4"/>
        <w:spacing w:line="360" w:lineRule="auto"/>
        <w:jc w:val="center"/>
        <w:outlineLvl w:val="9"/>
        <w:rPr>
          <w:rFonts w:hint="eastAsia" w:ascii="宋体" w:hAnsi="宋体" w:eastAsia="宋体" w:cs="宋体"/>
          <w:color w:val="auto"/>
          <w:sz w:val="36"/>
          <w:szCs w:val="36"/>
          <w:highlight w:val="none"/>
        </w:rPr>
      </w:pPr>
    </w:p>
    <w:p w14:paraId="41FE6339">
      <w:pPr>
        <w:pStyle w:val="4"/>
        <w:spacing w:line="360" w:lineRule="auto"/>
        <w:jc w:val="center"/>
        <w:rPr>
          <w:rFonts w:hint="eastAsia" w:ascii="宋体" w:hAnsi="宋体" w:eastAsia="宋体" w:cs="宋体"/>
          <w:b w:val="0"/>
          <w:color w:val="auto"/>
          <w:szCs w:val="24"/>
          <w:highlight w:val="none"/>
        </w:rPr>
      </w:pPr>
      <w:r>
        <w:rPr>
          <w:rFonts w:hint="eastAsia" w:ascii="宋体" w:hAnsi="宋体" w:eastAsia="宋体" w:cs="宋体"/>
          <w:color w:val="auto"/>
          <w:sz w:val="36"/>
          <w:szCs w:val="36"/>
          <w:highlight w:val="none"/>
        </w:rPr>
        <w:t>一、竞争性磋商函</w:t>
      </w:r>
      <w:bookmarkEnd w:id="592"/>
    </w:p>
    <w:p w14:paraId="67017016">
      <w:pPr>
        <w:spacing w:line="360" w:lineRule="auto"/>
        <w:jc w:val="both"/>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致：</w:t>
      </w:r>
      <w:r>
        <w:rPr>
          <w:rFonts w:hint="eastAsia" w:ascii="宋体" w:hAnsi="宋体" w:eastAsia="宋体" w:cs="宋体"/>
          <w:b/>
          <w:color w:val="auto"/>
          <w:szCs w:val="24"/>
          <w:highlight w:val="none"/>
          <w:u w:val="single"/>
          <w:lang w:eastAsia="zh-CN"/>
        </w:rPr>
        <w:t>（</w:t>
      </w:r>
      <w:r>
        <w:rPr>
          <w:rFonts w:hint="eastAsia" w:ascii="宋体" w:hAnsi="宋体" w:eastAsia="宋体" w:cs="宋体"/>
          <w:b/>
          <w:color w:val="auto"/>
          <w:szCs w:val="24"/>
          <w:highlight w:val="none"/>
          <w:u w:val="single"/>
          <w:lang w:val="en-US" w:eastAsia="zh-CN"/>
        </w:rPr>
        <w:t>采购</w:t>
      </w:r>
      <w:r>
        <w:rPr>
          <w:rFonts w:hint="eastAsia" w:ascii="宋体" w:hAnsi="宋体" w:eastAsia="宋体" w:cs="宋体"/>
          <w:b/>
          <w:color w:val="auto"/>
          <w:szCs w:val="24"/>
          <w:highlight w:val="none"/>
          <w:u w:val="single"/>
          <w:lang w:eastAsia="zh-CN"/>
        </w:rPr>
        <w:t>人）</w:t>
      </w:r>
    </w:p>
    <w:p w14:paraId="7F2BFAF8">
      <w:pPr>
        <w:spacing w:line="360" w:lineRule="auto"/>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我单位（公司）决定参加贵方</w:t>
      </w:r>
      <w:r>
        <w:rPr>
          <w:rFonts w:hint="eastAsia" w:ascii="宋体" w:hAnsi="宋体" w:eastAsia="宋体" w:cs="宋体"/>
          <w:color w:val="auto"/>
          <w:szCs w:val="24"/>
          <w:highlight w:val="none"/>
          <w:lang w:val="en-US" w:eastAsia="zh-CN"/>
        </w:rPr>
        <w:t>组织</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eastAsia="zh-CN"/>
        </w:rPr>
        <w:t>红河县车古乡利博村委会至龙腾公路工程建设项目</w:t>
      </w:r>
      <w:r>
        <w:rPr>
          <w:rFonts w:hint="eastAsia" w:ascii="宋体" w:hAnsi="宋体" w:eastAsia="宋体" w:cs="宋体"/>
          <w:color w:val="auto"/>
          <w:szCs w:val="24"/>
          <w:highlight w:val="none"/>
          <w:u w:val="single"/>
        </w:rPr>
        <w:t>（项目编号：</w:t>
      </w:r>
      <w:r>
        <w:rPr>
          <w:rFonts w:hint="eastAsia" w:ascii="宋体" w:hAnsi="宋体" w:eastAsia="宋体" w:cs="宋体"/>
          <w:color w:val="auto"/>
          <w:szCs w:val="24"/>
          <w:highlight w:val="none"/>
          <w:u w:val="single"/>
          <w:lang w:eastAsia="zh-CN"/>
        </w:rPr>
        <w:t>YNJY-260518</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项目的竞争性磋商活动</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并同时提交响应文件</w:t>
      </w:r>
      <w:r>
        <w:rPr>
          <w:rFonts w:hint="eastAsia" w:ascii="宋体" w:hAnsi="宋体" w:eastAsia="宋体" w:cs="宋体"/>
          <w:color w:val="auto"/>
          <w:szCs w:val="24"/>
          <w:highlight w:val="none"/>
          <w:lang w:eastAsia="zh-CN"/>
        </w:rPr>
        <w:t>一份</w:t>
      </w:r>
      <w:r>
        <w:rPr>
          <w:rFonts w:hint="eastAsia" w:ascii="宋体" w:hAnsi="宋体" w:eastAsia="宋体" w:cs="宋体"/>
          <w:color w:val="auto"/>
          <w:szCs w:val="24"/>
          <w:highlight w:val="none"/>
        </w:rPr>
        <w:t>。</w:t>
      </w:r>
    </w:p>
    <w:p w14:paraId="6E900BF3">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我单位（或公司）同意以下事项：</w:t>
      </w:r>
    </w:p>
    <w:p w14:paraId="17EDF1A0">
      <w:pPr>
        <w:spacing w:line="360" w:lineRule="auto"/>
        <w:ind w:firstLine="480" w:firstLineChars="200"/>
        <w:jc w:val="both"/>
        <w:outlineLvl w:val="2"/>
        <w:rPr>
          <w:rFonts w:hint="eastAsia" w:ascii="宋体" w:hAnsi="宋体" w:eastAsia="宋体" w:cs="宋体"/>
          <w:color w:val="auto"/>
          <w:szCs w:val="24"/>
          <w:highlight w:val="none"/>
        </w:rPr>
      </w:pPr>
      <w:bookmarkStart w:id="593" w:name="_Toc31999"/>
      <w:r>
        <w:rPr>
          <w:rFonts w:hint="eastAsia" w:ascii="宋体" w:hAnsi="宋体" w:eastAsia="宋体" w:cs="宋体"/>
          <w:color w:val="auto"/>
          <w:szCs w:val="24"/>
          <w:highlight w:val="none"/>
        </w:rPr>
        <w:t>1、本项目报价为：￥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元。</w:t>
      </w:r>
      <w:bookmarkEnd w:id="593"/>
    </w:p>
    <w:p w14:paraId="0FD83F8D">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2、我方已经详细地阅读了全部竞争性磋商文件及其附件，包括澄清及参考文件（如有）。我方已完全清晰理解竞争性磋商文件的要求，不存在任何含糊不清和误解之处，同意放弃对这些文件所提出的异议和质疑的权利。</w:t>
      </w:r>
    </w:p>
    <w:p w14:paraId="4F9BB082">
      <w:pPr>
        <w:spacing w:line="360" w:lineRule="auto"/>
        <w:ind w:firstLine="480" w:firstLineChars="200"/>
        <w:jc w:val="both"/>
        <w:outlineLvl w:val="2"/>
        <w:rPr>
          <w:rFonts w:hint="eastAsia" w:ascii="宋体" w:hAnsi="宋体" w:eastAsia="宋体" w:cs="宋体"/>
          <w:color w:val="auto"/>
          <w:szCs w:val="24"/>
          <w:highlight w:val="none"/>
        </w:rPr>
      </w:pPr>
      <w:bookmarkStart w:id="594" w:name="_Toc29861"/>
      <w:r>
        <w:rPr>
          <w:rFonts w:hint="eastAsia" w:ascii="宋体" w:hAnsi="宋体" w:eastAsia="宋体" w:cs="宋体"/>
          <w:color w:val="auto"/>
          <w:szCs w:val="24"/>
          <w:highlight w:val="none"/>
        </w:rPr>
        <w:t>3、严格遵守竞争性磋商文件的各项条款及一切有关规定。</w:t>
      </w:r>
      <w:bookmarkEnd w:id="594"/>
    </w:p>
    <w:p w14:paraId="511753A5">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4、在本次响应文件中提供的一切文件，无论是原件</w:t>
      </w:r>
      <w:r>
        <w:rPr>
          <w:rFonts w:hint="eastAsia" w:ascii="宋体" w:hAnsi="宋体" w:eastAsia="宋体" w:cs="宋体"/>
          <w:color w:val="auto"/>
          <w:szCs w:val="24"/>
          <w:highlight w:val="none"/>
          <w:lang w:eastAsia="zh-CN"/>
        </w:rPr>
        <w:t>、扫描件</w:t>
      </w:r>
      <w:r>
        <w:rPr>
          <w:rFonts w:hint="eastAsia" w:ascii="宋体" w:hAnsi="宋体" w:eastAsia="宋体" w:cs="宋体"/>
          <w:color w:val="auto"/>
          <w:szCs w:val="24"/>
          <w:highlight w:val="none"/>
        </w:rPr>
        <w:t>还是复印件均为真实和准确的，绝无任何虚假、伪造和夸大的成份，否则，愿承担相应的后果和法律责任。</w:t>
      </w:r>
    </w:p>
    <w:p w14:paraId="1BB73EB3">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5、如我方递交响应文件被接受，我方将按竞争性磋商文件的规定履行合同责任和义务，保证在合同约定的期限内按时、按质、按量地完成合同的内容。</w:t>
      </w:r>
    </w:p>
    <w:p w14:paraId="21396AB2">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6、本响应文件自贵方收到之日生效，有效期至磋商后</w:t>
      </w:r>
      <w:r>
        <w:rPr>
          <w:rFonts w:hint="eastAsia" w:ascii="宋体" w:hAnsi="宋体" w:eastAsia="宋体" w:cs="宋体"/>
          <w:color w:val="auto"/>
          <w:szCs w:val="24"/>
          <w:highlight w:val="none"/>
          <w:lang w:val="en-US" w:eastAsia="zh-CN"/>
        </w:rPr>
        <w:t>90</w:t>
      </w:r>
      <w:r>
        <w:rPr>
          <w:rFonts w:hint="eastAsia" w:ascii="宋体" w:hAnsi="宋体" w:eastAsia="宋体" w:cs="宋体"/>
          <w:color w:val="auto"/>
          <w:szCs w:val="24"/>
          <w:highlight w:val="none"/>
        </w:rPr>
        <w:t>日</w:t>
      </w:r>
      <w:r>
        <w:rPr>
          <w:rFonts w:hint="eastAsia" w:ascii="宋体" w:hAnsi="宋体" w:eastAsia="宋体" w:cs="宋体"/>
          <w:color w:val="auto"/>
          <w:highlight w:val="none"/>
          <w:lang w:val="en-US" w:eastAsia="zh-CN"/>
        </w:rPr>
        <w:t>历天</w:t>
      </w:r>
      <w:r>
        <w:rPr>
          <w:rFonts w:hint="eastAsia" w:ascii="宋体" w:hAnsi="宋体" w:eastAsia="宋体" w:cs="宋体"/>
          <w:color w:val="auto"/>
          <w:szCs w:val="24"/>
          <w:highlight w:val="none"/>
        </w:rPr>
        <w:t>，在此期间本响应文件之规定对我方具有约束力。</w:t>
      </w:r>
    </w:p>
    <w:p w14:paraId="49AD6B2F">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7、如果我方响应文件被接受，则至合同履行完成和服务期满为止，本响应文件保持有效。</w:t>
      </w:r>
    </w:p>
    <w:p w14:paraId="1A4090EF">
      <w:pPr>
        <w:spacing w:line="360" w:lineRule="auto"/>
        <w:ind w:firstLine="480" w:firstLineChars="200"/>
        <w:jc w:val="both"/>
        <w:rPr>
          <w:rFonts w:hint="eastAsia" w:ascii="宋体" w:hAnsi="宋体" w:eastAsia="宋体" w:cs="宋体"/>
          <w:color w:val="auto"/>
          <w:szCs w:val="24"/>
          <w:highlight w:val="none"/>
        </w:rPr>
      </w:pPr>
    </w:p>
    <w:p w14:paraId="4A3C08C0">
      <w:pPr>
        <w:spacing w:line="360" w:lineRule="auto"/>
        <w:ind w:firstLine="480" w:firstLineChars="200"/>
        <w:jc w:val="both"/>
        <w:rPr>
          <w:rFonts w:hint="eastAsia" w:ascii="宋体" w:hAnsi="宋体" w:eastAsia="宋体" w:cs="宋体"/>
          <w:color w:val="auto"/>
          <w:szCs w:val="24"/>
          <w:highlight w:val="none"/>
        </w:rPr>
      </w:pPr>
    </w:p>
    <w:p w14:paraId="17FEF0A2">
      <w:pPr>
        <w:spacing w:line="360" w:lineRule="auto"/>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lang w:val="en-US" w:eastAsia="zh-CN"/>
        </w:rPr>
        <w:t xml:space="preserve">                                  </w:t>
      </w:r>
    </w:p>
    <w:p w14:paraId="2F43DE6D">
      <w:pPr>
        <w:spacing w:line="360" w:lineRule="auto"/>
        <w:ind w:firstLine="480" w:firstLineChars="200"/>
        <w:jc w:val="both"/>
        <w:rPr>
          <w:rFonts w:hint="eastAsia" w:ascii="宋体" w:hAnsi="宋体" w:eastAsia="宋体" w:cs="宋体"/>
          <w:color w:val="auto"/>
          <w:szCs w:val="24"/>
          <w:highlight w:val="none"/>
          <w:u w:val="single"/>
          <w:lang w:val="en-US" w:eastAsia="zh-CN"/>
        </w:rPr>
      </w:pPr>
      <w:r>
        <w:rPr>
          <w:rFonts w:hint="eastAsia" w:ascii="宋体" w:hAnsi="宋体" w:eastAsia="宋体" w:cs="宋体"/>
          <w:color w:val="auto"/>
          <w:szCs w:val="24"/>
          <w:highlight w:val="none"/>
        </w:rPr>
        <w:t>法定代表人或委托代理人(签字</w:t>
      </w:r>
      <w:r>
        <w:rPr>
          <w:rFonts w:hint="eastAsia" w:ascii="宋体" w:hAnsi="宋体" w:eastAsia="宋体" w:cs="宋体"/>
          <w:color w:val="auto"/>
          <w:szCs w:val="24"/>
          <w:highlight w:val="none"/>
          <w:lang w:eastAsia="zh-CN"/>
        </w:rPr>
        <w:t>或签章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lang w:val="en-US" w:eastAsia="zh-CN"/>
        </w:rPr>
        <w:t xml:space="preserve">                                </w:t>
      </w:r>
    </w:p>
    <w:p w14:paraId="59A7B611">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        址:</w:t>
      </w:r>
      <w:r>
        <w:rPr>
          <w:rFonts w:hint="eastAsia" w:ascii="宋体" w:hAnsi="宋体" w:eastAsia="宋体" w:cs="宋体"/>
          <w:color w:val="auto"/>
          <w:szCs w:val="24"/>
          <w:highlight w:val="none"/>
          <w:u w:val="single"/>
          <w:lang w:val="en-US" w:eastAsia="zh-CN"/>
        </w:rPr>
        <w:t xml:space="preserve">                                                </w:t>
      </w:r>
    </w:p>
    <w:p w14:paraId="0DC58934">
      <w:pPr>
        <w:spacing w:line="360" w:lineRule="auto"/>
        <w:ind w:firstLine="480" w:firstLineChars="200"/>
        <w:jc w:val="both"/>
        <w:rPr>
          <w:rFonts w:hint="eastAsia" w:ascii="宋体" w:hAnsi="宋体" w:eastAsia="宋体" w:cs="宋体"/>
          <w:color w:val="auto"/>
          <w:szCs w:val="24"/>
          <w:highlight w:val="none"/>
          <w:u w:val="single"/>
          <w:lang w:val="en-US" w:eastAsia="zh-CN"/>
        </w:rPr>
      </w:pPr>
      <w:r>
        <w:rPr>
          <w:rFonts w:hint="eastAsia" w:ascii="宋体" w:hAnsi="宋体" w:eastAsia="宋体" w:cs="宋体"/>
          <w:color w:val="auto"/>
          <w:szCs w:val="24"/>
          <w:highlight w:val="none"/>
        </w:rPr>
        <w:t xml:space="preserve">邮        编: </w:t>
      </w:r>
      <w:r>
        <w:rPr>
          <w:rFonts w:hint="eastAsia" w:ascii="宋体" w:hAnsi="宋体" w:eastAsia="宋体" w:cs="宋体"/>
          <w:color w:val="auto"/>
          <w:szCs w:val="24"/>
          <w:highlight w:val="none"/>
          <w:u w:val="single"/>
          <w:lang w:val="en-US" w:eastAsia="zh-CN"/>
        </w:rPr>
        <w:t xml:space="preserve">                                               </w:t>
      </w:r>
    </w:p>
    <w:p w14:paraId="5ECAB41C">
      <w:pPr>
        <w:spacing w:line="360" w:lineRule="auto"/>
        <w:ind w:firstLine="480" w:firstLineChars="200"/>
        <w:jc w:val="both"/>
        <w:rPr>
          <w:rFonts w:hint="eastAsia" w:ascii="宋体" w:hAnsi="宋体" w:eastAsia="宋体" w:cs="宋体"/>
          <w:color w:val="auto"/>
          <w:szCs w:val="24"/>
          <w:highlight w:val="none"/>
          <w:u w:val="single"/>
          <w:lang w:val="en-US" w:eastAsia="zh-CN"/>
        </w:rPr>
      </w:pPr>
      <w:r>
        <w:rPr>
          <w:rFonts w:hint="eastAsia" w:ascii="宋体" w:hAnsi="宋体" w:eastAsia="宋体" w:cs="宋体"/>
          <w:color w:val="auto"/>
          <w:szCs w:val="24"/>
          <w:highlight w:val="none"/>
        </w:rPr>
        <w:t xml:space="preserve">电        话: </w:t>
      </w:r>
      <w:r>
        <w:rPr>
          <w:rFonts w:hint="eastAsia" w:ascii="宋体" w:hAnsi="宋体" w:eastAsia="宋体" w:cs="宋体"/>
          <w:color w:val="auto"/>
          <w:szCs w:val="24"/>
          <w:highlight w:val="none"/>
          <w:u w:val="single"/>
          <w:lang w:val="en-US" w:eastAsia="zh-CN"/>
        </w:rPr>
        <w:t xml:space="preserve">                                               </w:t>
      </w:r>
    </w:p>
    <w:p w14:paraId="4E42D106">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日        期: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日</w:t>
      </w:r>
    </w:p>
    <w:p w14:paraId="51906AC8">
      <w:pPr>
        <w:spacing w:line="360" w:lineRule="auto"/>
        <w:ind w:firstLine="560" w:firstLineChars="200"/>
        <w:jc w:val="both"/>
        <w:rPr>
          <w:rFonts w:hint="eastAsia" w:ascii="宋体" w:hAnsi="宋体" w:eastAsia="宋体" w:cs="宋体"/>
          <w:color w:val="auto"/>
          <w:sz w:val="28"/>
          <w:szCs w:val="28"/>
          <w:highlight w:val="none"/>
        </w:rPr>
      </w:pPr>
    </w:p>
    <w:p w14:paraId="2B15DDC5">
      <w:pPr>
        <w:pStyle w:val="4"/>
        <w:spacing w:line="360" w:lineRule="auto"/>
        <w:jc w:val="center"/>
        <w:outlineLvl w:val="9"/>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br w:type="page"/>
      </w:r>
      <w:bookmarkStart w:id="595" w:name="_Toc500594543"/>
      <w:bookmarkStart w:id="596" w:name="_Toc29291"/>
      <w:bookmarkStart w:id="597" w:name="_Toc31598"/>
      <w:bookmarkStart w:id="598" w:name="_Toc436725470"/>
      <w:bookmarkStart w:id="599" w:name="_Toc490492630"/>
      <w:bookmarkStart w:id="600" w:name="_Toc436725443"/>
      <w:bookmarkStart w:id="601" w:name="_Toc502328425"/>
    </w:p>
    <w:p w14:paraId="385B559C">
      <w:pPr>
        <w:pStyle w:val="4"/>
        <w:spacing w:line="360" w:lineRule="auto"/>
        <w:jc w:val="center"/>
        <w:outlineLvl w:val="9"/>
        <w:rPr>
          <w:rFonts w:hint="eastAsia" w:ascii="宋体" w:hAnsi="宋体" w:eastAsia="宋体" w:cs="宋体"/>
          <w:b w:val="0"/>
          <w:color w:val="auto"/>
          <w:sz w:val="28"/>
          <w:szCs w:val="28"/>
          <w:highlight w:val="none"/>
        </w:rPr>
      </w:pPr>
    </w:p>
    <w:p w14:paraId="1E4E9B6D">
      <w:pPr>
        <w:pStyle w:val="4"/>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二、磋商报价表</w:t>
      </w:r>
      <w:bookmarkEnd w:id="595"/>
      <w:bookmarkEnd w:id="596"/>
      <w:bookmarkEnd w:id="597"/>
      <w:bookmarkEnd w:id="598"/>
      <w:bookmarkEnd w:id="599"/>
      <w:bookmarkEnd w:id="600"/>
      <w:bookmarkEnd w:id="601"/>
    </w:p>
    <w:p w14:paraId="289F663D">
      <w:pPr>
        <w:spacing w:line="360" w:lineRule="auto"/>
        <w:jc w:val="center"/>
        <w:outlineLvl w:val="2"/>
        <w:rPr>
          <w:rFonts w:hint="eastAsia" w:ascii="宋体" w:hAnsi="宋体" w:eastAsia="宋体" w:cs="宋体"/>
          <w:b/>
          <w:color w:val="auto"/>
          <w:sz w:val="36"/>
          <w:szCs w:val="36"/>
          <w:highlight w:val="none"/>
        </w:rPr>
      </w:pPr>
      <w:bookmarkStart w:id="602" w:name="_Toc4881"/>
      <w:r>
        <w:rPr>
          <w:rFonts w:hint="eastAsia" w:ascii="宋体" w:hAnsi="宋体" w:eastAsia="宋体" w:cs="宋体"/>
          <w:b/>
          <w:color w:val="auto"/>
          <w:sz w:val="36"/>
          <w:szCs w:val="36"/>
          <w:highlight w:val="none"/>
        </w:rPr>
        <w:t>（一）磋商报价一览表（一次报价）</w:t>
      </w:r>
      <w:bookmarkEnd w:id="602"/>
    </w:p>
    <w:tbl>
      <w:tblPr>
        <w:tblStyle w:val="21"/>
        <w:tblW w:w="101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695"/>
        <w:gridCol w:w="3190"/>
        <w:gridCol w:w="3385"/>
      </w:tblGrid>
      <w:tr w14:paraId="5434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96" w:type="dxa"/>
            <w:noWrap w:val="0"/>
            <w:vAlign w:val="center"/>
          </w:tcPr>
          <w:p w14:paraId="70651BC0">
            <w:pPr>
              <w:spacing w:line="500" w:lineRule="exact"/>
              <w:jc w:val="center"/>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序号</w:t>
            </w:r>
          </w:p>
        </w:tc>
        <w:tc>
          <w:tcPr>
            <w:tcW w:w="9270" w:type="dxa"/>
            <w:gridSpan w:val="3"/>
            <w:noWrap w:val="0"/>
            <w:vAlign w:val="center"/>
          </w:tcPr>
          <w:p w14:paraId="1600F603">
            <w:pPr>
              <w:spacing w:line="500" w:lineRule="exact"/>
              <w:jc w:val="center"/>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内      容</w:t>
            </w:r>
          </w:p>
        </w:tc>
      </w:tr>
      <w:tr w14:paraId="66E3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96" w:type="dxa"/>
            <w:vMerge w:val="restart"/>
            <w:noWrap w:val="0"/>
            <w:vAlign w:val="center"/>
          </w:tcPr>
          <w:p w14:paraId="59145A16">
            <w:pPr>
              <w:spacing w:line="500" w:lineRule="exact"/>
              <w:jc w:val="center"/>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1</w:t>
            </w:r>
          </w:p>
        </w:tc>
        <w:tc>
          <w:tcPr>
            <w:tcW w:w="2695" w:type="dxa"/>
            <w:vMerge w:val="restart"/>
            <w:noWrap w:val="0"/>
            <w:vAlign w:val="center"/>
          </w:tcPr>
          <w:p w14:paraId="3CBD697B">
            <w:pPr>
              <w:spacing w:line="500" w:lineRule="exact"/>
              <w:jc w:val="center"/>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磋商报价</w:t>
            </w:r>
          </w:p>
        </w:tc>
        <w:tc>
          <w:tcPr>
            <w:tcW w:w="3190" w:type="dxa"/>
            <w:noWrap w:val="0"/>
            <w:vAlign w:val="center"/>
          </w:tcPr>
          <w:p w14:paraId="284B87F6">
            <w:pPr>
              <w:spacing w:line="500" w:lineRule="exact"/>
              <w:ind w:left="0" w:leftChars="0" w:right="0" w:rightChars="0"/>
              <w:jc w:val="center"/>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小写</w:t>
            </w:r>
          </w:p>
        </w:tc>
        <w:tc>
          <w:tcPr>
            <w:tcW w:w="3385" w:type="dxa"/>
            <w:noWrap w:val="0"/>
            <w:vAlign w:val="center"/>
          </w:tcPr>
          <w:p w14:paraId="420C08D9">
            <w:pPr>
              <w:spacing w:line="500" w:lineRule="exact"/>
              <w:ind w:left="0" w:leftChars="0" w:right="0" w:rightChars="0"/>
              <w:jc w:val="center"/>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大写</w:t>
            </w:r>
          </w:p>
        </w:tc>
      </w:tr>
      <w:tr w14:paraId="52EC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96" w:type="dxa"/>
            <w:vMerge w:val="continue"/>
            <w:noWrap w:val="0"/>
            <w:vAlign w:val="center"/>
          </w:tcPr>
          <w:p w14:paraId="049ADDF8">
            <w:pPr>
              <w:spacing w:line="500" w:lineRule="exact"/>
              <w:ind w:left="0" w:leftChars="0" w:right="0" w:rightChars="0"/>
              <w:jc w:val="center"/>
              <w:rPr>
                <w:rFonts w:hint="eastAsia" w:ascii="宋体" w:hAnsi="宋体" w:eastAsia="宋体" w:cs="宋体"/>
                <w:caps/>
                <w:color w:val="auto"/>
                <w:sz w:val="24"/>
                <w:szCs w:val="24"/>
                <w:highlight w:val="none"/>
              </w:rPr>
            </w:pPr>
          </w:p>
        </w:tc>
        <w:tc>
          <w:tcPr>
            <w:tcW w:w="2695" w:type="dxa"/>
            <w:vMerge w:val="continue"/>
            <w:noWrap w:val="0"/>
            <w:vAlign w:val="center"/>
          </w:tcPr>
          <w:p w14:paraId="5AE42E3E">
            <w:pPr>
              <w:spacing w:line="500" w:lineRule="exact"/>
              <w:ind w:left="0" w:leftChars="0" w:right="0" w:rightChars="0"/>
              <w:jc w:val="center"/>
              <w:rPr>
                <w:rFonts w:hint="eastAsia" w:ascii="宋体" w:hAnsi="宋体" w:eastAsia="宋体" w:cs="宋体"/>
                <w:caps/>
                <w:color w:val="auto"/>
                <w:sz w:val="24"/>
                <w:szCs w:val="24"/>
                <w:highlight w:val="none"/>
              </w:rPr>
            </w:pPr>
          </w:p>
        </w:tc>
        <w:tc>
          <w:tcPr>
            <w:tcW w:w="3190" w:type="dxa"/>
            <w:noWrap w:val="0"/>
            <w:vAlign w:val="center"/>
          </w:tcPr>
          <w:p w14:paraId="1A662312">
            <w:pPr>
              <w:spacing w:line="500" w:lineRule="exact"/>
              <w:ind w:left="0" w:leftChars="0" w:right="0" w:rightChars="0"/>
              <w:jc w:val="left"/>
              <w:rPr>
                <w:rFonts w:hint="eastAsia" w:ascii="宋体" w:hAnsi="宋体" w:eastAsia="宋体" w:cs="宋体"/>
                <w:caps/>
                <w:color w:val="auto"/>
                <w:sz w:val="24"/>
                <w:szCs w:val="24"/>
                <w:highlight w:val="none"/>
              </w:rPr>
            </w:pPr>
            <w:bookmarkStart w:id="603" w:name="OLE_LINK11"/>
            <w:r>
              <w:rPr>
                <w:rFonts w:hint="eastAsia" w:ascii="宋体" w:hAnsi="宋体" w:eastAsia="宋体" w:cs="宋体"/>
                <w:color w:val="auto"/>
                <w:sz w:val="24"/>
                <w:szCs w:val="24"/>
                <w:highlight w:val="none"/>
              </w:rPr>
              <w:t>¥</w:t>
            </w:r>
            <w:bookmarkEnd w:id="603"/>
            <w:r>
              <w:rPr>
                <w:rFonts w:hint="eastAsia" w:ascii="宋体" w:hAnsi="宋体" w:eastAsia="宋体" w:cs="宋体"/>
                <w:color w:val="auto"/>
                <w:sz w:val="24"/>
                <w:szCs w:val="24"/>
                <w:highlight w:val="none"/>
                <w:lang w:val="en-US" w:eastAsia="zh-CN"/>
              </w:rPr>
              <w:t xml:space="preserve">         元</w:t>
            </w:r>
          </w:p>
        </w:tc>
        <w:tc>
          <w:tcPr>
            <w:tcW w:w="3385" w:type="dxa"/>
            <w:noWrap w:val="0"/>
            <w:vAlign w:val="center"/>
          </w:tcPr>
          <w:p w14:paraId="7BB61568">
            <w:pPr>
              <w:spacing w:line="500" w:lineRule="exact"/>
              <w:ind w:left="0" w:leftChars="0" w:right="0" w:rightChars="0"/>
              <w:jc w:val="left"/>
              <w:rPr>
                <w:rFonts w:hint="eastAsia" w:ascii="宋体" w:hAnsi="宋体" w:eastAsia="宋体" w:cs="宋体"/>
                <w:caps/>
                <w:color w:val="auto"/>
                <w:sz w:val="24"/>
                <w:szCs w:val="24"/>
                <w:highlight w:val="none"/>
              </w:rPr>
            </w:pPr>
            <w:r>
              <w:rPr>
                <w:rFonts w:hint="eastAsia" w:ascii="宋体" w:hAnsi="宋体" w:eastAsia="宋体" w:cs="宋体"/>
                <w:color w:val="auto"/>
                <w:sz w:val="24"/>
                <w:szCs w:val="24"/>
                <w:highlight w:val="none"/>
                <w:lang w:eastAsia="zh-CN"/>
              </w:rPr>
              <w:t>人民币</w:t>
            </w:r>
          </w:p>
        </w:tc>
      </w:tr>
      <w:tr w14:paraId="3084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896" w:type="dxa"/>
            <w:noWrap w:val="0"/>
            <w:vAlign w:val="center"/>
          </w:tcPr>
          <w:p w14:paraId="3E27BDC3">
            <w:pPr>
              <w:spacing w:line="500" w:lineRule="exact"/>
              <w:jc w:val="center"/>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2</w:t>
            </w:r>
          </w:p>
        </w:tc>
        <w:tc>
          <w:tcPr>
            <w:tcW w:w="2695" w:type="dxa"/>
            <w:noWrap w:val="0"/>
            <w:vAlign w:val="center"/>
          </w:tcPr>
          <w:p w14:paraId="61B2E231">
            <w:pPr>
              <w:spacing w:line="500" w:lineRule="exact"/>
              <w:jc w:val="center"/>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工期承诺</w:t>
            </w:r>
          </w:p>
        </w:tc>
        <w:tc>
          <w:tcPr>
            <w:tcW w:w="6575" w:type="dxa"/>
            <w:gridSpan w:val="2"/>
            <w:noWrap w:val="0"/>
            <w:vAlign w:val="center"/>
          </w:tcPr>
          <w:p w14:paraId="4A13E01E">
            <w:pPr>
              <w:tabs>
                <w:tab w:val="left" w:pos="1446"/>
                <w:tab w:val="center" w:pos="3239"/>
              </w:tabs>
              <w:spacing w:line="50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lang w:eastAsia="zh-CN"/>
              </w:rPr>
              <w:tab/>
            </w:r>
          </w:p>
        </w:tc>
      </w:tr>
      <w:tr w14:paraId="2839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96" w:type="dxa"/>
            <w:noWrap w:val="0"/>
            <w:vAlign w:val="center"/>
          </w:tcPr>
          <w:p w14:paraId="455DE3EE">
            <w:pPr>
              <w:spacing w:line="500" w:lineRule="exact"/>
              <w:jc w:val="center"/>
              <w:rPr>
                <w:rFonts w:hint="eastAsia" w:ascii="宋体" w:hAnsi="宋体" w:eastAsia="宋体" w:cs="宋体"/>
                <w:caps/>
                <w:color w:val="auto"/>
                <w:sz w:val="24"/>
                <w:szCs w:val="24"/>
                <w:highlight w:val="none"/>
                <w:lang w:val="en-US" w:eastAsia="zh-CN" w:bidi="zh-CN"/>
              </w:rPr>
            </w:pPr>
            <w:r>
              <w:rPr>
                <w:rFonts w:hint="eastAsia" w:ascii="宋体" w:hAnsi="宋体" w:eastAsia="宋体" w:cs="宋体"/>
                <w:caps/>
                <w:color w:val="auto"/>
                <w:sz w:val="24"/>
                <w:szCs w:val="24"/>
                <w:highlight w:val="none"/>
                <w:lang w:val="en-US" w:eastAsia="zh-CN"/>
              </w:rPr>
              <w:t>3</w:t>
            </w:r>
          </w:p>
        </w:tc>
        <w:tc>
          <w:tcPr>
            <w:tcW w:w="2695" w:type="dxa"/>
            <w:noWrap w:val="0"/>
            <w:vAlign w:val="center"/>
          </w:tcPr>
          <w:p w14:paraId="729F8F82">
            <w:pPr>
              <w:spacing w:line="500" w:lineRule="exact"/>
              <w:jc w:val="center"/>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质量承诺</w:t>
            </w:r>
          </w:p>
        </w:tc>
        <w:tc>
          <w:tcPr>
            <w:tcW w:w="6575" w:type="dxa"/>
            <w:gridSpan w:val="2"/>
            <w:noWrap w:val="0"/>
            <w:vAlign w:val="center"/>
          </w:tcPr>
          <w:p w14:paraId="0E98D763">
            <w:pPr>
              <w:spacing w:line="500" w:lineRule="exact"/>
              <w:jc w:val="center"/>
              <w:rPr>
                <w:rFonts w:hint="eastAsia" w:ascii="宋体" w:hAnsi="宋体" w:eastAsia="宋体" w:cs="宋体"/>
                <w:caps/>
                <w:color w:val="auto"/>
                <w:sz w:val="24"/>
                <w:szCs w:val="24"/>
                <w:highlight w:val="none"/>
              </w:rPr>
            </w:pPr>
          </w:p>
        </w:tc>
      </w:tr>
      <w:tr w14:paraId="0CD8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896" w:type="dxa"/>
            <w:noWrap w:val="0"/>
            <w:vAlign w:val="center"/>
          </w:tcPr>
          <w:p w14:paraId="3EAB2A33">
            <w:pPr>
              <w:spacing w:line="500" w:lineRule="exact"/>
              <w:ind w:left="0" w:leftChars="0" w:right="0" w:rightChars="0"/>
              <w:jc w:val="center"/>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4</w:t>
            </w:r>
          </w:p>
        </w:tc>
        <w:tc>
          <w:tcPr>
            <w:tcW w:w="2695" w:type="dxa"/>
            <w:noWrap w:val="0"/>
            <w:vAlign w:val="center"/>
          </w:tcPr>
          <w:p w14:paraId="0BF7B041">
            <w:pPr>
              <w:spacing w:line="500" w:lineRule="exact"/>
              <w:jc w:val="center"/>
              <w:rPr>
                <w:rFonts w:hint="eastAsia" w:ascii="宋体" w:hAnsi="宋体" w:eastAsia="宋体" w:cs="宋体"/>
                <w:caps/>
                <w:color w:val="auto"/>
                <w:sz w:val="24"/>
                <w:szCs w:val="24"/>
                <w:highlight w:val="none"/>
                <w:lang w:eastAsia="zh-CN"/>
              </w:rPr>
            </w:pPr>
            <w:r>
              <w:rPr>
                <w:rFonts w:hint="eastAsia" w:ascii="宋体" w:hAnsi="宋体" w:eastAsia="宋体" w:cs="宋体"/>
                <w:caps/>
                <w:color w:val="auto"/>
                <w:sz w:val="24"/>
                <w:szCs w:val="24"/>
                <w:highlight w:val="none"/>
              </w:rPr>
              <w:t>项目负责人</w:t>
            </w:r>
          </w:p>
        </w:tc>
        <w:tc>
          <w:tcPr>
            <w:tcW w:w="6575" w:type="dxa"/>
            <w:gridSpan w:val="2"/>
            <w:noWrap w:val="0"/>
            <w:vAlign w:val="center"/>
          </w:tcPr>
          <w:p w14:paraId="2016FDFA">
            <w:pPr>
              <w:spacing w:line="500" w:lineRule="exact"/>
              <w:jc w:val="center"/>
              <w:rPr>
                <w:rFonts w:hint="default"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姓名：        证书编号：</w:t>
            </w:r>
          </w:p>
        </w:tc>
      </w:tr>
      <w:tr w14:paraId="7422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896" w:type="dxa"/>
            <w:noWrap w:val="0"/>
            <w:vAlign w:val="center"/>
          </w:tcPr>
          <w:p w14:paraId="44DC96B3">
            <w:pPr>
              <w:spacing w:line="500" w:lineRule="exact"/>
              <w:ind w:left="0" w:leftChars="0" w:right="0" w:rightChars="0"/>
              <w:jc w:val="center"/>
              <w:rPr>
                <w:rFonts w:hint="eastAsia" w:ascii="宋体" w:hAnsi="宋体" w:eastAsia="宋体" w:cs="宋体"/>
                <w:caps/>
                <w:color w:val="auto"/>
                <w:sz w:val="24"/>
                <w:szCs w:val="24"/>
                <w:highlight w:val="none"/>
                <w:lang w:val="zh-CN" w:eastAsia="zh-CN" w:bidi="zh-CN"/>
              </w:rPr>
            </w:pPr>
            <w:r>
              <w:rPr>
                <w:rFonts w:hint="eastAsia" w:ascii="宋体" w:hAnsi="宋体" w:eastAsia="宋体" w:cs="宋体"/>
                <w:caps/>
                <w:color w:val="auto"/>
                <w:sz w:val="24"/>
                <w:szCs w:val="24"/>
                <w:highlight w:val="none"/>
                <w:lang w:val="en-US" w:eastAsia="zh-CN"/>
              </w:rPr>
              <w:t>5</w:t>
            </w:r>
          </w:p>
        </w:tc>
        <w:tc>
          <w:tcPr>
            <w:tcW w:w="2695" w:type="dxa"/>
            <w:noWrap w:val="0"/>
            <w:vAlign w:val="center"/>
          </w:tcPr>
          <w:p w14:paraId="0C56A36C">
            <w:pPr>
              <w:spacing w:line="500" w:lineRule="exact"/>
              <w:jc w:val="center"/>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rPr>
              <w:t>备注</w:t>
            </w:r>
          </w:p>
        </w:tc>
        <w:tc>
          <w:tcPr>
            <w:tcW w:w="6575" w:type="dxa"/>
            <w:gridSpan w:val="2"/>
            <w:noWrap w:val="0"/>
            <w:vAlign w:val="center"/>
          </w:tcPr>
          <w:p w14:paraId="2D38CC81">
            <w:pPr>
              <w:spacing w:line="500" w:lineRule="exact"/>
              <w:jc w:val="center"/>
              <w:rPr>
                <w:rFonts w:hint="eastAsia" w:ascii="宋体" w:hAnsi="宋体" w:eastAsia="宋体" w:cs="宋体"/>
                <w:caps/>
                <w:color w:val="auto"/>
                <w:sz w:val="24"/>
                <w:szCs w:val="24"/>
                <w:highlight w:val="none"/>
              </w:rPr>
            </w:pPr>
          </w:p>
        </w:tc>
      </w:tr>
    </w:tbl>
    <w:p w14:paraId="48DE8ABE">
      <w:pPr>
        <w:pStyle w:val="27"/>
        <w:rPr>
          <w:rFonts w:hint="eastAsia" w:ascii="宋体" w:hAnsi="宋体" w:eastAsia="宋体" w:cs="宋体"/>
          <w:color w:val="auto"/>
          <w:highlight w:val="none"/>
          <w:lang w:eastAsia="zh-CN"/>
        </w:rPr>
      </w:pPr>
    </w:p>
    <w:p w14:paraId="4665EEA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40B4B3F3">
      <w:pPr>
        <w:spacing w:line="360" w:lineRule="auto"/>
        <w:ind w:firstLine="482" w:firstLineChars="200"/>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（1）磋商报价一经涂改，应在涂改处加盖单位公章或者法定代表人或其授权委托人签字或盖章，否则其磋商报价作无效处理。</w:t>
      </w:r>
    </w:p>
    <w:p w14:paraId="04E61444">
      <w:pPr>
        <w:spacing w:line="360" w:lineRule="auto"/>
        <w:ind w:firstLine="482" w:firstLineChars="200"/>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（2）磋商报价应包含该项目的全部费用。</w:t>
      </w:r>
    </w:p>
    <w:p w14:paraId="483E2AF9">
      <w:pPr>
        <w:spacing w:line="360" w:lineRule="auto"/>
        <w:ind w:firstLine="482" w:firstLineChars="200"/>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（3）本表计量单位为元，金额保留小数点后两位</w:t>
      </w:r>
      <w:r>
        <w:rPr>
          <w:rFonts w:hint="eastAsia" w:ascii="宋体" w:hAnsi="宋体" w:eastAsia="宋体" w:cs="宋体"/>
          <w:b/>
          <w:color w:val="auto"/>
          <w:szCs w:val="24"/>
          <w:highlight w:val="none"/>
          <w:lang w:eastAsia="zh-CN"/>
        </w:rPr>
        <w:t>有效数字</w:t>
      </w:r>
      <w:r>
        <w:rPr>
          <w:rFonts w:hint="eastAsia" w:ascii="宋体" w:hAnsi="宋体" w:eastAsia="宋体" w:cs="宋体"/>
          <w:b/>
          <w:color w:val="auto"/>
          <w:szCs w:val="24"/>
          <w:highlight w:val="none"/>
        </w:rPr>
        <w:t>。</w:t>
      </w:r>
    </w:p>
    <w:p w14:paraId="3F973DE1">
      <w:pPr>
        <w:pStyle w:val="7"/>
        <w:rPr>
          <w:rFonts w:hint="eastAsia" w:ascii="宋体" w:hAnsi="宋体" w:eastAsia="宋体" w:cs="宋体"/>
          <w:color w:val="auto"/>
          <w:highlight w:val="none"/>
        </w:rPr>
      </w:pPr>
    </w:p>
    <w:p w14:paraId="04CB1835">
      <w:pPr>
        <w:pStyle w:val="27"/>
        <w:rPr>
          <w:rFonts w:hint="eastAsia" w:ascii="宋体" w:hAnsi="宋体" w:eastAsia="宋体" w:cs="宋体"/>
          <w:b/>
          <w:color w:val="auto"/>
          <w:kern w:val="0"/>
          <w:sz w:val="24"/>
          <w:szCs w:val="24"/>
          <w:highlight w:val="none"/>
          <w:lang w:val="en-US" w:eastAsia="zh-CN" w:bidi="ar-SA"/>
        </w:rPr>
      </w:pPr>
    </w:p>
    <w:p w14:paraId="2BC31753">
      <w:pPr>
        <w:spacing w:line="360" w:lineRule="auto"/>
        <w:ind w:firstLine="480" w:firstLineChars="200"/>
        <w:jc w:val="both"/>
        <w:rPr>
          <w:rFonts w:hint="eastAsia" w:ascii="宋体" w:hAnsi="宋体" w:eastAsia="宋体" w:cs="宋体"/>
          <w:color w:val="auto"/>
          <w:szCs w:val="24"/>
          <w:highlight w:val="none"/>
        </w:rPr>
      </w:pPr>
    </w:p>
    <w:p w14:paraId="2DE82271">
      <w:pPr>
        <w:spacing w:line="360" w:lineRule="auto"/>
        <w:ind w:firstLine="480" w:firstLineChars="200"/>
        <w:jc w:val="both"/>
        <w:rPr>
          <w:rFonts w:hint="eastAsia" w:ascii="宋体" w:hAnsi="宋体" w:eastAsia="宋体" w:cs="宋体"/>
          <w:color w:val="auto"/>
          <w:szCs w:val="24"/>
          <w:highlight w:val="none"/>
          <w:u w:val="single"/>
          <w:lang w:val="en-US" w:eastAsia="zh-CN"/>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zCs w:val="24"/>
          <w:highlight w:val="none"/>
        </w:rPr>
        <w:t>）：</w:t>
      </w:r>
      <w:bookmarkStart w:id="604" w:name="OLE_LINK9"/>
      <w:r>
        <w:rPr>
          <w:rFonts w:hint="eastAsia" w:ascii="宋体" w:hAnsi="宋体" w:eastAsia="宋体" w:cs="宋体"/>
          <w:color w:val="auto"/>
          <w:szCs w:val="24"/>
          <w:highlight w:val="none"/>
          <w:u w:val="single"/>
          <w:lang w:val="en-US" w:eastAsia="zh-CN"/>
        </w:rPr>
        <w:t xml:space="preserve">                       </w:t>
      </w:r>
      <w:bookmarkEnd w:id="604"/>
      <w:r>
        <w:rPr>
          <w:rFonts w:hint="eastAsia" w:ascii="宋体" w:hAnsi="宋体" w:eastAsia="宋体" w:cs="宋体"/>
          <w:color w:val="auto"/>
          <w:szCs w:val="24"/>
          <w:highlight w:val="none"/>
          <w:u w:val="single"/>
          <w:lang w:val="en-US" w:eastAsia="zh-CN"/>
        </w:rPr>
        <w:t xml:space="preserve">   </w:t>
      </w:r>
    </w:p>
    <w:p w14:paraId="3E88BBCC">
      <w:pPr>
        <w:pStyle w:val="27"/>
        <w:rPr>
          <w:rFonts w:hint="eastAsia" w:ascii="宋体" w:hAnsi="宋体" w:eastAsia="宋体" w:cs="宋体"/>
          <w:color w:val="auto"/>
          <w:highlight w:val="none"/>
          <w:lang w:val="en-US" w:eastAsia="zh-CN"/>
        </w:rPr>
      </w:pPr>
    </w:p>
    <w:p w14:paraId="29882626">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法定代表人或委托代理人（签字</w:t>
      </w:r>
      <w:r>
        <w:rPr>
          <w:rFonts w:hint="eastAsia" w:ascii="宋体" w:hAnsi="宋体" w:eastAsia="宋体" w:cs="宋体"/>
          <w:color w:val="auto"/>
          <w:szCs w:val="24"/>
          <w:highlight w:val="none"/>
          <w:lang w:eastAsia="zh-CN"/>
        </w:rPr>
        <w:t>或签章</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lang w:val="en-US" w:eastAsia="zh-CN"/>
        </w:rPr>
        <w:t xml:space="preserve">                       </w:t>
      </w:r>
    </w:p>
    <w:p w14:paraId="7F341385">
      <w:pPr>
        <w:pStyle w:val="27"/>
        <w:rPr>
          <w:rFonts w:hint="eastAsia" w:ascii="宋体" w:hAnsi="宋体" w:eastAsia="宋体" w:cs="宋体"/>
          <w:color w:val="auto"/>
          <w:highlight w:val="none"/>
        </w:rPr>
      </w:pPr>
    </w:p>
    <w:p w14:paraId="0BD2573E">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日</w:t>
      </w:r>
    </w:p>
    <w:p w14:paraId="4FFCF6DE">
      <w:pPr>
        <w:pStyle w:val="27"/>
        <w:ind w:left="0" w:leftChars="0" w:firstLine="0" w:firstLineChars="0"/>
        <w:rPr>
          <w:rFonts w:hint="eastAsia" w:ascii="宋体" w:hAnsi="宋体" w:eastAsia="宋体" w:cs="宋体"/>
          <w:color w:val="auto"/>
          <w:highlight w:val="none"/>
        </w:rPr>
      </w:pPr>
    </w:p>
    <w:p w14:paraId="645C85AE">
      <w:pPr>
        <w:spacing w:line="360" w:lineRule="auto"/>
        <w:jc w:val="center"/>
        <w:outlineLvl w:val="9"/>
        <w:rPr>
          <w:rFonts w:hint="eastAsia" w:ascii="宋体" w:hAnsi="宋体" w:eastAsia="宋体" w:cs="宋体"/>
          <w:b/>
          <w:color w:val="auto"/>
          <w:sz w:val="36"/>
          <w:szCs w:val="36"/>
          <w:highlight w:val="none"/>
        </w:rPr>
      </w:pPr>
      <w:bookmarkStart w:id="605" w:name="_Toc403576485"/>
    </w:p>
    <w:p w14:paraId="6396300A">
      <w:pPr>
        <w:spacing w:line="360" w:lineRule="auto"/>
        <w:jc w:val="center"/>
        <w:outlineLvl w:val="9"/>
        <w:rPr>
          <w:rFonts w:hint="eastAsia" w:ascii="宋体" w:hAnsi="宋体" w:eastAsia="宋体" w:cs="宋体"/>
          <w:b/>
          <w:color w:val="auto"/>
          <w:sz w:val="36"/>
          <w:szCs w:val="36"/>
          <w:highlight w:val="none"/>
        </w:rPr>
      </w:pPr>
    </w:p>
    <w:p w14:paraId="7202C81D">
      <w:pPr>
        <w:spacing w:line="360" w:lineRule="auto"/>
        <w:jc w:val="center"/>
        <w:outlineLvl w:val="9"/>
        <w:rPr>
          <w:rFonts w:hint="eastAsia" w:ascii="宋体" w:hAnsi="宋体" w:eastAsia="宋体" w:cs="宋体"/>
          <w:b/>
          <w:color w:val="auto"/>
          <w:sz w:val="36"/>
          <w:szCs w:val="36"/>
          <w:highlight w:val="none"/>
        </w:rPr>
      </w:pPr>
    </w:p>
    <w:p w14:paraId="39AC7214">
      <w:pPr>
        <w:rPr>
          <w:rFonts w:hint="eastAsia" w:ascii="宋体" w:hAnsi="宋体" w:eastAsia="宋体" w:cs="宋体"/>
          <w:b/>
          <w:color w:val="auto"/>
          <w:sz w:val="36"/>
          <w:szCs w:val="36"/>
          <w:highlight w:val="none"/>
        </w:rPr>
      </w:pPr>
      <w:bookmarkStart w:id="606" w:name="_Toc10400"/>
    </w:p>
    <w:p w14:paraId="2E754CEF">
      <w:pPr>
        <w:spacing w:line="360" w:lineRule="auto"/>
        <w:jc w:val="center"/>
        <w:outlineLvl w:val="2"/>
        <w:rPr>
          <w:rFonts w:hint="eastAsia" w:ascii="宋体" w:hAnsi="宋体" w:eastAsia="宋体" w:cs="宋体"/>
          <w:caps/>
          <w:color w:val="auto"/>
          <w:sz w:val="21"/>
          <w:szCs w:val="21"/>
          <w:highlight w:val="none"/>
          <w:u w:val="single"/>
          <w:lang w:val="en-US" w:eastAsia="zh-CN"/>
        </w:rPr>
      </w:pPr>
      <w:r>
        <w:rPr>
          <w:rFonts w:hint="eastAsia" w:ascii="宋体" w:hAnsi="宋体" w:eastAsia="宋体" w:cs="宋体"/>
          <w:b/>
          <w:color w:val="auto"/>
          <w:sz w:val="36"/>
          <w:szCs w:val="36"/>
          <w:highlight w:val="none"/>
        </w:rPr>
        <w:t>（二）磋商报价一览表（最终报价）</w:t>
      </w:r>
      <w:bookmarkEnd w:id="606"/>
    </w:p>
    <w:tbl>
      <w:tblPr>
        <w:tblStyle w:val="21"/>
        <w:tblW w:w="101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716"/>
        <w:gridCol w:w="6575"/>
      </w:tblGrid>
      <w:tr w14:paraId="7DC4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875" w:type="dxa"/>
            <w:noWrap w:val="0"/>
            <w:vAlign w:val="center"/>
          </w:tcPr>
          <w:p w14:paraId="32B82524">
            <w:pPr>
              <w:spacing w:line="500" w:lineRule="exact"/>
              <w:jc w:val="center"/>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序号</w:t>
            </w:r>
          </w:p>
        </w:tc>
        <w:tc>
          <w:tcPr>
            <w:tcW w:w="9291" w:type="dxa"/>
            <w:gridSpan w:val="2"/>
            <w:noWrap w:val="0"/>
            <w:vAlign w:val="center"/>
          </w:tcPr>
          <w:p w14:paraId="28F39E48">
            <w:pPr>
              <w:spacing w:line="500" w:lineRule="exact"/>
              <w:jc w:val="center"/>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内      容</w:t>
            </w:r>
          </w:p>
        </w:tc>
      </w:tr>
      <w:tr w14:paraId="6FEC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75" w:type="dxa"/>
            <w:vMerge w:val="restart"/>
            <w:noWrap w:val="0"/>
            <w:vAlign w:val="center"/>
          </w:tcPr>
          <w:p w14:paraId="61A83C75">
            <w:pPr>
              <w:spacing w:line="500" w:lineRule="exact"/>
              <w:jc w:val="center"/>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1</w:t>
            </w:r>
          </w:p>
        </w:tc>
        <w:tc>
          <w:tcPr>
            <w:tcW w:w="2716" w:type="dxa"/>
            <w:vMerge w:val="restart"/>
            <w:noWrap w:val="0"/>
            <w:vAlign w:val="center"/>
          </w:tcPr>
          <w:p w14:paraId="0AC319E7">
            <w:pPr>
              <w:spacing w:line="500" w:lineRule="exact"/>
              <w:jc w:val="center"/>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磋商报价</w:t>
            </w:r>
          </w:p>
        </w:tc>
        <w:tc>
          <w:tcPr>
            <w:tcW w:w="6575" w:type="dxa"/>
            <w:noWrap w:val="0"/>
            <w:vAlign w:val="center"/>
          </w:tcPr>
          <w:p w14:paraId="733EFE50">
            <w:pPr>
              <w:spacing w:line="500" w:lineRule="exact"/>
              <w:ind w:left="0" w:leftChars="0" w:right="0" w:rightChars="0"/>
              <w:jc w:val="center"/>
              <w:rPr>
                <w:rFonts w:hint="eastAsia" w:ascii="宋体" w:hAnsi="宋体" w:eastAsia="宋体" w:cs="宋体"/>
                <w:caps/>
                <w:color w:val="auto"/>
                <w:sz w:val="24"/>
                <w:szCs w:val="24"/>
                <w:highlight w:val="none"/>
                <w:lang w:val="en-US" w:eastAsia="zh-CN"/>
              </w:rPr>
            </w:pPr>
          </w:p>
        </w:tc>
      </w:tr>
      <w:tr w14:paraId="7115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75" w:type="dxa"/>
            <w:vMerge w:val="continue"/>
            <w:noWrap w:val="0"/>
            <w:vAlign w:val="center"/>
          </w:tcPr>
          <w:p w14:paraId="0D74DE93">
            <w:pPr>
              <w:spacing w:line="500" w:lineRule="exact"/>
              <w:ind w:left="0" w:leftChars="0" w:right="0" w:rightChars="0"/>
              <w:jc w:val="center"/>
              <w:rPr>
                <w:rFonts w:hint="eastAsia" w:ascii="宋体" w:hAnsi="宋体" w:eastAsia="宋体" w:cs="宋体"/>
                <w:caps/>
                <w:color w:val="auto"/>
                <w:sz w:val="24"/>
                <w:szCs w:val="24"/>
                <w:highlight w:val="none"/>
              </w:rPr>
            </w:pPr>
          </w:p>
        </w:tc>
        <w:tc>
          <w:tcPr>
            <w:tcW w:w="2716" w:type="dxa"/>
            <w:vMerge w:val="continue"/>
            <w:noWrap w:val="0"/>
            <w:vAlign w:val="center"/>
          </w:tcPr>
          <w:p w14:paraId="2BAA2C13">
            <w:pPr>
              <w:spacing w:line="500" w:lineRule="exact"/>
              <w:ind w:left="0" w:leftChars="0" w:right="0" w:rightChars="0"/>
              <w:jc w:val="center"/>
              <w:rPr>
                <w:rFonts w:hint="eastAsia" w:ascii="宋体" w:hAnsi="宋体" w:eastAsia="宋体" w:cs="宋体"/>
                <w:caps/>
                <w:color w:val="auto"/>
                <w:sz w:val="24"/>
                <w:szCs w:val="24"/>
                <w:highlight w:val="none"/>
              </w:rPr>
            </w:pPr>
          </w:p>
        </w:tc>
        <w:tc>
          <w:tcPr>
            <w:tcW w:w="6575" w:type="dxa"/>
            <w:noWrap w:val="0"/>
            <w:vAlign w:val="center"/>
          </w:tcPr>
          <w:p w14:paraId="1A15E9E2">
            <w:pPr>
              <w:spacing w:line="500" w:lineRule="exact"/>
              <w:ind w:left="0" w:leftChars="0" w:right="0" w:rightChars="0"/>
              <w:jc w:val="center"/>
              <w:rPr>
                <w:rFonts w:hint="default" w:ascii="宋体" w:hAnsi="宋体" w:eastAsia="宋体" w:cs="宋体"/>
                <w:caps/>
                <w:color w:val="auto"/>
                <w:sz w:val="24"/>
                <w:szCs w:val="24"/>
                <w:highlight w:val="none"/>
                <w:u w:val="single"/>
                <w:lang w:val="en-US" w:eastAsia="zh-CN"/>
              </w:rPr>
            </w:pPr>
          </w:p>
        </w:tc>
      </w:tr>
      <w:tr w14:paraId="4779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875" w:type="dxa"/>
            <w:noWrap w:val="0"/>
            <w:vAlign w:val="center"/>
          </w:tcPr>
          <w:p w14:paraId="2363A4C8">
            <w:pPr>
              <w:spacing w:line="500" w:lineRule="exact"/>
              <w:jc w:val="center"/>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2</w:t>
            </w:r>
          </w:p>
        </w:tc>
        <w:tc>
          <w:tcPr>
            <w:tcW w:w="2716" w:type="dxa"/>
            <w:noWrap w:val="0"/>
            <w:vAlign w:val="center"/>
          </w:tcPr>
          <w:p w14:paraId="25AABAD3">
            <w:pPr>
              <w:spacing w:line="500" w:lineRule="exact"/>
              <w:jc w:val="center"/>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工期承诺</w:t>
            </w:r>
          </w:p>
        </w:tc>
        <w:tc>
          <w:tcPr>
            <w:tcW w:w="6575" w:type="dxa"/>
            <w:noWrap w:val="0"/>
            <w:vAlign w:val="center"/>
          </w:tcPr>
          <w:p w14:paraId="5A2FB62A">
            <w:pPr>
              <w:tabs>
                <w:tab w:val="left" w:pos="1446"/>
                <w:tab w:val="center" w:pos="3239"/>
              </w:tabs>
              <w:spacing w:line="500" w:lineRule="exact"/>
              <w:jc w:val="left"/>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lang w:eastAsia="zh-CN"/>
              </w:rPr>
              <w:tab/>
            </w:r>
          </w:p>
        </w:tc>
      </w:tr>
      <w:tr w14:paraId="3FF5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875" w:type="dxa"/>
            <w:noWrap w:val="0"/>
            <w:vAlign w:val="center"/>
          </w:tcPr>
          <w:p w14:paraId="019F0DDB">
            <w:pPr>
              <w:spacing w:line="500" w:lineRule="exact"/>
              <w:jc w:val="center"/>
              <w:rPr>
                <w:rFonts w:hint="eastAsia" w:ascii="宋体" w:hAnsi="宋体" w:eastAsia="宋体" w:cs="宋体"/>
                <w:caps/>
                <w:color w:val="auto"/>
                <w:sz w:val="24"/>
                <w:szCs w:val="24"/>
                <w:highlight w:val="none"/>
                <w:lang w:val="en-US" w:eastAsia="zh-CN" w:bidi="zh-CN"/>
              </w:rPr>
            </w:pPr>
            <w:r>
              <w:rPr>
                <w:rFonts w:hint="eastAsia" w:ascii="宋体" w:hAnsi="宋体" w:eastAsia="宋体" w:cs="宋体"/>
                <w:caps/>
                <w:color w:val="auto"/>
                <w:sz w:val="24"/>
                <w:szCs w:val="24"/>
                <w:highlight w:val="none"/>
                <w:lang w:val="en-US" w:eastAsia="zh-CN"/>
              </w:rPr>
              <w:t>3</w:t>
            </w:r>
          </w:p>
        </w:tc>
        <w:tc>
          <w:tcPr>
            <w:tcW w:w="2716" w:type="dxa"/>
            <w:noWrap w:val="0"/>
            <w:vAlign w:val="center"/>
          </w:tcPr>
          <w:p w14:paraId="177D8425">
            <w:pPr>
              <w:spacing w:line="500" w:lineRule="exact"/>
              <w:jc w:val="center"/>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rPr>
              <w:t>质量承诺</w:t>
            </w:r>
          </w:p>
        </w:tc>
        <w:tc>
          <w:tcPr>
            <w:tcW w:w="6575" w:type="dxa"/>
            <w:noWrap w:val="0"/>
            <w:vAlign w:val="center"/>
          </w:tcPr>
          <w:p w14:paraId="136E8374">
            <w:pPr>
              <w:spacing w:line="500" w:lineRule="exact"/>
              <w:jc w:val="center"/>
              <w:rPr>
                <w:rFonts w:hint="eastAsia" w:ascii="宋体" w:hAnsi="宋体" w:eastAsia="宋体" w:cs="宋体"/>
                <w:caps/>
                <w:color w:val="auto"/>
                <w:sz w:val="24"/>
                <w:szCs w:val="24"/>
                <w:highlight w:val="none"/>
              </w:rPr>
            </w:pPr>
          </w:p>
        </w:tc>
      </w:tr>
      <w:tr w14:paraId="3D64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875" w:type="dxa"/>
            <w:noWrap w:val="0"/>
            <w:vAlign w:val="center"/>
          </w:tcPr>
          <w:p w14:paraId="308AE61E">
            <w:pPr>
              <w:spacing w:line="500" w:lineRule="exact"/>
              <w:ind w:left="0" w:leftChars="0" w:right="0" w:rightChars="0"/>
              <w:jc w:val="center"/>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lang w:val="en-US" w:eastAsia="zh-CN"/>
              </w:rPr>
              <w:t>4</w:t>
            </w:r>
          </w:p>
        </w:tc>
        <w:tc>
          <w:tcPr>
            <w:tcW w:w="2716" w:type="dxa"/>
            <w:noWrap w:val="0"/>
            <w:vAlign w:val="center"/>
          </w:tcPr>
          <w:p w14:paraId="13A56E9D">
            <w:pPr>
              <w:spacing w:line="500" w:lineRule="exact"/>
              <w:jc w:val="center"/>
              <w:rPr>
                <w:rFonts w:hint="eastAsia" w:ascii="宋体" w:hAnsi="宋体" w:eastAsia="宋体" w:cs="宋体"/>
                <w:caps/>
                <w:color w:val="auto"/>
                <w:sz w:val="24"/>
                <w:szCs w:val="24"/>
                <w:highlight w:val="none"/>
                <w:lang w:eastAsia="zh-CN"/>
              </w:rPr>
            </w:pPr>
            <w:r>
              <w:rPr>
                <w:rFonts w:hint="eastAsia" w:ascii="宋体" w:hAnsi="宋体" w:eastAsia="宋体" w:cs="宋体"/>
                <w:caps/>
                <w:color w:val="auto"/>
                <w:sz w:val="24"/>
                <w:szCs w:val="24"/>
                <w:highlight w:val="none"/>
              </w:rPr>
              <w:t>项目负责人</w:t>
            </w:r>
          </w:p>
        </w:tc>
        <w:tc>
          <w:tcPr>
            <w:tcW w:w="6575" w:type="dxa"/>
            <w:noWrap w:val="0"/>
            <w:vAlign w:val="center"/>
          </w:tcPr>
          <w:p w14:paraId="3FD56628">
            <w:pPr>
              <w:spacing w:line="500" w:lineRule="exact"/>
              <w:jc w:val="center"/>
              <w:rPr>
                <w:rFonts w:hint="eastAsia" w:ascii="宋体" w:hAnsi="宋体" w:eastAsia="宋体" w:cs="宋体"/>
                <w:caps/>
                <w:color w:val="auto"/>
                <w:sz w:val="24"/>
                <w:szCs w:val="24"/>
                <w:highlight w:val="none"/>
              </w:rPr>
            </w:pPr>
            <w:r>
              <w:rPr>
                <w:rFonts w:hint="eastAsia" w:ascii="宋体" w:hAnsi="宋体" w:eastAsia="宋体" w:cs="宋体"/>
                <w:caps/>
                <w:color w:val="auto"/>
                <w:sz w:val="24"/>
                <w:szCs w:val="24"/>
                <w:highlight w:val="none"/>
                <w:lang w:val="en-US" w:eastAsia="zh-CN"/>
              </w:rPr>
              <w:t>姓名：        证书编号：</w:t>
            </w:r>
          </w:p>
        </w:tc>
      </w:tr>
      <w:tr w14:paraId="5BD4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875" w:type="dxa"/>
            <w:noWrap w:val="0"/>
            <w:vAlign w:val="center"/>
          </w:tcPr>
          <w:p w14:paraId="04B9AF59">
            <w:pPr>
              <w:spacing w:line="500" w:lineRule="exact"/>
              <w:ind w:left="0" w:leftChars="0" w:right="0" w:rightChars="0"/>
              <w:jc w:val="center"/>
              <w:rPr>
                <w:rFonts w:hint="eastAsia" w:ascii="宋体" w:hAnsi="宋体" w:eastAsia="宋体" w:cs="宋体"/>
                <w:caps/>
                <w:color w:val="auto"/>
                <w:sz w:val="24"/>
                <w:szCs w:val="24"/>
                <w:highlight w:val="none"/>
                <w:lang w:val="zh-CN" w:eastAsia="zh-CN" w:bidi="zh-CN"/>
              </w:rPr>
            </w:pPr>
            <w:r>
              <w:rPr>
                <w:rFonts w:hint="eastAsia" w:ascii="宋体" w:hAnsi="宋体" w:eastAsia="宋体" w:cs="宋体"/>
                <w:caps/>
                <w:color w:val="auto"/>
                <w:sz w:val="24"/>
                <w:szCs w:val="24"/>
                <w:highlight w:val="none"/>
                <w:lang w:val="en-US" w:eastAsia="zh-CN"/>
              </w:rPr>
              <w:t>5</w:t>
            </w:r>
          </w:p>
        </w:tc>
        <w:tc>
          <w:tcPr>
            <w:tcW w:w="2716" w:type="dxa"/>
            <w:noWrap w:val="0"/>
            <w:vAlign w:val="center"/>
          </w:tcPr>
          <w:p w14:paraId="5D29892C">
            <w:pPr>
              <w:spacing w:line="500" w:lineRule="exact"/>
              <w:jc w:val="center"/>
              <w:rPr>
                <w:rFonts w:hint="eastAsia" w:ascii="宋体" w:hAnsi="宋体" w:eastAsia="宋体" w:cs="宋体"/>
                <w:caps/>
                <w:color w:val="auto"/>
                <w:sz w:val="24"/>
                <w:szCs w:val="24"/>
                <w:highlight w:val="none"/>
                <w:lang w:val="en-US" w:eastAsia="zh-CN"/>
              </w:rPr>
            </w:pPr>
            <w:r>
              <w:rPr>
                <w:rFonts w:hint="eastAsia" w:ascii="宋体" w:hAnsi="宋体" w:eastAsia="宋体" w:cs="宋体"/>
                <w:caps/>
                <w:color w:val="auto"/>
                <w:sz w:val="24"/>
                <w:szCs w:val="24"/>
                <w:highlight w:val="none"/>
              </w:rPr>
              <w:t>备注</w:t>
            </w:r>
          </w:p>
        </w:tc>
        <w:tc>
          <w:tcPr>
            <w:tcW w:w="6575" w:type="dxa"/>
            <w:noWrap w:val="0"/>
            <w:vAlign w:val="center"/>
          </w:tcPr>
          <w:p w14:paraId="65931143">
            <w:pPr>
              <w:spacing w:line="500" w:lineRule="exact"/>
              <w:jc w:val="center"/>
              <w:rPr>
                <w:rFonts w:hint="eastAsia" w:ascii="宋体" w:hAnsi="宋体" w:eastAsia="宋体" w:cs="宋体"/>
                <w:caps/>
                <w:color w:val="auto"/>
                <w:sz w:val="24"/>
                <w:szCs w:val="24"/>
                <w:highlight w:val="none"/>
              </w:rPr>
            </w:pPr>
          </w:p>
        </w:tc>
      </w:tr>
    </w:tbl>
    <w:p w14:paraId="63D3B922">
      <w:pPr>
        <w:spacing w:line="360" w:lineRule="auto"/>
        <w:rPr>
          <w:rFonts w:hint="eastAsia" w:ascii="宋体" w:hAnsi="宋体" w:eastAsia="宋体" w:cs="宋体"/>
          <w:color w:val="auto"/>
          <w:szCs w:val="24"/>
          <w:highlight w:val="none"/>
        </w:rPr>
      </w:pPr>
    </w:p>
    <w:p w14:paraId="5E1E602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1AEE178F">
      <w:pPr>
        <w:spacing w:line="360" w:lineRule="auto"/>
        <w:ind w:firstLine="482" w:firstLineChars="200"/>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（1）磋商报价一经涂改，应在涂改处加盖单位公章或者法定代表人或其授权委托人签字或盖章，否则其磋商报价作无效处理。</w:t>
      </w:r>
    </w:p>
    <w:p w14:paraId="4641386B">
      <w:pPr>
        <w:spacing w:line="360" w:lineRule="auto"/>
        <w:ind w:firstLine="482" w:firstLineChars="200"/>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eastAsia="zh-CN"/>
        </w:rPr>
        <w:t>磋商报价</w:t>
      </w:r>
      <w:r>
        <w:rPr>
          <w:rFonts w:hint="eastAsia" w:ascii="宋体" w:hAnsi="宋体" w:eastAsia="宋体" w:cs="宋体"/>
          <w:b/>
          <w:color w:val="auto"/>
          <w:szCs w:val="24"/>
          <w:highlight w:val="none"/>
        </w:rPr>
        <w:t>应包含该项目的全部费用。</w:t>
      </w:r>
    </w:p>
    <w:p w14:paraId="13C44860">
      <w:pPr>
        <w:spacing w:line="360" w:lineRule="auto"/>
        <w:ind w:firstLine="482" w:firstLineChars="200"/>
        <w:jc w:val="both"/>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（3）本表计量单位为元，金额保留小数点后两位</w:t>
      </w:r>
      <w:r>
        <w:rPr>
          <w:rFonts w:hint="eastAsia" w:ascii="宋体" w:hAnsi="宋体" w:eastAsia="宋体" w:cs="宋体"/>
          <w:b/>
          <w:color w:val="auto"/>
          <w:szCs w:val="24"/>
          <w:highlight w:val="none"/>
          <w:lang w:eastAsia="zh-CN"/>
        </w:rPr>
        <w:t>有效数字</w:t>
      </w:r>
      <w:r>
        <w:rPr>
          <w:rFonts w:hint="eastAsia" w:ascii="宋体" w:hAnsi="宋体" w:eastAsia="宋体" w:cs="宋体"/>
          <w:b/>
          <w:color w:val="auto"/>
          <w:szCs w:val="24"/>
          <w:highlight w:val="none"/>
        </w:rPr>
        <w:t>。</w:t>
      </w:r>
    </w:p>
    <w:p w14:paraId="2C7E6642">
      <w:pPr>
        <w:spacing w:line="360" w:lineRule="auto"/>
        <w:ind w:firstLine="482" w:firstLineChars="200"/>
        <w:jc w:val="both"/>
        <w:rPr>
          <w:rFonts w:hint="eastAsia" w:ascii="宋体" w:hAnsi="宋体" w:eastAsia="宋体" w:cs="宋体"/>
          <w:color w:val="auto"/>
          <w:highlight w:val="none"/>
          <w:lang w:val="en-US" w:eastAsia="zh-CN"/>
        </w:rPr>
      </w:pP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val="en-US" w:eastAsia="zh-CN"/>
        </w:rPr>
        <w:t>4</w:t>
      </w:r>
      <w:r>
        <w:rPr>
          <w:rFonts w:hint="eastAsia" w:ascii="宋体" w:hAnsi="宋体" w:eastAsia="宋体" w:cs="宋体"/>
          <w:b/>
          <w:color w:val="auto"/>
          <w:szCs w:val="24"/>
          <w:highlight w:val="none"/>
        </w:rPr>
        <w:t>）此表单在政府采购云平台</w:t>
      </w:r>
      <w:r>
        <w:rPr>
          <w:rFonts w:hint="eastAsia" w:ascii="宋体" w:hAnsi="宋体" w:eastAsia="宋体" w:cs="宋体"/>
          <w:b/>
          <w:color w:val="auto"/>
          <w:szCs w:val="24"/>
          <w:highlight w:val="none"/>
          <w:lang w:eastAsia="zh-CN"/>
        </w:rPr>
        <w:t>在线</w:t>
      </w:r>
      <w:r>
        <w:rPr>
          <w:rFonts w:hint="eastAsia" w:ascii="宋体" w:hAnsi="宋体" w:eastAsia="宋体" w:cs="宋体"/>
          <w:b/>
          <w:color w:val="auto"/>
          <w:szCs w:val="24"/>
          <w:highlight w:val="none"/>
        </w:rPr>
        <w:t>填写。</w:t>
      </w:r>
    </w:p>
    <w:p w14:paraId="0BFE9F3A">
      <w:pPr>
        <w:spacing w:line="360" w:lineRule="auto"/>
        <w:rPr>
          <w:rFonts w:hint="eastAsia" w:ascii="宋体" w:hAnsi="宋体" w:eastAsia="宋体" w:cs="宋体"/>
          <w:color w:val="auto"/>
          <w:szCs w:val="24"/>
          <w:highlight w:val="none"/>
        </w:rPr>
      </w:pPr>
    </w:p>
    <w:p w14:paraId="7536F61F">
      <w:pPr>
        <w:spacing w:line="360" w:lineRule="auto"/>
        <w:ind w:firstLine="480" w:firstLineChars="200"/>
        <w:jc w:val="both"/>
        <w:rPr>
          <w:rFonts w:hint="eastAsia" w:ascii="宋体" w:hAnsi="宋体" w:eastAsia="宋体" w:cs="宋体"/>
          <w:color w:val="auto"/>
          <w:szCs w:val="24"/>
          <w:highlight w:val="none"/>
        </w:rPr>
      </w:pPr>
      <w:bookmarkStart w:id="607" w:name="_Toc490492631"/>
      <w:bookmarkStart w:id="608" w:name="_Toc11925"/>
      <w:bookmarkStart w:id="609" w:name="_Toc500594544"/>
      <w:bookmarkStart w:id="610" w:name="_Toc436725471"/>
      <w:bookmarkStart w:id="611" w:name="_Toc502328426"/>
      <w:bookmarkStart w:id="612" w:name="_Toc436725444"/>
    </w:p>
    <w:p w14:paraId="2EE80D77">
      <w:pPr>
        <w:spacing w:line="360" w:lineRule="auto"/>
        <w:ind w:firstLine="480" w:firstLineChars="200"/>
        <w:jc w:val="both"/>
        <w:rPr>
          <w:rFonts w:hint="eastAsia" w:ascii="宋体" w:hAnsi="宋体" w:eastAsia="宋体" w:cs="宋体"/>
          <w:color w:val="auto"/>
          <w:szCs w:val="24"/>
          <w:highlight w:val="none"/>
          <w:u w:val="single"/>
          <w:lang w:val="en-US" w:eastAsia="zh-CN"/>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zCs w:val="24"/>
          <w:highlight w:val="none"/>
        </w:rPr>
        <w:t>）：</w:t>
      </w:r>
      <w:bookmarkStart w:id="613" w:name="OLE_LINK7"/>
      <w:r>
        <w:rPr>
          <w:rFonts w:hint="eastAsia" w:ascii="宋体" w:hAnsi="宋体" w:eastAsia="宋体" w:cs="宋体"/>
          <w:color w:val="auto"/>
          <w:szCs w:val="24"/>
          <w:highlight w:val="none"/>
          <w:u w:val="single"/>
          <w:lang w:val="en-US" w:eastAsia="zh-CN"/>
        </w:rPr>
        <w:t xml:space="preserve">                          </w:t>
      </w:r>
      <w:bookmarkEnd w:id="613"/>
    </w:p>
    <w:p w14:paraId="2575175B">
      <w:pPr>
        <w:pStyle w:val="27"/>
        <w:rPr>
          <w:rFonts w:hint="eastAsia" w:ascii="宋体" w:hAnsi="宋体" w:eastAsia="宋体" w:cs="宋体"/>
          <w:color w:val="auto"/>
          <w:highlight w:val="none"/>
          <w:lang w:val="en-US" w:eastAsia="zh-CN"/>
        </w:rPr>
      </w:pPr>
    </w:p>
    <w:p w14:paraId="4F364A4E">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法定代表人或委托代理人（签字</w:t>
      </w:r>
      <w:r>
        <w:rPr>
          <w:rFonts w:hint="eastAsia" w:ascii="宋体" w:hAnsi="宋体" w:eastAsia="宋体" w:cs="宋体"/>
          <w:color w:val="auto"/>
          <w:szCs w:val="24"/>
          <w:highlight w:val="none"/>
          <w:lang w:eastAsia="zh-CN"/>
        </w:rPr>
        <w:t>或签章</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lang w:val="en-US" w:eastAsia="zh-CN"/>
        </w:rPr>
        <w:t xml:space="preserve">                       </w:t>
      </w:r>
    </w:p>
    <w:p w14:paraId="034BA5CE">
      <w:pPr>
        <w:pStyle w:val="27"/>
        <w:rPr>
          <w:rFonts w:hint="eastAsia" w:ascii="宋体" w:hAnsi="宋体" w:eastAsia="宋体" w:cs="宋体"/>
          <w:color w:val="auto"/>
          <w:highlight w:val="none"/>
        </w:rPr>
      </w:pPr>
    </w:p>
    <w:p w14:paraId="2353C8C2">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bookmarkStart w:id="614" w:name="OLE_LINK8"/>
      <w:r>
        <w:rPr>
          <w:rFonts w:hint="eastAsia" w:ascii="宋体" w:hAnsi="宋体" w:eastAsia="宋体" w:cs="宋体"/>
          <w:color w:val="auto"/>
          <w:szCs w:val="24"/>
          <w:highlight w:val="none"/>
          <w:u w:val="single"/>
          <w:lang w:val="en-US" w:eastAsia="zh-CN"/>
        </w:rPr>
        <w:t xml:space="preserve">       </w:t>
      </w:r>
      <w:bookmarkEnd w:id="614"/>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日</w:t>
      </w:r>
    </w:p>
    <w:p w14:paraId="3B75A8DF">
      <w:pPr>
        <w:pStyle w:val="4"/>
        <w:spacing w:line="360" w:lineRule="auto"/>
        <w:jc w:val="center"/>
        <w:outlineLvl w:val="9"/>
        <w:rPr>
          <w:rFonts w:hint="eastAsia" w:ascii="宋体" w:hAnsi="宋体" w:eastAsia="宋体" w:cs="宋体"/>
          <w:color w:val="auto"/>
          <w:sz w:val="36"/>
          <w:szCs w:val="36"/>
          <w:highlight w:val="none"/>
        </w:rPr>
      </w:pPr>
    </w:p>
    <w:p w14:paraId="59D21EAC">
      <w:pPr>
        <w:rPr>
          <w:rFonts w:hint="eastAsia" w:ascii="宋体" w:hAnsi="宋体" w:eastAsia="宋体" w:cs="宋体"/>
          <w:color w:val="auto"/>
          <w:sz w:val="36"/>
          <w:szCs w:val="36"/>
          <w:highlight w:val="none"/>
        </w:rPr>
      </w:pPr>
    </w:p>
    <w:p w14:paraId="095FCD88">
      <w:pPr>
        <w:pStyle w:val="27"/>
        <w:rPr>
          <w:rFonts w:hint="eastAsia" w:ascii="宋体" w:hAnsi="宋体" w:eastAsia="宋体" w:cs="宋体"/>
          <w:color w:val="auto"/>
          <w:highlight w:val="none"/>
        </w:rPr>
      </w:pPr>
    </w:p>
    <w:p w14:paraId="1445D5B4">
      <w:pPr>
        <w:rPr>
          <w:rFonts w:hint="eastAsia" w:ascii="宋体" w:hAnsi="宋体" w:eastAsia="宋体" w:cs="宋体"/>
          <w:color w:val="auto"/>
          <w:sz w:val="36"/>
          <w:szCs w:val="36"/>
          <w:highlight w:val="none"/>
        </w:rPr>
      </w:pPr>
      <w:bookmarkStart w:id="615" w:name="_Toc28988"/>
      <w:r>
        <w:rPr>
          <w:rFonts w:hint="eastAsia" w:ascii="宋体" w:hAnsi="宋体" w:eastAsia="宋体" w:cs="宋体"/>
          <w:color w:val="auto"/>
          <w:sz w:val="36"/>
          <w:szCs w:val="36"/>
          <w:highlight w:val="none"/>
        </w:rPr>
        <w:br w:type="page"/>
      </w:r>
    </w:p>
    <w:p w14:paraId="5D302DD7">
      <w:pPr>
        <w:pStyle w:val="4"/>
        <w:spacing w:line="360" w:lineRule="auto"/>
        <w:jc w:val="center"/>
        <w:outlineLvl w:val="9"/>
        <w:rPr>
          <w:rFonts w:hint="eastAsia" w:ascii="宋体" w:hAnsi="宋体" w:eastAsia="宋体" w:cs="宋体"/>
          <w:color w:val="auto"/>
          <w:sz w:val="36"/>
          <w:szCs w:val="36"/>
          <w:highlight w:val="none"/>
        </w:rPr>
      </w:pPr>
    </w:p>
    <w:p w14:paraId="63C1188D">
      <w:pPr>
        <w:pStyle w:val="4"/>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三、法定代表人身份证明书</w:t>
      </w:r>
      <w:bookmarkEnd w:id="605"/>
      <w:bookmarkEnd w:id="607"/>
      <w:bookmarkEnd w:id="608"/>
      <w:bookmarkEnd w:id="609"/>
      <w:bookmarkEnd w:id="610"/>
      <w:bookmarkEnd w:id="611"/>
      <w:bookmarkEnd w:id="612"/>
      <w:bookmarkEnd w:id="615"/>
    </w:p>
    <w:p w14:paraId="6A501BCF">
      <w:pPr>
        <w:spacing w:line="360" w:lineRule="auto"/>
        <w:ind w:firstLine="480" w:firstLineChars="200"/>
        <w:jc w:val="both"/>
        <w:rPr>
          <w:rFonts w:hint="eastAsia" w:ascii="宋体" w:hAnsi="宋体" w:eastAsia="宋体" w:cs="宋体"/>
          <w:color w:val="auto"/>
          <w:highlight w:val="none"/>
        </w:rPr>
      </w:pPr>
    </w:p>
    <w:p w14:paraId="5B850E0A">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p>
    <w:p w14:paraId="362737C0">
      <w:pPr>
        <w:spacing w:line="360" w:lineRule="auto"/>
        <w:ind w:firstLine="480" w:firstLineChars="200"/>
        <w:jc w:val="both"/>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单位性质：</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p>
    <w:p w14:paraId="3F2230F5">
      <w:pPr>
        <w:spacing w:line="360" w:lineRule="auto"/>
        <w:ind w:firstLine="480" w:firstLineChars="200"/>
        <w:jc w:val="both"/>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地    址：</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0A8E653A">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成立时间：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54EF3C62">
      <w:pPr>
        <w:spacing w:line="360" w:lineRule="auto"/>
        <w:ind w:firstLine="480" w:firstLineChars="200"/>
        <w:jc w:val="both"/>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经营期限：</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 xml:space="preserve">                  </w:t>
      </w:r>
    </w:p>
    <w:p w14:paraId="248AC6B9">
      <w:pPr>
        <w:spacing w:line="360" w:lineRule="auto"/>
        <w:ind w:firstLine="480" w:firstLineChars="200"/>
        <w:jc w:val="both"/>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姓    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w:t>
      </w:r>
      <w:r>
        <w:rPr>
          <w:rFonts w:hint="eastAsia" w:ascii="宋体" w:hAnsi="宋体" w:eastAsia="宋体" w:cs="宋体"/>
          <w:color w:val="auto"/>
          <w:szCs w:val="24"/>
          <w:highlight w:val="none"/>
          <w:u w:val="single"/>
        </w:rPr>
        <w:tab/>
      </w:r>
      <w:r>
        <w:rPr>
          <w:rFonts w:hint="eastAsia" w:ascii="宋体" w:hAnsi="宋体" w:eastAsia="宋体" w:cs="宋体"/>
          <w:color w:val="auto"/>
          <w:szCs w:val="24"/>
          <w:highlight w:val="none"/>
          <w:u w:val="single"/>
        </w:rPr>
        <w:tab/>
      </w:r>
    </w:p>
    <w:p w14:paraId="42C06488">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w:t>
      </w:r>
    </w:p>
    <w:p w14:paraId="4842CDF5">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系</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eastAsia="zh-CN"/>
        </w:rPr>
        <w:t>磋商申请人</w:t>
      </w:r>
      <w:r>
        <w:rPr>
          <w:rFonts w:hint="eastAsia" w:ascii="宋体" w:hAnsi="宋体" w:eastAsia="宋体" w:cs="宋体"/>
          <w:color w:val="auto"/>
          <w:szCs w:val="24"/>
          <w:highlight w:val="none"/>
          <w:u w:val="single"/>
        </w:rPr>
        <w:t xml:space="preserve">单位名称）         </w:t>
      </w:r>
      <w:r>
        <w:rPr>
          <w:rFonts w:hint="eastAsia" w:ascii="宋体" w:hAnsi="宋体" w:eastAsia="宋体" w:cs="宋体"/>
          <w:color w:val="auto"/>
          <w:szCs w:val="24"/>
          <w:highlight w:val="none"/>
        </w:rPr>
        <w:t>的法定代表人。</w:t>
      </w:r>
    </w:p>
    <w:p w14:paraId="61FA3F42">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特此证明。</w:t>
      </w:r>
    </w:p>
    <w:p w14:paraId="7AACD1E8">
      <w:pPr>
        <w:spacing w:line="360" w:lineRule="auto"/>
        <w:ind w:firstLine="482" w:firstLineChars="200"/>
        <w:jc w:val="both"/>
        <w:outlineLvl w:val="2"/>
        <w:rPr>
          <w:rFonts w:hint="eastAsia" w:ascii="宋体" w:hAnsi="宋体" w:eastAsia="宋体" w:cs="宋体"/>
          <w:b/>
          <w:color w:val="auto"/>
          <w:szCs w:val="24"/>
          <w:highlight w:val="none"/>
        </w:rPr>
      </w:pPr>
      <w:bookmarkStart w:id="616" w:name="_Toc24448"/>
      <w:r>
        <w:rPr>
          <w:rFonts w:hint="eastAsia" w:ascii="宋体" w:hAnsi="宋体" w:eastAsia="宋体" w:cs="宋体"/>
          <w:b/>
          <w:color w:val="auto"/>
          <w:szCs w:val="24"/>
          <w:highlight w:val="none"/>
        </w:rPr>
        <w:t>附法定代表人身份证复印件(正、反面）</w:t>
      </w:r>
      <w:bookmarkEnd w:id="616"/>
    </w:p>
    <w:p w14:paraId="5D5DD86A">
      <w:pPr>
        <w:spacing w:line="360" w:lineRule="auto"/>
        <w:ind w:firstLine="480" w:firstLineChars="200"/>
        <w:jc w:val="both"/>
        <w:rPr>
          <w:rFonts w:hint="eastAsia" w:ascii="宋体" w:hAnsi="宋体" w:eastAsia="宋体" w:cs="宋体"/>
          <w:color w:val="auto"/>
          <w:szCs w:val="24"/>
          <w:highlight w:val="none"/>
        </w:rPr>
      </w:pPr>
    </w:p>
    <w:p w14:paraId="2BFDC73A">
      <w:pPr>
        <w:spacing w:line="360" w:lineRule="auto"/>
        <w:ind w:firstLine="480" w:firstLineChars="200"/>
        <w:jc w:val="both"/>
        <w:rPr>
          <w:rFonts w:hint="eastAsia" w:ascii="宋体" w:hAnsi="宋体" w:eastAsia="宋体" w:cs="宋体"/>
          <w:color w:val="auto"/>
          <w:szCs w:val="24"/>
          <w:highlight w:val="none"/>
        </w:rPr>
      </w:pPr>
    </w:p>
    <w:p w14:paraId="0679ABB0">
      <w:pPr>
        <w:spacing w:line="360" w:lineRule="auto"/>
        <w:ind w:firstLine="480" w:firstLineChars="200"/>
        <w:jc w:val="both"/>
        <w:rPr>
          <w:rFonts w:hint="eastAsia" w:ascii="宋体" w:hAnsi="宋体" w:eastAsia="宋体" w:cs="宋体"/>
          <w:color w:val="auto"/>
          <w:szCs w:val="24"/>
          <w:highlight w:val="none"/>
        </w:rPr>
      </w:pPr>
    </w:p>
    <w:p w14:paraId="61938426">
      <w:pPr>
        <w:spacing w:line="360" w:lineRule="auto"/>
        <w:ind w:firstLine="480" w:firstLineChars="200"/>
        <w:jc w:val="both"/>
        <w:rPr>
          <w:rFonts w:hint="eastAsia" w:ascii="宋体" w:hAnsi="宋体" w:eastAsia="宋体" w:cs="宋体"/>
          <w:color w:val="auto"/>
          <w:szCs w:val="24"/>
          <w:highlight w:val="none"/>
        </w:rPr>
      </w:pPr>
    </w:p>
    <w:p w14:paraId="207C5309">
      <w:pPr>
        <w:spacing w:line="360" w:lineRule="auto"/>
        <w:ind w:firstLine="480" w:firstLineChars="200"/>
        <w:jc w:val="both"/>
        <w:rPr>
          <w:rFonts w:hint="eastAsia" w:ascii="宋体" w:hAnsi="宋体" w:eastAsia="宋体" w:cs="宋体"/>
          <w:color w:val="auto"/>
          <w:szCs w:val="24"/>
          <w:highlight w:val="none"/>
        </w:rPr>
      </w:pPr>
    </w:p>
    <w:p w14:paraId="2086554C">
      <w:pPr>
        <w:spacing w:line="360" w:lineRule="auto"/>
        <w:ind w:firstLine="480" w:firstLineChars="200"/>
        <w:jc w:val="both"/>
        <w:rPr>
          <w:rFonts w:hint="eastAsia" w:ascii="宋体" w:hAnsi="宋体" w:eastAsia="宋体" w:cs="宋体"/>
          <w:color w:val="auto"/>
          <w:szCs w:val="24"/>
          <w:highlight w:val="none"/>
        </w:rPr>
      </w:pPr>
    </w:p>
    <w:p w14:paraId="3D36EA64">
      <w:pPr>
        <w:spacing w:line="360" w:lineRule="auto"/>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lang w:val="en-US" w:eastAsia="zh-CN"/>
        </w:rPr>
        <w:t xml:space="preserve">                              </w:t>
      </w:r>
    </w:p>
    <w:p w14:paraId="34883C60">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04993769">
      <w:pPr>
        <w:spacing w:line="360" w:lineRule="auto"/>
        <w:ind w:firstLine="480" w:firstLineChars="200"/>
        <w:jc w:val="both"/>
        <w:rPr>
          <w:rFonts w:hint="eastAsia" w:ascii="宋体" w:hAnsi="宋体" w:eastAsia="宋体" w:cs="宋体"/>
          <w:color w:val="auto"/>
          <w:szCs w:val="24"/>
          <w:highlight w:val="none"/>
        </w:rPr>
      </w:pPr>
    </w:p>
    <w:p w14:paraId="02023D84">
      <w:pPr>
        <w:spacing w:line="360" w:lineRule="auto"/>
        <w:rPr>
          <w:rFonts w:hint="eastAsia" w:ascii="宋体" w:hAnsi="宋体" w:eastAsia="宋体" w:cs="宋体"/>
          <w:color w:val="auto"/>
          <w:sz w:val="21"/>
          <w:szCs w:val="21"/>
          <w:highlight w:val="none"/>
        </w:rPr>
      </w:pPr>
      <w:bookmarkStart w:id="617" w:name="_Toc403576486"/>
    </w:p>
    <w:p w14:paraId="07FDFE6E">
      <w:pPr>
        <w:spacing w:line="360" w:lineRule="auto"/>
        <w:rPr>
          <w:rFonts w:hint="eastAsia" w:ascii="宋体" w:hAnsi="宋体" w:eastAsia="宋体" w:cs="宋体"/>
          <w:color w:val="auto"/>
          <w:sz w:val="21"/>
          <w:szCs w:val="21"/>
          <w:highlight w:val="none"/>
        </w:rPr>
      </w:pPr>
    </w:p>
    <w:p w14:paraId="54E30FFA">
      <w:pPr>
        <w:spacing w:line="360" w:lineRule="auto"/>
        <w:rPr>
          <w:rFonts w:hint="eastAsia" w:ascii="宋体" w:hAnsi="宋体" w:eastAsia="宋体" w:cs="宋体"/>
          <w:color w:val="auto"/>
          <w:sz w:val="21"/>
          <w:szCs w:val="21"/>
          <w:highlight w:val="none"/>
        </w:rPr>
      </w:pPr>
    </w:p>
    <w:p w14:paraId="069CA20A">
      <w:pPr>
        <w:spacing w:line="360" w:lineRule="auto"/>
        <w:rPr>
          <w:rFonts w:hint="eastAsia" w:ascii="宋体" w:hAnsi="宋体" w:eastAsia="宋体" w:cs="宋体"/>
          <w:color w:val="auto"/>
          <w:sz w:val="21"/>
          <w:szCs w:val="21"/>
          <w:highlight w:val="none"/>
        </w:rPr>
      </w:pPr>
    </w:p>
    <w:p w14:paraId="3DC6A035">
      <w:pPr>
        <w:spacing w:line="360" w:lineRule="auto"/>
        <w:rPr>
          <w:rFonts w:hint="eastAsia" w:ascii="宋体" w:hAnsi="宋体" w:eastAsia="宋体" w:cs="宋体"/>
          <w:color w:val="auto"/>
          <w:sz w:val="21"/>
          <w:szCs w:val="21"/>
          <w:highlight w:val="none"/>
        </w:rPr>
      </w:pPr>
    </w:p>
    <w:p w14:paraId="635ABBAD">
      <w:pPr>
        <w:spacing w:line="360" w:lineRule="auto"/>
        <w:rPr>
          <w:rFonts w:hint="eastAsia" w:ascii="宋体" w:hAnsi="宋体" w:eastAsia="宋体" w:cs="宋体"/>
          <w:color w:val="auto"/>
          <w:sz w:val="21"/>
          <w:szCs w:val="21"/>
          <w:highlight w:val="none"/>
        </w:rPr>
      </w:pPr>
    </w:p>
    <w:p w14:paraId="4FE5A784">
      <w:pPr>
        <w:spacing w:line="360" w:lineRule="auto"/>
        <w:rPr>
          <w:rFonts w:hint="eastAsia" w:ascii="宋体" w:hAnsi="宋体" w:eastAsia="宋体" w:cs="宋体"/>
          <w:color w:val="auto"/>
          <w:sz w:val="21"/>
          <w:szCs w:val="21"/>
          <w:highlight w:val="none"/>
        </w:rPr>
      </w:pPr>
    </w:p>
    <w:p w14:paraId="5008A2B1">
      <w:pPr>
        <w:spacing w:line="360" w:lineRule="auto"/>
        <w:rPr>
          <w:rFonts w:hint="eastAsia" w:ascii="宋体" w:hAnsi="宋体" w:eastAsia="宋体" w:cs="宋体"/>
          <w:color w:val="auto"/>
          <w:sz w:val="21"/>
          <w:szCs w:val="21"/>
          <w:highlight w:val="none"/>
        </w:rPr>
      </w:pPr>
    </w:p>
    <w:p w14:paraId="146D6101">
      <w:pPr>
        <w:rPr>
          <w:rFonts w:hint="eastAsia" w:ascii="宋体" w:hAnsi="宋体" w:eastAsia="宋体" w:cs="宋体"/>
          <w:color w:val="auto"/>
          <w:sz w:val="36"/>
          <w:szCs w:val="36"/>
          <w:highlight w:val="none"/>
        </w:rPr>
      </w:pPr>
      <w:bookmarkStart w:id="618" w:name="_Toc436725445"/>
      <w:bookmarkStart w:id="619" w:name="_Toc436725472"/>
      <w:bookmarkStart w:id="620" w:name="_Toc500594545"/>
      <w:bookmarkStart w:id="621" w:name="_Toc502328427"/>
      <w:bookmarkStart w:id="622" w:name="_Toc490492632"/>
      <w:bookmarkStart w:id="623" w:name="_Toc12856"/>
      <w:bookmarkStart w:id="624" w:name="_Toc20637"/>
      <w:r>
        <w:rPr>
          <w:rFonts w:hint="eastAsia" w:ascii="宋体" w:hAnsi="宋体" w:eastAsia="宋体" w:cs="宋体"/>
          <w:color w:val="auto"/>
          <w:sz w:val="36"/>
          <w:szCs w:val="36"/>
          <w:highlight w:val="none"/>
        </w:rPr>
        <w:br w:type="page"/>
      </w:r>
    </w:p>
    <w:p w14:paraId="1FCD5EF1">
      <w:pPr>
        <w:pStyle w:val="4"/>
        <w:spacing w:line="360" w:lineRule="auto"/>
        <w:jc w:val="center"/>
        <w:outlineLvl w:val="9"/>
        <w:rPr>
          <w:rFonts w:hint="eastAsia" w:ascii="宋体" w:hAnsi="宋体" w:eastAsia="宋体" w:cs="宋体"/>
          <w:color w:val="auto"/>
          <w:sz w:val="36"/>
          <w:szCs w:val="36"/>
          <w:highlight w:val="none"/>
        </w:rPr>
      </w:pPr>
    </w:p>
    <w:p w14:paraId="164CD8CD">
      <w:pPr>
        <w:pStyle w:val="4"/>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四、法定代表人授权委托书</w:t>
      </w:r>
      <w:bookmarkEnd w:id="617"/>
      <w:bookmarkEnd w:id="618"/>
      <w:bookmarkEnd w:id="619"/>
      <w:bookmarkEnd w:id="620"/>
      <w:bookmarkEnd w:id="621"/>
      <w:bookmarkEnd w:id="622"/>
      <w:bookmarkEnd w:id="623"/>
      <w:bookmarkEnd w:id="624"/>
    </w:p>
    <w:p w14:paraId="10BC9E7B">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本授权委托书声明：我</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（姓名）系</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名称）的法定代表人，现授权委托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（姓名）为我公司代理人，以公司名义参加</w:t>
      </w:r>
      <w:r>
        <w:rPr>
          <w:rFonts w:hint="eastAsia" w:ascii="宋体" w:hAnsi="宋体" w:eastAsia="宋体" w:cs="宋体"/>
          <w:color w:val="auto"/>
          <w:szCs w:val="24"/>
          <w:highlight w:val="none"/>
          <w:lang w:eastAsia="zh-CN"/>
        </w:rPr>
        <w:t>云南疆屿项目管理咨询有限公司</w:t>
      </w:r>
      <w:r>
        <w:rPr>
          <w:rFonts w:hint="eastAsia" w:ascii="宋体" w:hAnsi="宋体" w:eastAsia="宋体" w:cs="宋体"/>
          <w:color w:val="auto"/>
          <w:szCs w:val="24"/>
          <w:highlight w:val="none"/>
        </w:rPr>
        <w:t>组织的</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u w:val="single"/>
          <w:lang w:eastAsia="zh-CN"/>
        </w:rPr>
        <w:t>红河县车古乡利博村委会至龙腾公路工程建设项目</w:t>
      </w:r>
      <w:r>
        <w:rPr>
          <w:rFonts w:hint="eastAsia" w:ascii="宋体" w:hAnsi="宋体" w:eastAsia="宋体" w:cs="宋体"/>
          <w:color w:val="auto"/>
          <w:szCs w:val="24"/>
          <w:highlight w:val="none"/>
          <w:u w:val="single"/>
        </w:rPr>
        <w:t>（项目编号：</w:t>
      </w:r>
      <w:r>
        <w:rPr>
          <w:rFonts w:hint="eastAsia" w:ascii="宋体" w:hAnsi="宋体" w:eastAsia="宋体" w:cs="宋体"/>
          <w:color w:val="auto"/>
          <w:szCs w:val="24"/>
          <w:highlight w:val="none"/>
          <w:u w:val="single"/>
          <w:lang w:eastAsia="zh-CN"/>
        </w:rPr>
        <w:t>YNJY-260518</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竞争性磋商活动。</w:t>
      </w:r>
    </w:p>
    <w:p w14:paraId="3097D00B">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代理人在参加本项目过程中所签署的一切文件和处理与之有关的一切事务，我均予以承认。</w:t>
      </w:r>
    </w:p>
    <w:p w14:paraId="626EEB4C">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代理人无转委权，特此委托。</w:t>
      </w:r>
    </w:p>
    <w:p w14:paraId="64E2CFDA">
      <w:pPr>
        <w:spacing w:line="360" w:lineRule="auto"/>
        <w:ind w:firstLine="480" w:firstLineChars="200"/>
        <w:jc w:val="both"/>
        <w:rPr>
          <w:rFonts w:hint="eastAsia" w:ascii="宋体" w:hAnsi="宋体" w:eastAsia="宋体" w:cs="宋体"/>
          <w:color w:val="auto"/>
          <w:szCs w:val="24"/>
          <w:highlight w:val="none"/>
        </w:rPr>
      </w:pPr>
    </w:p>
    <w:p w14:paraId="262AF93E">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（签字）   性别：</w:t>
      </w:r>
      <w:bookmarkStart w:id="625" w:name="OLE_LINK6"/>
      <w:r>
        <w:rPr>
          <w:rFonts w:hint="eastAsia" w:ascii="宋体" w:hAnsi="宋体" w:eastAsia="宋体" w:cs="宋体"/>
          <w:color w:val="auto"/>
          <w:szCs w:val="24"/>
          <w:highlight w:val="none"/>
          <w:u w:val="single"/>
        </w:rPr>
        <w:t xml:space="preserve">          </w:t>
      </w:r>
      <w:bookmarkEnd w:id="625"/>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年龄：__________</w:t>
      </w:r>
    </w:p>
    <w:p w14:paraId="2AD8E3A0">
      <w:pPr>
        <w:spacing w:line="360" w:lineRule="auto"/>
        <w:ind w:firstLine="480" w:firstLineChars="200"/>
        <w:jc w:val="both"/>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职务：</w:t>
      </w:r>
      <w:r>
        <w:rPr>
          <w:rFonts w:hint="eastAsia" w:ascii="宋体" w:hAnsi="宋体" w:eastAsia="宋体" w:cs="宋体"/>
          <w:color w:val="auto"/>
          <w:szCs w:val="24"/>
          <w:highlight w:val="none"/>
          <w:u w:val="single"/>
        </w:rPr>
        <w:t xml:space="preserve">          </w:t>
      </w:r>
    </w:p>
    <w:p w14:paraId="1E64B6C7">
      <w:pPr>
        <w:spacing w:line="360" w:lineRule="auto"/>
        <w:ind w:firstLine="480" w:firstLineChars="200"/>
        <w:jc w:val="both"/>
        <w:rPr>
          <w:rFonts w:hint="eastAsia" w:ascii="宋体" w:hAnsi="宋体" w:eastAsia="宋体" w:cs="宋体"/>
          <w:color w:val="auto"/>
          <w:szCs w:val="24"/>
          <w:highlight w:val="none"/>
          <w:lang w:eastAsia="zh-CN"/>
        </w:rPr>
      </w:pPr>
    </w:p>
    <w:p w14:paraId="4B7FB700">
      <w:pPr>
        <w:spacing w:line="360" w:lineRule="auto"/>
        <w:ind w:firstLine="480" w:firstLineChars="200"/>
        <w:jc w:val="both"/>
        <w:rPr>
          <w:rFonts w:hint="eastAsia" w:ascii="宋体" w:hAnsi="宋体" w:eastAsia="宋体" w:cs="宋体"/>
          <w:color w:val="auto"/>
          <w:szCs w:val="24"/>
          <w:highlight w:val="none"/>
          <w:u w:val="single"/>
          <w:lang w:val="en-US" w:eastAsia="zh-CN"/>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lang w:val="en-US" w:eastAsia="zh-CN"/>
        </w:rPr>
        <w:t xml:space="preserve">                              </w:t>
      </w:r>
    </w:p>
    <w:p w14:paraId="1E9B6981">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法定代表人（签字</w:t>
      </w:r>
      <w:r>
        <w:rPr>
          <w:rFonts w:hint="eastAsia" w:ascii="宋体" w:hAnsi="宋体" w:eastAsia="宋体" w:cs="宋体"/>
          <w:color w:val="auto"/>
          <w:szCs w:val="24"/>
          <w:highlight w:val="none"/>
          <w:lang w:eastAsia="zh-CN"/>
        </w:rPr>
        <w:t>或签章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lang w:val="en-US" w:eastAsia="zh-CN"/>
        </w:rPr>
        <w:t xml:space="preserve">                                      </w:t>
      </w:r>
    </w:p>
    <w:p w14:paraId="7A5EF9CF">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授权委托日期：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3884FCC3">
      <w:pPr>
        <w:spacing w:line="360" w:lineRule="auto"/>
        <w:rPr>
          <w:rFonts w:hint="eastAsia" w:ascii="宋体" w:hAnsi="宋体" w:eastAsia="宋体" w:cs="宋体"/>
          <w:b/>
          <w:color w:val="auto"/>
          <w:szCs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9"/>
        <w:gridCol w:w="3759"/>
      </w:tblGrid>
      <w:tr w14:paraId="0C39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jc w:val="center"/>
        </w:trPr>
        <w:tc>
          <w:tcPr>
            <w:tcW w:w="3859" w:type="dxa"/>
            <w:noWrap w:val="0"/>
            <w:vAlign w:val="center"/>
          </w:tcPr>
          <w:p w14:paraId="0904542F">
            <w:pPr>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身份证复印件</w:t>
            </w:r>
          </w:p>
          <w:p w14:paraId="6343104F">
            <w:pPr>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头像</w:t>
            </w:r>
            <w:r>
              <w:rPr>
                <w:rFonts w:hint="eastAsia" w:ascii="宋体" w:hAnsi="宋体" w:eastAsia="宋体" w:cs="宋体"/>
                <w:b/>
                <w:color w:val="auto"/>
                <w:szCs w:val="24"/>
                <w:highlight w:val="none"/>
              </w:rPr>
              <w:t>面）</w:t>
            </w:r>
          </w:p>
        </w:tc>
        <w:tc>
          <w:tcPr>
            <w:tcW w:w="3759" w:type="dxa"/>
            <w:noWrap w:val="0"/>
            <w:vAlign w:val="center"/>
          </w:tcPr>
          <w:p w14:paraId="777578C4">
            <w:pPr>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身份证复印件</w:t>
            </w:r>
          </w:p>
          <w:p w14:paraId="4DFC6448">
            <w:pPr>
              <w:spacing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国徽</w:t>
            </w:r>
            <w:r>
              <w:rPr>
                <w:rFonts w:hint="eastAsia" w:ascii="宋体" w:hAnsi="宋体" w:eastAsia="宋体" w:cs="宋体"/>
                <w:b/>
                <w:color w:val="auto"/>
                <w:szCs w:val="24"/>
                <w:highlight w:val="none"/>
              </w:rPr>
              <w:t>面）</w:t>
            </w:r>
          </w:p>
        </w:tc>
      </w:tr>
    </w:tbl>
    <w:p w14:paraId="1CB00722">
      <w:pPr>
        <w:spacing w:line="360" w:lineRule="auto"/>
        <w:rPr>
          <w:rFonts w:hint="eastAsia" w:ascii="宋体" w:hAnsi="宋体" w:eastAsia="宋体" w:cs="宋体"/>
          <w:b/>
          <w:color w:val="auto"/>
          <w:szCs w:val="24"/>
          <w:highlight w:val="none"/>
        </w:rPr>
      </w:pPr>
    </w:p>
    <w:p w14:paraId="3334B2AC">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注：附授权委托人身份证复印件，如</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由法定代表人亲自签署响应文件并参与相关活动，则不需要办理授权。如有被授权的代理人签署上述文件，则必须按本格式规定填报并提交授权书，否则被授权的代理人将不被认可。</w:t>
      </w:r>
    </w:p>
    <w:p w14:paraId="5C07FF9F">
      <w:pPr>
        <w:pStyle w:val="4"/>
        <w:spacing w:line="360" w:lineRule="auto"/>
        <w:jc w:val="center"/>
        <w:outlineLvl w:val="9"/>
        <w:rPr>
          <w:rFonts w:hint="eastAsia" w:ascii="宋体" w:hAnsi="宋体" w:eastAsia="宋体" w:cs="宋体"/>
          <w:color w:val="auto"/>
          <w:sz w:val="36"/>
          <w:szCs w:val="36"/>
          <w:highlight w:val="none"/>
        </w:rPr>
      </w:pPr>
      <w:bookmarkStart w:id="626" w:name="_Toc436725473"/>
      <w:bookmarkStart w:id="627" w:name="_Toc436725446"/>
      <w:bookmarkStart w:id="628" w:name="_Toc490492633"/>
      <w:bookmarkStart w:id="629" w:name="_Toc26464"/>
      <w:bookmarkStart w:id="630" w:name="_Toc19704"/>
      <w:bookmarkStart w:id="631" w:name="_Toc502328428"/>
      <w:bookmarkStart w:id="632" w:name="_Toc500594546"/>
      <w:r>
        <w:rPr>
          <w:rFonts w:hint="eastAsia" w:ascii="宋体" w:hAnsi="宋体" w:eastAsia="宋体" w:cs="宋体"/>
          <w:color w:val="auto"/>
          <w:sz w:val="36"/>
          <w:szCs w:val="36"/>
          <w:highlight w:val="none"/>
        </w:rPr>
        <w:br w:type="page"/>
      </w:r>
    </w:p>
    <w:p w14:paraId="3BAD5562">
      <w:pPr>
        <w:pStyle w:val="4"/>
        <w:spacing w:line="360" w:lineRule="auto"/>
        <w:jc w:val="center"/>
        <w:outlineLvl w:val="9"/>
        <w:rPr>
          <w:rFonts w:hint="eastAsia" w:ascii="宋体" w:hAnsi="宋体" w:eastAsia="宋体" w:cs="宋体"/>
          <w:color w:val="auto"/>
          <w:sz w:val="36"/>
          <w:szCs w:val="36"/>
          <w:highlight w:val="none"/>
        </w:rPr>
      </w:pPr>
    </w:p>
    <w:p w14:paraId="5259B72C">
      <w:pPr>
        <w:pStyle w:val="4"/>
        <w:spacing w:line="360" w:lineRule="auto"/>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五、磋商保证</w:t>
      </w:r>
      <w:bookmarkEnd w:id="626"/>
      <w:bookmarkEnd w:id="627"/>
      <w:r>
        <w:rPr>
          <w:rFonts w:hint="eastAsia" w:ascii="宋体" w:hAnsi="宋体" w:eastAsia="宋体" w:cs="宋体"/>
          <w:color w:val="auto"/>
          <w:sz w:val="36"/>
          <w:szCs w:val="36"/>
          <w:highlight w:val="none"/>
        </w:rPr>
        <w:t>书</w:t>
      </w:r>
      <w:bookmarkEnd w:id="628"/>
      <w:bookmarkEnd w:id="629"/>
      <w:bookmarkEnd w:id="630"/>
      <w:bookmarkEnd w:id="631"/>
      <w:bookmarkEnd w:id="632"/>
    </w:p>
    <w:p w14:paraId="560B52D1">
      <w:pPr>
        <w:spacing w:line="360" w:lineRule="auto"/>
        <w:jc w:val="both"/>
        <w:outlineLvl w:val="2"/>
        <w:rPr>
          <w:rFonts w:hint="eastAsia" w:ascii="宋体" w:hAnsi="宋体" w:eastAsia="宋体" w:cs="宋体"/>
          <w:b/>
          <w:color w:val="auto"/>
          <w:szCs w:val="24"/>
          <w:highlight w:val="none"/>
          <w:lang w:eastAsia="zh-CN"/>
        </w:rPr>
      </w:pPr>
      <w:bookmarkStart w:id="633" w:name="_Toc7811"/>
      <w:bookmarkStart w:id="634" w:name="_Toc243489879"/>
      <w:r>
        <w:rPr>
          <w:rFonts w:hint="eastAsia" w:ascii="宋体" w:hAnsi="宋体" w:eastAsia="宋体" w:cs="宋体"/>
          <w:b/>
          <w:color w:val="auto"/>
          <w:szCs w:val="24"/>
          <w:highlight w:val="none"/>
        </w:rPr>
        <w:t>致:</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采购</w:t>
      </w:r>
      <w:r>
        <w:rPr>
          <w:rFonts w:hint="eastAsia" w:ascii="宋体" w:hAnsi="宋体" w:eastAsia="宋体" w:cs="宋体"/>
          <w:b/>
          <w:color w:val="auto"/>
          <w:szCs w:val="24"/>
          <w:highlight w:val="none"/>
          <w:lang w:eastAsia="zh-CN"/>
        </w:rPr>
        <w:t>人）</w:t>
      </w:r>
      <w:bookmarkEnd w:id="633"/>
    </w:p>
    <w:p w14:paraId="08D99D82">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本书作为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名称)对</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u w:val="single"/>
          <w:lang w:eastAsia="zh-CN"/>
        </w:rPr>
        <w:t>红河县车古乡利博村委会至龙腾公路工程建设项目</w:t>
      </w:r>
      <w:r>
        <w:rPr>
          <w:rFonts w:hint="eastAsia" w:ascii="宋体" w:hAnsi="宋体" w:eastAsia="宋体" w:cs="宋体"/>
          <w:color w:val="auto"/>
          <w:szCs w:val="24"/>
          <w:highlight w:val="none"/>
          <w:u w:val="single"/>
        </w:rPr>
        <w:t>(项目编号:</w:t>
      </w:r>
      <w:r>
        <w:rPr>
          <w:rFonts w:hint="eastAsia" w:ascii="宋体" w:hAnsi="宋体" w:eastAsia="宋体" w:cs="宋体"/>
          <w:color w:val="auto"/>
          <w:szCs w:val="24"/>
          <w:highlight w:val="none"/>
          <w:u w:val="single"/>
          <w:lang w:eastAsia="zh-CN"/>
        </w:rPr>
        <w:t>YNJY-260518</w:t>
      </w:r>
      <w:r>
        <w:rPr>
          <w:rFonts w:hint="eastAsia" w:ascii="宋体" w:hAnsi="宋体" w:eastAsia="宋体" w:cs="宋体"/>
          <w:color w:val="auto"/>
          <w:szCs w:val="24"/>
          <w:highlight w:val="none"/>
          <w:u w:val="single"/>
        </w:rPr>
        <w:t>）”</w:t>
      </w:r>
      <w:r>
        <w:rPr>
          <w:rFonts w:hint="eastAsia" w:ascii="宋体" w:hAnsi="宋体" w:eastAsia="宋体" w:cs="宋体"/>
          <w:color w:val="auto"/>
          <w:szCs w:val="24"/>
          <w:highlight w:val="none"/>
        </w:rPr>
        <w:t>提供磋商保证金的保证。</w:t>
      </w:r>
    </w:p>
    <w:p w14:paraId="78977ADC">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由</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（开户银行名称）提供的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（填保证金形式）总额为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（人民币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元）。</w:t>
      </w:r>
    </w:p>
    <w:p w14:paraId="3D6E6B4D">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一旦发生下述行为，我单位（或公司）将放弃追索磋商保证金的权利：</w:t>
      </w:r>
    </w:p>
    <w:p w14:paraId="28FFE4D1">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（1）从递交响应文件之日起响应文件有效期满前，撤回响应文件的；</w:t>
      </w:r>
    </w:p>
    <w:p w14:paraId="491C7716">
      <w:pPr>
        <w:spacing w:line="360" w:lineRule="auto"/>
        <w:ind w:firstLine="480" w:firstLineChars="200"/>
        <w:jc w:val="both"/>
        <w:outlineLvl w:val="2"/>
        <w:rPr>
          <w:rFonts w:hint="eastAsia" w:ascii="宋体" w:hAnsi="宋体" w:eastAsia="宋体" w:cs="宋体"/>
          <w:color w:val="auto"/>
          <w:szCs w:val="24"/>
          <w:highlight w:val="none"/>
        </w:rPr>
      </w:pPr>
      <w:bookmarkStart w:id="635" w:name="_Toc29952"/>
      <w:r>
        <w:rPr>
          <w:rFonts w:hint="eastAsia" w:ascii="宋体" w:hAnsi="宋体" w:eastAsia="宋体" w:cs="宋体"/>
          <w:color w:val="auto"/>
          <w:szCs w:val="24"/>
          <w:highlight w:val="none"/>
        </w:rPr>
        <w:t>（2）发生违反竞争性磋商文件规定的行为；</w:t>
      </w:r>
      <w:bookmarkEnd w:id="635"/>
    </w:p>
    <w:p w14:paraId="65AAC3FA">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（3）收到《</w:t>
      </w:r>
      <w:r>
        <w:rPr>
          <w:rFonts w:hint="eastAsia" w:ascii="宋体" w:hAnsi="宋体" w:eastAsia="宋体" w:cs="宋体"/>
          <w:color w:val="auto"/>
          <w:szCs w:val="24"/>
          <w:highlight w:val="none"/>
          <w:lang w:val="en-US" w:eastAsia="zh-CN"/>
        </w:rPr>
        <w:t>成交</w:t>
      </w:r>
      <w:r>
        <w:rPr>
          <w:rFonts w:hint="eastAsia" w:ascii="宋体" w:hAnsi="宋体" w:eastAsia="宋体" w:cs="宋体"/>
          <w:color w:val="auto"/>
          <w:szCs w:val="24"/>
          <w:highlight w:val="none"/>
        </w:rPr>
        <w:t>通知书》后未按规定的时间与</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人签订合同。</w:t>
      </w:r>
    </w:p>
    <w:p w14:paraId="690A1327">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本磋商保证书自递交响应文件截止时间起</w:t>
      </w:r>
      <w:r>
        <w:rPr>
          <w:rFonts w:hint="eastAsia" w:ascii="宋体" w:hAnsi="宋体" w:eastAsia="宋体" w:cs="宋体"/>
          <w:color w:val="auto"/>
          <w:szCs w:val="24"/>
          <w:highlight w:val="none"/>
          <w:lang w:val="en-US" w:eastAsia="zh-CN"/>
        </w:rPr>
        <w:t>90</w:t>
      </w:r>
      <w:r>
        <w:rPr>
          <w:rFonts w:hint="eastAsia" w:ascii="宋体" w:hAnsi="宋体" w:eastAsia="宋体" w:cs="宋体"/>
          <w:color w:val="auto"/>
          <w:szCs w:val="24"/>
          <w:highlight w:val="none"/>
        </w:rPr>
        <w:t>日</w:t>
      </w:r>
      <w:r>
        <w:rPr>
          <w:rFonts w:hint="eastAsia" w:ascii="宋体" w:hAnsi="宋体" w:eastAsia="宋体" w:cs="宋体"/>
          <w:color w:val="auto"/>
          <w:highlight w:val="none"/>
          <w:lang w:val="en-US" w:eastAsia="zh-CN"/>
        </w:rPr>
        <w:t>历</w:t>
      </w:r>
      <w:bookmarkStart w:id="653" w:name="_GoBack"/>
      <w:bookmarkEnd w:id="653"/>
      <w:r>
        <w:rPr>
          <w:rFonts w:hint="eastAsia" w:ascii="宋体" w:hAnsi="宋体" w:eastAsia="宋体" w:cs="宋体"/>
          <w:color w:val="auto"/>
          <w:highlight w:val="none"/>
          <w:lang w:val="en-US" w:eastAsia="zh-CN"/>
        </w:rPr>
        <w:t>天</w:t>
      </w:r>
      <w:r>
        <w:rPr>
          <w:rFonts w:hint="eastAsia" w:ascii="宋体" w:hAnsi="宋体" w:eastAsia="宋体" w:cs="宋体"/>
          <w:color w:val="auto"/>
          <w:szCs w:val="24"/>
          <w:highlight w:val="none"/>
        </w:rPr>
        <w:t>有效，除非贵方提前终止或解除本保证书。</w:t>
      </w:r>
    </w:p>
    <w:p w14:paraId="49F80AE8">
      <w:pPr>
        <w:spacing w:line="360" w:lineRule="auto"/>
        <w:ind w:firstLine="480" w:firstLineChars="200"/>
        <w:jc w:val="both"/>
        <w:rPr>
          <w:rFonts w:hint="eastAsia" w:ascii="宋体" w:hAnsi="宋体" w:eastAsia="宋体" w:cs="宋体"/>
          <w:color w:val="auto"/>
          <w:szCs w:val="24"/>
          <w:highlight w:val="none"/>
        </w:rPr>
      </w:pPr>
    </w:p>
    <w:p w14:paraId="4D16BD42">
      <w:pPr>
        <w:spacing w:line="360" w:lineRule="auto"/>
        <w:jc w:val="both"/>
        <w:rPr>
          <w:rFonts w:hint="eastAsia" w:ascii="宋体" w:hAnsi="宋体" w:eastAsia="宋体" w:cs="宋体"/>
          <w:color w:val="auto"/>
          <w:szCs w:val="24"/>
          <w:highlight w:val="none"/>
        </w:rPr>
      </w:pPr>
    </w:p>
    <w:p w14:paraId="064C7ABD">
      <w:pPr>
        <w:spacing w:line="360" w:lineRule="auto"/>
        <w:ind w:firstLine="480" w:firstLineChars="200"/>
        <w:jc w:val="both"/>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注：附磋商保证金</w:t>
      </w:r>
      <w:r>
        <w:rPr>
          <w:rFonts w:hint="eastAsia" w:ascii="宋体" w:hAnsi="宋体" w:eastAsia="宋体" w:cs="宋体"/>
          <w:color w:val="auto"/>
          <w:szCs w:val="24"/>
          <w:highlight w:val="none"/>
          <w:lang w:val="en-US" w:eastAsia="zh-CN"/>
        </w:rPr>
        <w:t>缴纳</w:t>
      </w:r>
      <w:r>
        <w:rPr>
          <w:rFonts w:hint="eastAsia" w:ascii="宋体" w:hAnsi="宋体" w:eastAsia="宋体" w:cs="宋体"/>
          <w:color w:val="auto"/>
          <w:szCs w:val="24"/>
          <w:highlight w:val="none"/>
          <w:lang w:eastAsia="zh-CN"/>
        </w:rPr>
        <w:t>凭证及开户许可证</w:t>
      </w:r>
    </w:p>
    <w:p w14:paraId="692A7A01">
      <w:pPr>
        <w:spacing w:line="360" w:lineRule="auto"/>
        <w:ind w:firstLine="480" w:firstLineChars="200"/>
        <w:jc w:val="both"/>
        <w:rPr>
          <w:rFonts w:hint="eastAsia" w:ascii="宋体" w:hAnsi="宋体" w:eastAsia="宋体" w:cs="宋体"/>
          <w:color w:val="auto"/>
          <w:szCs w:val="24"/>
          <w:highlight w:val="none"/>
        </w:rPr>
      </w:pPr>
    </w:p>
    <w:p w14:paraId="4497B88D">
      <w:pPr>
        <w:spacing w:line="360" w:lineRule="auto"/>
        <w:ind w:firstLine="480" w:firstLineChars="200"/>
        <w:jc w:val="both"/>
        <w:rPr>
          <w:rFonts w:hint="eastAsia" w:ascii="宋体" w:hAnsi="宋体" w:eastAsia="宋体" w:cs="宋体"/>
          <w:color w:val="auto"/>
          <w:szCs w:val="24"/>
          <w:highlight w:val="none"/>
        </w:rPr>
      </w:pPr>
    </w:p>
    <w:p w14:paraId="27306073">
      <w:pPr>
        <w:spacing w:line="360" w:lineRule="auto"/>
        <w:ind w:firstLine="480" w:firstLineChars="200"/>
        <w:jc w:val="both"/>
        <w:rPr>
          <w:rFonts w:hint="eastAsia" w:ascii="宋体" w:hAnsi="宋体" w:eastAsia="宋体" w:cs="宋体"/>
          <w:color w:val="auto"/>
          <w:szCs w:val="24"/>
          <w:highlight w:val="none"/>
        </w:rPr>
      </w:pPr>
    </w:p>
    <w:p w14:paraId="2E8D129E">
      <w:pPr>
        <w:spacing w:line="360" w:lineRule="auto"/>
        <w:ind w:firstLine="480" w:firstLineChars="200"/>
        <w:jc w:val="both"/>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zCs w:val="24"/>
          <w:highlight w:val="none"/>
        </w:rPr>
        <w:t>）：</w:t>
      </w:r>
      <w:bookmarkStart w:id="636" w:name="OLE_LINK4"/>
      <w:r>
        <w:rPr>
          <w:rFonts w:hint="eastAsia" w:ascii="宋体" w:hAnsi="宋体" w:eastAsia="宋体" w:cs="宋体"/>
          <w:color w:val="auto"/>
          <w:szCs w:val="24"/>
          <w:highlight w:val="none"/>
          <w:u w:val="single"/>
          <w:lang w:val="en-US" w:eastAsia="zh-CN"/>
        </w:rPr>
        <w:t xml:space="preserve">                     </w:t>
      </w:r>
      <w:bookmarkEnd w:id="636"/>
      <w:r>
        <w:rPr>
          <w:rFonts w:hint="eastAsia" w:ascii="宋体" w:hAnsi="宋体" w:eastAsia="宋体" w:cs="宋体"/>
          <w:color w:val="auto"/>
          <w:szCs w:val="24"/>
          <w:highlight w:val="none"/>
          <w:u w:val="single"/>
          <w:lang w:val="en-US" w:eastAsia="zh-CN"/>
        </w:rPr>
        <w:t xml:space="preserve">     </w:t>
      </w:r>
    </w:p>
    <w:p w14:paraId="3F56D09C">
      <w:pPr>
        <w:spacing w:line="360" w:lineRule="auto"/>
        <w:ind w:firstLine="480" w:firstLineChars="200"/>
        <w:jc w:val="both"/>
        <w:rPr>
          <w:rFonts w:hint="eastAsia" w:ascii="宋体" w:hAnsi="宋体" w:eastAsia="宋体" w:cs="宋体"/>
          <w:color w:val="auto"/>
          <w:szCs w:val="24"/>
          <w:highlight w:val="none"/>
        </w:rPr>
      </w:pPr>
    </w:p>
    <w:p w14:paraId="695E87FF">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账号：</w:t>
      </w:r>
      <w:r>
        <w:rPr>
          <w:rFonts w:hint="eastAsia" w:ascii="宋体" w:hAnsi="宋体" w:eastAsia="宋体" w:cs="宋体"/>
          <w:color w:val="auto"/>
          <w:szCs w:val="24"/>
          <w:highlight w:val="none"/>
          <w:u w:val="single"/>
          <w:lang w:val="en-US" w:eastAsia="zh-CN"/>
        </w:rPr>
        <w:t xml:space="preserve">                     </w:t>
      </w:r>
    </w:p>
    <w:p w14:paraId="27317176">
      <w:pPr>
        <w:spacing w:line="360" w:lineRule="auto"/>
        <w:ind w:firstLine="480" w:firstLineChars="200"/>
        <w:jc w:val="both"/>
        <w:rPr>
          <w:rFonts w:hint="eastAsia" w:ascii="宋体" w:hAnsi="宋体" w:eastAsia="宋体" w:cs="宋体"/>
          <w:color w:val="auto"/>
          <w:szCs w:val="24"/>
          <w:highlight w:val="none"/>
        </w:rPr>
      </w:pPr>
    </w:p>
    <w:p w14:paraId="260E14DA">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法定代表人或委托代理人（签字</w:t>
      </w:r>
      <w:r>
        <w:rPr>
          <w:rFonts w:hint="eastAsia" w:ascii="宋体" w:hAnsi="宋体" w:eastAsia="宋体" w:cs="宋体"/>
          <w:color w:val="auto"/>
          <w:szCs w:val="24"/>
          <w:highlight w:val="none"/>
          <w:lang w:eastAsia="zh-CN"/>
        </w:rPr>
        <w:t>或签章</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lang w:val="en-US" w:eastAsia="zh-CN"/>
        </w:rPr>
        <w:t xml:space="preserve">                     </w:t>
      </w:r>
    </w:p>
    <w:p w14:paraId="51532CF3">
      <w:pPr>
        <w:spacing w:line="360" w:lineRule="auto"/>
        <w:ind w:firstLine="480" w:firstLineChars="200"/>
        <w:jc w:val="both"/>
        <w:rPr>
          <w:rFonts w:hint="eastAsia" w:ascii="宋体" w:hAnsi="宋体" w:eastAsia="宋体" w:cs="宋体"/>
          <w:color w:val="auto"/>
          <w:szCs w:val="24"/>
          <w:highlight w:val="none"/>
        </w:rPr>
      </w:pPr>
    </w:p>
    <w:p w14:paraId="5AC4BCD3">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w:t>
      </w:r>
      <w:bookmarkStart w:id="637" w:name="OLE_LINK5"/>
      <w:r>
        <w:rPr>
          <w:rFonts w:hint="eastAsia" w:ascii="宋体" w:hAnsi="宋体" w:eastAsia="宋体" w:cs="宋体"/>
          <w:color w:val="auto"/>
          <w:szCs w:val="24"/>
          <w:highlight w:val="none"/>
          <w:u w:val="single"/>
          <w:lang w:val="en-US" w:eastAsia="zh-CN"/>
        </w:rPr>
        <w:t xml:space="preserve">        </w:t>
      </w:r>
      <w:bookmarkEnd w:id="637"/>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日</w:t>
      </w:r>
    </w:p>
    <w:p w14:paraId="23180B46">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16F14744">
      <w:pPr>
        <w:pStyle w:val="4"/>
        <w:spacing w:line="360" w:lineRule="auto"/>
        <w:jc w:val="center"/>
        <w:outlineLvl w:val="9"/>
        <w:rPr>
          <w:rFonts w:hint="eastAsia" w:ascii="宋体" w:hAnsi="宋体" w:eastAsia="宋体" w:cs="宋体"/>
          <w:color w:val="auto"/>
          <w:sz w:val="36"/>
          <w:szCs w:val="36"/>
          <w:highlight w:val="none"/>
          <w:lang w:val="en-US" w:eastAsia="zh-CN"/>
        </w:rPr>
      </w:pPr>
    </w:p>
    <w:p w14:paraId="3712CE62">
      <w:pPr>
        <w:pStyle w:val="4"/>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六、资格审查资料</w:t>
      </w:r>
    </w:p>
    <w:p w14:paraId="7AD70C5C">
      <w:pPr>
        <w:pStyle w:val="7"/>
        <w:spacing w:before="244" w:line="224" w:lineRule="auto"/>
        <w:ind w:left="3230"/>
        <w:outlineLvl w:val="1"/>
        <w:rPr>
          <w:color w:val="auto"/>
          <w:sz w:val="31"/>
          <w:szCs w:val="31"/>
          <w:highlight w:val="none"/>
        </w:rPr>
      </w:pPr>
      <w:r>
        <w:rPr>
          <w:b/>
          <w:bCs/>
          <w:color w:val="auto"/>
          <w:spacing w:val="5"/>
          <w:sz w:val="31"/>
          <w:szCs w:val="31"/>
          <w:highlight w:val="none"/>
        </w:rPr>
        <w:t>（一）资格后审申请书</w:t>
      </w:r>
    </w:p>
    <w:p w14:paraId="6C1D99D3">
      <w:pPr>
        <w:pStyle w:val="7"/>
        <w:spacing w:before="233" w:line="219"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致</w:t>
      </w:r>
      <w:r>
        <w:rPr>
          <w:rFonts w:hint="eastAsia" w:ascii="宋体" w:hAnsi="宋体" w:eastAsia="宋体" w:cs="宋体"/>
          <w:b/>
          <w:bCs/>
          <w:color w:val="auto"/>
          <w:spacing w:val="-31"/>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31"/>
          <w:sz w:val="24"/>
          <w:szCs w:val="24"/>
          <w:highlight w:val="none"/>
          <w:u w:val="single" w:color="auto"/>
        </w:rPr>
        <w:t>（</w:t>
      </w:r>
      <w:r>
        <w:rPr>
          <w:rFonts w:hint="eastAsia" w:ascii="宋体" w:hAnsi="宋体" w:eastAsia="宋体" w:cs="宋体"/>
          <w:color w:val="auto"/>
          <w:spacing w:val="6"/>
          <w:sz w:val="24"/>
          <w:szCs w:val="24"/>
          <w:highlight w:val="none"/>
          <w:u w:val="single" w:color="auto"/>
        </w:rPr>
        <w:t xml:space="preserve">采购人）      </w:t>
      </w:r>
    </w:p>
    <w:p w14:paraId="3BB6E835">
      <w:pPr>
        <w:pStyle w:val="7"/>
        <w:spacing w:before="182" w:line="350" w:lineRule="auto"/>
        <w:ind w:firstLine="49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1.经授权作为代表，并以</w:t>
      </w:r>
      <w:r>
        <w:rPr>
          <w:rFonts w:hint="eastAsia" w:ascii="宋体" w:hAnsi="宋体" w:eastAsia="宋体" w:cs="宋体"/>
          <w:color w:val="auto"/>
          <w:spacing w:val="110"/>
          <w:sz w:val="24"/>
          <w:szCs w:val="24"/>
          <w:highlight w:val="none"/>
          <w:u w:val="single" w:color="auto"/>
        </w:rPr>
        <w:t xml:space="preserve"> </w:t>
      </w:r>
      <w:r>
        <w:rPr>
          <w:rFonts w:hint="eastAsia" w:ascii="宋体" w:hAnsi="宋体" w:eastAsia="宋体" w:cs="宋体"/>
          <w:color w:val="auto"/>
          <w:spacing w:val="-4"/>
          <w:sz w:val="24"/>
          <w:szCs w:val="24"/>
          <w:highlight w:val="none"/>
          <w:u w:val="single" w:color="auto"/>
        </w:rPr>
        <w:t>（磋商申请人名称</w:t>
      </w:r>
      <w:r>
        <w:rPr>
          <w:rFonts w:hint="eastAsia" w:ascii="宋体" w:hAnsi="宋体" w:eastAsia="宋体" w:cs="宋体"/>
          <w:color w:val="auto"/>
          <w:spacing w:val="-17"/>
          <w:sz w:val="24"/>
          <w:szCs w:val="24"/>
          <w:highlight w:val="none"/>
          <w:u w:val="single" w:color="auto"/>
        </w:rPr>
        <w:t>）</w:t>
      </w:r>
      <w:r>
        <w:rPr>
          <w:rFonts w:hint="eastAsia" w:ascii="宋体" w:hAnsi="宋体" w:eastAsia="宋体" w:cs="宋体"/>
          <w:color w:val="auto"/>
          <w:spacing w:val="107"/>
          <w:sz w:val="24"/>
          <w:szCs w:val="24"/>
          <w:highlight w:val="none"/>
          <w:u w:val="single" w:color="auto"/>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4"/>
          <w:sz w:val="24"/>
          <w:szCs w:val="24"/>
          <w:highlight w:val="none"/>
        </w:rPr>
        <w:t>以下简称“磋商申请人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”）的名义，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在充分理解《磋商文件》的基础上，本申请书签字人在此以</w:t>
      </w:r>
      <w:r>
        <w:rPr>
          <w:rFonts w:hint="eastAsia" w:ascii="宋体" w:hAnsi="宋体" w:eastAsia="宋体" w:cs="宋体"/>
          <w:color w:val="auto"/>
          <w:spacing w:val="103"/>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（项目名</w:t>
      </w:r>
      <w:r>
        <w:rPr>
          <w:rFonts w:hint="eastAsia" w:ascii="宋体" w:hAnsi="宋体" w:eastAsia="宋体" w:cs="宋体"/>
          <w:color w:val="auto"/>
          <w:spacing w:val="-4"/>
          <w:sz w:val="24"/>
          <w:szCs w:val="24"/>
          <w:highlight w:val="none"/>
          <w:u w:val="single" w:color="auto"/>
        </w:rPr>
        <w:t>称）</w:t>
      </w:r>
      <w:r>
        <w:rPr>
          <w:rFonts w:hint="eastAsia" w:ascii="宋体" w:hAnsi="宋体" w:eastAsia="宋体" w:cs="宋体"/>
          <w:color w:val="auto"/>
          <w:spacing w:val="103"/>
          <w:sz w:val="24"/>
          <w:szCs w:val="24"/>
          <w:highlight w:val="none"/>
          <w:u w:val="single" w:color="auto"/>
        </w:rPr>
        <w:t xml:space="preserve"> </w:t>
      </w:r>
      <w:r>
        <w:rPr>
          <w:rFonts w:hint="eastAsia" w:ascii="宋体" w:hAnsi="宋体" w:eastAsia="宋体" w:cs="宋体"/>
          <w:color w:val="auto"/>
          <w:spacing w:val="-110"/>
          <w:sz w:val="24"/>
          <w:szCs w:val="24"/>
          <w:highlight w:val="none"/>
        </w:rPr>
        <w:t xml:space="preserve"> </w:t>
      </w:r>
      <w:r>
        <w:rPr>
          <w:rFonts w:hint="eastAsia" w:ascii="宋体" w:hAnsi="宋体" w:eastAsia="宋体" w:cs="宋体"/>
          <w:color w:val="auto"/>
          <w:spacing w:val="-4"/>
          <w:sz w:val="24"/>
          <w:szCs w:val="24"/>
          <w:highlight w:val="none"/>
        </w:rPr>
        <w:t>供应商的身份，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向你方提出资格后审申请。</w:t>
      </w:r>
    </w:p>
    <w:p w14:paraId="2031CB81">
      <w:pPr>
        <w:pStyle w:val="7"/>
        <w:spacing w:before="35" w:line="219"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2.磋商文件中所要求的所有资格审查资料将作为本申请书附件。</w:t>
      </w:r>
    </w:p>
    <w:p w14:paraId="70943DB2">
      <w:pPr>
        <w:pStyle w:val="7"/>
        <w:spacing w:before="179" w:line="353" w:lineRule="auto"/>
        <w:ind w:right="99" w:firstLine="4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3.按资格审查的要求，你方授权代表可调查、审核</w:t>
      </w:r>
      <w:r>
        <w:rPr>
          <w:rFonts w:hint="eastAsia" w:ascii="宋体" w:hAnsi="宋体" w:eastAsia="宋体" w:cs="宋体"/>
          <w:color w:val="auto"/>
          <w:spacing w:val="-1"/>
          <w:sz w:val="24"/>
          <w:szCs w:val="24"/>
          <w:highlight w:val="none"/>
        </w:rPr>
        <w:t>我方提交的与本申请书相关的声明、</w:t>
      </w:r>
      <w:r>
        <w:rPr>
          <w:rFonts w:hint="eastAsia" w:ascii="宋体" w:hAnsi="宋体" w:eastAsia="宋体" w:cs="宋体"/>
          <w:color w:val="auto"/>
          <w:sz w:val="24"/>
          <w:szCs w:val="24"/>
          <w:highlight w:val="none"/>
        </w:rPr>
        <w:t xml:space="preserve"> 文件和资料，并通过我方的开户银行和客户，澄清本申请书中有关</w:t>
      </w:r>
      <w:r>
        <w:rPr>
          <w:rFonts w:hint="eastAsia" w:ascii="宋体" w:hAnsi="宋体" w:eastAsia="宋体" w:cs="宋体"/>
          <w:color w:val="auto"/>
          <w:spacing w:val="-1"/>
          <w:sz w:val="24"/>
          <w:szCs w:val="24"/>
          <w:highlight w:val="none"/>
        </w:rPr>
        <w:t>财务和技术方面的问题。</w:t>
      </w:r>
      <w:r>
        <w:rPr>
          <w:rFonts w:hint="eastAsia" w:ascii="宋体" w:hAnsi="宋体" w:eastAsia="宋体" w:cs="宋体"/>
          <w:color w:val="auto"/>
          <w:sz w:val="24"/>
          <w:szCs w:val="24"/>
          <w:highlight w:val="none"/>
        </w:rPr>
        <w:t xml:space="preserve"> 本申请书还将授权给有关的任何个人或机构及其授权代表，按你方</w:t>
      </w:r>
      <w:r>
        <w:rPr>
          <w:rFonts w:hint="eastAsia" w:ascii="宋体" w:hAnsi="宋体" w:eastAsia="宋体" w:cs="宋体"/>
          <w:color w:val="auto"/>
          <w:spacing w:val="-1"/>
          <w:sz w:val="24"/>
          <w:szCs w:val="24"/>
          <w:highlight w:val="none"/>
        </w:rPr>
        <w:t>的要求提供必要的相关资</w:t>
      </w:r>
      <w:r>
        <w:rPr>
          <w:rFonts w:hint="eastAsia" w:ascii="宋体" w:hAnsi="宋体" w:eastAsia="宋体" w:cs="宋体"/>
          <w:color w:val="auto"/>
          <w:sz w:val="24"/>
          <w:szCs w:val="24"/>
          <w:highlight w:val="none"/>
        </w:rPr>
        <w:t xml:space="preserve"> 料，以核实本申请书中提交的或与本申请人的资金来源、经验和</w:t>
      </w:r>
      <w:r>
        <w:rPr>
          <w:rFonts w:hint="eastAsia" w:ascii="宋体" w:hAnsi="宋体" w:eastAsia="宋体" w:cs="宋体"/>
          <w:color w:val="auto"/>
          <w:spacing w:val="-1"/>
          <w:sz w:val="24"/>
          <w:szCs w:val="24"/>
          <w:highlight w:val="none"/>
        </w:rPr>
        <w:t>能力有关的声明和资料。</w:t>
      </w:r>
    </w:p>
    <w:p w14:paraId="7C923F8D">
      <w:pPr>
        <w:pStyle w:val="7"/>
        <w:spacing w:before="34" w:line="219"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4.你方授权代表可通过下列人员得到进一步的资料：</w:t>
      </w:r>
    </w:p>
    <w:p w14:paraId="591058EE">
      <w:pPr>
        <w:spacing w:line="147" w:lineRule="exact"/>
        <w:rPr>
          <w:rFonts w:hint="eastAsia" w:ascii="宋体" w:hAnsi="宋体" w:eastAsia="宋体" w:cs="宋体"/>
          <w:color w:val="auto"/>
          <w:sz w:val="24"/>
          <w:szCs w:val="24"/>
          <w:highlight w:val="none"/>
        </w:rPr>
      </w:pPr>
    </w:p>
    <w:tbl>
      <w:tblPr>
        <w:tblStyle w:val="36"/>
        <w:tblW w:w="9449"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6"/>
        <w:gridCol w:w="4723"/>
      </w:tblGrid>
      <w:tr w14:paraId="06780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449" w:type="dxa"/>
            <w:gridSpan w:val="2"/>
            <w:vAlign w:val="top"/>
          </w:tcPr>
          <w:p w14:paraId="26C2F2F7">
            <w:pPr>
              <w:pStyle w:val="39"/>
              <w:spacing w:before="40" w:line="219" w:lineRule="auto"/>
              <w:ind w:left="329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一般质询和管理方面的质询</w:t>
            </w:r>
          </w:p>
        </w:tc>
      </w:tr>
      <w:tr w14:paraId="27B7B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726" w:type="dxa"/>
            <w:vAlign w:val="top"/>
          </w:tcPr>
          <w:p w14:paraId="69743A1B">
            <w:pPr>
              <w:pStyle w:val="39"/>
              <w:spacing w:before="37" w:line="221" w:lineRule="auto"/>
              <w:ind w:left="3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联系人：</w:t>
            </w:r>
          </w:p>
        </w:tc>
        <w:tc>
          <w:tcPr>
            <w:tcW w:w="4723" w:type="dxa"/>
            <w:vAlign w:val="top"/>
          </w:tcPr>
          <w:p w14:paraId="7E160CDF">
            <w:pPr>
              <w:pStyle w:val="39"/>
              <w:spacing w:before="37" w:line="221" w:lineRule="auto"/>
              <w:ind w:left="6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电话：</w:t>
            </w:r>
          </w:p>
        </w:tc>
      </w:tr>
      <w:tr w14:paraId="23734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9" w:type="dxa"/>
            <w:gridSpan w:val="2"/>
            <w:vAlign w:val="top"/>
          </w:tcPr>
          <w:p w14:paraId="2C6A3DF8">
            <w:pPr>
              <w:pStyle w:val="39"/>
              <w:spacing w:before="36" w:line="220" w:lineRule="auto"/>
              <w:ind w:left="365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有关人员方面的质询</w:t>
            </w:r>
          </w:p>
        </w:tc>
      </w:tr>
      <w:tr w14:paraId="3A5D6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726" w:type="dxa"/>
            <w:vAlign w:val="top"/>
          </w:tcPr>
          <w:p w14:paraId="6568939C">
            <w:pPr>
              <w:pStyle w:val="39"/>
              <w:spacing w:before="38" w:line="221" w:lineRule="auto"/>
              <w:ind w:left="3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联系人：</w:t>
            </w:r>
          </w:p>
        </w:tc>
        <w:tc>
          <w:tcPr>
            <w:tcW w:w="4723" w:type="dxa"/>
            <w:vAlign w:val="top"/>
          </w:tcPr>
          <w:p w14:paraId="087D2009">
            <w:pPr>
              <w:pStyle w:val="39"/>
              <w:spacing w:before="38" w:line="221" w:lineRule="auto"/>
              <w:ind w:left="6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电话：</w:t>
            </w:r>
          </w:p>
        </w:tc>
      </w:tr>
      <w:tr w14:paraId="55C79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9" w:type="dxa"/>
            <w:gridSpan w:val="2"/>
            <w:vAlign w:val="top"/>
          </w:tcPr>
          <w:p w14:paraId="5F40280F">
            <w:pPr>
              <w:pStyle w:val="39"/>
              <w:spacing w:before="39" w:line="219" w:lineRule="auto"/>
              <w:ind w:left="365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有关技术方面的质询</w:t>
            </w:r>
          </w:p>
        </w:tc>
      </w:tr>
      <w:tr w14:paraId="5FD22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26" w:type="dxa"/>
            <w:vAlign w:val="top"/>
          </w:tcPr>
          <w:p w14:paraId="65121555">
            <w:pPr>
              <w:pStyle w:val="39"/>
              <w:spacing w:before="41" w:line="221" w:lineRule="auto"/>
              <w:ind w:left="3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联系人：</w:t>
            </w:r>
          </w:p>
        </w:tc>
        <w:tc>
          <w:tcPr>
            <w:tcW w:w="4723" w:type="dxa"/>
            <w:vAlign w:val="top"/>
          </w:tcPr>
          <w:p w14:paraId="150F3C8B">
            <w:pPr>
              <w:pStyle w:val="39"/>
              <w:spacing w:before="41" w:line="221" w:lineRule="auto"/>
              <w:ind w:left="6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电话：</w:t>
            </w:r>
          </w:p>
        </w:tc>
      </w:tr>
      <w:tr w14:paraId="0CE2D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9" w:type="dxa"/>
            <w:gridSpan w:val="2"/>
            <w:vAlign w:val="top"/>
          </w:tcPr>
          <w:p w14:paraId="3276A009">
            <w:pPr>
              <w:pStyle w:val="39"/>
              <w:spacing w:before="39" w:line="219" w:lineRule="auto"/>
              <w:ind w:left="365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有关财务方面的质询</w:t>
            </w:r>
          </w:p>
        </w:tc>
      </w:tr>
      <w:tr w14:paraId="275CE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726" w:type="dxa"/>
            <w:vAlign w:val="top"/>
          </w:tcPr>
          <w:p w14:paraId="7627A75C">
            <w:pPr>
              <w:pStyle w:val="39"/>
              <w:spacing w:before="41" w:line="221" w:lineRule="auto"/>
              <w:ind w:left="3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联系人：</w:t>
            </w:r>
          </w:p>
        </w:tc>
        <w:tc>
          <w:tcPr>
            <w:tcW w:w="4723" w:type="dxa"/>
            <w:vAlign w:val="top"/>
          </w:tcPr>
          <w:p w14:paraId="1BD948B6">
            <w:pPr>
              <w:pStyle w:val="39"/>
              <w:spacing w:before="41" w:line="221" w:lineRule="auto"/>
              <w:ind w:left="62"/>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电话：</w:t>
            </w:r>
          </w:p>
        </w:tc>
      </w:tr>
    </w:tbl>
    <w:p w14:paraId="0A868B4C">
      <w:pPr>
        <w:pStyle w:val="7"/>
        <w:spacing w:before="34" w:line="219"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5.本申请充分理解下列情况：</w:t>
      </w:r>
    </w:p>
    <w:p w14:paraId="57283092">
      <w:pPr>
        <w:pStyle w:val="7"/>
        <w:spacing w:before="183" w:line="219"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5.1我们同意采购人保留下述权利：</w:t>
      </w:r>
    </w:p>
    <w:p w14:paraId="0A62520A">
      <w:pPr>
        <w:pStyle w:val="7"/>
        <w:spacing w:before="182" w:line="345" w:lineRule="auto"/>
        <w:ind w:right="99"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⑴修改本磋商项目的规模及总金额。前述情况发生时，供应商</w:t>
      </w:r>
      <w:r>
        <w:rPr>
          <w:rFonts w:hint="eastAsia" w:ascii="宋体" w:hAnsi="宋体" w:eastAsia="宋体" w:cs="宋体"/>
          <w:color w:val="auto"/>
          <w:spacing w:val="-1"/>
          <w:sz w:val="24"/>
          <w:szCs w:val="24"/>
          <w:highlight w:val="none"/>
        </w:rPr>
        <w:t>只有达到修改后的资格条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件要求且资格审查合格，才能给予磋商响应文件的评比。</w:t>
      </w:r>
    </w:p>
    <w:p w14:paraId="4274712A">
      <w:pPr>
        <w:pStyle w:val="7"/>
        <w:spacing w:before="39" w:line="219"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⑵拒绝不符合资格审查合格条件的申请。</w:t>
      </w:r>
    </w:p>
    <w:p w14:paraId="3ACD39E2">
      <w:pPr>
        <w:pStyle w:val="7"/>
        <w:spacing w:before="181" w:line="219"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⑶若遇到特殊情况，取消资格后审及拒绝全部申请。</w:t>
      </w:r>
    </w:p>
    <w:p w14:paraId="494A2373">
      <w:pPr>
        <w:pStyle w:val="7"/>
        <w:spacing w:before="183" w:line="345" w:lineRule="auto"/>
        <w:ind w:left="4" w:right="99" w:firstLine="4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⑷采购人对由此引起的对申请人的影响不承担任何责任，亦无</w:t>
      </w:r>
      <w:r>
        <w:rPr>
          <w:rFonts w:hint="eastAsia" w:ascii="宋体" w:hAnsi="宋体" w:eastAsia="宋体" w:cs="宋体"/>
          <w:color w:val="auto"/>
          <w:spacing w:val="-1"/>
          <w:sz w:val="24"/>
          <w:szCs w:val="24"/>
          <w:highlight w:val="none"/>
        </w:rPr>
        <w:t>义务告知申请人有关上述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行为的理由。</w:t>
      </w:r>
    </w:p>
    <w:p w14:paraId="5519BD16">
      <w:pPr>
        <w:pStyle w:val="7"/>
        <w:spacing w:before="37" w:line="345" w:lineRule="auto"/>
        <w:ind w:left="1" w:right="99"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6.下述签字人在此声明，本申请书中所提交的声明和资料</w:t>
      </w:r>
      <w:r>
        <w:rPr>
          <w:rFonts w:hint="eastAsia" w:ascii="宋体" w:hAnsi="宋体" w:eastAsia="宋体" w:cs="宋体"/>
          <w:color w:val="auto"/>
          <w:spacing w:val="-1"/>
          <w:sz w:val="24"/>
          <w:szCs w:val="24"/>
          <w:highlight w:val="none"/>
        </w:rPr>
        <w:t>在各方面都是完整的、真实的</w:t>
      </w:r>
      <w:r>
        <w:rPr>
          <w:rFonts w:hint="eastAsia" w:ascii="宋体" w:hAnsi="宋体" w:eastAsia="宋体" w:cs="宋体"/>
          <w:color w:val="auto"/>
          <w:spacing w:val="-3"/>
          <w:sz w:val="24"/>
          <w:szCs w:val="24"/>
          <w:highlight w:val="none"/>
        </w:rPr>
        <w:t>和准确的。</w:t>
      </w:r>
    </w:p>
    <w:p w14:paraId="1FFCC6C6">
      <w:pPr>
        <w:spacing w:line="250" w:lineRule="auto"/>
        <w:rPr>
          <w:rFonts w:hint="eastAsia" w:ascii="宋体" w:hAnsi="宋体" w:eastAsia="宋体" w:cs="宋体"/>
          <w:color w:val="auto"/>
          <w:sz w:val="24"/>
          <w:szCs w:val="24"/>
          <w:highlight w:val="none"/>
        </w:rPr>
      </w:pPr>
    </w:p>
    <w:p w14:paraId="3C3EA1C4">
      <w:pPr>
        <w:spacing w:line="360" w:lineRule="auto"/>
        <w:ind w:firstLine="480" w:firstLineChars="200"/>
        <w:jc w:val="both"/>
        <w:rPr>
          <w:rFonts w:hint="eastAsia" w:ascii="宋体" w:hAnsi="宋体" w:eastAsia="宋体" w:cs="宋体"/>
          <w:color w:val="auto"/>
          <w:szCs w:val="24"/>
          <w:highlight w:val="none"/>
          <w:u w:val="single"/>
          <w:lang w:val="en-US" w:eastAsia="zh-CN"/>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lang w:val="en-US" w:eastAsia="zh-CN"/>
        </w:rPr>
        <w:t xml:space="preserve">                          </w:t>
      </w:r>
    </w:p>
    <w:p w14:paraId="14F521BE">
      <w:pPr>
        <w:pStyle w:val="27"/>
        <w:rPr>
          <w:rFonts w:hint="eastAsia" w:ascii="宋体" w:hAnsi="宋体" w:eastAsia="宋体" w:cs="宋体"/>
          <w:color w:val="auto"/>
          <w:highlight w:val="none"/>
          <w:lang w:val="en-US" w:eastAsia="zh-CN"/>
        </w:rPr>
      </w:pPr>
    </w:p>
    <w:p w14:paraId="31CE3474">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法定代表人或委托代理人（签字</w:t>
      </w:r>
      <w:r>
        <w:rPr>
          <w:rFonts w:hint="eastAsia" w:ascii="宋体" w:hAnsi="宋体" w:eastAsia="宋体" w:cs="宋体"/>
          <w:color w:val="auto"/>
          <w:szCs w:val="24"/>
          <w:highlight w:val="none"/>
          <w:lang w:eastAsia="zh-CN"/>
        </w:rPr>
        <w:t>或签章</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lang w:val="en-US" w:eastAsia="zh-CN"/>
        </w:rPr>
        <w:t xml:space="preserve">                       </w:t>
      </w:r>
    </w:p>
    <w:p w14:paraId="4BF1BC3C">
      <w:pPr>
        <w:pStyle w:val="27"/>
        <w:rPr>
          <w:rFonts w:hint="eastAsia" w:ascii="宋体" w:hAnsi="宋体" w:eastAsia="宋体" w:cs="宋体"/>
          <w:color w:val="auto"/>
          <w:highlight w:val="none"/>
        </w:rPr>
      </w:pPr>
    </w:p>
    <w:p w14:paraId="03AE3507">
      <w:pPr>
        <w:spacing w:line="360" w:lineRule="auto"/>
        <w:ind w:firstLine="480" w:firstLineChars="200"/>
        <w:jc w:val="both"/>
        <w:rPr>
          <w:rFonts w:hint="eastAsia" w:ascii="宋体" w:hAnsi="宋体" w:eastAsia="宋体" w:cs="宋体"/>
          <w:color w:val="auto"/>
          <w:sz w:val="24"/>
          <w:szCs w:val="24"/>
          <w:highlight w:val="none"/>
        </w:rPr>
        <w:sectPr>
          <w:headerReference r:id="rId8" w:type="default"/>
          <w:footerReference r:id="rId9" w:type="default"/>
          <w:pgSz w:w="11906" w:h="16839"/>
          <w:pgMar w:top="400" w:right="1785" w:bottom="919" w:left="1141" w:header="567" w:footer="680" w:gutter="0"/>
          <w:pgNumType w:fmt="decimal" w:start="1"/>
          <w:cols w:space="720" w:num="1"/>
        </w:sectPr>
      </w:pPr>
      <w:r>
        <w:rPr>
          <w:rFonts w:hint="eastAsia" w:ascii="宋体" w:hAnsi="宋体" w:eastAsia="宋体" w:cs="宋体"/>
          <w:color w:val="auto"/>
          <w:szCs w:val="24"/>
          <w:highlight w:val="none"/>
        </w:rPr>
        <w:t>日期：</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日</w:t>
      </w:r>
    </w:p>
    <w:p w14:paraId="0D50D3F7">
      <w:pPr>
        <w:spacing w:line="247" w:lineRule="auto"/>
        <w:rPr>
          <w:rFonts w:ascii="Arial"/>
          <w:color w:val="auto"/>
          <w:sz w:val="21"/>
          <w:highlight w:val="none"/>
        </w:rPr>
      </w:pPr>
    </w:p>
    <w:p w14:paraId="3F918299">
      <w:pPr>
        <w:pStyle w:val="7"/>
        <w:spacing w:before="244" w:line="224" w:lineRule="auto"/>
        <w:ind w:left="3230"/>
        <w:outlineLvl w:val="9"/>
        <w:rPr>
          <w:b/>
          <w:bCs/>
          <w:color w:val="auto"/>
          <w:spacing w:val="5"/>
          <w:sz w:val="31"/>
          <w:szCs w:val="31"/>
          <w:highlight w:val="none"/>
        </w:rPr>
      </w:pPr>
    </w:p>
    <w:p w14:paraId="35E1D071">
      <w:pPr>
        <w:pStyle w:val="7"/>
        <w:spacing w:before="244" w:line="224" w:lineRule="auto"/>
        <w:ind w:left="3230"/>
        <w:outlineLvl w:val="1"/>
        <w:rPr>
          <w:b/>
          <w:bCs/>
          <w:color w:val="auto"/>
          <w:spacing w:val="5"/>
          <w:sz w:val="31"/>
          <w:szCs w:val="31"/>
          <w:highlight w:val="none"/>
        </w:rPr>
      </w:pPr>
      <w:r>
        <w:rPr>
          <w:b/>
          <w:bCs/>
          <w:color w:val="auto"/>
          <w:spacing w:val="5"/>
          <w:sz w:val="31"/>
          <w:szCs w:val="31"/>
          <w:highlight w:val="none"/>
        </w:rPr>
        <w:t>（二）供应商基本情况表</w:t>
      </w:r>
    </w:p>
    <w:p w14:paraId="5DCC84B4">
      <w:pPr>
        <w:spacing w:line="197" w:lineRule="exact"/>
        <w:rPr>
          <w:color w:val="auto"/>
          <w:highlight w:val="none"/>
        </w:rPr>
      </w:pPr>
    </w:p>
    <w:tbl>
      <w:tblPr>
        <w:tblStyle w:val="36"/>
        <w:tblW w:w="98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6"/>
        <w:gridCol w:w="1067"/>
        <w:gridCol w:w="1988"/>
        <w:gridCol w:w="1383"/>
        <w:gridCol w:w="1197"/>
        <w:gridCol w:w="195"/>
        <w:gridCol w:w="794"/>
        <w:gridCol w:w="926"/>
      </w:tblGrid>
      <w:tr w14:paraId="7E500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2306" w:type="dxa"/>
            <w:vAlign w:val="top"/>
          </w:tcPr>
          <w:p w14:paraId="06E12917">
            <w:pPr>
              <w:pStyle w:val="39"/>
              <w:spacing w:before="193" w:line="219" w:lineRule="auto"/>
              <w:ind w:left="3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磋商申请人名称</w:t>
            </w:r>
          </w:p>
        </w:tc>
        <w:tc>
          <w:tcPr>
            <w:tcW w:w="7550" w:type="dxa"/>
            <w:gridSpan w:val="7"/>
            <w:vAlign w:val="top"/>
          </w:tcPr>
          <w:p w14:paraId="2EA9AAC8">
            <w:pPr>
              <w:rPr>
                <w:rFonts w:hint="eastAsia" w:ascii="宋体" w:hAnsi="宋体" w:eastAsia="宋体" w:cs="宋体"/>
                <w:color w:val="auto"/>
                <w:sz w:val="24"/>
                <w:szCs w:val="24"/>
                <w:highlight w:val="none"/>
              </w:rPr>
            </w:pPr>
          </w:p>
        </w:tc>
      </w:tr>
      <w:tr w14:paraId="64706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306" w:type="dxa"/>
            <w:vAlign w:val="top"/>
          </w:tcPr>
          <w:p w14:paraId="23A70CC1">
            <w:pPr>
              <w:pStyle w:val="39"/>
              <w:spacing w:before="133" w:line="221" w:lineRule="auto"/>
              <w:ind w:left="67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注册地址</w:t>
            </w:r>
          </w:p>
        </w:tc>
        <w:tc>
          <w:tcPr>
            <w:tcW w:w="4438" w:type="dxa"/>
            <w:gridSpan w:val="3"/>
            <w:vAlign w:val="top"/>
          </w:tcPr>
          <w:p w14:paraId="60FABE83">
            <w:pPr>
              <w:rPr>
                <w:rFonts w:hint="eastAsia" w:ascii="宋体" w:hAnsi="宋体" w:eastAsia="宋体" w:cs="宋体"/>
                <w:color w:val="auto"/>
                <w:sz w:val="24"/>
                <w:szCs w:val="24"/>
                <w:highlight w:val="none"/>
              </w:rPr>
            </w:pPr>
          </w:p>
        </w:tc>
        <w:tc>
          <w:tcPr>
            <w:tcW w:w="1197" w:type="dxa"/>
            <w:vAlign w:val="top"/>
          </w:tcPr>
          <w:p w14:paraId="2E9C934C">
            <w:pPr>
              <w:pStyle w:val="39"/>
              <w:spacing w:before="134" w:line="219" w:lineRule="auto"/>
              <w:ind w:left="144"/>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邮政编码</w:t>
            </w:r>
          </w:p>
        </w:tc>
        <w:tc>
          <w:tcPr>
            <w:tcW w:w="1915" w:type="dxa"/>
            <w:gridSpan w:val="3"/>
            <w:vAlign w:val="top"/>
          </w:tcPr>
          <w:p w14:paraId="69EB24E9">
            <w:pPr>
              <w:rPr>
                <w:rFonts w:hint="eastAsia" w:ascii="宋体" w:hAnsi="宋体" w:eastAsia="宋体" w:cs="宋体"/>
                <w:color w:val="auto"/>
                <w:sz w:val="24"/>
                <w:szCs w:val="24"/>
                <w:highlight w:val="none"/>
              </w:rPr>
            </w:pPr>
          </w:p>
        </w:tc>
      </w:tr>
      <w:tr w14:paraId="5327B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2306" w:type="dxa"/>
            <w:vMerge w:val="restart"/>
            <w:tcBorders>
              <w:bottom w:val="nil"/>
            </w:tcBorders>
            <w:vAlign w:val="top"/>
          </w:tcPr>
          <w:p w14:paraId="6D31955C">
            <w:pPr>
              <w:spacing w:line="455" w:lineRule="auto"/>
              <w:rPr>
                <w:rFonts w:hint="eastAsia" w:ascii="宋体" w:hAnsi="宋体" w:eastAsia="宋体" w:cs="宋体"/>
                <w:color w:val="auto"/>
                <w:sz w:val="24"/>
                <w:szCs w:val="24"/>
                <w:highlight w:val="none"/>
              </w:rPr>
            </w:pPr>
          </w:p>
          <w:p w14:paraId="13839ACC">
            <w:pPr>
              <w:pStyle w:val="39"/>
              <w:spacing w:before="78" w:line="221" w:lineRule="auto"/>
              <w:ind w:left="6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联系方式</w:t>
            </w:r>
          </w:p>
        </w:tc>
        <w:tc>
          <w:tcPr>
            <w:tcW w:w="1067" w:type="dxa"/>
            <w:vAlign w:val="top"/>
          </w:tcPr>
          <w:p w14:paraId="50BE6B78">
            <w:pPr>
              <w:pStyle w:val="39"/>
              <w:spacing w:before="162" w:line="221" w:lineRule="auto"/>
              <w:ind w:left="18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联系人</w:t>
            </w:r>
          </w:p>
        </w:tc>
        <w:tc>
          <w:tcPr>
            <w:tcW w:w="3371" w:type="dxa"/>
            <w:gridSpan w:val="2"/>
            <w:vAlign w:val="top"/>
          </w:tcPr>
          <w:p w14:paraId="4F12520D">
            <w:pPr>
              <w:rPr>
                <w:rFonts w:hint="eastAsia" w:ascii="宋体" w:hAnsi="宋体" w:eastAsia="宋体" w:cs="宋体"/>
                <w:color w:val="auto"/>
                <w:sz w:val="24"/>
                <w:szCs w:val="24"/>
                <w:highlight w:val="none"/>
              </w:rPr>
            </w:pPr>
          </w:p>
        </w:tc>
        <w:tc>
          <w:tcPr>
            <w:tcW w:w="1197" w:type="dxa"/>
            <w:vAlign w:val="top"/>
          </w:tcPr>
          <w:p w14:paraId="3673CC0A">
            <w:pPr>
              <w:pStyle w:val="39"/>
              <w:spacing w:before="162" w:line="221" w:lineRule="auto"/>
              <w:ind w:left="395"/>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电话</w:t>
            </w:r>
          </w:p>
        </w:tc>
        <w:tc>
          <w:tcPr>
            <w:tcW w:w="1915" w:type="dxa"/>
            <w:gridSpan w:val="3"/>
            <w:vAlign w:val="top"/>
          </w:tcPr>
          <w:p w14:paraId="5A18C69A">
            <w:pPr>
              <w:rPr>
                <w:rFonts w:hint="eastAsia" w:ascii="宋体" w:hAnsi="宋体" w:eastAsia="宋体" w:cs="宋体"/>
                <w:color w:val="auto"/>
                <w:sz w:val="24"/>
                <w:szCs w:val="24"/>
                <w:highlight w:val="none"/>
              </w:rPr>
            </w:pPr>
          </w:p>
        </w:tc>
      </w:tr>
      <w:tr w14:paraId="7B1A4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306" w:type="dxa"/>
            <w:vMerge w:val="continue"/>
            <w:tcBorders>
              <w:top w:val="nil"/>
            </w:tcBorders>
            <w:vAlign w:val="top"/>
          </w:tcPr>
          <w:p w14:paraId="4DFDE5E3">
            <w:pPr>
              <w:rPr>
                <w:rFonts w:hint="eastAsia" w:ascii="宋体" w:hAnsi="宋体" w:eastAsia="宋体" w:cs="宋体"/>
                <w:color w:val="auto"/>
                <w:sz w:val="24"/>
                <w:szCs w:val="24"/>
                <w:highlight w:val="none"/>
              </w:rPr>
            </w:pPr>
          </w:p>
        </w:tc>
        <w:tc>
          <w:tcPr>
            <w:tcW w:w="1067" w:type="dxa"/>
            <w:vAlign w:val="top"/>
          </w:tcPr>
          <w:p w14:paraId="6B0E5C08">
            <w:pPr>
              <w:pStyle w:val="39"/>
              <w:spacing w:before="169" w:line="219" w:lineRule="auto"/>
              <w:ind w:left="29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传真</w:t>
            </w:r>
          </w:p>
        </w:tc>
        <w:tc>
          <w:tcPr>
            <w:tcW w:w="3371" w:type="dxa"/>
            <w:gridSpan w:val="2"/>
            <w:vAlign w:val="top"/>
          </w:tcPr>
          <w:p w14:paraId="72F07C9E">
            <w:pPr>
              <w:rPr>
                <w:rFonts w:hint="eastAsia" w:ascii="宋体" w:hAnsi="宋体" w:eastAsia="宋体" w:cs="宋体"/>
                <w:color w:val="auto"/>
                <w:sz w:val="24"/>
                <w:szCs w:val="24"/>
                <w:highlight w:val="none"/>
              </w:rPr>
            </w:pPr>
          </w:p>
        </w:tc>
        <w:tc>
          <w:tcPr>
            <w:tcW w:w="1197" w:type="dxa"/>
            <w:vAlign w:val="top"/>
          </w:tcPr>
          <w:p w14:paraId="16080C16">
            <w:pPr>
              <w:pStyle w:val="39"/>
              <w:spacing w:before="170" w:line="224" w:lineRule="auto"/>
              <w:ind w:left="385"/>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网址</w:t>
            </w:r>
          </w:p>
        </w:tc>
        <w:tc>
          <w:tcPr>
            <w:tcW w:w="1915" w:type="dxa"/>
            <w:gridSpan w:val="3"/>
            <w:vAlign w:val="top"/>
          </w:tcPr>
          <w:p w14:paraId="004A0193">
            <w:pPr>
              <w:rPr>
                <w:rFonts w:hint="eastAsia" w:ascii="宋体" w:hAnsi="宋体" w:eastAsia="宋体" w:cs="宋体"/>
                <w:color w:val="auto"/>
                <w:sz w:val="24"/>
                <w:szCs w:val="24"/>
                <w:highlight w:val="none"/>
              </w:rPr>
            </w:pPr>
          </w:p>
        </w:tc>
      </w:tr>
      <w:tr w14:paraId="1FD0A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306" w:type="dxa"/>
            <w:vAlign w:val="top"/>
          </w:tcPr>
          <w:p w14:paraId="242DD4B7">
            <w:pPr>
              <w:pStyle w:val="39"/>
              <w:spacing w:before="170" w:line="220" w:lineRule="auto"/>
              <w:ind w:left="68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组织结构</w:t>
            </w:r>
          </w:p>
        </w:tc>
        <w:tc>
          <w:tcPr>
            <w:tcW w:w="7550" w:type="dxa"/>
            <w:gridSpan w:val="7"/>
            <w:vAlign w:val="top"/>
          </w:tcPr>
          <w:p w14:paraId="1D4C98E5">
            <w:pPr>
              <w:rPr>
                <w:rFonts w:hint="eastAsia" w:ascii="宋体" w:hAnsi="宋体" w:eastAsia="宋体" w:cs="宋体"/>
                <w:color w:val="auto"/>
                <w:sz w:val="24"/>
                <w:szCs w:val="24"/>
                <w:highlight w:val="none"/>
              </w:rPr>
            </w:pPr>
          </w:p>
        </w:tc>
      </w:tr>
      <w:tr w14:paraId="11B7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2306" w:type="dxa"/>
            <w:vAlign w:val="top"/>
          </w:tcPr>
          <w:p w14:paraId="2A46E516">
            <w:pPr>
              <w:pStyle w:val="39"/>
              <w:spacing w:before="164" w:line="219" w:lineRule="auto"/>
              <w:ind w:left="55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法定代表人</w:t>
            </w:r>
          </w:p>
        </w:tc>
        <w:tc>
          <w:tcPr>
            <w:tcW w:w="1067" w:type="dxa"/>
            <w:vAlign w:val="top"/>
          </w:tcPr>
          <w:p w14:paraId="72D7451E">
            <w:pPr>
              <w:pStyle w:val="39"/>
              <w:spacing w:before="164" w:line="219"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姓名</w:t>
            </w:r>
          </w:p>
        </w:tc>
        <w:tc>
          <w:tcPr>
            <w:tcW w:w="1988" w:type="dxa"/>
            <w:vAlign w:val="top"/>
          </w:tcPr>
          <w:p w14:paraId="4D6EA14E">
            <w:pPr>
              <w:rPr>
                <w:rFonts w:hint="eastAsia" w:ascii="宋体" w:hAnsi="宋体" w:eastAsia="宋体" w:cs="宋体"/>
                <w:color w:val="auto"/>
                <w:sz w:val="24"/>
                <w:szCs w:val="24"/>
                <w:highlight w:val="none"/>
              </w:rPr>
            </w:pPr>
          </w:p>
        </w:tc>
        <w:tc>
          <w:tcPr>
            <w:tcW w:w="1383" w:type="dxa"/>
            <w:vAlign w:val="top"/>
          </w:tcPr>
          <w:p w14:paraId="34A26067">
            <w:pPr>
              <w:pStyle w:val="39"/>
              <w:spacing w:before="164" w:line="219" w:lineRule="auto"/>
              <w:ind w:left="21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技术职称</w:t>
            </w:r>
          </w:p>
        </w:tc>
        <w:tc>
          <w:tcPr>
            <w:tcW w:w="1392" w:type="dxa"/>
            <w:gridSpan w:val="2"/>
            <w:vAlign w:val="top"/>
          </w:tcPr>
          <w:p w14:paraId="0B6DC8A5">
            <w:pPr>
              <w:rPr>
                <w:rFonts w:hint="eastAsia" w:ascii="宋体" w:hAnsi="宋体" w:eastAsia="宋体" w:cs="宋体"/>
                <w:color w:val="auto"/>
                <w:sz w:val="24"/>
                <w:szCs w:val="24"/>
                <w:highlight w:val="none"/>
              </w:rPr>
            </w:pPr>
          </w:p>
        </w:tc>
        <w:tc>
          <w:tcPr>
            <w:tcW w:w="794" w:type="dxa"/>
            <w:vAlign w:val="top"/>
          </w:tcPr>
          <w:p w14:paraId="4726EDE7">
            <w:pPr>
              <w:pStyle w:val="39"/>
              <w:spacing w:before="164" w:line="221" w:lineRule="auto"/>
              <w:ind w:left="193"/>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电话</w:t>
            </w:r>
          </w:p>
        </w:tc>
        <w:tc>
          <w:tcPr>
            <w:tcW w:w="926" w:type="dxa"/>
            <w:vAlign w:val="top"/>
          </w:tcPr>
          <w:p w14:paraId="2BFFFE7A">
            <w:pPr>
              <w:rPr>
                <w:rFonts w:hint="eastAsia" w:ascii="宋体" w:hAnsi="宋体" w:eastAsia="宋体" w:cs="宋体"/>
                <w:color w:val="auto"/>
                <w:sz w:val="24"/>
                <w:szCs w:val="24"/>
                <w:highlight w:val="none"/>
              </w:rPr>
            </w:pPr>
          </w:p>
        </w:tc>
      </w:tr>
      <w:tr w14:paraId="4958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306" w:type="dxa"/>
            <w:vAlign w:val="top"/>
          </w:tcPr>
          <w:p w14:paraId="1776AB94">
            <w:pPr>
              <w:pStyle w:val="39"/>
              <w:spacing w:before="170" w:line="221" w:lineRule="auto"/>
              <w:ind w:left="6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成立时间</w:t>
            </w:r>
          </w:p>
        </w:tc>
        <w:tc>
          <w:tcPr>
            <w:tcW w:w="3055" w:type="dxa"/>
            <w:gridSpan w:val="2"/>
            <w:vAlign w:val="top"/>
          </w:tcPr>
          <w:p w14:paraId="5A931C0E">
            <w:pPr>
              <w:rPr>
                <w:rFonts w:hint="eastAsia" w:ascii="宋体" w:hAnsi="宋体" w:eastAsia="宋体" w:cs="宋体"/>
                <w:color w:val="auto"/>
                <w:sz w:val="24"/>
                <w:szCs w:val="24"/>
                <w:highlight w:val="none"/>
              </w:rPr>
            </w:pPr>
          </w:p>
        </w:tc>
        <w:tc>
          <w:tcPr>
            <w:tcW w:w="4495" w:type="dxa"/>
            <w:gridSpan w:val="5"/>
            <w:vAlign w:val="top"/>
          </w:tcPr>
          <w:p w14:paraId="158BA302">
            <w:pPr>
              <w:pStyle w:val="39"/>
              <w:spacing w:before="171" w:line="219" w:lineRule="auto"/>
              <w:ind w:left="1543"/>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员工总人数</w:t>
            </w:r>
          </w:p>
        </w:tc>
      </w:tr>
      <w:tr w14:paraId="23649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306" w:type="dxa"/>
            <w:vAlign w:val="top"/>
          </w:tcPr>
          <w:p w14:paraId="0DCA70B3">
            <w:pPr>
              <w:pStyle w:val="39"/>
              <w:spacing w:before="172" w:line="219" w:lineRule="auto"/>
              <w:ind w:left="4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企业资质等级</w:t>
            </w:r>
          </w:p>
        </w:tc>
        <w:tc>
          <w:tcPr>
            <w:tcW w:w="7550" w:type="dxa"/>
            <w:gridSpan w:val="7"/>
            <w:vAlign w:val="top"/>
          </w:tcPr>
          <w:p w14:paraId="703E896D">
            <w:pPr>
              <w:rPr>
                <w:rFonts w:hint="eastAsia" w:ascii="宋体" w:hAnsi="宋体" w:eastAsia="宋体" w:cs="宋体"/>
                <w:color w:val="auto"/>
                <w:sz w:val="24"/>
                <w:szCs w:val="24"/>
                <w:highlight w:val="none"/>
              </w:rPr>
            </w:pPr>
          </w:p>
        </w:tc>
      </w:tr>
      <w:tr w14:paraId="718B8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306" w:type="dxa"/>
            <w:vAlign w:val="top"/>
          </w:tcPr>
          <w:p w14:paraId="4BA12539">
            <w:pPr>
              <w:pStyle w:val="39"/>
              <w:spacing w:before="119" w:line="219" w:lineRule="auto"/>
              <w:ind w:left="56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营业执照号</w:t>
            </w:r>
          </w:p>
        </w:tc>
        <w:tc>
          <w:tcPr>
            <w:tcW w:w="7550" w:type="dxa"/>
            <w:gridSpan w:val="7"/>
            <w:vAlign w:val="top"/>
          </w:tcPr>
          <w:p w14:paraId="78007DBD">
            <w:pPr>
              <w:rPr>
                <w:rFonts w:hint="eastAsia" w:ascii="宋体" w:hAnsi="宋体" w:eastAsia="宋体" w:cs="宋体"/>
                <w:color w:val="auto"/>
                <w:sz w:val="24"/>
                <w:szCs w:val="24"/>
                <w:highlight w:val="none"/>
              </w:rPr>
            </w:pPr>
          </w:p>
        </w:tc>
      </w:tr>
      <w:tr w14:paraId="673C8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2306" w:type="dxa"/>
            <w:vAlign w:val="top"/>
          </w:tcPr>
          <w:p w14:paraId="197B3A6B">
            <w:pPr>
              <w:pStyle w:val="39"/>
              <w:spacing w:before="178" w:line="221" w:lineRule="auto"/>
              <w:ind w:left="67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注册资金</w:t>
            </w:r>
          </w:p>
        </w:tc>
        <w:tc>
          <w:tcPr>
            <w:tcW w:w="7550" w:type="dxa"/>
            <w:gridSpan w:val="7"/>
            <w:vAlign w:val="top"/>
          </w:tcPr>
          <w:p w14:paraId="469F3ED1">
            <w:pPr>
              <w:rPr>
                <w:rFonts w:hint="eastAsia" w:ascii="宋体" w:hAnsi="宋体" w:eastAsia="宋体" w:cs="宋体"/>
                <w:color w:val="auto"/>
                <w:sz w:val="24"/>
                <w:szCs w:val="24"/>
                <w:highlight w:val="none"/>
              </w:rPr>
            </w:pPr>
          </w:p>
        </w:tc>
      </w:tr>
      <w:tr w14:paraId="03791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2306" w:type="dxa"/>
            <w:vAlign w:val="top"/>
          </w:tcPr>
          <w:p w14:paraId="6CA71E93">
            <w:pPr>
              <w:pStyle w:val="39"/>
              <w:spacing w:before="260" w:line="220" w:lineRule="auto"/>
              <w:ind w:left="67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开户银行</w:t>
            </w:r>
          </w:p>
        </w:tc>
        <w:tc>
          <w:tcPr>
            <w:tcW w:w="7550" w:type="dxa"/>
            <w:gridSpan w:val="7"/>
            <w:vAlign w:val="top"/>
          </w:tcPr>
          <w:p w14:paraId="2A7536E9">
            <w:pPr>
              <w:rPr>
                <w:rFonts w:hint="eastAsia" w:ascii="宋体" w:hAnsi="宋体" w:eastAsia="宋体" w:cs="宋体"/>
                <w:color w:val="auto"/>
                <w:sz w:val="24"/>
                <w:szCs w:val="24"/>
                <w:highlight w:val="none"/>
              </w:rPr>
            </w:pPr>
          </w:p>
        </w:tc>
      </w:tr>
      <w:tr w14:paraId="6C63D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2306" w:type="dxa"/>
            <w:vAlign w:val="top"/>
          </w:tcPr>
          <w:p w14:paraId="40F881C5">
            <w:pPr>
              <w:pStyle w:val="39"/>
              <w:spacing w:before="172" w:line="221" w:lineRule="auto"/>
              <w:ind w:left="92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账号</w:t>
            </w:r>
          </w:p>
        </w:tc>
        <w:tc>
          <w:tcPr>
            <w:tcW w:w="7550" w:type="dxa"/>
            <w:gridSpan w:val="7"/>
            <w:vAlign w:val="top"/>
          </w:tcPr>
          <w:p w14:paraId="4DE44484">
            <w:pPr>
              <w:rPr>
                <w:rFonts w:hint="eastAsia" w:ascii="宋体" w:hAnsi="宋体" w:eastAsia="宋体" w:cs="宋体"/>
                <w:color w:val="auto"/>
                <w:sz w:val="24"/>
                <w:szCs w:val="24"/>
                <w:highlight w:val="none"/>
              </w:rPr>
            </w:pPr>
          </w:p>
        </w:tc>
      </w:tr>
      <w:tr w14:paraId="08BBD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2306" w:type="dxa"/>
            <w:vAlign w:val="top"/>
          </w:tcPr>
          <w:p w14:paraId="3E021B3B">
            <w:pPr>
              <w:spacing w:line="473" w:lineRule="auto"/>
              <w:rPr>
                <w:rFonts w:hint="eastAsia" w:ascii="宋体" w:hAnsi="宋体" w:eastAsia="宋体" w:cs="宋体"/>
                <w:color w:val="auto"/>
                <w:sz w:val="24"/>
                <w:szCs w:val="24"/>
                <w:highlight w:val="none"/>
              </w:rPr>
            </w:pPr>
          </w:p>
          <w:p w14:paraId="3839F5B8">
            <w:pPr>
              <w:pStyle w:val="39"/>
              <w:spacing w:before="78" w:line="220" w:lineRule="auto"/>
              <w:ind w:left="44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经营范围备注</w:t>
            </w:r>
          </w:p>
        </w:tc>
        <w:tc>
          <w:tcPr>
            <w:tcW w:w="7550" w:type="dxa"/>
            <w:gridSpan w:val="7"/>
            <w:vAlign w:val="top"/>
          </w:tcPr>
          <w:p w14:paraId="54183F7C">
            <w:pPr>
              <w:rPr>
                <w:rFonts w:hint="eastAsia" w:ascii="宋体" w:hAnsi="宋体" w:eastAsia="宋体" w:cs="宋体"/>
                <w:color w:val="auto"/>
                <w:sz w:val="24"/>
                <w:szCs w:val="24"/>
                <w:highlight w:val="none"/>
              </w:rPr>
            </w:pPr>
          </w:p>
        </w:tc>
      </w:tr>
    </w:tbl>
    <w:p w14:paraId="0E30BA86">
      <w:pPr>
        <w:pStyle w:val="7"/>
        <w:spacing w:before="35" w:line="219"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应附:营业执照副本、资质证书副本、安全生产许可证等复印件/扫描件(加盖公章）</w:t>
      </w:r>
    </w:p>
    <w:p w14:paraId="3064986D">
      <w:pPr>
        <w:spacing w:line="360" w:lineRule="auto"/>
        <w:ind w:firstLine="480" w:firstLineChars="200"/>
        <w:jc w:val="both"/>
        <w:rPr>
          <w:rFonts w:hint="eastAsia" w:ascii="宋体" w:hAnsi="宋体" w:eastAsia="宋体" w:cs="宋体"/>
          <w:color w:val="auto"/>
          <w:szCs w:val="24"/>
          <w:highlight w:val="none"/>
          <w:u w:val="single"/>
          <w:lang w:val="en-US" w:eastAsia="zh-CN"/>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lang w:val="en-US" w:eastAsia="zh-CN"/>
        </w:rPr>
        <w:t xml:space="preserve">                          </w:t>
      </w:r>
    </w:p>
    <w:p w14:paraId="0021403D">
      <w:pPr>
        <w:pStyle w:val="27"/>
        <w:rPr>
          <w:rFonts w:hint="eastAsia" w:ascii="宋体" w:hAnsi="宋体" w:eastAsia="宋体" w:cs="宋体"/>
          <w:color w:val="auto"/>
          <w:highlight w:val="none"/>
          <w:lang w:val="en-US" w:eastAsia="zh-CN"/>
        </w:rPr>
      </w:pPr>
    </w:p>
    <w:p w14:paraId="5E7B0BA0">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法定代表人或委托代理人（签字</w:t>
      </w:r>
      <w:r>
        <w:rPr>
          <w:rFonts w:hint="eastAsia" w:ascii="宋体" w:hAnsi="宋体" w:eastAsia="宋体" w:cs="宋体"/>
          <w:color w:val="auto"/>
          <w:szCs w:val="24"/>
          <w:highlight w:val="none"/>
          <w:lang w:eastAsia="zh-CN"/>
        </w:rPr>
        <w:t>或签章</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lang w:val="en-US" w:eastAsia="zh-CN"/>
        </w:rPr>
        <w:t xml:space="preserve">                       </w:t>
      </w:r>
    </w:p>
    <w:p w14:paraId="19689485">
      <w:pPr>
        <w:pStyle w:val="27"/>
        <w:rPr>
          <w:rFonts w:hint="eastAsia" w:ascii="宋体" w:hAnsi="宋体" w:eastAsia="宋体" w:cs="宋体"/>
          <w:color w:val="auto"/>
          <w:highlight w:val="none"/>
        </w:rPr>
      </w:pPr>
    </w:p>
    <w:p w14:paraId="20C51AFF">
      <w:pPr>
        <w:spacing w:line="360" w:lineRule="auto"/>
        <w:ind w:firstLine="480" w:firstLineChars="200"/>
        <w:jc w:val="both"/>
        <w:rPr>
          <w:color w:val="auto"/>
          <w:highlight w:val="none"/>
        </w:rPr>
        <w:sectPr>
          <w:pgSz w:w="11906" w:h="16839"/>
          <w:pgMar w:top="400" w:right="1022" w:bottom="919" w:left="1022" w:header="680" w:footer="680" w:gutter="0"/>
          <w:pgNumType w:fmt="decimal"/>
          <w:cols w:space="720" w:num="1"/>
        </w:sectPr>
      </w:pPr>
      <w:r>
        <w:rPr>
          <w:rFonts w:hint="eastAsia" w:ascii="宋体" w:hAnsi="宋体" w:eastAsia="宋体" w:cs="宋体"/>
          <w:color w:val="auto"/>
          <w:szCs w:val="24"/>
          <w:highlight w:val="none"/>
        </w:rPr>
        <w:t>日期：</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日</w:t>
      </w:r>
    </w:p>
    <w:p w14:paraId="00D81F09">
      <w:pPr>
        <w:pStyle w:val="7"/>
        <w:spacing w:before="244" w:line="224" w:lineRule="auto"/>
        <w:ind w:left="3230"/>
        <w:outlineLvl w:val="9"/>
        <w:rPr>
          <w:b/>
          <w:bCs/>
          <w:color w:val="auto"/>
          <w:spacing w:val="5"/>
          <w:sz w:val="31"/>
          <w:szCs w:val="31"/>
          <w:highlight w:val="none"/>
        </w:rPr>
      </w:pPr>
    </w:p>
    <w:p w14:paraId="5CB79942">
      <w:pPr>
        <w:pStyle w:val="7"/>
        <w:spacing w:before="244" w:line="224" w:lineRule="auto"/>
        <w:ind w:left="3230"/>
        <w:outlineLvl w:val="1"/>
        <w:rPr>
          <w:b/>
          <w:bCs/>
          <w:color w:val="auto"/>
          <w:spacing w:val="5"/>
          <w:sz w:val="31"/>
          <w:szCs w:val="31"/>
          <w:highlight w:val="none"/>
        </w:rPr>
      </w:pPr>
      <w:r>
        <w:rPr>
          <w:b/>
          <w:bCs/>
          <w:color w:val="auto"/>
          <w:spacing w:val="5"/>
          <w:sz w:val="31"/>
          <w:szCs w:val="31"/>
          <w:highlight w:val="none"/>
        </w:rPr>
        <w:t>（三）项目管理机构</w:t>
      </w:r>
    </w:p>
    <w:p w14:paraId="55FA5D10">
      <w:pPr>
        <w:pStyle w:val="7"/>
        <w:spacing w:before="231" w:line="219" w:lineRule="auto"/>
        <w:ind w:left="3627"/>
        <w:rPr>
          <w:color w:val="auto"/>
          <w:highlight w:val="none"/>
        </w:rPr>
      </w:pPr>
      <w:r>
        <w:rPr>
          <w:b/>
          <w:bCs/>
          <w:color w:val="auto"/>
          <w:spacing w:val="-3"/>
          <w:highlight w:val="none"/>
        </w:rPr>
        <w:t>㈠项目管理机构组成表</w:t>
      </w:r>
    </w:p>
    <w:p w14:paraId="4F341715">
      <w:pPr>
        <w:spacing w:line="149" w:lineRule="exact"/>
        <w:rPr>
          <w:color w:val="auto"/>
          <w:highlight w:val="none"/>
        </w:rPr>
      </w:pPr>
    </w:p>
    <w:tbl>
      <w:tblPr>
        <w:tblStyle w:val="36"/>
        <w:tblW w:w="9364" w:type="dxa"/>
        <w:tblInd w:w="1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900"/>
        <w:gridCol w:w="900"/>
        <w:gridCol w:w="1259"/>
        <w:gridCol w:w="1259"/>
        <w:gridCol w:w="1799"/>
        <w:gridCol w:w="1331"/>
        <w:gridCol w:w="1084"/>
      </w:tblGrid>
      <w:tr w14:paraId="1483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32" w:type="dxa"/>
            <w:vMerge w:val="restart"/>
            <w:tcBorders>
              <w:bottom w:val="nil"/>
            </w:tcBorders>
            <w:vAlign w:val="top"/>
          </w:tcPr>
          <w:p w14:paraId="62F385E6">
            <w:pPr>
              <w:pStyle w:val="39"/>
              <w:spacing w:before="279" w:line="219" w:lineRule="auto"/>
              <w:ind w:left="184"/>
              <w:rPr>
                <w:color w:val="auto"/>
                <w:highlight w:val="none"/>
              </w:rPr>
            </w:pPr>
            <w:r>
              <w:rPr>
                <w:color w:val="auto"/>
                <w:spacing w:val="-6"/>
                <w:highlight w:val="none"/>
              </w:rPr>
              <w:t>职务</w:t>
            </w:r>
          </w:p>
        </w:tc>
        <w:tc>
          <w:tcPr>
            <w:tcW w:w="900" w:type="dxa"/>
            <w:vMerge w:val="restart"/>
            <w:tcBorders>
              <w:bottom w:val="nil"/>
            </w:tcBorders>
            <w:vAlign w:val="top"/>
          </w:tcPr>
          <w:p w14:paraId="7184E155">
            <w:pPr>
              <w:pStyle w:val="39"/>
              <w:spacing w:before="279" w:line="219" w:lineRule="auto"/>
              <w:ind w:left="215"/>
              <w:rPr>
                <w:color w:val="auto"/>
                <w:highlight w:val="none"/>
              </w:rPr>
            </w:pPr>
            <w:r>
              <w:rPr>
                <w:color w:val="auto"/>
                <w:spacing w:val="-5"/>
                <w:highlight w:val="none"/>
              </w:rPr>
              <w:t>姓名</w:t>
            </w:r>
          </w:p>
        </w:tc>
        <w:tc>
          <w:tcPr>
            <w:tcW w:w="900" w:type="dxa"/>
            <w:vMerge w:val="restart"/>
            <w:tcBorders>
              <w:bottom w:val="nil"/>
            </w:tcBorders>
            <w:vAlign w:val="top"/>
          </w:tcPr>
          <w:p w14:paraId="21E89774">
            <w:pPr>
              <w:pStyle w:val="39"/>
              <w:spacing w:before="279" w:line="221" w:lineRule="auto"/>
              <w:ind w:left="216"/>
              <w:rPr>
                <w:color w:val="auto"/>
                <w:highlight w:val="none"/>
              </w:rPr>
            </w:pPr>
            <w:r>
              <w:rPr>
                <w:color w:val="auto"/>
                <w:spacing w:val="-6"/>
                <w:highlight w:val="none"/>
              </w:rPr>
              <w:t>职称</w:t>
            </w:r>
          </w:p>
        </w:tc>
        <w:tc>
          <w:tcPr>
            <w:tcW w:w="5648" w:type="dxa"/>
            <w:gridSpan w:val="4"/>
            <w:vAlign w:val="top"/>
          </w:tcPr>
          <w:p w14:paraId="218C5A16">
            <w:pPr>
              <w:pStyle w:val="39"/>
              <w:spacing w:before="42" w:line="219" w:lineRule="auto"/>
              <w:ind w:left="1991"/>
              <w:rPr>
                <w:color w:val="auto"/>
                <w:highlight w:val="none"/>
              </w:rPr>
            </w:pPr>
            <w:r>
              <w:rPr>
                <w:color w:val="auto"/>
                <w:spacing w:val="-2"/>
                <w:highlight w:val="none"/>
              </w:rPr>
              <w:t>执业或职业资格证明</w:t>
            </w:r>
          </w:p>
        </w:tc>
        <w:tc>
          <w:tcPr>
            <w:tcW w:w="1084" w:type="dxa"/>
            <w:vMerge w:val="restart"/>
            <w:tcBorders>
              <w:bottom w:val="nil"/>
            </w:tcBorders>
            <w:vAlign w:val="top"/>
          </w:tcPr>
          <w:p w14:paraId="669158D6">
            <w:pPr>
              <w:pStyle w:val="39"/>
              <w:spacing w:before="278" w:line="221" w:lineRule="auto"/>
              <w:ind w:left="311"/>
              <w:rPr>
                <w:color w:val="auto"/>
                <w:highlight w:val="none"/>
              </w:rPr>
            </w:pPr>
            <w:r>
              <w:rPr>
                <w:color w:val="auto"/>
                <w:spacing w:val="-7"/>
                <w:highlight w:val="none"/>
              </w:rPr>
              <w:t>备注</w:t>
            </w:r>
          </w:p>
        </w:tc>
      </w:tr>
      <w:tr w14:paraId="47711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32" w:type="dxa"/>
            <w:vMerge w:val="continue"/>
            <w:tcBorders>
              <w:top w:val="nil"/>
            </w:tcBorders>
            <w:vAlign w:val="top"/>
          </w:tcPr>
          <w:p w14:paraId="7EEEF04A">
            <w:pPr>
              <w:rPr>
                <w:rFonts w:ascii="Arial"/>
                <w:color w:val="auto"/>
                <w:sz w:val="21"/>
                <w:highlight w:val="none"/>
              </w:rPr>
            </w:pPr>
          </w:p>
        </w:tc>
        <w:tc>
          <w:tcPr>
            <w:tcW w:w="900" w:type="dxa"/>
            <w:vMerge w:val="continue"/>
            <w:tcBorders>
              <w:top w:val="nil"/>
            </w:tcBorders>
            <w:vAlign w:val="top"/>
          </w:tcPr>
          <w:p w14:paraId="28770B09">
            <w:pPr>
              <w:rPr>
                <w:rFonts w:ascii="Arial"/>
                <w:color w:val="auto"/>
                <w:sz w:val="21"/>
                <w:highlight w:val="none"/>
              </w:rPr>
            </w:pPr>
          </w:p>
        </w:tc>
        <w:tc>
          <w:tcPr>
            <w:tcW w:w="900" w:type="dxa"/>
            <w:vMerge w:val="continue"/>
            <w:tcBorders>
              <w:top w:val="nil"/>
            </w:tcBorders>
            <w:vAlign w:val="top"/>
          </w:tcPr>
          <w:p w14:paraId="01B22842">
            <w:pPr>
              <w:rPr>
                <w:rFonts w:ascii="Arial"/>
                <w:color w:val="auto"/>
                <w:sz w:val="21"/>
                <w:highlight w:val="none"/>
              </w:rPr>
            </w:pPr>
          </w:p>
        </w:tc>
        <w:tc>
          <w:tcPr>
            <w:tcW w:w="1259" w:type="dxa"/>
            <w:vAlign w:val="top"/>
          </w:tcPr>
          <w:p w14:paraId="3AC7B605">
            <w:pPr>
              <w:pStyle w:val="39"/>
              <w:spacing w:before="36" w:line="219" w:lineRule="auto"/>
              <w:ind w:left="155"/>
              <w:rPr>
                <w:color w:val="auto"/>
                <w:highlight w:val="none"/>
              </w:rPr>
            </w:pPr>
            <w:r>
              <w:rPr>
                <w:color w:val="auto"/>
                <w:spacing w:val="-3"/>
                <w:highlight w:val="none"/>
              </w:rPr>
              <w:t>证书名称</w:t>
            </w:r>
          </w:p>
        </w:tc>
        <w:tc>
          <w:tcPr>
            <w:tcW w:w="1259" w:type="dxa"/>
            <w:vAlign w:val="top"/>
          </w:tcPr>
          <w:p w14:paraId="562D153C">
            <w:pPr>
              <w:pStyle w:val="39"/>
              <w:spacing w:before="36" w:line="220" w:lineRule="auto"/>
              <w:ind w:left="400"/>
              <w:rPr>
                <w:color w:val="auto"/>
                <w:highlight w:val="none"/>
              </w:rPr>
            </w:pPr>
            <w:r>
              <w:rPr>
                <w:color w:val="auto"/>
                <w:spacing w:val="-7"/>
                <w:highlight w:val="none"/>
              </w:rPr>
              <w:t>级别</w:t>
            </w:r>
          </w:p>
        </w:tc>
        <w:tc>
          <w:tcPr>
            <w:tcW w:w="1799" w:type="dxa"/>
            <w:vAlign w:val="top"/>
          </w:tcPr>
          <w:p w14:paraId="04F23854">
            <w:pPr>
              <w:pStyle w:val="39"/>
              <w:spacing w:before="36" w:line="221" w:lineRule="auto"/>
              <w:ind w:left="666"/>
              <w:rPr>
                <w:color w:val="auto"/>
                <w:highlight w:val="none"/>
              </w:rPr>
            </w:pPr>
            <w:r>
              <w:rPr>
                <w:color w:val="auto"/>
                <w:spacing w:val="-5"/>
                <w:highlight w:val="none"/>
              </w:rPr>
              <w:t>证号</w:t>
            </w:r>
          </w:p>
        </w:tc>
        <w:tc>
          <w:tcPr>
            <w:tcW w:w="1331" w:type="dxa"/>
            <w:vAlign w:val="top"/>
          </w:tcPr>
          <w:p w14:paraId="12860C2D">
            <w:pPr>
              <w:pStyle w:val="39"/>
              <w:spacing w:before="36" w:line="220" w:lineRule="auto"/>
              <w:ind w:left="435"/>
              <w:rPr>
                <w:color w:val="auto"/>
                <w:highlight w:val="none"/>
              </w:rPr>
            </w:pPr>
            <w:r>
              <w:rPr>
                <w:color w:val="auto"/>
                <w:spacing w:val="-6"/>
                <w:highlight w:val="none"/>
              </w:rPr>
              <w:t>专业</w:t>
            </w:r>
          </w:p>
        </w:tc>
        <w:tc>
          <w:tcPr>
            <w:tcW w:w="1084" w:type="dxa"/>
            <w:vMerge w:val="continue"/>
            <w:tcBorders>
              <w:top w:val="nil"/>
            </w:tcBorders>
            <w:vAlign w:val="top"/>
          </w:tcPr>
          <w:p w14:paraId="5703DC1F">
            <w:pPr>
              <w:rPr>
                <w:rFonts w:ascii="Arial"/>
                <w:color w:val="auto"/>
                <w:sz w:val="21"/>
                <w:highlight w:val="none"/>
              </w:rPr>
            </w:pPr>
          </w:p>
        </w:tc>
      </w:tr>
      <w:tr w14:paraId="37D18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32" w:type="dxa"/>
            <w:vAlign w:val="top"/>
          </w:tcPr>
          <w:p w14:paraId="0943F324">
            <w:pPr>
              <w:rPr>
                <w:rFonts w:ascii="Arial"/>
                <w:color w:val="auto"/>
                <w:sz w:val="21"/>
                <w:highlight w:val="none"/>
              </w:rPr>
            </w:pPr>
          </w:p>
        </w:tc>
        <w:tc>
          <w:tcPr>
            <w:tcW w:w="900" w:type="dxa"/>
            <w:vAlign w:val="top"/>
          </w:tcPr>
          <w:p w14:paraId="49264B14">
            <w:pPr>
              <w:rPr>
                <w:rFonts w:ascii="Arial"/>
                <w:color w:val="auto"/>
                <w:sz w:val="21"/>
                <w:highlight w:val="none"/>
              </w:rPr>
            </w:pPr>
          </w:p>
        </w:tc>
        <w:tc>
          <w:tcPr>
            <w:tcW w:w="900" w:type="dxa"/>
            <w:vAlign w:val="top"/>
          </w:tcPr>
          <w:p w14:paraId="43874A47">
            <w:pPr>
              <w:rPr>
                <w:rFonts w:ascii="Arial"/>
                <w:color w:val="auto"/>
                <w:sz w:val="21"/>
                <w:highlight w:val="none"/>
              </w:rPr>
            </w:pPr>
          </w:p>
        </w:tc>
        <w:tc>
          <w:tcPr>
            <w:tcW w:w="1259" w:type="dxa"/>
            <w:vAlign w:val="top"/>
          </w:tcPr>
          <w:p w14:paraId="5A6BDABC">
            <w:pPr>
              <w:rPr>
                <w:rFonts w:ascii="Arial"/>
                <w:color w:val="auto"/>
                <w:sz w:val="21"/>
                <w:highlight w:val="none"/>
              </w:rPr>
            </w:pPr>
          </w:p>
        </w:tc>
        <w:tc>
          <w:tcPr>
            <w:tcW w:w="1259" w:type="dxa"/>
            <w:vAlign w:val="top"/>
          </w:tcPr>
          <w:p w14:paraId="4E5A8667">
            <w:pPr>
              <w:rPr>
                <w:rFonts w:ascii="Arial"/>
                <w:color w:val="auto"/>
                <w:sz w:val="21"/>
                <w:highlight w:val="none"/>
              </w:rPr>
            </w:pPr>
          </w:p>
        </w:tc>
        <w:tc>
          <w:tcPr>
            <w:tcW w:w="1799" w:type="dxa"/>
            <w:vAlign w:val="top"/>
          </w:tcPr>
          <w:p w14:paraId="0626C7B5">
            <w:pPr>
              <w:rPr>
                <w:rFonts w:ascii="Arial"/>
                <w:color w:val="auto"/>
                <w:sz w:val="21"/>
                <w:highlight w:val="none"/>
              </w:rPr>
            </w:pPr>
          </w:p>
        </w:tc>
        <w:tc>
          <w:tcPr>
            <w:tcW w:w="1331" w:type="dxa"/>
            <w:vAlign w:val="top"/>
          </w:tcPr>
          <w:p w14:paraId="08DB4314">
            <w:pPr>
              <w:rPr>
                <w:rFonts w:ascii="Arial"/>
                <w:color w:val="auto"/>
                <w:sz w:val="21"/>
                <w:highlight w:val="none"/>
              </w:rPr>
            </w:pPr>
          </w:p>
        </w:tc>
        <w:tc>
          <w:tcPr>
            <w:tcW w:w="1084" w:type="dxa"/>
            <w:vAlign w:val="top"/>
          </w:tcPr>
          <w:p w14:paraId="6B195EEA">
            <w:pPr>
              <w:rPr>
                <w:rFonts w:ascii="Arial"/>
                <w:color w:val="auto"/>
                <w:sz w:val="21"/>
                <w:highlight w:val="none"/>
              </w:rPr>
            </w:pPr>
          </w:p>
        </w:tc>
      </w:tr>
      <w:tr w14:paraId="06812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832" w:type="dxa"/>
            <w:vAlign w:val="top"/>
          </w:tcPr>
          <w:p w14:paraId="1A74DA64">
            <w:pPr>
              <w:rPr>
                <w:rFonts w:ascii="Arial"/>
                <w:color w:val="auto"/>
                <w:sz w:val="21"/>
                <w:highlight w:val="none"/>
              </w:rPr>
            </w:pPr>
          </w:p>
        </w:tc>
        <w:tc>
          <w:tcPr>
            <w:tcW w:w="900" w:type="dxa"/>
            <w:vAlign w:val="top"/>
          </w:tcPr>
          <w:p w14:paraId="2D5FFD5C">
            <w:pPr>
              <w:rPr>
                <w:rFonts w:ascii="Arial"/>
                <w:color w:val="auto"/>
                <w:sz w:val="21"/>
                <w:highlight w:val="none"/>
              </w:rPr>
            </w:pPr>
          </w:p>
        </w:tc>
        <w:tc>
          <w:tcPr>
            <w:tcW w:w="900" w:type="dxa"/>
            <w:vAlign w:val="top"/>
          </w:tcPr>
          <w:p w14:paraId="1DA85EA2">
            <w:pPr>
              <w:rPr>
                <w:rFonts w:ascii="Arial"/>
                <w:color w:val="auto"/>
                <w:sz w:val="21"/>
                <w:highlight w:val="none"/>
              </w:rPr>
            </w:pPr>
          </w:p>
        </w:tc>
        <w:tc>
          <w:tcPr>
            <w:tcW w:w="1259" w:type="dxa"/>
            <w:vAlign w:val="top"/>
          </w:tcPr>
          <w:p w14:paraId="06F90BD7">
            <w:pPr>
              <w:rPr>
                <w:rFonts w:ascii="Arial"/>
                <w:color w:val="auto"/>
                <w:sz w:val="21"/>
                <w:highlight w:val="none"/>
              </w:rPr>
            </w:pPr>
          </w:p>
        </w:tc>
        <w:tc>
          <w:tcPr>
            <w:tcW w:w="1259" w:type="dxa"/>
            <w:vAlign w:val="top"/>
          </w:tcPr>
          <w:p w14:paraId="1484367B">
            <w:pPr>
              <w:rPr>
                <w:rFonts w:ascii="Arial"/>
                <w:color w:val="auto"/>
                <w:sz w:val="21"/>
                <w:highlight w:val="none"/>
              </w:rPr>
            </w:pPr>
          </w:p>
        </w:tc>
        <w:tc>
          <w:tcPr>
            <w:tcW w:w="1799" w:type="dxa"/>
            <w:vAlign w:val="top"/>
          </w:tcPr>
          <w:p w14:paraId="7A0DBD27">
            <w:pPr>
              <w:rPr>
                <w:rFonts w:ascii="Arial"/>
                <w:color w:val="auto"/>
                <w:sz w:val="21"/>
                <w:highlight w:val="none"/>
              </w:rPr>
            </w:pPr>
          </w:p>
        </w:tc>
        <w:tc>
          <w:tcPr>
            <w:tcW w:w="1331" w:type="dxa"/>
            <w:vAlign w:val="top"/>
          </w:tcPr>
          <w:p w14:paraId="63FB7AF9">
            <w:pPr>
              <w:rPr>
                <w:rFonts w:ascii="Arial"/>
                <w:color w:val="auto"/>
                <w:sz w:val="21"/>
                <w:highlight w:val="none"/>
              </w:rPr>
            </w:pPr>
          </w:p>
        </w:tc>
        <w:tc>
          <w:tcPr>
            <w:tcW w:w="1084" w:type="dxa"/>
            <w:vAlign w:val="top"/>
          </w:tcPr>
          <w:p w14:paraId="6FEC14F2">
            <w:pPr>
              <w:rPr>
                <w:rFonts w:ascii="Arial"/>
                <w:color w:val="auto"/>
                <w:sz w:val="21"/>
                <w:highlight w:val="none"/>
              </w:rPr>
            </w:pPr>
          </w:p>
        </w:tc>
      </w:tr>
      <w:tr w14:paraId="2E6E9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32" w:type="dxa"/>
            <w:vAlign w:val="top"/>
          </w:tcPr>
          <w:p w14:paraId="55F3EE45">
            <w:pPr>
              <w:rPr>
                <w:rFonts w:ascii="Arial"/>
                <w:color w:val="auto"/>
                <w:sz w:val="21"/>
                <w:highlight w:val="none"/>
              </w:rPr>
            </w:pPr>
          </w:p>
        </w:tc>
        <w:tc>
          <w:tcPr>
            <w:tcW w:w="900" w:type="dxa"/>
            <w:vAlign w:val="top"/>
          </w:tcPr>
          <w:p w14:paraId="7669D8C8">
            <w:pPr>
              <w:rPr>
                <w:rFonts w:ascii="Arial"/>
                <w:color w:val="auto"/>
                <w:sz w:val="21"/>
                <w:highlight w:val="none"/>
              </w:rPr>
            </w:pPr>
          </w:p>
        </w:tc>
        <w:tc>
          <w:tcPr>
            <w:tcW w:w="900" w:type="dxa"/>
            <w:vAlign w:val="top"/>
          </w:tcPr>
          <w:p w14:paraId="66B1C4CE">
            <w:pPr>
              <w:rPr>
                <w:rFonts w:ascii="Arial"/>
                <w:color w:val="auto"/>
                <w:sz w:val="21"/>
                <w:highlight w:val="none"/>
              </w:rPr>
            </w:pPr>
          </w:p>
        </w:tc>
        <w:tc>
          <w:tcPr>
            <w:tcW w:w="1259" w:type="dxa"/>
            <w:vAlign w:val="top"/>
          </w:tcPr>
          <w:p w14:paraId="6D762C6D">
            <w:pPr>
              <w:rPr>
                <w:rFonts w:ascii="Arial"/>
                <w:color w:val="auto"/>
                <w:sz w:val="21"/>
                <w:highlight w:val="none"/>
              </w:rPr>
            </w:pPr>
          </w:p>
        </w:tc>
        <w:tc>
          <w:tcPr>
            <w:tcW w:w="1259" w:type="dxa"/>
            <w:vAlign w:val="top"/>
          </w:tcPr>
          <w:p w14:paraId="60E85E68">
            <w:pPr>
              <w:rPr>
                <w:rFonts w:ascii="Arial"/>
                <w:color w:val="auto"/>
                <w:sz w:val="21"/>
                <w:highlight w:val="none"/>
              </w:rPr>
            </w:pPr>
          </w:p>
        </w:tc>
        <w:tc>
          <w:tcPr>
            <w:tcW w:w="1799" w:type="dxa"/>
            <w:vAlign w:val="top"/>
          </w:tcPr>
          <w:p w14:paraId="021FC78D">
            <w:pPr>
              <w:rPr>
                <w:rFonts w:ascii="Arial"/>
                <w:color w:val="auto"/>
                <w:sz w:val="21"/>
                <w:highlight w:val="none"/>
              </w:rPr>
            </w:pPr>
          </w:p>
        </w:tc>
        <w:tc>
          <w:tcPr>
            <w:tcW w:w="1331" w:type="dxa"/>
            <w:vAlign w:val="top"/>
          </w:tcPr>
          <w:p w14:paraId="3803FA63">
            <w:pPr>
              <w:rPr>
                <w:rFonts w:ascii="Arial"/>
                <w:color w:val="auto"/>
                <w:sz w:val="21"/>
                <w:highlight w:val="none"/>
              </w:rPr>
            </w:pPr>
          </w:p>
        </w:tc>
        <w:tc>
          <w:tcPr>
            <w:tcW w:w="1084" w:type="dxa"/>
            <w:vAlign w:val="top"/>
          </w:tcPr>
          <w:p w14:paraId="3B84E549">
            <w:pPr>
              <w:rPr>
                <w:rFonts w:ascii="Arial"/>
                <w:color w:val="auto"/>
                <w:sz w:val="21"/>
                <w:highlight w:val="none"/>
              </w:rPr>
            </w:pPr>
          </w:p>
        </w:tc>
      </w:tr>
    </w:tbl>
    <w:p w14:paraId="217EA546">
      <w:pPr>
        <w:spacing w:line="423" w:lineRule="auto"/>
        <w:rPr>
          <w:rFonts w:ascii="Arial"/>
          <w:color w:val="auto"/>
          <w:sz w:val="21"/>
          <w:highlight w:val="none"/>
        </w:rPr>
      </w:pPr>
    </w:p>
    <w:p w14:paraId="6732D50B">
      <w:pPr>
        <w:pStyle w:val="7"/>
        <w:spacing w:before="78" w:line="219" w:lineRule="auto"/>
        <w:ind w:left="3869"/>
        <w:rPr>
          <w:color w:val="auto"/>
          <w:highlight w:val="none"/>
        </w:rPr>
      </w:pPr>
      <w:r>
        <w:rPr>
          <w:b/>
          <w:bCs/>
          <w:color w:val="auto"/>
          <w:spacing w:val="-3"/>
          <w:highlight w:val="none"/>
        </w:rPr>
        <w:t>㈡主要人员简历表</w:t>
      </w:r>
    </w:p>
    <w:p w14:paraId="073A7783">
      <w:pPr>
        <w:spacing w:line="146" w:lineRule="exact"/>
        <w:rPr>
          <w:color w:val="auto"/>
          <w:highlight w:val="none"/>
        </w:rPr>
      </w:pPr>
    </w:p>
    <w:tbl>
      <w:tblPr>
        <w:tblStyle w:val="36"/>
        <w:tblW w:w="94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4"/>
        <w:gridCol w:w="1663"/>
        <w:gridCol w:w="959"/>
        <w:gridCol w:w="421"/>
        <w:gridCol w:w="944"/>
        <w:gridCol w:w="726"/>
        <w:gridCol w:w="1268"/>
        <w:gridCol w:w="2209"/>
      </w:tblGrid>
      <w:tr w14:paraId="78DAC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264" w:type="dxa"/>
            <w:vAlign w:val="top"/>
          </w:tcPr>
          <w:p w14:paraId="7F82254D">
            <w:pPr>
              <w:pStyle w:val="39"/>
              <w:spacing w:before="39" w:line="219" w:lineRule="auto"/>
              <w:ind w:left="399"/>
              <w:rPr>
                <w:color w:val="auto"/>
                <w:highlight w:val="none"/>
              </w:rPr>
            </w:pPr>
            <w:r>
              <w:rPr>
                <w:color w:val="auto"/>
                <w:spacing w:val="-5"/>
                <w:highlight w:val="none"/>
              </w:rPr>
              <w:t>姓名</w:t>
            </w:r>
          </w:p>
        </w:tc>
        <w:tc>
          <w:tcPr>
            <w:tcW w:w="1663" w:type="dxa"/>
            <w:vAlign w:val="top"/>
          </w:tcPr>
          <w:p w14:paraId="6B73925A">
            <w:pPr>
              <w:rPr>
                <w:rFonts w:ascii="Arial"/>
                <w:color w:val="auto"/>
                <w:sz w:val="21"/>
                <w:highlight w:val="none"/>
              </w:rPr>
            </w:pPr>
          </w:p>
        </w:tc>
        <w:tc>
          <w:tcPr>
            <w:tcW w:w="959" w:type="dxa"/>
            <w:vAlign w:val="top"/>
          </w:tcPr>
          <w:p w14:paraId="6156E36A">
            <w:pPr>
              <w:pStyle w:val="39"/>
              <w:spacing w:before="39" w:line="219" w:lineRule="auto"/>
              <w:ind w:left="247"/>
              <w:rPr>
                <w:color w:val="auto"/>
                <w:highlight w:val="none"/>
              </w:rPr>
            </w:pPr>
            <w:r>
              <w:rPr>
                <w:color w:val="auto"/>
                <w:spacing w:val="-6"/>
                <w:highlight w:val="none"/>
              </w:rPr>
              <w:t>年龄</w:t>
            </w:r>
          </w:p>
        </w:tc>
        <w:tc>
          <w:tcPr>
            <w:tcW w:w="1365" w:type="dxa"/>
            <w:gridSpan w:val="2"/>
            <w:vAlign w:val="top"/>
          </w:tcPr>
          <w:p w14:paraId="47C83B65">
            <w:pPr>
              <w:rPr>
                <w:rFonts w:ascii="Arial"/>
                <w:color w:val="auto"/>
                <w:sz w:val="21"/>
                <w:highlight w:val="none"/>
              </w:rPr>
            </w:pPr>
          </w:p>
        </w:tc>
        <w:tc>
          <w:tcPr>
            <w:tcW w:w="1994" w:type="dxa"/>
            <w:gridSpan w:val="2"/>
            <w:vAlign w:val="top"/>
          </w:tcPr>
          <w:p w14:paraId="3FAD88ED">
            <w:pPr>
              <w:pStyle w:val="39"/>
              <w:spacing w:before="38" w:line="221" w:lineRule="auto"/>
              <w:ind w:left="768"/>
              <w:rPr>
                <w:color w:val="auto"/>
                <w:highlight w:val="none"/>
              </w:rPr>
            </w:pPr>
            <w:r>
              <w:rPr>
                <w:color w:val="auto"/>
                <w:spacing w:val="-8"/>
                <w:highlight w:val="none"/>
              </w:rPr>
              <w:t>学历</w:t>
            </w:r>
          </w:p>
        </w:tc>
        <w:tc>
          <w:tcPr>
            <w:tcW w:w="2209" w:type="dxa"/>
            <w:vAlign w:val="top"/>
          </w:tcPr>
          <w:p w14:paraId="71D16A75">
            <w:pPr>
              <w:rPr>
                <w:rFonts w:ascii="Arial"/>
                <w:color w:val="auto"/>
                <w:sz w:val="21"/>
                <w:highlight w:val="none"/>
              </w:rPr>
            </w:pPr>
          </w:p>
        </w:tc>
      </w:tr>
      <w:tr w14:paraId="12A96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4" w:type="dxa"/>
            <w:vAlign w:val="top"/>
          </w:tcPr>
          <w:p w14:paraId="38C5746B">
            <w:pPr>
              <w:pStyle w:val="39"/>
              <w:spacing w:before="36" w:line="221" w:lineRule="auto"/>
              <w:ind w:left="400"/>
              <w:rPr>
                <w:color w:val="auto"/>
                <w:highlight w:val="none"/>
              </w:rPr>
            </w:pPr>
            <w:r>
              <w:rPr>
                <w:color w:val="auto"/>
                <w:spacing w:val="-6"/>
                <w:highlight w:val="none"/>
              </w:rPr>
              <w:t>职称</w:t>
            </w:r>
          </w:p>
        </w:tc>
        <w:tc>
          <w:tcPr>
            <w:tcW w:w="1663" w:type="dxa"/>
            <w:vAlign w:val="top"/>
          </w:tcPr>
          <w:p w14:paraId="426F0554">
            <w:pPr>
              <w:rPr>
                <w:rFonts w:ascii="Arial"/>
                <w:color w:val="auto"/>
                <w:sz w:val="21"/>
                <w:highlight w:val="none"/>
              </w:rPr>
            </w:pPr>
          </w:p>
        </w:tc>
        <w:tc>
          <w:tcPr>
            <w:tcW w:w="959" w:type="dxa"/>
            <w:vAlign w:val="top"/>
          </w:tcPr>
          <w:p w14:paraId="76354CDD">
            <w:pPr>
              <w:pStyle w:val="39"/>
              <w:spacing w:before="36" w:line="219" w:lineRule="auto"/>
              <w:ind w:left="247"/>
              <w:rPr>
                <w:color w:val="auto"/>
                <w:highlight w:val="none"/>
              </w:rPr>
            </w:pPr>
            <w:r>
              <w:rPr>
                <w:color w:val="auto"/>
                <w:spacing w:val="-6"/>
                <w:highlight w:val="none"/>
              </w:rPr>
              <w:t>职务</w:t>
            </w:r>
          </w:p>
        </w:tc>
        <w:tc>
          <w:tcPr>
            <w:tcW w:w="1365" w:type="dxa"/>
            <w:gridSpan w:val="2"/>
            <w:vAlign w:val="top"/>
          </w:tcPr>
          <w:p w14:paraId="794540A7">
            <w:pPr>
              <w:rPr>
                <w:rFonts w:ascii="Arial"/>
                <w:color w:val="auto"/>
                <w:sz w:val="21"/>
                <w:highlight w:val="none"/>
              </w:rPr>
            </w:pPr>
          </w:p>
        </w:tc>
        <w:tc>
          <w:tcPr>
            <w:tcW w:w="1994" w:type="dxa"/>
            <w:gridSpan w:val="2"/>
            <w:vAlign w:val="top"/>
          </w:tcPr>
          <w:p w14:paraId="34C066E4">
            <w:pPr>
              <w:pStyle w:val="39"/>
              <w:spacing w:before="35" w:line="219" w:lineRule="auto"/>
              <w:ind w:left="164"/>
              <w:rPr>
                <w:color w:val="auto"/>
                <w:highlight w:val="none"/>
              </w:rPr>
            </w:pPr>
            <w:r>
              <w:rPr>
                <w:color w:val="auto"/>
                <w:spacing w:val="-2"/>
                <w:highlight w:val="none"/>
              </w:rPr>
              <w:t>拟在本合同任职</w:t>
            </w:r>
          </w:p>
        </w:tc>
        <w:tc>
          <w:tcPr>
            <w:tcW w:w="2209" w:type="dxa"/>
            <w:vAlign w:val="top"/>
          </w:tcPr>
          <w:p w14:paraId="771D9AC8">
            <w:pPr>
              <w:rPr>
                <w:rFonts w:ascii="Arial"/>
                <w:color w:val="auto"/>
                <w:sz w:val="21"/>
                <w:highlight w:val="none"/>
              </w:rPr>
            </w:pPr>
          </w:p>
        </w:tc>
      </w:tr>
      <w:tr w14:paraId="0C60F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4" w:type="dxa"/>
            <w:vAlign w:val="top"/>
          </w:tcPr>
          <w:p w14:paraId="0DF66AF2">
            <w:pPr>
              <w:pStyle w:val="39"/>
              <w:spacing w:before="37" w:line="219" w:lineRule="auto"/>
              <w:ind w:left="163"/>
              <w:rPr>
                <w:color w:val="auto"/>
                <w:highlight w:val="none"/>
              </w:rPr>
            </w:pPr>
            <w:r>
              <w:rPr>
                <w:color w:val="auto"/>
                <w:spacing w:val="-4"/>
                <w:highlight w:val="none"/>
              </w:rPr>
              <w:t>毕业学校</w:t>
            </w:r>
          </w:p>
        </w:tc>
        <w:tc>
          <w:tcPr>
            <w:tcW w:w="8190" w:type="dxa"/>
            <w:gridSpan w:val="7"/>
            <w:vAlign w:val="top"/>
          </w:tcPr>
          <w:p w14:paraId="755910D0">
            <w:pPr>
              <w:pStyle w:val="39"/>
              <w:spacing w:before="37" w:line="219" w:lineRule="auto"/>
              <w:ind w:left="2541"/>
              <w:rPr>
                <w:color w:val="auto"/>
                <w:highlight w:val="none"/>
              </w:rPr>
            </w:pPr>
            <w:r>
              <w:rPr>
                <w:color w:val="auto"/>
                <w:spacing w:val="-5"/>
                <w:highlight w:val="none"/>
              </w:rPr>
              <w:t>年毕业于</w:t>
            </w:r>
            <w:r>
              <w:rPr>
                <w:color w:val="auto"/>
                <w:spacing w:val="1"/>
                <w:highlight w:val="none"/>
              </w:rPr>
              <w:t xml:space="preserve">          </w:t>
            </w:r>
            <w:r>
              <w:rPr>
                <w:color w:val="auto"/>
                <w:spacing w:val="-5"/>
                <w:highlight w:val="none"/>
              </w:rPr>
              <w:t>学校</w:t>
            </w:r>
            <w:r>
              <w:rPr>
                <w:color w:val="auto"/>
                <w:spacing w:val="1"/>
                <w:highlight w:val="none"/>
              </w:rPr>
              <w:t xml:space="preserve">          </w:t>
            </w:r>
            <w:r>
              <w:rPr>
                <w:color w:val="auto"/>
                <w:spacing w:val="-5"/>
                <w:highlight w:val="none"/>
              </w:rPr>
              <w:t>专业</w:t>
            </w:r>
          </w:p>
        </w:tc>
      </w:tr>
      <w:tr w14:paraId="7E429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54" w:type="dxa"/>
            <w:gridSpan w:val="8"/>
            <w:vAlign w:val="top"/>
          </w:tcPr>
          <w:p w14:paraId="504AA6F6">
            <w:pPr>
              <w:pStyle w:val="39"/>
              <w:spacing w:before="38" w:line="220" w:lineRule="auto"/>
              <w:ind w:left="4015"/>
              <w:rPr>
                <w:color w:val="auto"/>
                <w:highlight w:val="none"/>
              </w:rPr>
            </w:pPr>
            <w:r>
              <w:rPr>
                <w:color w:val="auto"/>
                <w:spacing w:val="-2"/>
                <w:highlight w:val="none"/>
              </w:rPr>
              <w:t>主要工作经历</w:t>
            </w:r>
          </w:p>
        </w:tc>
      </w:tr>
      <w:tr w14:paraId="3A439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4" w:type="dxa"/>
            <w:vAlign w:val="top"/>
          </w:tcPr>
          <w:p w14:paraId="37552C40">
            <w:pPr>
              <w:pStyle w:val="39"/>
              <w:spacing w:before="38" w:line="221" w:lineRule="auto"/>
              <w:ind w:left="410"/>
              <w:rPr>
                <w:color w:val="auto"/>
                <w:highlight w:val="none"/>
              </w:rPr>
            </w:pPr>
            <w:r>
              <w:rPr>
                <w:color w:val="auto"/>
                <w:spacing w:val="-11"/>
                <w:highlight w:val="none"/>
              </w:rPr>
              <w:t>时间</w:t>
            </w:r>
          </w:p>
        </w:tc>
        <w:tc>
          <w:tcPr>
            <w:tcW w:w="3043" w:type="dxa"/>
            <w:gridSpan w:val="3"/>
            <w:vAlign w:val="top"/>
          </w:tcPr>
          <w:p w14:paraId="345FE87A">
            <w:pPr>
              <w:pStyle w:val="39"/>
              <w:spacing w:before="38" w:line="219" w:lineRule="auto"/>
              <w:ind w:left="569"/>
              <w:rPr>
                <w:color w:val="auto"/>
                <w:highlight w:val="none"/>
              </w:rPr>
            </w:pPr>
            <w:r>
              <w:rPr>
                <w:color w:val="auto"/>
                <w:spacing w:val="-2"/>
                <w:highlight w:val="none"/>
              </w:rPr>
              <w:t>参加过的类似项目</w:t>
            </w:r>
          </w:p>
        </w:tc>
        <w:tc>
          <w:tcPr>
            <w:tcW w:w="1670" w:type="dxa"/>
            <w:gridSpan w:val="2"/>
            <w:vAlign w:val="top"/>
          </w:tcPr>
          <w:p w14:paraId="016E54C1">
            <w:pPr>
              <w:pStyle w:val="39"/>
              <w:spacing w:before="38" w:line="219" w:lineRule="auto"/>
              <w:ind w:left="362"/>
              <w:rPr>
                <w:color w:val="auto"/>
                <w:highlight w:val="none"/>
              </w:rPr>
            </w:pPr>
            <w:r>
              <w:rPr>
                <w:color w:val="auto"/>
                <w:spacing w:val="-3"/>
                <w:highlight w:val="none"/>
              </w:rPr>
              <w:t>担任职务</w:t>
            </w:r>
          </w:p>
        </w:tc>
        <w:tc>
          <w:tcPr>
            <w:tcW w:w="3477" w:type="dxa"/>
            <w:gridSpan w:val="2"/>
            <w:vAlign w:val="top"/>
          </w:tcPr>
          <w:p w14:paraId="38214446">
            <w:pPr>
              <w:pStyle w:val="39"/>
              <w:spacing w:before="38" w:line="220" w:lineRule="auto"/>
              <w:ind w:left="788"/>
              <w:rPr>
                <w:color w:val="auto"/>
                <w:highlight w:val="none"/>
              </w:rPr>
            </w:pPr>
            <w:r>
              <w:rPr>
                <w:color w:val="auto"/>
                <w:spacing w:val="-2"/>
                <w:highlight w:val="none"/>
              </w:rPr>
              <w:t>发包人及联系电话</w:t>
            </w:r>
          </w:p>
        </w:tc>
      </w:tr>
      <w:tr w14:paraId="5AE6E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4" w:type="dxa"/>
            <w:vAlign w:val="top"/>
          </w:tcPr>
          <w:p w14:paraId="01778A67">
            <w:pPr>
              <w:rPr>
                <w:rFonts w:ascii="Arial"/>
                <w:color w:val="auto"/>
                <w:sz w:val="21"/>
                <w:highlight w:val="none"/>
              </w:rPr>
            </w:pPr>
          </w:p>
        </w:tc>
        <w:tc>
          <w:tcPr>
            <w:tcW w:w="3043" w:type="dxa"/>
            <w:gridSpan w:val="3"/>
            <w:vAlign w:val="top"/>
          </w:tcPr>
          <w:p w14:paraId="76580160">
            <w:pPr>
              <w:rPr>
                <w:rFonts w:ascii="Arial"/>
                <w:color w:val="auto"/>
                <w:sz w:val="21"/>
                <w:highlight w:val="none"/>
              </w:rPr>
            </w:pPr>
          </w:p>
        </w:tc>
        <w:tc>
          <w:tcPr>
            <w:tcW w:w="1670" w:type="dxa"/>
            <w:gridSpan w:val="2"/>
            <w:vAlign w:val="top"/>
          </w:tcPr>
          <w:p w14:paraId="1789DE70">
            <w:pPr>
              <w:rPr>
                <w:rFonts w:ascii="Arial"/>
                <w:color w:val="auto"/>
                <w:sz w:val="21"/>
                <w:highlight w:val="none"/>
              </w:rPr>
            </w:pPr>
          </w:p>
        </w:tc>
        <w:tc>
          <w:tcPr>
            <w:tcW w:w="3477" w:type="dxa"/>
            <w:gridSpan w:val="2"/>
            <w:vAlign w:val="top"/>
          </w:tcPr>
          <w:p w14:paraId="58E73D34">
            <w:pPr>
              <w:rPr>
                <w:rFonts w:ascii="Arial"/>
                <w:color w:val="auto"/>
                <w:sz w:val="21"/>
                <w:highlight w:val="none"/>
              </w:rPr>
            </w:pPr>
          </w:p>
        </w:tc>
      </w:tr>
      <w:tr w14:paraId="00709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264" w:type="dxa"/>
            <w:vAlign w:val="top"/>
          </w:tcPr>
          <w:p w14:paraId="2D0571D1">
            <w:pPr>
              <w:rPr>
                <w:rFonts w:ascii="Arial"/>
                <w:color w:val="auto"/>
                <w:sz w:val="21"/>
                <w:highlight w:val="none"/>
              </w:rPr>
            </w:pPr>
          </w:p>
        </w:tc>
        <w:tc>
          <w:tcPr>
            <w:tcW w:w="3043" w:type="dxa"/>
            <w:gridSpan w:val="3"/>
            <w:vAlign w:val="top"/>
          </w:tcPr>
          <w:p w14:paraId="36CF99F4">
            <w:pPr>
              <w:rPr>
                <w:rFonts w:ascii="Arial"/>
                <w:color w:val="auto"/>
                <w:sz w:val="21"/>
                <w:highlight w:val="none"/>
              </w:rPr>
            </w:pPr>
          </w:p>
        </w:tc>
        <w:tc>
          <w:tcPr>
            <w:tcW w:w="1670" w:type="dxa"/>
            <w:gridSpan w:val="2"/>
            <w:vAlign w:val="top"/>
          </w:tcPr>
          <w:p w14:paraId="063CE5F3">
            <w:pPr>
              <w:rPr>
                <w:rFonts w:ascii="Arial"/>
                <w:color w:val="auto"/>
                <w:sz w:val="21"/>
                <w:highlight w:val="none"/>
              </w:rPr>
            </w:pPr>
          </w:p>
        </w:tc>
        <w:tc>
          <w:tcPr>
            <w:tcW w:w="3477" w:type="dxa"/>
            <w:gridSpan w:val="2"/>
            <w:vAlign w:val="top"/>
          </w:tcPr>
          <w:p w14:paraId="3AFBCC64">
            <w:pPr>
              <w:rPr>
                <w:rFonts w:ascii="Arial"/>
                <w:color w:val="auto"/>
                <w:sz w:val="21"/>
                <w:highlight w:val="none"/>
              </w:rPr>
            </w:pPr>
          </w:p>
        </w:tc>
      </w:tr>
      <w:tr w14:paraId="1637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4" w:type="dxa"/>
            <w:vAlign w:val="top"/>
          </w:tcPr>
          <w:p w14:paraId="7F9DD6CF">
            <w:pPr>
              <w:rPr>
                <w:rFonts w:ascii="Arial"/>
                <w:color w:val="auto"/>
                <w:sz w:val="21"/>
                <w:highlight w:val="none"/>
              </w:rPr>
            </w:pPr>
          </w:p>
        </w:tc>
        <w:tc>
          <w:tcPr>
            <w:tcW w:w="3043" w:type="dxa"/>
            <w:gridSpan w:val="3"/>
            <w:vAlign w:val="top"/>
          </w:tcPr>
          <w:p w14:paraId="60B8EDFC">
            <w:pPr>
              <w:rPr>
                <w:rFonts w:ascii="Arial"/>
                <w:color w:val="auto"/>
                <w:sz w:val="21"/>
                <w:highlight w:val="none"/>
              </w:rPr>
            </w:pPr>
          </w:p>
        </w:tc>
        <w:tc>
          <w:tcPr>
            <w:tcW w:w="1670" w:type="dxa"/>
            <w:gridSpan w:val="2"/>
            <w:vAlign w:val="top"/>
          </w:tcPr>
          <w:p w14:paraId="0ED6B079">
            <w:pPr>
              <w:rPr>
                <w:rFonts w:ascii="Arial"/>
                <w:color w:val="auto"/>
                <w:sz w:val="21"/>
                <w:highlight w:val="none"/>
              </w:rPr>
            </w:pPr>
          </w:p>
        </w:tc>
        <w:tc>
          <w:tcPr>
            <w:tcW w:w="3477" w:type="dxa"/>
            <w:gridSpan w:val="2"/>
            <w:vAlign w:val="top"/>
          </w:tcPr>
          <w:p w14:paraId="167D2AF9">
            <w:pPr>
              <w:rPr>
                <w:rFonts w:ascii="Arial"/>
                <w:color w:val="auto"/>
                <w:sz w:val="21"/>
                <w:highlight w:val="none"/>
              </w:rPr>
            </w:pPr>
          </w:p>
        </w:tc>
      </w:tr>
      <w:tr w14:paraId="3705D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4" w:type="dxa"/>
            <w:vAlign w:val="top"/>
          </w:tcPr>
          <w:p w14:paraId="326DCF07">
            <w:pPr>
              <w:rPr>
                <w:rFonts w:ascii="Arial"/>
                <w:color w:val="auto"/>
                <w:sz w:val="21"/>
                <w:highlight w:val="none"/>
              </w:rPr>
            </w:pPr>
          </w:p>
        </w:tc>
        <w:tc>
          <w:tcPr>
            <w:tcW w:w="3043" w:type="dxa"/>
            <w:gridSpan w:val="3"/>
            <w:vAlign w:val="top"/>
          </w:tcPr>
          <w:p w14:paraId="189D1A2E">
            <w:pPr>
              <w:rPr>
                <w:rFonts w:ascii="Arial"/>
                <w:color w:val="auto"/>
                <w:sz w:val="21"/>
                <w:highlight w:val="none"/>
              </w:rPr>
            </w:pPr>
          </w:p>
        </w:tc>
        <w:tc>
          <w:tcPr>
            <w:tcW w:w="1670" w:type="dxa"/>
            <w:gridSpan w:val="2"/>
            <w:vAlign w:val="top"/>
          </w:tcPr>
          <w:p w14:paraId="204C5D11">
            <w:pPr>
              <w:rPr>
                <w:rFonts w:ascii="Arial"/>
                <w:color w:val="auto"/>
                <w:sz w:val="21"/>
                <w:highlight w:val="none"/>
              </w:rPr>
            </w:pPr>
          </w:p>
        </w:tc>
        <w:tc>
          <w:tcPr>
            <w:tcW w:w="3477" w:type="dxa"/>
            <w:gridSpan w:val="2"/>
            <w:vAlign w:val="top"/>
          </w:tcPr>
          <w:p w14:paraId="6AB83FE6">
            <w:pPr>
              <w:rPr>
                <w:rFonts w:ascii="Arial"/>
                <w:color w:val="auto"/>
                <w:sz w:val="21"/>
                <w:highlight w:val="none"/>
              </w:rPr>
            </w:pPr>
          </w:p>
        </w:tc>
      </w:tr>
      <w:tr w14:paraId="38B0D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64" w:type="dxa"/>
            <w:vAlign w:val="top"/>
          </w:tcPr>
          <w:p w14:paraId="24A0514E">
            <w:pPr>
              <w:rPr>
                <w:rFonts w:ascii="Arial"/>
                <w:color w:val="auto"/>
                <w:sz w:val="21"/>
                <w:highlight w:val="none"/>
              </w:rPr>
            </w:pPr>
          </w:p>
        </w:tc>
        <w:tc>
          <w:tcPr>
            <w:tcW w:w="3043" w:type="dxa"/>
            <w:gridSpan w:val="3"/>
            <w:vAlign w:val="top"/>
          </w:tcPr>
          <w:p w14:paraId="2603FDAB">
            <w:pPr>
              <w:rPr>
                <w:rFonts w:ascii="Arial"/>
                <w:color w:val="auto"/>
                <w:sz w:val="21"/>
                <w:highlight w:val="none"/>
              </w:rPr>
            </w:pPr>
          </w:p>
        </w:tc>
        <w:tc>
          <w:tcPr>
            <w:tcW w:w="1670" w:type="dxa"/>
            <w:gridSpan w:val="2"/>
            <w:vAlign w:val="top"/>
          </w:tcPr>
          <w:p w14:paraId="4624E761">
            <w:pPr>
              <w:rPr>
                <w:rFonts w:ascii="Arial"/>
                <w:color w:val="auto"/>
                <w:sz w:val="21"/>
                <w:highlight w:val="none"/>
              </w:rPr>
            </w:pPr>
          </w:p>
        </w:tc>
        <w:tc>
          <w:tcPr>
            <w:tcW w:w="3477" w:type="dxa"/>
            <w:gridSpan w:val="2"/>
            <w:vAlign w:val="top"/>
          </w:tcPr>
          <w:p w14:paraId="639B4AA1">
            <w:pPr>
              <w:rPr>
                <w:rFonts w:ascii="Arial"/>
                <w:color w:val="auto"/>
                <w:sz w:val="21"/>
                <w:highlight w:val="none"/>
              </w:rPr>
            </w:pPr>
          </w:p>
        </w:tc>
      </w:tr>
      <w:tr w14:paraId="27876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64" w:type="dxa"/>
            <w:vAlign w:val="top"/>
          </w:tcPr>
          <w:p w14:paraId="2E46856E">
            <w:pPr>
              <w:rPr>
                <w:rFonts w:ascii="Arial"/>
                <w:color w:val="auto"/>
                <w:sz w:val="21"/>
                <w:highlight w:val="none"/>
              </w:rPr>
            </w:pPr>
          </w:p>
        </w:tc>
        <w:tc>
          <w:tcPr>
            <w:tcW w:w="3043" w:type="dxa"/>
            <w:gridSpan w:val="3"/>
            <w:vAlign w:val="top"/>
          </w:tcPr>
          <w:p w14:paraId="061DC6CC">
            <w:pPr>
              <w:rPr>
                <w:rFonts w:ascii="Arial"/>
                <w:color w:val="auto"/>
                <w:sz w:val="21"/>
                <w:highlight w:val="none"/>
              </w:rPr>
            </w:pPr>
          </w:p>
        </w:tc>
        <w:tc>
          <w:tcPr>
            <w:tcW w:w="1670" w:type="dxa"/>
            <w:gridSpan w:val="2"/>
            <w:vAlign w:val="top"/>
          </w:tcPr>
          <w:p w14:paraId="25FB72FA">
            <w:pPr>
              <w:rPr>
                <w:rFonts w:ascii="Arial"/>
                <w:color w:val="auto"/>
                <w:sz w:val="21"/>
                <w:highlight w:val="none"/>
              </w:rPr>
            </w:pPr>
          </w:p>
        </w:tc>
        <w:tc>
          <w:tcPr>
            <w:tcW w:w="3477" w:type="dxa"/>
            <w:gridSpan w:val="2"/>
            <w:vAlign w:val="top"/>
          </w:tcPr>
          <w:p w14:paraId="1A41A224">
            <w:pPr>
              <w:rPr>
                <w:rFonts w:ascii="Arial"/>
                <w:color w:val="auto"/>
                <w:sz w:val="21"/>
                <w:highlight w:val="none"/>
              </w:rPr>
            </w:pPr>
          </w:p>
        </w:tc>
      </w:tr>
    </w:tbl>
    <w:p w14:paraId="0E2D3EFF">
      <w:pPr>
        <w:pStyle w:val="7"/>
        <w:spacing w:before="35"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注：1.本表配备主要人员数量由供应商自行</w:t>
      </w:r>
      <w:r>
        <w:rPr>
          <w:rFonts w:hint="eastAsia" w:ascii="宋体" w:hAnsi="宋体" w:eastAsia="宋体" w:cs="宋体"/>
          <w:color w:val="auto"/>
          <w:spacing w:val="-1"/>
          <w:sz w:val="24"/>
          <w:szCs w:val="24"/>
          <w:highlight w:val="none"/>
        </w:rPr>
        <w:t>确定，表格可自行拓展。</w:t>
      </w:r>
    </w:p>
    <w:p w14:paraId="51F4B776">
      <w:pPr>
        <w:pStyle w:val="7"/>
        <w:spacing w:before="184" w:line="350" w:lineRule="auto"/>
        <w:ind w:left="13" w:firstLine="481"/>
        <w:rPr>
          <w:rFonts w:hint="eastAsia" w:ascii="宋体" w:hAnsi="宋体" w:eastAsia="宋体" w:cs="宋体"/>
          <w:color w:val="auto"/>
          <w:sz w:val="24"/>
          <w:szCs w:val="24"/>
          <w:highlight w:val="none"/>
        </w:rPr>
        <w:sectPr>
          <w:footerReference r:id="rId10" w:type="default"/>
          <w:pgSz w:w="11906" w:h="16839"/>
          <w:pgMar w:top="400" w:right="1134" w:bottom="919" w:left="1129" w:header="680" w:footer="680" w:gutter="0"/>
          <w:pgNumType w:fmt="decimal"/>
          <w:cols w:space="720" w:num="1"/>
        </w:sectPr>
      </w:pPr>
      <w:r>
        <w:rPr>
          <w:rFonts w:hint="eastAsia" w:ascii="宋体" w:hAnsi="宋体" w:eastAsia="宋体" w:cs="宋体"/>
          <w:color w:val="auto"/>
          <w:sz w:val="24"/>
          <w:szCs w:val="24"/>
          <w:highlight w:val="none"/>
        </w:rPr>
        <w:t>2.供应商须提供本表所列人员中项目负责人应附身份证</w:t>
      </w:r>
      <w:r>
        <w:rPr>
          <w:rFonts w:hint="eastAsia" w:ascii="宋体" w:hAnsi="宋体" w:eastAsia="宋体" w:cs="宋体"/>
          <w:color w:val="auto"/>
          <w:spacing w:val="-1"/>
          <w:sz w:val="24"/>
          <w:szCs w:val="24"/>
          <w:highlight w:val="none"/>
        </w:rPr>
        <w:t>、注册资格证书、安全生产考核</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合格证书等证书的复印件/扫描件；其他主要人员应身份证、附职称</w:t>
      </w:r>
      <w:r>
        <w:rPr>
          <w:rFonts w:hint="eastAsia" w:ascii="宋体" w:hAnsi="宋体" w:eastAsia="宋体" w:cs="宋体"/>
          <w:color w:val="auto"/>
          <w:spacing w:val="-3"/>
          <w:sz w:val="24"/>
          <w:szCs w:val="24"/>
          <w:highlight w:val="none"/>
        </w:rPr>
        <w:t>证（如有）、执业证（或</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上岗证）等相关证书的复印件/扫描件。</w:t>
      </w:r>
    </w:p>
    <w:p w14:paraId="0D432BA0">
      <w:pPr>
        <w:pStyle w:val="7"/>
        <w:spacing w:before="101" w:line="225" w:lineRule="auto"/>
        <w:ind w:left="1700"/>
        <w:outlineLvl w:val="9"/>
        <w:rPr>
          <w:b/>
          <w:bCs/>
          <w:color w:val="auto"/>
          <w:spacing w:val="6"/>
          <w:sz w:val="31"/>
          <w:szCs w:val="31"/>
          <w:highlight w:val="none"/>
        </w:rPr>
      </w:pPr>
    </w:p>
    <w:p w14:paraId="0CA8D94C">
      <w:pPr>
        <w:pStyle w:val="7"/>
        <w:spacing w:before="101" w:line="225" w:lineRule="auto"/>
        <w:ind w:left="1700"/>
        <w:outlineLvl w:val="1"/>
        <w:rPr>
          <w:color w:val="auto"/>
          <w:sz w:val="31"/>
          <w:szCs w:val="31"/>
          <w:highlight w:val="none"/>
        </w:rPr>
      </w:pPr>
      <w:r>
        <w:rPr>
          <w:b/>
          <w:bCs/>
          <w:color w:val="auto"/>
          <w:spacing w:val="6"/>
          <w:sz w:val="31"/>
          <w:szCs w:val="31"/>
          <w:highlight w:val="none"/>
        </w:rPr>
        <w:t>（四）具有独立承担民事责任的能力</w:t>
      </w:r>
    </w:p>
    <w:p w14:paraId="69A72172">
      <w:pPr>
        <w:spacing w:line="219" w:lineRule="auto"/>
        <w:jc w:val="center"/>
        <w:rPr>
          <w:rFonts w:hint="eastAsia" w:eastAsia="宋体"/>
          <w:color w:val="auto"/>
          <w:highlight w:val="none"/>
          <w:lang w:eastAsia="zh-CN"/>
        </w:rPr>
        <w:sectPr>
          <w:footerReference r:id="rId11" w:type="default"/>
          <w:pgSz w:w="11906" w:h="16839"/>
          <w:pgMar w:top="400" w:right="1785" w:bottom="919" w:left="1626" w:header="680" w:footer="680" w:gutter="0"/>
          <w:pgNumType w:fmt="decimal"/>
          <w:cols w:space="720" w:num="1"/>
        </w:sectPr>
      </w:pPr>
      <w:r>
        <w:rPr>
          <w:rFonts w:hint="eastAsia" w:ascii="宋体" w:hAnsi="宋体" w:eastAsia="宋体" w:cs="宋体"/>
          <w:color w:val="auto"/>
          <w:highlight w:val="none"/>
        </w:rPr>
        <w:t>提供有效的营业执照</w:t>
      </w:r>
      <w:r>
        <w:rPr>
          <w:rFonts w:hint="eastAsia" w:ascii="宋体" w:hAnsi="宋体" w:eastAsia="宋体" w:cs="宋体"/>
          <w:color w:val="auto"/>
          <w:highlight w:val="none"/>
          <w:lang w:eastAsia="zh-CN"/>
        </w:rPr>
        <w:t>。</w:t>
      </w:r>
    </w:p>
    <w:p w14:paraId="6EDBE4B6">
      <w:pPr>
        <w:spacing w:line="247" w:lineRule="auto"/>
        <w:rPr>
          <w:rFonts w:ascii="Arial"/>
          <w:color w:val="auto"/>
          <w:sz w:val="21"/>
          <w:highlight w:val="none"/>
        </w:rPr>
      </w:pPr>
    </w:p>
    <w:p w14:paraId="76DAFA71">
      <w:pPr>
        <w:pStyle w:val="7"/>
        <w:spacing w:before="101" w:line="224" w:lineRule="auto"/>
        <w:ind w:left="1303"/>
        <w:outlineLvl w:val="1"/>
        <w:rPr>
          <w:color w:val="auto"/>
          <w:sz w:val="31"/>
          <w:szCs w:val="31"/>
          <w:highlight w:val="none"/>
        </w:rPr>
      </w:pPr>
      <w:r>
        <w:rPr>
          <w:b/>
          <w:bCs/>
          <w:color w:val="auto"/>
          <w:spacing w:val="6"/>
          <w:sz w:val="31"/>
          <w:szCs w:val="31"/>
          <w:highlight w:val="none"/>
        </w:rPr>
        <w:t>（五）具有良好的商业信誉和健全的财务会计制度</w:t>
      </w:r>
    </w:p>
    <w:p w14:paraId="77572161">
      <w:pPr>
        <w:spacing w:line="346" w:lineRule="auto"/>
        <w:jc w:val="center"/>
        <w:rPr>
          <w:rFonts w:hint="eastAsia" w:ascii="宋体" w:hAnsi="宋体" w:eastAsia="宋体" w:cs="宋体"/>
          <w:color w:val="auto"/>
          <w:sz w:val="24"/>
          <w:szCs w:val="24"/>
          <w:highlight w:val="none"/>
        </w:rPr>
        <w:sectPr>
          <w:footerReference r:id="rId12" w:type="default"/>
          <w:pgSz w:w="11906" w:h="16839"/>
          <w:pgMar w:top="400" w:right="1134" w:bottom="919" w:left="1141" w:header="680" w:footer="680" w:gutter="0"/>
          <w:pgNumType w:fmt="decimal"/>
          <w:cols w:space="720" w:num="1"/>
        </w:sectPr>
      </w:pPr>
      <w:r>
        <w:rPr>
          <w:rFonts w:hint="eastAsia" w:ascii="宋体" w:hAnsi="宋体" w:eastAsia="宋体" w:cs="宋体"/>
          <w:color w:val="auto"/>
          <w:sz w:val="24"/>
          <w:szCs w:val="24"/>
          <w:highlight w:val="none"/>
          <w:lang w:eastAsia="zh-CN"/>
        </w:rPr>
        <w:t>提供202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年至今任意一年</w:t>
      </w:r>
      <w:r>
        <w:rPr>
          <w:rFonts w:hint="eastAsia" w:ascii="宋体" w:hAnsi="宋体" w:eastAsia="宋体" w:cs="宋体"/>
          <w:color w:val="auto"/>
          <w:sz w:val="24"/>
          <w:szCs w:val="24"/>
          <w:highlight w:val="none"/>
          <w:lang w:val="en-US" w:eastAsia="zh-CN"/>
        </w:rPr>
        <w:t>度</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财务</w:t>
      </w:r>
      <w:r>
        <w:rPr>
          <w:rFonts w:hint="eastAsia" w:ascii="宋体" w:hAnsi="宋体" w:eastAsia="宋体" w:cs="宋体"/>
          <w:color w:val="auto"/>
          <w:sz w:val="24"/>
          <w:szCs w:val="24"/>
          <w:highlight w:val="none"/>
          <w:lang w:eastAsia="zh-CN"/>
        </w:rPr>
        <w:t>报告</w:t>
      </w:r>
      <w:r>
        <w:rPr>
          <w:rFonts w:hint="eastAsia" w:ascii="宋体" w:hAnsi="宋体" w:eastAsia="宋体" w:cs="宋体"/>
          <w:color w:val="auto"/>
          <w:sz w:val="24"/>
          <w:szCs w:val="24"/>
          <w:highlight w:val="none"/>
        </w:rPr>
        <w:t>（包含资产负债表、现金流量表、利润表），</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年新成立的企业可提供自成立以来的财务报表（包括资产负债表、利润表、现金流量表）或银行出具的资信证明</w:t>
      </w:r>
      <w:r>
        <w:rPr>
          <w:rFonts w:hint="eastAsia" w:ascii="宋体" w:hAnsi="宋体" w:eastAsia="宋体" w:cs="宋体"/>
          <w:color w:val="auto"/>
          <w:sz w:val="24"/>
          <w:szCs w:val="24"/>
          <w:highlight w:val="none"/>
        </w:rPr>
        <w:t>。</w:t>
      </w:r>
    </w:p>
    <w:p w14:paraId="15C0B2FC">
      <w:pPr>
        <w:pStyle w:val="7"/>
        <w:spacing w:before="101" w:line="224" w:lineRule="auto"/>
        <w:ind w:left="1302"/>
        <w:outlineLvl w:val="9"/>
        <w:rPr>
          <w:b/>
          <w:bCs/>
          <w:color w:val="auto"/>
          <w:spacing w:val="6"/>
          <w:sz w:val="31"/>
          <w:szCs w:val="31"/>
          <w:highlight w:val="none"/>
        </w:rPr>
      </w:pPr>
    </w:p>
    <w:p w14:paraId="21912877">
      <w:pPr>
        <w:pStyle w:val="7"/>
        <w:spacing w:before="101" w:line="224" w:lineRule="auto"/>
        <w:ind w:left="1302"/>
        <w:outlineLvl w:val="1"/>
        <w:rPr>
          <w:color w:val="auto"/>
          <w:sz w:val="31"/>
          <w:szCs w:val="31"/>
          <w:highlight w:val="none"/>
        </w:rPr>
      </w:pPr>
      <w:r>
        <w:rPr>
          <w:b/>
          <w:bCs/>
          <w:color w:val="auto"/>
          <w:spacing w:val="6"/>
          <w:sz w:val="31"/>
          <w:szCs w:val="31"/>
          <w:highlight w:val="none"/>
        </w:rPr>
        <w:t>（六）有依法缴纳税收和社会保障资金的良好记录</w:t>
      </w:r>
    </w:p>
    <w:p w14:paraId="1D186291">
      <w:pPr>
        <w:spacing w:line="353" w:lineRule="auto"/>
        <w:jc w:val="center"/>
        <w:rPr>
          <w:rFonts w:hint="eastAsia" w:ascii="宋体" w:hAnsi="宋体" w:eastAsia="宋体" w:cs="宋体"/>
          <w:color w:val="auto"/>
          <w:sz w:val="24"/>
          <w:szCs w:val="24"/>
          <w:highlight w:val="none"/>
          <w:lang w:eastAsia="zh-CN"/>
        </w:rPr>
        <w:sectPr>
          <w:footerReference r:id="rId13" w:type="default"/>
          <w:pgSz w:w="11906" w:h="16839"/>
          <w:pgMar w:top="400" w:right="1134" w:bottom="919" w:left="1142" w:header="680" w:footer="680" w:gutter="0"/>
          <w:pgNumType w:fmt="decimal"/>
          <w:cols w:space="720" w:num="1"/>
        </w:sectPr>
      </w:pPr>
      <w:r>
        <w:rPr>
          <w:rFonts w:hint="eastAsia" w:ascii="宋体" w:hAnsi="宋体" w:eastAsia="宋体" w:cs="宋体"/>
          <w:color w:val="auto"/>
          <w:sz w:val="24"/>
          <w:szCs w:val="24"/>
          <w:highlight w:val="none"/>
        </w:rPr>
        <w:t>提供202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年至今任意连续三个月的纳税和社保缴费证明材料(依法免税或不需要缴纳社会保障资金的磋商申请人，应提供相应证明文件)</w:t>
      </w:r>
    </w:p>
    <w:p w14:paraId="3C389A5D">
      <w:pPr>
        <w:spacing w:line="247" w:lineRule="auto"/>
        <w:rPr>
          <w:rFonts w:ascii="Arial"/>
          <w:color w:val="auto"/>
          <w:sz w:val="21"/>
          <w:highlight w:val="none"/>
        </w:rPr>
      </w:pPr>
    </w:p>
    <w:p w14:paraId="4E391B53">
      <w:pPr>
        <w:pStyle w:val="7"/>
        <w:spacing w:before="101" w:line="225" w:lineRule="auto"/>
        <w:ind w:left="658"/>
        <w:outlineLvl w:val="1"/>
        <w:rPr>
          <w:color w:val="auto"/>
          <w:sz w:val="31"/>
          <w:szCs w:val="31"/>
          <w:highlight w:val="none"/>
        </w:rPr>
      </w:pPr>
      <w:r>
        <w:rPr>
          <w:b/>
          <w:bCs/>
          <w:color w:val="auto"/>
          <w:spacing w:val="6"/>
          <w:sz w:val="31"/>
          <w:szCs w:val="31"/>
          <w:highlight w:val="none"/>
        </w:rPr>
        <w:t>（七）具有履行合同所必需的设备和专业技术能力</w:t>
      </w:r>
    </w:p>
    <w:p w14:paraId="6DA5BD40">
      <w:pPr>
        <w:spacing w:line="219" w:lineRule="auto"/>
        <w:jc w:val="center"/>
        <w:rPr>
          <w:rFonts w:hint="eastAsia" w:ascii="宋体" w:hAnsi="宋体" w:eastAsia="宋体" w:cs="宋体"/>
          <w:color w:val="auto"/>
          <w:highlight w:val="none"/>
          <w:lang w:eastAsia="zh-CN"/>
        </w:rPr>
        <w:sectPr>
          <w:footerReference r:id="rId14" w:type="default"/>
          <w:pgSz w:w="11906" w:h="16839"/>
          <w:pgMar w:top="400" w:right="1785" w:bottom="919" w:left="1785" w:header="680" w:footer="680" w:gutter="0"/>
          <w:pgNumType w:fmt="decimal"/>
          <w:cols w:space="720" w:num="1"/>
        </w:sectPr>
      </w:pPr>
      <w:r>
        <w:rPr>
          <w:rFonts w:hint="eastAsia" w:ascii="宋体" w:hAnsi="宋体" w:eastAsia="宋体" w:cs="宋体"/>
          <w:color w:val="auto"/>
          <w:highlight w:val="none"/>
        </w:rPr>
        <w:t>提供证明材料或承诺书</w:t>
      </w:r>
      <w:r>
        <w:rPr>
          <w:rFonts w:hint="eastAsia" w:ascii="宋体" w:hAnsi="宋体" w:eastAsia="宋体" w:cs="宋体"/>
          <w:color w:val="auto"/>
          <w:highlight w:val="none"/>
          <w:lang w:eastAsia="zh-CN"/>
        </w:rPr>
        <w:t>。</w:t>
      </w:r>
    </w:p>
    <w:p w14:paraId="6F20CAC9">
      <w:pPr>
        <w:spacing w:line="247" w:lineRule="auto"/>
        <w:rPr>
          <w:rFonts w:ascii="Arial"/>
          <w:color w:val="auto"/>
          <w:sz w:val="21"/>
          <w:highlight w:val="none"/>
        </w:rPr>
      </w:pPr>
    </w:p>
    <w:p w14:paraId="698BE2FA">
      <w:pPr>
        <w:pStyle w:val="7"/>
        <w:spacing w:before="101" w:line="224" w:lineRule="auto"/>
        <w:ind w:right="2"/>
        <w:jc w:val="right"/>
        <w:outlineLvl w:val="1"/>
        <w:rPr>
          <w:color w:val="auto"/>
          <w:sz w:val="31"/>
          <w:szCs w:val="31"/>
          <w:highlight w:val="none"/>
        </w:rPr>
      </w:pPr>
      <w:r>
        <w:rPr>
          <w:b/>
          <w:bCs/>
          <w:color w:val="auto"/>
          <w:spacing w:val="7"/>
          <w:sz w:val="31"/>
          <w:szCs w:val="31"/>
          <w:highlight w:val="none"/>
        </w:rPr>
        <w:t>（八）参加政府采购活动前三年内在经营活动中没有重大违法记录的</w:t>
      </w:r>
    </w:p>
    <w:p w14:paraId="2259A5AF">
      <w:pPr>
        <w:pStyle w:val="7"/>
        <w:spacing w:before="244" w:line="225" w:lineRule="auto"/>
        <w:ind w:left="4508"/>
        <w:rPr>
          <w:color w:val="auto"/>
          <w:sz w:val="31"/>
          <w:szCs w:val="31"/>
          <w:highlight w:val="none"/>
        </w:rPr>
      </w:pPr>
      <w:r>
        <w:rPr>
          <w:b/>
          <w:bCs/>
          <w:color w:val="auto"/>
          <w:spacing w:val="-3"/>
          <w:sz w:val="31"/>
          <w:szCs w:val="31"/>
          <w:highlight w:val="none"/>
        </w:rPr>
        <w:t>声明</w:t>
      </w:r>
    </w:p>
    <w:p w14:paraId="51EFE56A">
      <w:pPr>
        <w:pStyle w:val="7"/>
        <w:spacing w:before="232" w:line="219" w:lineRule="auto"/>
        <w:rPr>
          <w:color w:val="auto"/>
          <w:highlight w:val="none"/>
        </w:rPr>
      </w:pPr>
      <w:r>
        <w:rPr>
          <w:color w:val="auto"/>
          <w:spacing w:val="7"/>
          <w:highlight w:val="none"/>
        </w:rPr>
        <w:t>致</w:t>
      </w:r>
      <w:r>
        <w:rPr>
          <w:color w:val="auto"/>
          <w:spacing w:val="-31"/>
          <w:highlight w:val="none"/>
        </w:rPr>
        <w:t>：</w:t>
      </w:r>
      <w:r>
        <w:rPr>
          <w:color w:val="auto"/>
          <w:highlight w:val="none"/>
          <w:u w:val="single" w:color="auto"/>
        </w:rPr>
        <w:t xml:space="preserve">            </w:t>
      </w:r>
      <w:r>
        <w:rPr>
          <w:color w:val="auto"/>
          <w:spacing w:val="-31"/>
          <w:highlight w:val="none"/>
          <w:u w:val="single" w:color="auto"/>
        </w:rPr>
        <w:t>（</w:t>
      </w:r>
      <w:r>
        <w:rPr>
          <w:color w:val="auto"/>
          <w:spacing w:val="7"/>
          <w:highlight w:val="none"/>
          <w:u w:val="single" w:color="auto"/>
        </w:rPr>
        <w:t>采购人全称）</w:t>
      </w:r>
    </w:p>
    <w:p w14:paraId="2475CE7B">
      <w:pPr>
        <w:pStyle w:val="7"/>
        <w:spacing w:before="181" w:line="219" w:lineRule="auto"/>
        <w:ind w:left="481"/>
        <w:rPr>
          <w:color w:val="auto"/>
          <w:highlight w:val="none"/>
        </w:rPr>
      </w:pPr>
      <w:r>
        <w:rPr>
          <w:color w:val="auto"/>
          <w:spacing w:val="-1"/>
          <w:highlight w:val="none"/>
        </w:rPr>
        <w:t xml:space="preserve">本单位以 </w:t>
      </w:r>
      <w:r>
        <w:rPr>
          <w:color w:val="auto"/>
          <w:spacing w:val="-1"/>
          <w:highlight w:val="none"/>
          <w:u w:val="single" w:color="auto"/>
        </w:rPr>
        <w:t xml:space="preserve">  （磋商申请人全称）  </w:t>
      </w:r>
      <w:r>
        <w:rPr>
          <w:color w:val="auto"/>
          <w:spacing w:val="-100"/>
          <w:highlight w:val="none"/>
        </w:rPr>
        <w:t xml:space="preserve"> </w:t>
      </w:r>
      <w:r>
        <w:rPr>
          <w:color w:val="auto"/>
          <w:spacing w:val="-1"/>
          <w:highlight w:val="none"/>
        </w:rPr>
        <w:t>法定代表人的资格，郑重承诺：</w:t>
      </w:r>
    </w:p>
    <w:p w14:paraId="2F0456D8">
      <w:pPr>
        <w:pStyle w:val="7"/>
        <w:spacing w:before="181" w:line="355" w:lineRule="auto"/>
        <w:ind w:right="38" w:firstLine="482"/>
        <w:rPr>
          <w:color w:val="auto"/>
          <w:highlight w:val="none"/>
        </w:rPr>
      </w:pPr>
      <w:r>
        <w:rPr>
          <w:color w:val="auto"/>
          <w:highlight w:val="none"/>
        </w:rPr>
        <w:t>我公司具有履行合同要求的专业技术能力，参加本项目政</w:t>
      </w:r>
      <w:r>
        <w:rPr>
          <w:color w:val="auto"/>
          <w:spacing w:val="-1"/>
          <w:highlight w:val="none"/>
        </w:rPr>
        <w:t>府采购活动前三年内，在经营</w:t>
      </w:r>
      <w:r>
        <w:rPr>
          <w:color w:val="auto"/>
          <w:highlight w:val="none"/>
        </w:rPr>
        <w:t>活动中无违法、违规的不良记录，无因违法经营受到刑事处罚或者责</w:t>
      </w:r>
      <w:r>
        <w:rPr>
          <w:color w:val="auto"/>
          <w:spacing w:val="-1"/>
          <w:highlight w:val="none"/>
        </w:rPr>
        <w:t>令停产停业、吊销许可</w:t>
      </w:r>
      <w:r>
        <w:rPr>
          <w:color w:val="auto"/>
          <w:highlight w:val="none"/>
        </w:rPr>
        <w:t>证或者执照、较大数额罚款等行政处罚。若在本次项目的采购全过程</w:t>
      </w:r>
      <w:r>
        <w:rPr>
          <w:color w:val="auto"/>
          <w:spacing w:val="-1"/>
          <w:highlight w:val="none"/>
        </w:rPr>
        <w:t>中，被查实我公司提供</w:t>
      </w:r>
      <w:r>
        <w:rPr>
          <w:color w:val="auto"/>
          <w:highlight w:val="none"/>
        </w:rPr>
        <w:t>的资料及上述承诺不属实，或提供的相关资料不属实或不满足采购文</w:t>
      </w:r>
      <w:r>
        <w:rPr>
          <w:color w:val="auto"/>
          <w:spacing w:val="-1"/>
          <w:highlight w:val="none"/>
        </w:rPr>
        <w:t>件的要求，则采购人有</w:t>
      </w:r>
      <w:r>
        <w:rPr>
          <w:color w:val="auto"/>
          <w:highlight w:val="none"/>
        </w:rPr>
        <w:t>权取消我公司的参与磋商及成交资格，且我公司将无条件承担由此给</w:t>
      </w:r>
      <w:r>
        <w:rPr>
          <w:color w:val="auto"/>
          <w:spacing w:val="-1"/>
          <w:highlight w:val="none"/>
        </w:rPr>
        <w:t>本次采购活动带来的一切后果（包括经济损失）。</w:t>
      </w:r>
    </w:p>
    <w:p w14:paraId="57341C7F">
      <w:pPr>
        <w:pStyle w:val="7"/>
        <w:spacing w:before="35" w:line="219" w:lineRule="auto"/>
        <w:ind w:left="480"/>
        <w:rPr>
          <w:color w:val="auto"/>
          <w:highlight w:val="none"/>
        </w:rPr>
      </w:pPr>
      <w:r>
        <w:rPr>
          <w:color w:val="auto"/>
          <w:spacing w:val="-2"/>
          <w:highlight w:val="none"/>
        </w:rPr>
        <w:t>特此声明。</w:t>
      </w:r>
    </w:p>
    <w:p w14:paraId="0B3A4DB2">
      <w:pPr>
        <w:spacing w:line="248" w:lineRule="auto"/>
        <w:rPr>
          <w:rFonts w:ascii="Arial"/>
          <w:color w:val="auto"/>
          <w:sz w:val="21"/>
          <w:highlight w:val="none"/>
        </w:rPr>
      </w:pPr>
    </w:p>
    <w:p w14:paraId="7C0B0B30">
      <w:pPr>
        <w:spacing w:line="249" w:lineRule="auto"/>
        <w:rPr>
          <w:rFonts w:ascii="Arial"/>
          <w:color w:val="auto"/>
          <w:sz w:val="21"/>
          <w:highlight w:val="none"/>
        </w:rPr>
      </w:pPr>
    </w:p>
    <w:p w14:paraId="165DB140">
      <w:pPr>
        <w:spacing w:line="249" w:lineRule="auto"/>
        <w:rPr>
          <w:rFonts w:ascii="Arial"/>
          <w:color w:val="auto"/>
          <w:sz w:val="21"/>
          <w:highlight w:val="none"/>
        </w:rPr>
      </w:pPr>
    </w:p>
    <w:p w14:paraId="748772C8">
      <w:pPr>
        <w:spacing w:line="249" w:lineRule="auto"/>
        <w:rPr>
          <w:rFonts w:ascii="Arial"/>
          <w:color w:val="auto"/>
          <w:sz w:val="21"/>
          <w:highlight w:val="none"/>
        </w:rPr>
      </w:pPr>
    </w:p>
    <w:p w14:paraId="668F5E1F">
      <w:pPr>
        <w:spacing w:line="249" w:lineRule="auto"/>
        <w:rPr>
          <w:rFonts w:ascii="Arial"/>
          <w:color w:val="auto"/>
          <w:sz w:val="21"/>
          <w:highlight w:val="none"/>
        </w:rPr>
      </w:pPr>
    </w:p>
    <w:p w14:paraId="5FA726BB">
      <w:pPr>
        <w:spacing w:line="249" w:lineRule="auto"/>
        <w:rPr>
          <w:rFonts w:ascii="Arial"/>
          <w:color w:val="auto"/>
          <w:sz w:val="21"/>
          <w:highlight w:val="none"/>
        </w:rPr>
      </w:pPr>
    </w:p>
    <w:p w14:paraId="08770712">
      <w:pPr>
        <w:spacing w:line="360" w:lineRule="auto"/>
        <w:ind w:firstLine="480" w:firstLineChars="200"/>
        <w:jc w:val="both"/>
        <w:rPr>
          <w:rFonts w:hint="eastAsia" w:ascii="宋体" w:hAnsi="宋体" w:eastAsia="宋体" w:cs="宋体"/>
          <w:color w:val="auto"/>
          <w:szCs w:val="24"/>
          <w:highlight w:val="none"/>
          <w:u w:val="single"/>
          <w:lang w:val="en-US" w:eastAsia="zh-CN"/>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lang w:val="en-US" w:eastAsia="zh-CN"/>
        </w:rPr>
        <w:t xml:space="preserve">                          </w:t>
      </w:r>
    </w:p>
    <w:p w14:paraId="359C4834">
      <w:pPr>
        <w:pStyle w:val="27"/>
        <w:rPr>
          <w:rFonts w:hint="eastAsia" w:ascii="宋体" w:hAnsi="宋体" w:eastAsia="宋体" w:cs="宋体"/>
          <w:color w:val="auto"/>
          <w:highlight w:val="none"/>
          <w:lang w:val="en-US" w:eastAsia="zh-CN"/>
        </w:rPr>
      </w:pPr>
    </w:p>
    <w:p w14:paraId="17646E3B">
      <w:pPr>
        <w:spacing w:line="360" w:lineRule="auto"/>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法定代表人或委托代理人（签字</w:t>
      </w:r>
      <w:r>
        <w:rPr>
          <w:rFonts w:hint="eastAsia" w:ascii="宋体" w:hAnsi="宋体" w:eastAsia="宋体" w:cs="宋体"/>
          <w:color w:val="auto"/>
          <w:szCs w:val="24"/>
          <w:highlight w:val="none"/>
          <w:lang w:eastAsia="zh-CN"/>
        </w:rPr>
        <w:t>或签章</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lang w:val="en-US" w:eastAsia="zh-CN"/>
        </w:rPr>
        <w:t xml:space="preserve">                       </w:t>
      </w:r>
    </w:p>
    <w:p w14:paraId="58B0FA6A">
      <w:pPr>
        <w:pStyle w:val="27"/>
        <w:rPr>
          <w:rFonts w:hint="eastAsia" w:ascii="宋体" w:hAnsi="宋体" w:eastAsia="宋体" w:cs="宋体"/>
          <w:color w:val="auto"/>
          <w:highlight w:val="none"/>
        </w:rPr>
      </w:pPr>
    </w:p>
    <w:p w14:paraId="5E5E5A71">
      <w:pPr>
        <w:spacing w:line="360" w:lineRule="auto"/>
        <w:ind w:firstLine="480" w:firstLineChars="200"/>
        <w:jc w:val="both"/>
        <w:rPr>
          <w:color w:val="auto"/>
          <w:highlight w:val="none"/>
        </w:rPr>
        <w:sectPr>
          <w:footerReference r:id="rId15" w:type="default"/>
          <w:pgSz w:w="11906" w:h="16839"/>
          <w:pgMar w:top="400" w:right="1022" w:bottom="919" w:left="1022" w:header="680" w:footer="680" w:gutter="0"/>
          <w:pgNumType w:fmt="decimal"/>
          <w:cols w:space="720" w:num="1"/>
        </w:sectPr>
      </w:pPr>
      <w:r>
        <w:rPr>
          <w:rFonts w:hint="eastAsia" w:ascii="宋体" w:hAnsi="宋体" w:eastAsia="宋体" w:cs="宋体"/>
          <w:color w:val="auto"/>
          <w:szCs w:val="24"/>
          <w:highlight w:val="none"/>
        </w:rPr>
        <w:t>日期：</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lang w:val="en-US" w:eastAsia="zh-CN"/>
        </w:rPr>
        <w:t xml:space="preserve">       </w:t>
      </w:r>
    </w:p>
    <w:p w14:paraId="0F035F0C">
      <w:pPr>
        <w:pStyle w:val="7"/>
        <w:spacing w:before="101" w:line="225" w:lineRule="auto"/>
        <w:ind w:left="3713"/>
        <w:outlineLvl w:val="1"/>
        <w:rPr>
          <w:color w:val="auto"/>
          <w:sz w:val="31"/>
          <w:szCs w:val="31"/>
          <w:highlight w:val="none"/>
        </w:rPr>
      </w:pPr>
      <w:r>
        <w:rPr>
          <w:b/>
          <w:bCs/>
          <w:color w:val="auto"/>
          <w:spacing w:val="3"/>
          <w:sz w:val="31"/>
          <w:szCs w:val="31"/>
          <w:highlight w:val="none"/>
        </w:rPr>
        <w:t>（九）</w:t>
      </w:r>
      <w:r>
        <w:rPr>
          <w:rFonts w:hint="eastAsia"/>
          <w:b/>
          <w:bCs/>
          <w:color w:val="auto"/>
          <w:spacing w:val="3"/>
          <w:sz w:val="31"/>
          <w:szCs w:val="31"/>
          <w:highlight w:val="none"/>
          <w:lang w:val="en-US" w:eastAsia="zh-CN"/>
        </w:rPr>
        <w:t>信誉</w:t>
      </w:r>
      <w:r>
        <w:rPr>
          <w:b/>
          <w:bCs/>
          <w:color w:val="auto"/>
          <w:spacing w:val="3"/>
          <w:sz w:val="31"/>
          <w:szCs w:val="31"/>
          <w:highlight w:val="none"/>
        </w:rPr>
        <w:t>要求</w:t>
      </w:r>
    </w:p>
    <w:p w14:paraId="0DC7CF8E">
      <w:pPr>
        <w:pStyle w:val="7"/>
        <w:spacing w:before="228" w:line="355" w:lineRule="auto"/>
        <w:ind w:firstLine="2"/>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磋商申请人信誉良好，当前未因不良行为记录被行政主管部门暂停或取消磋商资格或未被列入“信用中国”网站（http://www.creditchina.gov.cn/）失信被执行人；经信用中国（www.creditchina.gov.cn）、中国政府采购网（www.ccgp.gov.cn）等渠道查询后，列入失信被执行人、重大税收违法失信名单、政府采购严重违法失信行为记录名单的，取消磋商资格。信用记录查询由采购代理机构在提交投标文件截止时间后负责查询、存档并统一提供给评标委员会，若供应商弄虚作假一经核实拒绝其参与政府采购活动。</w:t>
      </w:r>
    </w:p>
    <w:p w14:paraId="3C2E3D64">
      <w:pPr>
        <w:spacing w:line="355" w:lineRule="auto"/>
        <w:rPr>
          <w:color w:val="auto"/>
          <w:highlight w:val="none"/>
        </w:rPr>
        <w:sectPr>
          <w:footerReference r:id="rId16" w:type="default"/>
          <w:pgSz w:w="11906" w:h="16839"/>
          <w:pgMar w:top="400" w:right="1134" w:bottom="920" w:left="1141" w:header="680" w:footer="679" w:gutter="0"/>
          <w:pgNumType w:fmt="decimal"/>
          <w:cols w:space="720" w:num="1"/>
        </w:sectPr>
      </w:pPr>
    </w:p>
    <w:p w14:paraId="6C32D34F">
      <w:pPr>
        <w:pStyle w:val="7"/>
        <w:spacing w:before="101" w:line="225" w:lineRule="auto"/>
        <w:ind w:left="2096"/>
        <w:outlineLvl w:val="1"/>
        <w:rPr>
          <w:color w:val="auto"/>
          <w:sz w:val="31"/>
          <w:szCs w:val="31"/>
          <w:highlight w:val="none"/>
        </w:rPr>
      </w:pPr>
      <w:r>
        <w:rPr>
          <w:b/>
          <w:bCs/>
          <w:color w:val="auto"/>
          <w:spacing w:val="6"/>
          <w:sz w:val="31"/>
          <w:szCs w:val="31"/>
          <w:highlight w:val="none"/>
        </w:rPr>
        <w:t>（十）法律、行政法规规定的其他条件</w:t>
      </w:r>
    </w:p>
    <w:p w14:paraId="3DC9FB59">
      <w:pPr>
        <w:pStyle w:val="7"/>
        <w:spacing w:before="231" w:line="346" w:lineRule="auto"/>
        <w:jc w:val="center"/>
        <w:rPr>
          <w:color w:val="auto"/>
          <w:sz w:val="24"/>
          <w:szCs w:val="24"/>
          <w:highlight w:val="none"/>
        </w:rPr>
      </w:pPr>
      <w:r>
        <w:rPr>
          <w:color w:val="auto"/>
          <w:sz w:val="24"/>
          <w:szCs w:val="24"/>
          <w:highlight w:val="none"/>
        </w:rPr>
        <w:t>单位负责人为同一人或者存在直接控股、管理关系的不同</w:t>
      </w:r>
      <w:r>
        <w:rPr>
          <w:color w:val="auto"/>
          <w:spacing w:val="-1"/>
          <w:sz w:val="24"/>
          <w:szCs w:val="24"/>
          <w:highlight w:val="none"/>
        </w:rPr>
        <w:t>供应商，不得参加同一合同项下的政府采购活动（提供相应承诺书或书面说明，加盖公章格式自拟）</w:t>
      </w:r>
    </w:p>
    <w:p w14:paraId="7EEDBFEA">
      <w:pPr>
        <w:spacing w:line="346" w:lineRule="auto"/>
        <w:rPr>
          <w:color w:val="auto"/>
          <w:highlight w:val="none"/>
        </w:rPr>
        <w:sectPr>
          <w:footerReference r:id="rId17" w:type="default"/>
          <w:pgSz w:w="11906" w:h="16839"/>
          <w:pgMar w:top="400" w:right="1173" w:bottom="920" w:left="1149" w:header="680" w:footer="680" w:gutter="0"/>
          <w:pgNumType w:fmt="decimal"/>
          <w:cols w:space="720" w:num="1"/>
        </w:sectPr>
      </w:pPr>
    </w:p>
    <w:p w14:paraId="62552434">
      <w:pPr>
        <w:spacing w:line="247" w:lineRule="auto"/>
        <w:rPr>
          <w:rFonts w:ascii="Arial"/>
          <w:color w:val="auto"/>
          <w:sz w:val="21"/>
          <w:highlight w:val="none"/>
        </w:rPr>
      </w:pPr>
    </w:p>
    <w:p w14:paraId="16746E77">
      <w:pPr>
        <w:pStyle w:val="7"/>
        <w:spacing w:before="101" w:line="225" w:lineRule="auto"/>
        <w:ind w:left="2096"/>
        <w:outlineLvl w:val="1"/>
        <w:rPr>
          <w:b/>
          <w:bCs/>
          <w:color w:val="auto"/>
          <w:spacing w:val="6"/>
          <w:sz w:val="31"/>
          <w:szCs w:val="31"/>
          <w:highlight w:val="none"/>
        </w:rPr>
      </w:pPr>
      <w:r>
        <w:rPr>
          <w:b/>
          <w:bCs/>
          <w:color w:val="auto"/>
          <w:spacing w:val="6"/>
          <w:sz w:val="31"/>
          <w:szCs w:val="31"/>
          <w:highlight w:val="none"/>
        </w:rPr>
        <w:t>（十一）落实政府采购政策需满足的资格要求</w:t>
      </w:r>
    </w:p>
    <w:p w14:paraId="45E88735">
      <w:pPr>
        <w:pStyle w:val="7"/>
        <w:spacing w:before="232" w:line="350" w:lineRule="auto"/>
        <w:ind w:right="38" w:firstLine="481"/>
        <w:jc w:val="both"/>
        <w:rPr>
          <w:color w:val="auto"/>
          <w:highlight w:val="none"/>
        </w:rPr>
      </w:pPr>
      <w:r>
        <w:rPr>
          <w:color w:val="auto"/>
          <w:highlight w:val="none"/>
        </w:rPr>
        <w:t>本项目为专门面向中小企业采购项目，供应商应为中小微企</w:t>
      </w:r>
      <w:r>
        <w:rPr>
          <w:color w:val="auto"/>
          <w:spacing w:val="-1"/>
          <w:highlight w:val="none"/>
        </w:rPr>
        <w:t>业，须按要求提供《中小企业声明函》（残疾人福利性单位声明函、监狱企业证明文件</w:t>
      </w:r>
      <w:r>
        <w:rPr>
          <w:color w:val="auto"/>
          <w:spacing w:val="14"/>
          <w:highlight w:val="none"/>
        </w:rPr>
        <w:t>），</w:t>
      </w:r>
      <w:r>
        <w:rPr>
          <w:color w:val="auto"/>
          <w:spacing w:val="-1"/>
          <w:highlight w:val="none"/>
        </w:rPr>
        <w:t>监狱企业、残疾人福利性单位视同小型或微型企业。</w:t>
      </w:r>
    </w:p>
    <w:p w14:paraId="6662AFC3">
      <w:pPr>
        <w:pStyle w:val="4"/>
        <w:numPr>
          <w:ilvl w:val="1"/>
          <w:numId w:val="0"/>
        </w:numPr>
        <w:tabs>
          <w:tab w:val="left" w:pos="722"/>
        </w:tabs>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格式</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：《中小企业声明函》</w:t>
      </w:r>
    </w:p>
    <w:p w14:paraId="30572FE0">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本公司郑重声明，根据</w:t>
      </w:r>
      <w:r>
        <w:rPr>
          <w:rFonts w:hint="eastAsia" w:ascii="宋体" w:hAnsi="宋体" w:eastAsia="宋体" w:cs="宋体"/>
          <w:color w:val="auto"/>
          <w:sz w:val="24"/>
          <w:highlight w:val="none"/>
        </w:rPr>
        <w:t>《政府采购促进中小企业发展管理办法》（财库{2020}46号）</w:t>
      </w:r>
      <w:r>
        <w:rPr>
          <w:rFonts w:hint="eastAsia" w:ascii="宋体" w:hAnsi="宋体" w:eastAsia="宋体" w:cs="宋体"/>
          <w:color w:val="auto"/>
          <w:sz w:val="24"/>
          <w:highlight w:val="none"/>
          <w:lang w:eastAsia="zh-CN"/>
        </w:rPr>
        <w:t>的</w:t>
      </w:r>
      <w:r>
        <w:rPr>
          <w:rFonts w:hint="eastAsia" w:ascii="宋体" w:hAnsi="宋体" w:eastAsia="宋体" w:cs="宋体"/>
          <w:color w:val="auto"/>
          <w:sz w:val="24"/>
          <w:highlight w:val="none"/>
        </w:rPr>
        <w:t>规定</w:t>
      </w:r>
      <w:r>
        <w:rPr>
          <w:rFonts w:hint="eastAsia" w:ascii="宋体" w:hAnsi="宋体" w:eastAsia="宋体" w:cs="宋体"/>
          <w:color w:val="auto"/>
          <w:spacing w:val="6"/>
          <w:sz w:val="24"/>
          <w:highlight w:val="none"/>
        </w:rPr>
        <w:t>，本公司参加</w:t>
      </w:r>
      <w:r>
        <w:rPr>
          <w:rFonts w:hint="eastAsia" w:ascii="宋体" w:hAnsi="宋体" w:eastAsia="宋体" w:cs="宋体"/>
          <w:color w:val="auto"/>
          <w:spacing w:val="6"/>
          <w:sz w:val="24"/>
          <w:highlight w:val="none"/>
          <w:u w:val="single"/>
        </w:rPr>
        <w:t>（单位名称）</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（项目名称）</w:t>
      </w:r>
      <w:r>
        <w:rPr>
          <w:rFonts w:hint="eastAsia" w:ascii="宋体" w:hAnsi="宋体" w:eastAsia="宋体" w:cs="宋体"/>
          <w:color w:val="auto"/>
          <w:spacing w:val="6"/>
          <w:sz w:val="24"/>
          <w:highlight w:val="none"/>
        </w:rPr>
        <w:t>采购活动，</w:t>
      </w:r>
      <w:r>
        <w:rPr>
          <w:rFonts w:hint="eastAsia" w:ascii="宋体" w:hAnsi="宋体" w:eastAsia="宋体" w:cs="宋体"/>
          <w:color w:val="auto"/>
          <w:highlight w:val="none"/>
          <w:lang w:eastAsia="zh-CN"/>
        </w:rPr>
        <w:t>工程的施工单位</w:t>
      </w:r>
      <w:r>
        <w:rPr>
          <w:rFonts w:hint="eastAsia" w:ascii="宋体" w:hAnsi="宋体" w:eastAsia="宋体" w:cs="宋体"/>
          <w:color w:val="auto"/>
          <w:spacing w:val="6"/>
          <w:sz w:val="24"/>
          <w:highlight w:val="none"/>
          <w:lang w:val="en-US" w:eastAsia="zh-CN"/>
        </w:rPr>
        <w:t>为</w:t>
      </w:r>
      <w:r>
        <w:rPr>
          <w:rFonts w:hint="eastAsia" w:ascii="宋体" w:hAnsi="宋体" w:eastAsia="宋体" w:cs="宋体"/>
          <w:color w:val="auto"/>
          <w:spacing w:val="6"/>
          <w:sz w:val="24"/>
          <w:highlight w:val="none"/>
        </w:rPr>
        <w:t>符合政策要求的中小企业。相关企业的具体情况如下：</w:t>
      </w:r>
    </w:p>
    <w:p w14:paraId="5EB9BAF0">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u w:val="single"/>
        </w:rPr>
        <w:t xml:space="preserve">（标的名称）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u w:val="single"/>
          <w:lang w:val="en-US" w:eastAsia="zh-CN"/>
        </w:rPr>
        <w:t>（采购文件中明确的所属行业）</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；承</w:t>
      </w:r>
      <w:r>
        <w:rPr>
          <w:rFonts w:hint="eastAsia" w:ascii="宋体" w:hAnsi="宋体" w:eastAsia="宋体" w:cs="宋体"/>
          <w:color w:val="auto"/>
          <w:spacing w:val="6"/>
          <w:sz w:val="24"/>
          <w:highlight w:val="none"/>
          <w:lang w:val="en-US" w:eastAsia="zh-CN"/>
        </w:rPr>
        <w:t>建</w:t>
      </w:r>
      <w:r>
        <w:rPr>
          <w:rFonts w:hint="eastAsia" w:ascii="宋体" w:hAnsi="宋体" w:eastAsia="宋体" w:cs="宋体"/>
          <w:color w:val="auto"/>
          <w:spacing w:val="6"/>
          <w:sz w:val="24"/>
          <w:highlight w:val="none"/>
        </w:rPr>
        <w:t>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w:t>
      </w:r>
      <w:r>
        <w:rPr>
          <w:rFonts w:hint="eastAsia" w:ascii="宋体" w:hAnsi="宋体" w:eastAsia="宋体" w:cs="宋体"/>
          <w:color w:val="auto"/>
          <w:spacing w:val="6"/>
          <w:sz w:val="24"/>
          <w:highlight w:val="none"/>
          <w:u w:val="single"/>
          <w:lang w:eastAsia="zh-CN"/>
        </w:rPr>
        <w:t>中型企业、</w:t>
      </w:r>
      <w:r>
        <w:rPr>
          <w:rFonts w:hint="eastAsia" w:ascii="宋体" w:hAnsi="宋体" w:eastAsia="宋体" w:cs="宋体"/>
          <w:color w:val="auto"/>
          <w:spacing w:val="6"/>
          <w:sz w:val="24"/>
          <w:highlight w:val="none"/>
          <w:u w:val="single"/>
        </w:rPr>
        <w:t>小型企业、微型企业）</w:t>
      </w:r>
      <w:r>
        <w:rPr>
          <w:rFonts w:hint="eastAsia" w:ascii="宋体" w:hAnsi="宋体" w:eastAsia="宋体" w:cs="宋体"/>
          <w:color w:val="auto"/>
          <w:spacing w:val="6"/>
          <w:sz w:val="24"/>
          <w:highlight w:val="none"/>
        </w:rPr>
        <w:t>；</w:t>
      </w:r>
    </w:p>
    <w:p w14:paraId="2C1B122F">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4B526963">
      <w:pPr>
        <w:spacing w:line="360" w:lineRule="auto"/>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14:paraId="13276FB7">
      <w:pPr>
        <w:spacing w:line="588" w:lineRule="exact"/>
        <w:ind w:firstLine="506" w:firstLineChars="200"/>
        <w:rPr>
          <w:rFonts w:hint="eastAsia" w:ascii="宋体" w:hAnsi="宋体" w:eastAsia="宋体" w:cs="宋体"/>
          <w:b/>
          <w:color w:val="auto"/>
          <w:spacing w:val="6"/>
          <w:sz w:val="24"/>
          <w:highlight w:val="none"/>
        </w:rPr>
      </w:pPr>
    </w:p>
    <w:p w14:paraId="2EB0C97D">
      <w:pPr>
        <w:pStyle w:val="7"/>
        <w:rPr>
          <w:rFonts w:hint="eastAsia" w:ascii="宋体" w:hAnsi="宋体" w:eastAsia="宋体" w:cs="宋体"/>
          <w:b/>
          <w:color w:val="auto"/>
          <w:spacing w:val="6"/>
          <w:sz w:val="24"/>
          <w:highlight w:val="none"/>
        </w:rPr>
      </w:pPr>
    </w:p>
    <w:p w14:paraId="79A1F805">
      <w:pPr>
        <w:pStyle w:val="16"/>
        <w:rPr>
          <w:rFonts w:hint="eastAsia" w:ascii="宋体" w:hAnsi="宋体" w:eastAsia="宋体" w:cs="宋体"/>
          <w:b/>
          <w:color w:val="auto"/>
          <w:spacing w:val="6"/>
          <w:sz w:val="24"/>
          <w:highlight w:val="none"/>
        </w:rPr>
      </w:pPr>
    </w:p>
    <w:p w14:paraId="650184E6">
      <w:pPr>
        <w:spacing w:before="98" w:line="360" w:lineRule="auto"/>
        <w:ind w:left="90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磋商</w:t>
      </w:r>
      <w:r>
        <w:rPr>
          <w:rFonts w:hint="eastAsia" w:ascii="宋体" w:hAnsi="宋体" w:eastAsia="宋体" w:cs="宋体"/>
          <w:color w:val="auto"/>
          <w:spacing w:val="2"/>
          <w:sz w:val="24"/>
          <w:szCs w:val="24"/>
          <w:highlight w:val="none"/>
        </w:rPr>
        <w:t>申请</w:t>
      </w:r>
      <w:r>
        <w:rPr>
          <w:rFonts w:hint="eastAsia" w:ascii="宋体" w:hAnsi="宋体" w:eastAsia="宋体" w:cs="宋体"/>
          <w:color w:val="auto"/>
          <w:spacing w:val="2"/>
          <w:sz w:val="24"/>
          <w:szCs w:val="24"/>
          <w:highlight w:val="none"/>
          <w:lang w:eastAsia="zh-CN"/>
        </w:rPr>
        <w:t>人全称（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2"/>
          <w:sz w:val="24"/>
          <w:szCs w:val="24"/>
          <w:highlight w:val="none"/>
          <w:u w:val="single"/>
          <w:lang w:val="en-US" w:eastAsia="zh-CN"/>
        </w:rPr>
        <w:t xml:space="preserve">                            </w:t>
      </w:r>
      <w:r>
        <w:rPr>
          <w:rFonts w:hint="eastAsia" w:ascii="宋体" w:hAnsi="宋体" w:eastAsia="宋体" w:cs="宋体"/>
          <w:color w:val="auto"/>
          <w:spacing w:val="-22"/>
          <w:sz w:val="24"/>
          <w:szCs w:val="24"/>
          <w:highlight w:val="none"/>
          <w:u w:val="single"/>
          <w:lang w:val="en-US" w:eastAsia="zh-CN"/>
        </w:rPr>
        <w:tab/>
      </w:r>
      <w:r>
        <w:rPr>
          <w:rFonts w:hint="eastAsia" w:ascii="宋体" w:hAnsi="宋体" w:eastAsia="宋体" w:cs="宋体"/>
          <w:color w:val="auto"/>
          <w:spacing w:val="-22"/>
          <w:sz w:val="24"/>
          <w:szCs w:val="24"/>
          <w:highlight w:val="none"/>
          <w:u w:val="single"/>
          <w:lang w:val="en-US" w:eastAsia="zh-CN"/>
        </w:rPr>
        <w:tab/>
      </w:r>
      <w:r>
        <w:rPr>
          <w:rFonts w:hint="eastAsia" w:ascii="宋体" w:hAnsi="宋体" w:eastAsia="宋体" w:cs="宋体"/>
          <w:color w:val="auto"/>
          <w:spacing w:val="-22"/>
          <w:sz w:val="24"/>
          <w:szCs w:val="24"/>
          <w:highlight w:val="none"/>
          <w:u w:val="single"/>
          <w:lang w:val="en-US" w:eastAsia="zh-CN"/>
        </w:rPr>
        <w:tab/>
      </w:r>
      <w:r>
        <w:rPr>
          <w:rFonts w:hint="eastAsia" w:ascii="宋体" w:hAnsi="宋体" w:eastAsia="宋体" w:cs="宋体"/>
          <w:color w:val="auto"/>
          <w:spacing w:val="-22"/>
          <w:sz w:val="24"/>
          <w:szCs w:val="24"/>
          <w:highlight w:val="none"/>
          <w:u w:val="single"/>
          <w:lang w:val="en-US" w:eastAsia="zh-CN"/>
        </w:rPr>
        <w:t xml:space="preserve">   </w:t>
      </w:r>
    </w:p>
    <w:p w14:paraId="2B82AE92">
      <w:pPr>
        <w:spacing w:before="224" w:line="360" w:lineRule="auto"/>
        <w:ind w:left="91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法定代表人或其授权代理人</w:t>
      </w:r>
      <w:r>
        <w:rPr>
          <w:rFonts w:hint="eastAsia" w:ascii="宋体" w:hAnsi="宋体" w:eastAsia="宋体" w:cs="宋体"/>
          <w:color w:val="auto"/>
          <w:spacing w:val="1"/>
          <w:sz w:val="24"/>
          <w:szCs w:val="24"/>
          <w:highlight w:val="none"/>
          <w:lang w:eastAsia="zh-CN"/>
        </w:rPr>
        <w:t>（签字或签章）</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u w:val="single"/>
          <w:lang w:val="en-US" w:eastAsia="zh-CN"/>
        </w:rPr>
        <w:tab/>
      </w:r>
      <w:r>
        <w:rPr>
          <w:rFonts w:hint="eastAsia" w:ascii="宋体" w:hAnsi="宋体" w:eastAsia="宋体" w:cs="宋体"/>
          <w:color w:val="auto"/>
          <w:spacing w:val="-17"/>
          <w:sz w:val="24"/>
          <w:szCs w:val="24"/>
          <w:highlight w:val="none"/>
          <w:u w:val="single"/>
          <w:lang w:val="en-US" w:eastAsia="zh-CN"/>
        </w:rPr>
        <w:tab/>
      </w:r>
      <w:r>
        <w:rPr>
          <w:rFonts w:hint="eastAsia" w:ascii="宋体" w:hAnsi="宋体" w:eastAsia="宋体" w:cs="宋体"/>
          <w:color w:val="auto"/>
          <w:spacing w:val="-17"/>
          <w:sz w:val="24"/>
          <w:szCs w:val="24"/>
          <w:highlight w:val="none"/>
          <w:u w:val="single"/>
          <w:lang w:val="en-US" w:eastAsia="zh-CN"/>
        </w:rPr>
        <w:tab/>
      </w:r>
      <w:r>
        <w:rPr>
          <w:rFonts w:hint="eastAsia" w:ascii="宋体" w:hAnsi="宋体" w:eastAsia="宋体" w:cs="宋体"/>
          <w:color w:val="auto"/>
          <w:spacing w:val="-17"/>
          <w:sz w:val="24"/>
          <w:szCs w:val="24"/>
          <w:highlight w:val="none"/>
          <w:u w:val="single"/>
          <w:lang w:val="en-US" w:eastAsia="zh-CN"/>
        </w:rPr>
        <w:tab/>
      </w:r>
      <w:r>
        <w:rPr>
          <w:rFonts w:hint="eastAsia" w:ascii="宋体" w:hAnsi="宋体" w:eastAsia="宋体" w:cs="宋体"/>
          <w:color w:val="auto"/>
          <w:spacing w:val="-17"/>
          <w:sz w:val="24"/>
          <w:szCs w:val="24"/>
          <w:highlight w:val="none"/>
          <w:u w:val="single"/>
          <w:lang w:val="en-US" w:eastAsia="zh-CN"/>
        </w:rPr>
        <w:tab/>
      </w:r>
      <w:r>
        <w:rPr>
          <w:rFonts w:hint="eastAsia" w:ascii="宋体" w:hAnsi="宋体" w:eastAsia="宋体" w:cs="宋体"/>
          <w:color w:val="auto"/>
          <w:spacing w:val="-17"/>
          <w:sz w:val="24"/>
          <w:szCs w:val="24"/>
          <w:highlight w:val="none"/>
          <w:u w:val="single"/>
          <w:lang w:val="en-US" w:eastAsia="zh-CN"/>
        </w:rPr>
        <w:tab/>
      </w:r>
      <w:r>
        <w:rPr>
          <w:rFonts w:hint="eastAsia" w:ascii="宋体" w:hAnsi="宋体" w:eastAsia="宋体" w:cs="宋体"/>
          <w:color w:val="auto"/>
          <w:spacing w:val="-17"/>
          <w:sz w:val="24"/>
          <w:szCs w:val="24"/>
          <w:highlight w:val="none"/>
          <w:u w:val="single"/>
          <w:lang w:val="en-US" w:eastAsia="zh-CN"/>
        </w:rPr>
        <w:tab/>
      </w:r>
      <w:r>
        <w:rPr>
          <w:rFonts w:hint="eastAsia" w:ascii="宋体" w:hAnsi="宋体" w:eastAsia="宋体" w:cs="宋体"/>
          <w:color w:val="auto"/>
          <w:spacing w:val="-17"/>
          <w:sz w:val="24"/>
          <w:szCs w:val="24"/>
          <w:highlight w:val="none"/>
          <w:u w:val="single"/>
          <w:lang w:val="en-US" w:eastAsia="zh-CN"/>
        </w:rPr>
        <w:t xml:space="preserve">  </w:t>
      </w:r>
    </w:p>
    <w:p w14:paraId="0BF58EAC">
      <w:pPr>
        <w:spacing w:line="360" w:lineRule="auto"/>
        <w:ind w:firstLine="960" w:firstLineChars="400"/>
        <w:jc w:val="both"/>
        <w:rPr>
          <w:rFonts w:hint="eastAsia" w:ascii="宋体" w:hAnsi="宋体" w:eastAsia="宋体" w:cs="宋体"/>
          <w:color w:val="auto"/>
          <w:sz w:val="30"/>
          <w:szCs w:val="30"/>
          <w:highlight w:val="none"/>
        </w:rPr>
      </w:pPr>
      <w:r>
        <w:rPr>
          <w:rFonts w:hint="eastAsia" w:ascii="宋体" w:hAnsi="宋体" w:eastAsia="宋体" w:cs="宋体"/>
          <w:color w:val="auto"/>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66D6655B">
      <w:pPr>
        <w:pStyle w:val="16"/>
        <w:rPr>
          <w:rFonts w:hint="eastAsia" w:ascii="宋体" w:hAnsi="宋体" w:eastAsia="宋体" w:cs="宋体"/>
          <w:color w:val="auto"/>
          <w:highlight w:val="none"/>
        </w:rPr>
      </w:pPr>
    </w:p>
    <w:p w14:paraId="1D546EF9">
      <w:pPr>
        <w:keepNext w:val="0"/>
        <w:keepLines w:val="0"/>
        <w:pageBreakBefore w:val="0"/>
        <w:kinsoku/>
        <w:wordWrap/>
        <w:overflowPunct/>
        <w:topLinePunct w:val="0"/>
        <w:bidi w:val="0"/>
        <w:snapToGrid/>
        <w:spacing w:line="360" w:lineRule="auto"/>
        <w:ind w:firstLine="482" w:firstLineChars="200"/>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注：1、</w:t>
      </w:r>
      <w:r>
        <w:rPr>
          <w:rFonts w:hint="eastAsia" w:ascii="宋体" w:hAnsi="宋体" w:eastAsia="宋体" w:cs="宋体"/>
          <w:b/>
          <w:color w:val="auto"/>
          <w:spacing w:val="6"/>
          <w:sz w:val="24"/>
          <w:highlight w:val="none"/>
        </w:rPr>
        <w:t>从业人员、营业收入、资产总额填报上一年度数据，无上一年度数据的新成立企业可不填报。</w:t>
      </w:r>
    </w:p>
    <w:p w14:paraId="78DC20F4">
      <w:pPr>
        <w:keepNext w:val="0"/>
        <w:keepLines w:val="0"/>
        <w:pageBreakBefore w:val="0"/>
        <w:numPr>
          <w:ilvl w:val="1"/>
          <w:numId w:val="0"/>
        </w:numPr>
        <w:tabs>
          <w:tab w:val="left" w:pos="750"/>
        </w:tabs>
        <w:kinsoku/>
        <w:wordWrap/>
        <w:overflowPunct/>
        <w:topLinePunct w:val="0"/>
        <w:bidi w:val="0"/>
        <w:snapToGrid/>
        <w:spacing w:line="360" w:lineRule="auto"/>
        <w:ind w:firstLine="506" w:firstLineChars="200"/>
        <w:rPr>
          <w:rFonts w:hint="eastAsia" w:ascii="宋体" w:hAnsi="宋体" w:eastAsia="宋体" w:cs="宋体"/>
          <w:b/>
          <w:bCs/>
          <w:color w:val="auto"/>
          <w:sz w:val="24"/>
          <w:highlight w:val="none"/>
        </w:rPr>
      </w:pPr>
      <w:r>
        <w:rPr>
          <w:rFonts w:hint="eastAsia" w:ascii="宋体" w:hAnsi="宋体" w:eastAsia="宋体" w:cs="宋体"/>
          <w:b/>
          <w:bCs/>
          <w:color w:val="auto"/>
          <w:spacing w:val="6"/>
          <w:sz w:val="24"/>
          <w:highlight w:val="none"/>
        </w:rPr>
        <w:t>2、</w:t>
      </w:r>
      <w:r>
        <w:rPr>
          <w:rFonts w:hint="eastAsia" w:ascii="宋体" w:hAnsi="宋体" w:eastAsia="宋体" w:cs="宋体"/>
          <w:b/>
          <w:bCs/>
          <w:color w:val="auto"/>
          <w:sz w:val="24"/>
          <w:highlight w:val="none"/>
        </w:rPr>
        <w:t>按《政府采购促进中小企业发展管理办法》（财库［2020］46号）的规定提交。</w:t>
      </w:r>
    </w:p>
    <w:p w14:paraId="6EB51F3C">
      <w:pPr>
        <w:pStyle w:val="6"/>
        <w:keepNext w:val="0"/>
        <w:keepLines w:val="0"/>
        <w:pageBreakBefore w:val="0"/>
        <w:kinsoku/>
        <w:wordWrap/>
        <w:overflowPunct/>
        <w:topLinePunct w:val="0"/>
        <w:bidi w:val="0"/>
        <w:snapToGrid/>
        <w:spacing w:line="360" w:lineRule="auto"/>
        <w:ind w:firstLine="482" w:firstLineChars="200"/>
        <w:rPr>
          <w:rFonts w:hint="eastAsia" w:ascii="宋体" w:hAnsi="宋体" w:eastAsia="宋体" w:cs="宋体"/>
          <w:b/>
          <w:bCs/>
          <w:color w:val="auto"/>
          <w:sz w:val="24"/>
          <w:highlight w:val="none"/>
          <w:lang w:val="en-US" w:eastAsia="zh-CN" w:bidi="ar-SA"/>
        </w:rPr>
      </w:pPr>
      <w:r>
        <w:rPr>
          <w:rFonts w:hint="eastAsia" w:ascii="宋体" w:hAnsi="宋体" w:eastAsia="宋体" w:cs="宋体"/>
          <w:b/>
          <w:bCs/>
          <w:color w:val="auto"/>
          <w:sz w:val="24"/>
          <w:highlight w:val="none"/>
          <w:lang w:val="en-US" w:eastAsia="zh-CN" w:bidi="ar-SA"/>
        </w:rPr>
        <w:t>3、本项目所采购标的所属行业为：建筑业。</w:t>
      </w:r>
    </w:p>
    <w:p w14:paraId="2987E4DD">
      <w:pPr>
        <w:pStyle w:val="17"/>
        <w:shd w:val="clear" w:color="auto" w:fill="FFFFFF"/>
        <w:spacing w:before="0" w:beforeAutospacing="0" w:after="150" w:afterAutospacing="0" w:line="360" w:lineRule="auto"/>
        <w:ind w:firstLine="480"/>
        <w:rPr>
          <w:rFonts w:hint="eastAsia" w:ascii="宋体" w:hAnsi="宋体" w:eastAsia="宋体" w:cs="宋体"/>
          <w:color w:val="auto"/>
          <w:highlight w:val="none"/>
        </w:rPr>
      </w:pPr>
    </w:p>
    <w:p w14:paraId="7924CD1B">
      <w:pPr>
        <w:pStyle w:val="34"/>
        <w:snapToGrid w:val="0"/>
        <w:rPr>
          <w:rFonts w:hint="eastAsia" w:ascii="宋体" w:hAnsi="宋体" w:eastAsia="宋体" w:cs="宋体"/>
          <w:color w:val="auto"/>
          <w:sz w:val="24"/>
          <w:szCs w:val="24"/>
          <w:highlight w:val="none"/>
        </w:rPr>
      </w:pPr>
    </w:p>
    <w:p w14:paraId="3B9D4AFC">
      <w:pPr>
        <w:spacing w:line="360" w:lineRule="auto"/>
        <w:ind w:firstLine="643" w:firstLineChars="200"/>
        <w:jc w:val="center"/>
        <w:rPr>
          <w:rFonts w:hint="eastAsia" w:ascii="宋体" w:hAnsi="宋体" w:eastAsia="宋体" w:cs="宋体"/>
          <w:b/>
          <w:color w:val="auto"/>
          <w:sz w:val="32"/>
          <w:szCs w:val="32"/>
          <w:highlight w:val="none"/>
        </w:rPr>
      </w:pPr>
      <w:bookmarkStart w:id="638" w:name="OLE_LINK13"/>
      <w:bookmarkStart w:id="639" w:name="OLE_LINK14"/>
      <w:r>
        <w:rPr>
          <w:rFonts w:hint="eastAsia" w:ascii="宋体" w:hAnsi="宋体" w:eastAsia="宋体" w:cs="宋体"/>
          <w:b/>
          <w:color w:val="auto"/>
          <w:sz w:val="32"/>
          <w:szCs w:val="32"/>
          <w:highlight w:val="none"/>
        </w:rPr>
        <w:br w:type="page"/>
      </w:r>
    </w:p>
    <w:p w14:paraId="7C0C6FFA">
      <w:pPr>
        <w:spacing w:line="360" w:lineRule="auto"/>
        <w:ind w:firstLine="643" w:firstLineChars="200"/>
        <w:jc w:val="center"/>
        <w:rPr>
          <w:rFonts w:hint="eastAsia" w:ascii="宋体" w:hAnsi="宋体" w:eastAsia="宋体" w:cs="宋体"/>
          <w:b/>
          <w:color w:val="auto"/>
          <w:sz w:val="32"/>
          <w:szCs w:val="32"/>
          <w:highlight w:val="none"/>
        </w:rPr>
      </w:pPr>
    </w:p>
    <w:p w14:paraId="5E4C10BF">
      <w:pPr>
        <w:spacing w:line="360" w:lineRule="auto"/>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格式2：残疾人福利性单位声明函（如有）</w:t>
      </w:r>
    </w:p>
    <w:bookmarkEnd w:id="638"/>
    <w:bookmarkEnd w:id="639"/>
    <w:p w14:paraId="0FBE8829">
      <w:pPr>
        <w:spacing w:line="588" w:lineRule="exact"/>
        <w:rPr>
          <w:rFonts w:hint="eastAsia" w:ascii="宋体" w:hAnsi="宋体" w:eastAsia="宋体" w:cs="宋体"/>
          <w:b/>
          <w:color w:val="auto"/>
          <w:spacing w:val="6"/>
          <w:sz w:val="30"/>
          <w:szCs w:val="30"/>
          <w:highlight w:val="none"/>
        </w:rPr>
      </w:pPr>
    </w:p>
    <w:p w14:paraId="336D506F">
      <w:pPr>
        <w:spacing w:line="360" w:lineRule="auto"/>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本单位郑重声明，根据《财政部民政部中国残疾人联合会关于促进残疾人就业政府采购政策的通知》（财库</w:t>
      </w:r>
      <w:r>
        <w:rPr>
          <w:rFonts w:hint="eastAsia" w:ascii="宋体" w:hAnsi="宋体" w:eastAsia="宋体" w:cs="宋体"/>
          <w:color w:val="auto"/>
          <w:szCs w:val="24"/>
          <w:highlight w:val="none"/>
        </w:rPr>
        <w:t>〔2017〕141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w:t>
      </w:r>
      <w:r>
        <w:rPr>
          <w:rFonts w:hint="eastAsia" w:ascii="宋体" w:hAnsi="宋体" w:eastAsia="宋体" w:cs="宋体"/>
          <w:color w:val="auto"/>
          <w:spacing w:val="6"/>
          <w:szCs w:val="24"/>
          <w:highlight w:val="none"/>
          <w:lang w:eastAsia="zh-CN"/>
        </w:rPr>
        <w:t>承担工程</w:t>
      </w:r>
      <w:r>
        <w:rPr>
          <w:rFonts w:hint="eastAsia" w:ascii="宋体" w:hAnsi="宋体" w:eastAsia="宋体" w:cs="宋体"/>
          <w:color w:val="auto"/>
          <w:spacing w:val="6"/>
          <w:szCs w:val="24"/>
          <w:highlight w:val="none"/>
        </w:rPr>
        <w:t>（由本单位制造的货物/提供服务），或者提供其他残疾人福利性单位制造的货物（不包括使用非残疾人福利性单位注册商标的货物）。</w:t>
      </w:r>
    </w:p>
    <w:p w14:paraId="00F8EAAA">
      <w:pPr>
        <w:spacing w:line="360" w:lineRule="auto"/>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42BCAB40">
      <w:pPr>
        <w:spacing w:line="360" w:lineRule="auto"/>
        <w:jc w:val="both"/>
        <w:rPr>
          <w:rFonts w:hint="eastAsia" w:ascii="宋体" w:hAnsi="宋体" w:eastAsia="宋体" w:cs="宋体"/>
          <w:color w:val="auto"/>
          <w:szCs w:val="24"/>
          <w:highlight w:val="none"/>
        </w:rPr>
      </w:pPr>
    </w:p>
    <w:p w14:paraId="5C2B92A4">
      <w:pPr>
        <w:spacing w:line="360" w:lineRule="auto"/>
        <w:ind w:firstLine="480" w:firstLineChars="200"/>
        <w:jc w:val="both"/>
        <w:rPr>
          <w:rFonts w:hint="eastAsia" w:ascii="宋体" w:hAnsi="宋体" w:eastAsia="宋体" w:cs="宋体"/>
          <w:color w:val="auto"/>
          <w:szCs w:val="24"/>
          <w:highlight w:val="none"/>
        </w:rPr>
      </w:pPr>
    </w:p>
    <w:p w14:paraId="73D54A76">
      <w:pPr>
        <w:spacing w:line="360" w:lineRule="auto"/>
        <w:ind w:firstLine="480" w:firstLineChars="200"/>
        <w:jc w:val="both"/>
        <w:rPr>
          <w:rFonts w:hint="eastAsia" w:ascii="宋体" w:hAnsi="宋体" w:eastAsia="宋体" w:cs="宋体"/>
          <w:color w:val="auto"/>
          <w:szCs w:val="24"/>
          <w:highlight w:val="none"/>
        </w:rPr>
      </w:pPr>
    </w:p>
    <w:p w14:paraId="23DB309E">
      <w:pPr>
        <w:spacing w:line="360" w:lineRule="auto"/>
        <w:ind w:firstLine="480" w:firstLineChars="200"/>
        <w:jc w:val="both"/>
        <w:rPr>
          <w:rFonts w:hint="eastAsia" w:ascii="宋体" w:hAnsi="宋体" w:eastAsia="宋体" w:cs="宋体"/>
          <w:color w:val="auto"/>
          <w:szCs w:val="24"/>
          <w:highlight w:val="none"/>
        </w:rPr>
      </w:pPr>
    </w:p>
    <w:p w14:paraId="238AC928">
      <w:pPr>
        <w:spacing w:line="360" w:lineRule="auto"/>
        <w:ind w:firstLine="480" w:firstLineChars="200"/>
        <w:jc w:val="both"/>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p>
    <w:p w14:paraId="42A301FB">
      <w:pPr>
        <w:spacing w:line="360" w:lineRule="auto"/>
        <w:ind w:firstLine="480" w:firstLineChars="200"/>
        <w:jc w:val="both"/>
        <w:rPr>
          <w:rFonts w:hint="eastAsia" w:ascii="宋体" w:hAnsi="宋体" w:eastAsia="宋体" w:cs="宋体"/>
          <w:color w:val="auto"/>
          <w:szCs w:val="24"/>
          <w:highlight w:val="none"/>
        </w:rPr>
      </w:pPr>
    </w:p>
    <w:p w14:paraId="2637D952">
      <w:pPr>
        <w:spacing w:line="360" w:lineRule="auto"/>
        <w:ind w:firstLine="480" w:firstLineChars="200"/>
        <w:jc w:val="both"/>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法定代表人或委托代理人（签字</w:t>
      </w:r>
      <w:r>
        <w:rPr>
          <w:rFonts w:hint="eastAsia" w:ascii="宋体" w:hAnsi="宋体" w:eastAsia="宋体" w:cs="宋体"/>
          <w:color w:val="auto"/>
          <w:szCs w:val="24"/>
          <w:highlight w:val="none"/>
          <w:lang w:eastAsia="zh-CN"/>
        </w:rPr>
        <w:t>或签章</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rPr>
        <w:t xml:space="preserve">                      </w:t>
      </w:r>
    </w:p>
    <w:p w14:paraId="7633C908">
      <w:pPr>
        <w:spacing w:line="360" w:lineRule="auto"/>
        <w:ind w:firstLine="480" w:firstLineChars="200"/>
        <w:jc w:val="both"/>
        <w:rPr>
          <w:rFonts w:hint="eastAsia" w:ascii="宋体" w:hAnsi="宋体" w:eastAsia="宋体" w:cs="宋体"/>
          <w:color w:val="auto"/>
          <w:szCs w:val="24"/>
          <w:highlight w:val="none"/>
        </w:rPr>
      </w:pPr>
    </w:p>
    <w:p w14:paraId="6BAC1D2F">
      <w:pPr>
        <w:spacing w:line="360" w:lineRule="auto"/>
        <w:ind w:firstLine="480" w:firstLineChars="200"/>
        <w:jc w:val="both"/>
        <w:rPr>
          <w:rFonts w:hint="eastAsia" w:ascii="宋体" w:hAnsi="宋体" w:eastAsia="宋体" w:cs="宋体"/>
          <w:color w:val="auto"/>
          <w:sz w:val="30"/>
          <w:szCs w:val="30"/>
          <w:highlight w:val="none"/>
        </w:rPr>
      </w:pPr>
      <w:r>
        <w:rPr>
          <w:rFonts w:hint="eastAsia" w:ascii="宋体" w:hAnsi="宋体" w:eastAsia="宋体" w:cs="宋体"/>
          <w:color w:val="auto"/>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739DDC26">
      <w:pPr>
        <w:spacing w:line="360" w:lineRule="auto"/>
        <w:ind w:firstLine="480" w:firstLineChars="200"/>
        <w:jc w:val="both"/>
        <w:rPr>
          <w:rFonts w:hint="eastAsia" w:ascii="宋体" w:hAnsi="宋体" w:eastAsia="宋体" w:cs="宋体"/>
          <w:color w:val="auto"/>
          <w:szCs w:val="24"/>
          <w:highlight w:val="none"/>
        </w:rPr>
      </w:pPr>
    </w:p>
    <w:p w14:paraId="70966359">
      <w:pPr>
        <w:spacing w:line="360" w:lineRule="auto"/>
        <w:ind w:left="324" w:leftChars="135" w:firstLine="378" w:firstLineChars="150"/>
        <w:rPr>
          <w:rFonts w:hint="eastAsia" w:ascii="宋体" w:hAnsi="宋体" w:eastAsia="宋体" w:cs="宋体"/>
          <w:color w:val="auto"/>
          <w:spacing w:val="6"/>
          <w:highlight w:val="none"/>
        </w:rPr>
      </w:pPr>
    </w:p>
    <w:p w14:paraId="074FE079">
      <w:pPr>
        <w:spacing w:line="360" w:lineRule="auto"/>
        <w:ind w:left="324" w:leftChars="135" w:firstLine="378" w:firstLineChars="150"/>
        <w:rPr>
          <w:rFonts w:hint="eastAsia" w:ascii="宋体" w:hAnsi="宋体" w:eastAsia="宋体" w:cs="宋体"/>
          <w:color w:val="auto"/>
          <w:spacing w:val="6"/>
          <w:highlight w:val="none"/>
        </w:rPr>
      </w:pPr>
    </w:p>
    <w:p w14:paraId="333C25B7">
      <w:pPr>
        <w:spacing w:line="360" w:lineRule="auto"/>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5FD8C7AE">
      <w:pPr>
        <w:spacing w:line="360" w:lineRule="auto"/>
        <w:ind w:firstLine="643" w:firstLineChars="200"/>
        <w:jc w:val="center"/>
        <w:rPr>
          <w:rFonts w:hint="eastAsia" w:ascii="宋体" w:hAnsi="宋体" w:eastAsia="宋体" w:cs="宋体"/>
          <w:b/>
          <w:color w:val="auto"/>
          <w:sz w:val="32"/>
          <w:szCs w:val="32"/>
          <w:highlight w:val="none"/>
        </w:rPr>
      </w:pPr>
    </w:p>
    <w:p w14:paraId="3AD13BD6">
      <w:pPr>
        <w:spacing w:line="360" w:lineRule="auto"/>
        <w:ind w:firstLine="643" w:firstLineChars="200"/>
        <w:jc w:val="center"/>
        <w:rPr>
          <w:rFonts w:hint="eastAsia" w:ascii="宋体" w:hAnsi="宋体" w:eastAsia="宋体" w:cs="宋体"/>
          <w:color w:val="auto"/>
          <w:szCs w:val="21"/>
          <w:highlight w:val="none"/>
        </w:rPr>
      </w:pPr>
      <w:r>
        <w:rPr>
          <w:rFonts w:hint="eastAsia" w:ascii="宋体" w:hAnsi="宋体" w:eastAsia="宋体" w:cs="宋体"/>
          <w:b/>
          <w:color w:val="auto"/>
          <w:sz w:val="32"/>
          <w:szCs w:val="32"/>
          <w:highlight w:val="none"/>
        </w:rPr>
        <w:t>格式3：监狱企业证明文件格式（如有）</w:t>
      </w:r>
    </w:p>
    <w:p w14:paraId="05A8CCE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A0C9698">
      <w:pPr>
        <w:spacing w:line="360" w:lineRule="auto"/>
        <w:ind w:firstLine="360" w:firstLineChars="15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监狱企业参加政府采购活动时，应当提供由省级以上监狱管理局、戒毒管理局（含新疆生产建设兵团）出具的属于监狱企业的证明文件。</w:t>
      </w:r>
    </w:p>
    <w:p w14:paraId="47C17E5F">
      <w:pPr>
        <w:pStyle w:val="34"/>
        <w:snapToGrid w:val="0"/>
        <w:rPr>
          <w:rFonts w:hint="eastAsia" w:ascii="宋体" w:hAnsi="宋体" w:eastAsia="宋体" w:cs="宋体"/>
          <w:color w:val="auto"/>
          <w:sz w:val="30"/>
          <w:szCs w:val="30"/>
          <w:highlight w:val="none"/>
        </w:rPr>
      </w:pPr>
    </w:p>
    <w:p w14:paraId="61433D45">
      <w:pPr>
        <w:spacing w:line="360" w:lineRule="auto"/>
        <w:rPr>
          <w:rFonts w:hint="eastAsia" w:ascii="宋体" w:hAnsi="宋体" w:eastAsia="宋体" w:cs="宋体"/>
          <w:color w:val="auto"/>
          <w:kern w:val="2"/>
          <w:sz w:val="21"/>
          <w:szCs w:val="24"/>
          <w:highlight w:val="none"/>
        </w:rPr>
      </w:pPr>
    </w:p>
    <w:p w14:paraId="618CE546">
      <w:pPr>
        <w:spacing w:line="360" w:lineRule="auto"/>
        <w:rPr>
          <w:rFonts w:hint="eastAsia" w:ascii="宋体" w:hAnsi="宋体" w:eastAsia="宋体" w:cs="宋体"/>
          <w:color w:val="auto"/>
          <w:kern w:val="2"/>
          <w:sz w:val="21"/>
          <w:szCs w:val="24"/>
          <w:highlight w:val="none"/>
        </w:rPr>
      </w:pPr>
    </w:p>
    <w:p w14:paraId="1E3BD8D4">
      <w:pPr>
        <w:spacing w:line="360" w:lineRule="auto"/>
        <w:rPr>
          <w:rFonts w:hint="eastAsia" w:ascii="宋体" w:hAnsi="宋体" w:eastAsia="宋体" w:cs="宋体"/>
          <w:color w:val="auto"/>
          <w:kern w:val="2"/>
          <w:sz w:val="21"/>
          <w:szCs w:val="24"/>
          <w:highlight w:val="none"/>
        </w:rPr>
      </w:pPr>
    </w:p>
    <w:p w14:paraId="17DA3B37">
      <w:pPr>
        <w:spacing w:line="360" w:lineRule="auto"/>
        <w:rPr>
          <w:rFonts w:hint="eastAsia" w:ascii="宋体" w:hAnsi="宋体" w:eastAsia="宋体" w:cs="宋体"/>
          <w:color w:val="auto"/>
          <w:kern w:val="2"/>
          <w:sz w:val="21"/>
          <w:szCs w:val="24"/>
          <w:highlight w:val="none"/>
        </w:rPr>
      </w:pPr>
    </w:p>
    <w:p w14:paraId="7EA14225">
      <w:pPr>
        <w:spacing w:line="360" w:lineRule="auto"/>
        <w:ind w:firstLine="480" w:firstLineChars="200"/>
        <w:jc w:val="both"/>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eastAsia="zh-CN"/>
        </w:rPr>
        <w:t>磋商申请人</w:t>
      </w:r>
      <w:r>
        <w:rPr>
          <w:rFonts w:hint="eastAsia" w:ascii="宋体" w:hAnsi="宋体" w:eastAsia="宋体" w:cs="宋体"/>
          <w:color w:val="auto"/>
          <w:szCs w:val="24"/>
          <w:highlight w:val="none"/>
        </w:rPr>
        <w:t>全称（</w:t>
      </w:r>
      <w:r>
        <w:rPr>
          <w:rFonts w:hint="eastAsia" w:ascii="宋体" w:hAnsi="宋体" w:eastAsia="宋体" w:cs="宋体"/>
          <w:color w:val="auto"/>
          <w:szCs w:val="24"/>
          <w:highlight w:val="none"/>
          <w:lang w:eastAsia="zh-CN"/>
        </w:rPr>
        <w:t>电子签章</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p>
    <w:p w14:paraId="523C2843">
      <w:pPr>
        <w:spacing w:line="360" w:lineRule="auto"/>
        <w:ind w:firstLine="480" w:firstLineChars="200"/>
        <w:jc w:val="both"/>
        <w:rPr>
          <w:rFonts w:hint="eastAsia" w:ascii="宋体" w:hAnsi="宋体" w:eastAsia="宋体" w:cs="宋体"/>
          <w:color w:val="auto"/>
          <w:szCs w:val="24"/>
          <w:highlight w:val="none"/>
        </w:rPr>
      </w:pPr>
    </w:p>
    <w:p w14:paraId="7656C375">
      <w:pPr>
        <w:spacing w:line="360" w:lineRule="auto"/>
        <w:ind w:firstLine="480" w:firstLineChars="200"/>
        <w:jc w:val="both"/>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法定代表人或委托代理人（签字</w:t>
      </w:r>
      <w:r>
        <w:rPr>
          <w:rFonts w:hint="eastAsia" w:ascii="宋体" w:hAnsi="宋体" w:eastAsia="宋体" w:cs="宋体"/>
          <w:color w:val="auto"/>
          <w:szCs w:val="24"/>
          <w:highlight w:val="none"/>
          <w:lang w:eastAsia="zh-CN"/>
        </w:rPr>
        <w:t>或签章</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u w:val="single"/>
        </w:rPr>
        <w:t xml:space="preserve">                      </w:t>
      </w:r>
    </w:p>
    <w:p w14:paraId="5EFC4A64">
      <w:pPr>
        <w:spacing w:line="360" w:lineRule="auto"/>
        <w:ind w:firstLine="480" w:firstLineChars="200"/>
        <w:jc w:val="both"/>
        <w:rPr>
          <w:rFonts w:hint="eastAsia" w:ascii="宋体" w:hAnsi="宋体" w:eastAsia="宋体" w:cs="宋体"/>
          <w:color w:val="auto"/>
          <w:szCs w:val="24"/>
          <w:highlight w:val="none"/>
        </w:rPr>
      </w:pPr>
    </w:p>
    <w:p w14:paraId="68A0A6DC">
      <w:pPr>
        <w:spacing w:line="360" w:lineRule="auto"/>
        <w:ind w:firstLine="480" w:firstLineChars="200"/>
        <w:jc w:val="both"/>
        <w:rPr>
          <w:rFonts w:hint="eastAsia" w:ascii="宋体" w:hAnsi="宋体" w:eastAsia="宋体" w:cs="宋体"/>
          <w:color w:val="auto"/>
          <w:sz w:val="30"/>
          <w:szCs w:val="30"/>
          <w:highlight w:val="none"/>
        </w:rPr>
      </w:pPr>
      <w:r>
        <w:rPr>
          <w:rFonts w:hint="eastAsia" w:ascii="宋体" w:hAnsi="宋体" w:eastAsia="宋体" w:cs="宋体"/>
          <w:color w:val="auto"/>
          <w:szCs w:val="24"/>
          <w:highlight w:val="none"/>
        </w:rPr>
        <w:t>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年</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月</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w:t>
      </w:r>
    </w:p>
    <w:p w14:paraId="4233D0A5">
      <w:pPr>
        <w:pStyle w:val="4"/>
        <w:spacing w:line="360" w:lineRule="auto"/>
        <w:jc w:val="center"/>
        <w:outlineLvl w:val="9"/>
        <w:rPr>
          <w:rFonts w:hint="eastAsia" w:ascii="宋体" w:hAnsi="宋体" w:eastAsia="宋体" w:cs="宋体"/>
          <w:color w:val="auto"/>
          <w:sz w:val="36"/>
          <w:szCs w:val="36"/>
          <w:highlight w:val="none"/>
          <w:lang w:eastAsia="zh-CN"/>
        </w:rPr>
      </w:pPr>
    </w:p>
    <w:p w14:paraId="70D61A91">
      <w:pPr>
        <w:spacing w:line="247" w:lineRule="auto"/>
        <w:rPr>
          <w:rFonts w:ascii="Arial"/>
          <w:color w:val="auto"/>
          <w:sz w:val="21"/>
          <w:highlight w:val="none"/>
        </w:rPr>
      </w:pPr>
    </w:p>
    <w:p w14:paraId="75F7B922">
      <w:pPr>
        <w:spacing w:line="247" w:lineRule="auto"/>
        <w:rPr>
          <w:rFonts w:ascii="Arial"/>
          <w:color w:val="auto"/>
          <w:sz w:val="21"/>
          <w:highlight w:val="none"/>
        </w:rPr>
      </w:pPr>
    </w:p>
    <w:p w14:paraId="1DD3E411">
      <w:pPr>
        <w:spacing w:line="247" w:lineRule="auto"/>
        <w:rPr>
          <w:rFonts w:ascii="Arial"/>
          <w:color w:val="auto"/>
          <w:sz w:val="21"/>
          <w:highlight w:val="none"/>
        </w:rPr>
      </w:pPr>
    </w:p>
    <w:p w14:paraId="219CC519">
      <w:pPr>
        <w:spacing w:line="247" w:lineRule="auto"/>
        <w:rPr>
          <w:rFonts w:ascii="Arial"/>
          <w:color w:val="auto"/>
          <w:sz w:val="21"/>
          <w:highlight w:val="none"/>
        </w:rPr>
      </w:pPr>
    </w:p>
    <w:p w14:paraId="4145F610">
      <w:pPr>
        <w:rPr>
          <w:b/>
          <w:bCs/>
          <w:color w:val="auto"/>
          <w:spacing w:val="3"/>
          <w:sz w:val="31"/>
          <w:szCs w:val="31"/>
          <w:highlight w:val="none"/>
        </w:rPr>
      </w:pPr>
      <w:r>
        <w:rPr>
          <w:b/>
          <w:bCs/>
          <w:color w:val="auto"/>
          <w:spacing w:val="3"/>
          <w:sz w:val="31"/>
          <w:szCs w:val="31"/>
          <w:highlight w:val="none"/>
        </w:rPr>
        <w:br w:type="page"/>
      </w:r>
    </w:p>
    <w:p w14:paraId="0079FA87">
      <w:pPr>
        <w:pStyle w:val="7"/>
        <w:spacing w:before="101" w:line="224" w:lineRule="auto"/>
        <w:ind w:left="3713"/>
        <w:outlineLvl w:val="9"/>
        <w:rPr>
          <w:b/>
          <w:bCs/>
          <w:color w:val="auto"/>
          <w:spacing w:val="3"/>
          <w:sz w:val="31"/>
          <w:szCs w:val="31"/>
          <w:highlight w:val="none"/>
        </w:rPr>
      </w:pPr>
    </w:p>
    <w:p w14:paraId="5192E251">
      <w:pPr>
        <w:pStyle w:val="7"/>
        <w:spacing w:before="101" w:line="224" w:lineRule="auto"/>
        <w:ind w:left="3713"/>
        <w:outlineLvl w:val="1"/>
        <w:rPr>
          <w:color w:val="auto"/>
          <w:sz w:val="31"/>
          <w:szCs w:val="31"/>
          <w:highlight w:val="none"/>
        </w:rPr>
      </w:pPr>
      <w:r>
        <w:rPr>
          <w:b/>
          <w:bCs/>
          <w:color w:val="auto"/>
          <w:spacing w:val="3"/>
          <w:sz w:val="31"/>
          <w:szCs w:val="31"/>
          <w:highlight w:val="none"/>
        </w:rPr>
        <w:t>（十二）承诺书</w:t>
      </w:r>
    </w:p>
    <w:p w14:paraId="777C361F">
      <w:pPr>
        <w:pStyle w:val="7"/>
        <w:spacing w:before="231" w:line="219"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color w:val="auto"/>
          <w:spacing w:val="-17"/>
          <w:sz w:val="24"/>
          <w:szCs w:val="24"/>
          <w:highlight w:val="none"/>
          <w:u w:val="single" w:color="auto"/>
        </w:rPr>
        <w:t>（</w:t>
      </w:r>
      <w:r>
        <w:rPr>
          <w:rFonts w:hint="eastAsia" w:ascii="宋体" w:hAnsi="宋体" w:eastAsia="宋体" w:cs="宋体"/>
          <w:color w:val="auto"/>
          <w:spacing w:val="9"/>
          <w:sz w:val="24"/>
          <w:szCs w:val="24"/>
          <w:highlight w:val="none"/>
          <w:u w:val="single" w:color="auto"/>
        </w:rPr>
        <w:t>采购人名称</w:t>
      </w:r>
      <w:r>
        <w:rPr>
          <w:rFonts w:hint="eastAsia" w:ascii="宋体" w:hAnsi="宋体" w:eastAsia="宋体" w:cs="宋体"/>
          <w:color w:val="auto"/>
          <w:spacing w:val="-17"/>
          <w:sz w:val="24"/>
          <w:szCs w:val="24"/>
          <w:highlight w:val="none"/>
          <w:u w:val="single" w:color="auto"/>
        </w:rPr>
        <w:t>）</w:t>
      </w:r>
      <w:r>
        <w:rPr>
          <w:rFonts w:hint="eastAsia" w:ascii="宋体" w:hAnsi="宋体" w:eastAsia="宋体" w:cs="宋体"/>
          <w:color w:val="auto"/>
          <w:spacing w:val="-17"/>
          <w:sz w:val="24"/>
          <w:szCs w:val="24"/>
          <w:highlight w:val="none"/>
        </w:rPr>
        <w:t>：</w:t>
      </w:r>
    </w:p>
    <w:p w14:paraId="18E70E61">
      <w:pPr>
        <w:spacing w:line="283" w:lineRule="auto"/>
        <w:rPr>
          <w:rFonts w:hint="eastAsia" w:ascii="宋体" w:hAnsi="宋体" w:eastAsia="宋体" w:cs="宋体"/>
          <w:color w:val="auto"/>
          <w:sz w:val="24"/>
          <w:szCs w:val="24"/>
          <w:highlight w:val="none"/>
        </w:rPr>
      </w:pPr>
    </w:p>
    <w:p w14:paraId="540B06A4">
      <w:pPr>
        <w:spacing w:line="284" w:lineRule="auto"/>
        <w:rPr>
          <w:rFonts w:hint="eastAsia" w:ascii="宋体" w:hAnsi="宋体" w:eastAsia="宋体" w:cs="宋体"/>
          <w:color w:val="auto"/>
          <w:sz w:val="24"/>
          <w:szCs w:val="24"/>
          <w:highlight w:val="none"/>
        </w:rPr>
      </w:pPr>
    </w:p>
    <w:p w14:paraId="5A8A9C98">
      <w:pPr>
        <w:pStyle w:val="7"/>
        <w:spacing w:before="78" w:line="219" w:lineRule="auto"/>
        <w:ind w:left="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本单位作为项目的供应商，现作如下承诺：</w:t>
      </w:r>
    </w:p>
    <w:p w14:paraId="2BE4B53D">
      <w:pPr>
        <w:pStyle w:val="7"/>
        <w:spacing w:before="183" w:line="219" w:lineRule="auto"/>
        <w:ind w:left="49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1、所提供的一切材料真实、有效、合法。</w:t>
      </w:r>
    </w:p>
    <w:p w14:paraId="4EE11C3E">
      <w:pPr>
        <w:pStyle w:val="7"/>
        <w:spacing w:before="180" w:line="219" w:lineRule="auto"/>
        <w:ind w:left="48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2、不与其他供应商串通磋商，不损害采购人或其他供应商的合法权益。</w:t>
      </w:r>
    </w:p>
    <w:p w14:paraId="3124B32E">
      <w:pPr>
        <w:pStyle w:val="7"/>
        <w:spacing w:before="183" w:line="289" w:lineRule="auto"/>
        <w:ind w:right="60" w:firstLine="4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3、不与采购人或采购代理机构串通磋商，损</w:t>
      </w:r>
      <w:r>
        <w:rPr>
          <w:rFonts w:hint="eastAsia" w:ascii="宋体" w:hAnsi="宋体" w:eastAsia="宋体" w:cs="宋体"/>
          <w:color w:val="auto"/>
          <w:spacing w:val="-3"/>
          <w:sz w:val="24"/>
          <w:szCs w:val="24"/>
          <w:highlight w:val="none"/>
        </w:rPr>
        <w:t>害国家利益、社会公共利益或者他人的合法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权益。</w:t>
      </w:r>
    </w:p>
    <w:p w14:paraId="458A9F2C">
      <w:pPr>
        <w:pStyle w:val="7"/>
        <w:spacing w:before="183" w:line="219"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4、不向采购人、磋商小组、监督人员贿赂。</w:t>
      </w:r>
    </w:p>
    <w:p w14:paraId="62194587">
      <w:pPr>
        <w:pStyle w:val="7"/>
        <w:spacing w:before="181" w:line="220"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5、不扰乱磋商活动正常秩序。</w:t>
      </w:r>
    </w:p>
    <w:p w14:paraId="6DC822F6">
      <w:pPr>
        <w:pStyle w:val="7"/>
        <w:spacing w:before="181" w:line="219" w:lineRule="auto"/>
        <w:ind w:left="48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6、不进行虚假恶意投诉。</w:t>
      </w:r>
    </w:p>
    <w:p w14:paraId="2CAEDD34">
      <w:pPr>
        <w:pStyle w:val="7"/>
        <w:spacing w:before="181" w:line="21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7、如有违反政府采购法律、法规、规章被查处的，不干预案件查处。</w:t>
      </w:r>
    </w:p>
    <w:p w14:paraId="1A4A86DD">
      <w:pPr>
        <w:pStyle w:val="7"/>
        <w:spacing w:before="185" w:line="346" w:lineRule="auto"/>
        <w:ind w:left="3" w:right="99"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如出现上述行为，本供应商自愿承担相关责任，接受</w:t>
      </w:r>
      <w:r>
        <w:rPr>
          <w:rFonts w:hint="eastAsia" w:ascii="宋体" w:hAnsi="宋体" w:eastAsia="宋体" w:cs="宋体"/>
          <w:color w:val="auto"/>
          <w:spacing w:val="-1"/>
          <w:sz w:val="24"/>
          <w:szCs w:val="24"/>
          <w:highlight w:val="none"/>
        </w:rPr>
        <w:t>采购监督管理部门、纪检监察部门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或司法机关调查处理。给采购人造成损失的，依法承担赔偿责任。</w:t>
      </w:r>
    </w:p>
    <w:p w14:paraId="08348193">
      <w:pPr>
        <w:spacing w:line="419" w:lineRule="auto"/>
        <w:rPr>
          <w:rFonts w:hint="eastAsia" w:ascii="宋体" w:hAnsi="宋体" w:eastAsia="宋体" w:cs="宋体"/>
          <w:color w:val="auto"/>
          <w:sz w:val="24"/>
          <w:szCs w:val="24"/>
          <w:highlight w:val="none"/>
        </w:rPr>
      </w:pPr>
    </w:p>
    <w:p w14:paraId="2425A2C3">
      <w:pPr>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磋商申请人</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7A26C1B">
      <w:pPr>
        <w:spacing w:line="360" w:lineRule="auto"/>
        <w:ind w:firstLine="480" w:firstLineChars="200"/>
        <w:jc w:val="both"/>
        <w:rPr>
          <w:rFonts w:hint="eastAsia" w:ascii="宋体" w:hAnsi="宋体" w:eastAsia="宋体" w:cs="宋体"/>
          <w:color w:val="auto"/>
          <w:sz w:val="24"/>
          <w:szCs w:val="24"/>
          <w:highlight w:val="none"/>
        </w:rPr>
      </w:pPr>
    </w:p>
    <w:p w14:paraId="7E607FE5">
      <w:pPr>
        <w:spacing w:line="360" w:lineRule="auto"/>
        <w:ind w:firstLine="480" w:firstLineChars="2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或签章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p>
    <w:p w14:paraId="2BAD6FCC">
      <w:pPr>
        <w:spacing w:line="360" w:lineRule="auto"/>
        <w:ind w:firstLine="480" w:firstLineChars="200"/>
        <w:jc w:val="both"/>
        <w:rPr>
          <w:rFonts w:hint="eastAsia" w:ascii="宋体" w:hAnsi="宋体" w:eastAsia="宋体" w:cs="宋体"/>
          <w:color w:val="auto"/>
          <w:sz w:val="24"/>
          <w:szCs w:val="24"/>
          <w:highlight w:val="none"/>
        </w:rPr>
      </w:pPr>
    </w:p>
    <w:p w14:paraId="7588F45F">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C80A158">
      <w:pPr>
        <w:spacing w:line="248" w:lineRule="auto"/>
        <w:rPr>
          <w:rFonts w:hint="eastAsia" w:ascii="宋体" w:hAnsi="宋体" w:eastAsia="宋体" w:cs="宋体"/>
          <w:color w:val="auto"/>
          <w:sz w:val="24"/>
          <w:szCs w:val="24"/>
          <w:highlight w:val="none"/>
        </w:rPr>
      </w:pPr>
    </w:p>
    <w:p w14:paraId="50AC8DDD">
      <w:pPr>
        <w:rPr>
          <w:rFonts w:hint="eastAsia" w:ascii="宋体" w:hAnsi="宋体" w:eastAsia="宋体" w:cs="宋体"/>
          <w:b/>
          <w:bCs/>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br w:type="page"/>
      </w:r>
    </w:p>
    <w:p w14:paraId="4CE9F084">
      <w:pPr>
        <w:pStyle w:val="4"/>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七、技术方案</w:t>
      </w:r>
    </w:p>
    <w:p w14:paraId="44CEDD7B">
      <w:pPr>
        <w:pStyle w:val="7"/>
        <w:numPr>
          <w:ilvl w:val="0"/>
          <w:numId w:val="0"/>
        </w:numPr>
        <w:spacing w:before="101" w:line="349" w:lineRule="auto"/>
        <w:ind w:right="3818" w:rightChars="0"/>
        <w:jc w:val="center"/>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按照竞争性磋商文件要求编制施工组织设计方案。</w:t>
      </w:r>
    </w:p>
    <w:p w14:paraId="42474F91">
      <w:pPr>
        <w:pStyle w:val="7"/>
        <w:spacing w:before="38" w:line="354" w:lineRule="auto"/>
        <w:ind w:left="11" w:firstLine="4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1.供应商编制施工组织设计的要求：编制时应采用文字并结合图表形式说明施工方法；</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拟供应商本标段的主要施工设备情况、拟配备本标段的试验和检测仪</w:t>
      </w:r>
      <w:r>
        <w:rPr>
          <w:rFonts w:hint="eastAsia" w:ascii="宋体" w:hAnsi="宋体" w:eastAsia="宋体" w:cs="宋体"/>
          <w:color w:val="auto"/>
          <w:spacing w:val="-1"/>
          <w:sz w:val="24"/>
          <w:szCs w:val="24"/>
          <w:highlight w:val="none"/>
        </w:rPr>
        <w:t>器设备情况、劳动力计</w:t>
      </w:r>
      <w:r>
        <w:rPr>
          <w:rFonts w:hint="eastAsia" w:ascii="宋体" w:hAnsi="宋体" w:eastAsia="宋体" w:cs="宋体"/>
          <w:color w:val="auto"/>
          <w:sz w:val="24"/>
          <w:szCs w:val="24"/>
          <w:highlight w:val="none"/>
        </w:rPr>
        <w:t xml:space="preserve"> 划等；结合工程特点提出切实可行的工程质量、安全生产、文明施工</w:t>
      </w:r>
      <w:r>
        <w:rPr>
          <w:rFonts w:hint="eastAsia" w:ascii="宋体" w:hAnsi="宋体" w:eastAsia="宋体" w:cs="宋体"/>
          <w:color w:val="auto"/>
          <w:spacing w:val="-1"/>
          <w:sz w:val="24"/>
          <w:szCs w:val="24"/>
          <w:highlight w:val="none"/>
        </w:rPr>
        <w:t>、工程进度、技术组织</w:t>
      </w:r>
      <w:r>
        <w:rPr>
          <w:rFonts w:hint="eastAsia" w:ascii="宋体" w:hAnsi="宋体" w:eastAsia="宋体" w:cs="宋体"/>
          <w:color w:val="auto"/>
          <w:sz w:val="24"/>
          <w:szCs w:val="24"/>
          <w:highlight w:val="none"/>
        </w:rPr>
        <w:t xml:space="preserve"> 措施、应急预案、环保体系等，同时应对关键工序、复杂环节重点提</w:t>
      </w:r>
      <w:r>
        <w:rPr>
          <w:rFonts w:hint="eastAsia" w:ascii="宋体" w:hAnsi="宋体" w:eastAsia="宋体" w:cs="宋体"/>
          <w:color w:val="auto"/>
          <w:spacing w:val="-1"/>
          <w:sz w:val="24"/>
          <w:szCs w:val="24"/>
          <w:highlight w:val="none"/>
        </w:rPr>
        <w:t>出相应技术措施，如冬</w:t>
      </w:r>
      <w:r>
        <w:rPr>
          <w:rFonts w:hint="eastAsia" w:ascii="宋体" w:hAnsi="宋体" w:eastAsia="宋体" w:cs="宋体"/>
          <w:color w:val="auto"/>
          <w:sz w:val="24"/>
          <w:szCs w:val="24"/>
          <w:highlight w:val="none"/>
        </w:rPr>
        <w:t xml:space="preserve"> 雨季节施工技术、减少噪音、降低环境污染、地下管线及其他地上地</w:t>
      </w:r>
      <w:r>
        <w:rPr>
          <w:rFonts w:hint="eastAsia" w:ascii="宋体" w:hAnsi="宋体" w:eastAsia="宋体" w:cs="宋体"/>
          <w:color w:val="auto"/>
          <w:spacing w:val="-1"/>
          <w:sz w:val="24"/>
          <w:szCs w:val="24"/>
          <w:highlight w:val="none"/>
        </w:rPr>
        <w:t>下设施的保护加固措施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等。</w:t>
      </w:r>
    </w:p>
    <w:p w14:paraId="241A169A">
      <w:pPr>
        <w:pStyle w:val="7"/>
        <w:spacing w:before="37" w:line="344" w:lineRule="auto"/>
        <w:ind w:left="510" w:right="1719" w:hanging="1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2.施工组织设计除采用文字表述可附下列图表，图表及格式要求附后。</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2"/>
          <w:sz w:val="24"/>
          <w:szCs w:val="24"/>
          <w:highlight w:val="none"/>
        </w:rPr>
        <w:t>附表一：拟投入本标段的主要施工设备表</w:t>
      </w:r>
    </w:p>
    <w:p w14:paraId="3DE2911A">
      <w:pPr>
        <w:spacing w:line="19" w:lineRule="auto"/>
        <w:rPr>
          <w:rFonts w:ascii="Arial"/>
          <w:color w:val="auto"/>
          <w:sz w:val="2"/>
          <w:highlight w:val="none"/>
        </w:rPr>
      </w:pPr>
    </w:p>
    <w:tbl>
      <w:tblPr>
        <w:tblStyle w:val="36"/>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1087"/>
        <w:gridCol w:w="899"/>
        <w:gridCol w:w="900"/>
        <w:gridCol w:w="900"/>
        <w:gridCol w:w="900"/>
        <w:gridCol w:w="1120"/>
        <w:gridCol w:w="859"/>
        <w:gridCol w:w="1236"/>
        <w:gridCol w:w="747"/>
      </w:tblGrid>
      <w:tr w14:paraId="28006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716" w:type="dxa"/>
            <w:vAlign w:val="top"/>
          </w:tcPr>
          <w:p w14:paraId="653550A6">
            <w:pPr>
              <w:spacing w:line="425" w:lineRule="auto"/>
              <w:rPr>
                <w:rFonts w:ascii="Arial"/>
                <w:color w:val="auto"/>
                <w:sz w:val="21"/>
                <w:highlight w:val="none"/>
              </w:rPr>
            </w:pPr>
          </w:p>
          <w:p w14:paraId="7BEDD894">
            <w:pPr>
              <w:pStyle w:val="39"/>
              <w:spacing w:before="78" w:line="221" w:lineRule="auto"/>
              <w:ind w:left="124"/>
              <w:rPr>
                <w:color w:val="auto"/>
                <w:highlight w:val="none"/>
              </w:rPr>
            </w:pPr>
            <w:r>
              <w:rPr>
                <w:color w:val="auto"/>
                <w:spacing w:val="-5"/>
                <w:highlight w:val="none"/>
              </w:rPr>
              <w:t>序号</w:t>
            </w:r>
          </w:p>
        </w:tc>
        <w:tc>
          <w:tcPr>
            <w:tcW w:w="1087" w:type="dxa"/>
            <w:vAlign w:val="top"/>
          </w:tcPr>
          <w:p w14:paraId="2DD70289">
            <w:pPr>
              <w:pStyle w:val="39"/>
              <w:spacing w:before="273" w:line="346" w:lineRule="auto"/>
              <w:ind w:left="428" w:right="181" w:hanging="235"/>
              <w:rPr>
                <w:color w:val="auto"/>
                <w:highlight w:val="none"/>
              </w:rPr>
            </w:pPr>
            <w:r>
              <w:rPr>
                <w:color w:val="auto"/>
                <w:spacing w:val="-5"/>
                <w:highlight w:val="none"/>
              </w:rPr>
              <w:t>设备名</w:t>
            </w:r>
            <w:r>
              <w:rPr>
                <w:color w:val="auto"/>
                <w:highlight w:val="none"/>
              </w:rPr>
              <w:t xml:space="preserve"> 称</w:t>
            </w:r>
          </w:p>
        </w:tc>
        <w:tc>
          <w:tcPr>
            <w:tcW w:w="899" w:type="dxa"/>
            <w:vAlign w:val="top"/>
          </w:tcPr>
          <w:p w14:paraId="7957F384">
            <w:pPr>
              <w:pStyle w:val="39"/>
              <w:spacing w:before="273" w:line="345" w:lineRule="auto"/>
              <w:ind w:left="217" w:right="207" w:firstLine="6"/>
              <w:rPr>
                <w:color w:val="auto"/>
                <w:highlight w:val="none"/>
              </w:rPr>
            </w:pPr>
            <w:r>
              <w:rPr>
                <w:color w:val="auto"/>
                <w:spacing w:val="-9"/>
                <w:highlight w:val="none"/>
              </w:rPr>
              <w:t>型号</w:t>
            </w:r>
            <w:r>
              <w:rPr>
                <w:color w:val="auto"/>
                <w:highlight w:val="none"/>
              </w:rPr>
              <w:t xml:space="preserve"> </w:t>
            </w:r>
            <w:r>
              <w:rPr>
                <w:color w:val="auto"/>
                <w:spacing w:val="-6"/>
                <w:highlight w:val="none"/>
              </w:rPr>
              <w:t>规格</w:t>
            </w:r>
          </w:p>
        </w:tc>
        <w:tc>
          <w:tcPr>
            <w:tcW w:w="900" w:type="dxa"/>
            <w:vAlign w:val="top"/>
          </w:tcPr>
          <w:p w14:paraId="3F9F7AD4">
            <w:pPr>
              <w:spacing w:line="426" w:lineRule="auto"/>
              <w:rPr>
                <w:rFonts w:ascii="Arial"/>
                <w:color w:val="auto"/>
                <w:sz w:val="21"/>
                <w:highlight w:val="none"/>
              </w:rPr>
            </w:pPr>
          </w:p>
          <w:p w14:paraId="3B3F8D9C">
            <w:pPr>
              <w:pStyle w:val="39"/>
              <w:spacing w:before="78" w:line="219" w:lineRule="auto"/>
              <w:ind w:left="219"/>
              <w:rPr>
                <w:color w:val="auto"/>
                <w:highlight w:val="none"/>
              </w:rPr>
            </w:pPr>
            <w:r>
              <w:rPr>
                <w:color w:val="auto"/>
                <w:spacing w:val="-6"/>
                <w:highlight w:val="none"/>
              </w:rPr>
              <w:t>数量</w:t>
            </w:r>
          </w:p>
        </w:tc>
        <w:tc>
          <w:tcPr>
            <w:tcW w:w="900" w:type="dxa"/>
            <w:vAlign w:val="top"/>
          </w:tcPr>
          <w:p w14:paraId="571A12B2">
            <w:pPr>
              <w:pStyle w:val="39"/>
              <w:spacing w:before="273" w:line="345" w:lineRule="auto"/>
              <w:ind w:left="217" w:right="207" w:firstLine="23"/>
              <w:rPr>
                <w:color w:val="auto"/>
                <w:highlight w:val="none"/>
              </w:rPr>
            </w:pPr>
            <w:r>
              <w:rPr>
                <w:color w:val="auto"/>
                <w:spacing w:val="-17"/>
                <w:highlight w:val="none"/>
              </w:rPr>
              <w:t>国别</w:t>
            </w:r>
            <w:r>
              <w:rPr>
                <w:color w:val="auto"/>
                <w:highlight w:val="none"/>
              </w:rPr>
              <w:t xml:space="preserve"> </w:t>
            </w:r>
            <w:r>
              <w:rPr>
                <w:color w:val="auto"/>
                <w:spacing w:val="-5"/>
                <w:highlight w:val="none"/>
              </w:rPr>
              <w:t>产地</w:t>
            </w:r>
          </w:p>
        </w:tc>
        <w:tc>
          <w:tcPr>
            <w:tcW w:w="900" w:type="dxa"/>
            <w:vAlign w:val="top"/>
          </w:tcPr>
          <w:p w14:paraId="367E80CB">
            <w:pPr>
              <w:pStyle w:val="39"/>
              <w:spacing w:before="273" w:line="345" w:lineRule="auto"/>
              <w:ind w:left="218" w:right="207"/>
              <w:rPr>
                <w:color w:val="auto"/>
                <w:highlight w:val="none"/>
              </w:rPr>
            </w:pPr>
            <w:r>
              <w:rPr>
                <w:color w:val="auto"/>
                <w:spacing w:val="-6"/>
                <w:highlight w:val="none"/>
              </w:rPr>
              <w:t>制造</w:t>
            </w:r>
            <w:r>
              <w:rPr>
                <w:color w:val="auto"/>
                <w:highlight w:val="none"/>
              </w:rPr>
              <w:t xml:space="preserve"> </w:t>
            </w:r>
            <w:r>
              <w:rPr>
                <w:color w:val="auto"/>
                <w:spacing w:val="-6"/>
                <w:highlight w:val="none"/>
              </w:rPr>
              <w:t>年份</w:t>
            </w:r>
          </w:p>
        </w:tc>
        <w:tc>
          <w:tcPr>
            <w:tcW w:w="1120" w:type="dxa"/>
            <w:vAlign w:val="top"/>
          </w:tcPr>
          <w:p w14:paraId="2A87E7A2">
            <w:pPr>
              <w:pStyle w:val="39"/>
              <w:spacing w:before="40" w:line="345" w:lineRule="auto"/>
              <w:ind w:left="448" w:right="196" w:hanging="241"/>
              <w:rPr>
                <w:color w:val="auto"/>
                <w:highlight w:val="none"/>
              </w:rPr>
            </w:pPr>
            <w:r>
              <w:rPr>
                <w:color w:val="auto"/>
                <w:spacing w:val="-4"/>
                <w:highlight w:val="none"/>
              </w:rPr>
              <w:t>额定功</w:t>
            </w:r>
            <w:r>
              <w:rPr>
                <w:color w:val="auto"/>
                <w:spacing w:val="1"/>
                <w:highlight w:val="none"/>
              </w:rPr>
              <w:t xml:space="preserve"> </w:t>
            </w:r>
            <w:r>
              <w:rPr>
                <w:color w:val="auto"/>
                <w:highlight w:val="none"/>
              </w:rPr>
              <w:t>率</w:t>
            </w:r>
          </w:p>
          <w:p w14:paraId="02D22374">
            <w:pPr>
              <w:pStyle w:val="39"/>
              <w:spacing w:before="36" w:line="232" w:lineRule="auto"/>
              <w:ind w:left="219"/>
              <w:rPr>
                <w:color w:val="auto"/>
                <w:highlight w:val="none"/>
              </w:rPr>
            </w:pPr>
            <w:r>
              <w:rPr>
                <w:color w:val="auto"/>
                <w:spacing w:val="-6"/>
                <w:highlight w:val="none"/>
              </w:rPr>
              <w:t>（KW）</w:t>
            </w:r>
          </w:p>
        </w:tc>
        <w:tc>
          <w:tcPr>
            <w:tcW w:w="859" w:type="dxa"/>
            <w:vAlign w:val="top"/>
          </w:tcPr>
          <w:p w14:paraId="052A4853">
            <w:pPr>
              <w:pStyle w:val="39"/>
              <w:spacing w:before="273" w:line="345" w:lineRule="auto"/>
              <w:ind w:left="205" w:right="187" w:hanging="7"/>
              <w:rPr>
                <w:color w:val="auto"/>
                <w:highlight w:val="none"/>
              </w:rPr>
            </w:pPr>
            <w:r>
              <w:rPr>
                <w:color w:val="auto"/>
                <w:spacing w:val="-6"/>
                <w:highlight w:val="none"/>
              </w:rPr>
              <w:t>生产</w:t>
            </w:r>
            <w:r>
              <w:rPr>
                <w:color w:val="auto"/>
                <w:highlight w:val="none"/>
              </w:rPr>
              <w:t xml:space="preserve"> </w:t>
            </w:r>
            <w:r>
              <w:rPr>
                <w:color w:val="auto"/>
                <w:spacing w:val="-10"/>
                <w:highlight w:val="none"/>
              </w:rPr>
              <w:t>能力</w:t>
            </w:r>
          </w:p>
        </w:tc>
        <w:tc>
          <w:tcPr>
            <w:tcW w:w="1236" w:type="dxa"/>
            <w:vAlign w:val="top"/>
          </w:tcPr>
          <w:p w14:paraId="7DB23C6A">
            <w:pPr>
              <w:pStyle w:val="39"/>
              <w:spacing w:before="273" w:line="345" w:lineRule="auto"/>
              <w:ind w:left="388" w:right="134" w:hanging="240"/>
              <w:rPr>
                <w:color w:val="auto"/>
                <w:highlight w:val="none"/>
              </w:rPr>
            </w:pPr>
            <w:r>
              <w:rPr>
                <w:color w:val="auto"/>
                <w:spacing w:val="-3"/>
                <w:highlight w:val="none"/>
              </w:rPr>
              <w:t>用于施工</w:t>
            </w:r>
            <w:r>
              <w:rPr>
                <w:color w:val="auto"/>
                <w:highlight w:val="none"/>
              </w:rPr>
              <w:t xml:space="preserve"> </w:t>
            </w:r>
            <w:r>
              <w:rPr>
                <w:color w:val="auto"/>
                <w:spacing w:val="-7"/>
                <w:highlight w:val="none"/>
              </w:rPr>
              <w:t>部位</w:t>
            </w:r>
          </w:p>
        </w:tc>
        <w:tc>
          <w:tcPr>
            <w:tcW w:w="747" w:type="dxa"/>
            <w:vAlign w:val="top"/>
          </w:tcPr>
          <w:p w14:paraId="521D12A2">
            <w:pPr>
              <w:spacing w:line="425" w:lineRule="auto"/>
              <w:rPr>
                <w:rFonts w:ascii="Arial"/>
                <w:color w:val="auto"/>
                <w:sz w:val="21"/>
                <w:highlight w:val="none"/>
              </w:rPr>
            </w:pPr>
          </w:p>
          <w:p w14:paraId="0E24943D">
            <w:pPr>
              <w:pStyle w:val="39"/>
              <w:spacing w:before="78" w:line="221" w:lineRule="auto"/>
              <w:ind w:left="141"/>
              <w:rPr>
                <w:color w:val="auto"/>
                <w:highlight w:val="none"/>
              </w:rPr>
            </w:pPr>
            <w:r>
              <w:rPr>
                <w:color w:val="auto"/>
                <w:spacing w:val="-7"/>
                <w:highlight w:val="none"/>
              </w:rPr>
              <w:t>备注</w:t>
            </w:r>
          </w:p>
        </w:tc>
      </w:tr>
      <w:tr w14:paraId="3D559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16" w:type="dxa"/>
            <w:vAlign w:val="top"/>
          </w:tcPr>
          <w:p w14:paraId="7896581A">
            <w:pPr>
              <w:rPr>
                <w:rFonts w:ascii="Arial"/>
                <w:color w:val="auto"/>
                <w:sz w:val="21"/>
                <w:highlight w:val="none"/>
              </w:rPr>
            </w:pPr>
          </w:p>
        </w:tc>
        <w:tc>
          <w:tcPr>
            <w:tcW w:w="1087" w:type="dxa"/>
            <w:vAlign w:val="top"/>
          </w:tcPr>
          <w:p w14:paraId="341B15D4">
            <w:pPr>
              <w:rPr>
                <w:rFonts w:ascii="Arial"/>
                <w:color w:val="auto"/>
                <w:sz w:val="21"/>
                <w:highlight w:val="none"/>
              </w:rPr>
            </w:pPr>
          </w:p>
        </w:tc>
        <w:tc>
          <w:tcPr>
            <w:tcW w:w="899" w:type="dxa"/>
            <w:vAlign w:val="top"/>
          </w:tcPr>
          <w:p w14:paraId="6EA7F853">
            <w:pPr>
              <w:rPr>
                <w:rFonts w:ascii="Arial"/>
                <w:color w:val="auto"/>
                <w:sz w:val="21"/>
                <w:highlight w:val="none"/>
              </w:rPr>
            </w:pPr>
          </w:p>
        </w:tc>
        <w:tc>
          <w:tcPr>
            <w:tcW w:w="900" w:type="dxa"/>
            <w:vAlign w:val="top"/>
          </w:tcPr>
          <w:p w14:paraId="481383ED">
            <w:pPr>
              <w:rPr>
                <w:rFonts w:ascii="Arial"/>
                <w:color w:val="auto"/>
                <w:sz w:val="21"/>
                <w:highlight w:val="none"/>
              </w:rPr>
            </w:pPr>
          </w:p>
        </w:tc>
        <w:tc>
          <w:tcPr>
            <w:tcW w:w="900" w:type="dxa"/>
            <w:vAlign w:val="top"/>
          </w:tcPr>
          <w:p w14:paraId="079094FE">
            <w:pPr>
              <w:rPr>
                <w:rFonts w:ascii="Arial"/>
                <w:color w:val="auto"/>
                <w:sz w:val="21"/>
                <w:highlight w:val="none"/>
              </w:rPr>
            </w:pPr>
          </w:p>
        </w:tc>
        <w:tc>
          <w:tcPr>
            <w:tcW w:w="900" w:type="dxa"/>
            <w:vAlign w:val="top"/>
          </w:tcPr>
          <w:p w14:paraId="6310FB5A">
            <w:pPr>
              <w:rPr>
                <w:rFonts w:ascii="Arial"/>
                <w:color w:val="auto"/>
                <w:sz w:val="21"/>
                <w:highlight w:val="none"/>
              </w:rPr>
            </w:pPr>
          </w:p>
        </w:tc>
        <w:tc>
          <w:tcPr>
            <w:tcW w:w="1120" w:type="dxa"/>
            <w:vAlign w:val="top"/>
          </w:tcPr>
          <w:p w14:paraId="6DEF21D8">
            <w:pPr>
              <w:rPr>
                <w:rFonts w:ascii="Arial"/>
                <w:color w:val="auto"/>
                <w:sz w:val="21"/>
                <w:highlight w:val="none"/>
              </w:rPr>
            </w:pPr>
          </w:p>
        </w:tc>
        <w:tc>
          <w:tcPr>
            <w:tcW w:w="859" w:type="dxa"/>
            <w:vAlign w:val="top"/>
          </w:tcPr>
          <w:p w14:paraId="638C4DB2">
            <w:pPr>
              <w:rPr>
                <w:rFonts w:ascii="Arial"/>
                <w:color w:val="auto"/>
                <w:sz w:val="21"/>
                <w:highlight w:val="none"/>
              </w:rPr>
            </w:pPr>
          </w:p>
        </w:tc>
        <w:tc>
          <w:tcPr>
            <w:tcW w:w="1236" w:type="dxa"/>
            <w:vAlign w:val="top"/>
          </w:tcPr>
          <w:p w14:paraId="2863F1CC">
            <w:pPr>
              <w:rPr>
                <w:rFonts w:ascii="Arial"/>
                <w:color w:val="auto"/>
                <w:sz w:val="21"/>
                <w:highlight w:val="none"/>
              </w:rPr>
            </w:pPr>
          </w:p>
        </w:tc>
        <w:tc>
          <w:tcPr>
            <w:tcW w:w="747" w:type="dxa"/>
            <w:vAlign w:val="top"/>
          </w:tcPr>
          <w:p w14:paraId="53F4BC4A">
            <w:pPr>
              <w:rPr>
                <w:rFonts w:ascii="Arial"/>
                <w:color w:val="auto"/>
                <w:sz w:val="21"/>
                <w:highlight w:val="none"/>
              </w:rPr>
            </w:pPr>
          </w:p>
        </w:tc>
      </w:tr>
      <w:tr w14:paraId="61A64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16" w:type="dxa"/>
            <w:vAlign w:val="top"/>
          </w:tcPr>
          <w:p w14:paraId="25ACA964">
            <w:pPr>
              <w:rPr>
                <w:rFonts w:ascii="Arial"/>
                <w:color w:val="auto"/>
                <w:sz w:val="21"/>
                <w:highlight w:val="none"/>
              </w:rPr>
            </w:pPr>
          </w:p>
        </w:tc>
        <w:tc>
          <w:tcPr>
            <w:tcW w:w="1087" w:type="dxa"/>
            <w:vAlign w:val="top"/>
          </w:tcPr>
          <w:p w14:paraId="05F74BC4">
            <w:pPr>
              <w:rPr>
                <w:rFonts w:ascii="Arial"/>
                <w:color w:val="auto"/>
                <w:sz w:val="21"/>
                <w:highlight w:val="none"/>
              </w:rPr>
            </w:pPr>
          </w:p>
        </w:tc>
        <w:tc>
          <w:tcPr>
            <w:tcW w:w="899" w:type="dxa"/>
            <w:vAlign w:val="top"/>
          </w:tcPr>
          <w:p w14:paraId="07E4F78E">
            <w:pPr>
              <w:rPr>
                <w:rFonts w:ascii="Arial"/>
                <w:color w:val="auto"/>
                <w:sz w:val="21"/>
                <w:highlight w:val="none"/>
              </w:rPr>
            </w:pPr>
          </w:p>
        </w:tc>
        <w:tc>
          <w:tcPr>
            <w:tcW w:w="900" w:type="dxa"/>
            <w:vAlign w:val="top"/>
          </w:tcPr>
          <w:p w14:paraId="1489809D">
            <w:pPr>
              <w:rPr>
                <w:rFonts w:ascii="Arial"/>
                <w:color w:val="auto"/>
                <w:sz w:val="21"/>
                <w:highlight w:val="none"/>
              </w:rPr>
            </w:pPr>
          </w:p>
        </w:tc>
        <w:tc>
          <w:tcPr>
            <w:tcW w:w="900" w:type="dxa"/>
            <w:vAlign w:val="top"/>
          </w:tcPr>
          <w:p w14:paraId="1C1E85F0">
            <w:pPr>
              <w:rPr>
                <w:rFonts w:ascii="Arial"/>
                <w:color w:val="auto"/>
                <w:sz w:val="21"/>
                <w:highlight w:val="none"/>
              </w:rPr>
            </w:pPr>
          </w:p>
        </w:tc>
        <w:tc>
          <w:tcPr>
            <w:tcW w:w="900" w:type="dxa"/>
            <w:vAlign w:val="top"/>
          </w:tcPr>
          <w:p w14:paraId="7CE9175E">
            <w:pPr>
              <w:rPr>
                <w:rFonts w:ascii="Arial"/>
                <w:color w:val="auto"/>
                <w:sz w:val="21"/>
                <w:highlight w:val="none"/>
              </w:rPr>
            </w:pPr>
          </w:p>
        </w:tc>
        <w:tc>
          <w:tcPr>
            <w:tcW w:w="1120" w:type="dxa"/>
            <w:vAlign w:val="top"/>
          </w:tcPr>
          <w:p w14:paraId="79377E4F">
            <w:pPr>
              <w:rPr>
                <w:rFonts w:ascii="Arial"/>
                <w:color w:val="auto"/>
                <w:sz w:val="21"/>
                <w:highlight w:val="none"/>
              </w:rPr>
            </w:pPr>
          </w:p>
        </w:tc>
        <w:tc>
          <w:tcPr>
            <w:tcW w:w="859" w:type="dxa"/>
            <w:vAlign w:val="top"/>
          </w:tcPr>
          <w:p w14:paraId="0D0177DF">
            <w:pPr>
              <w:rPr>
                <w:rFonts w:ascii="Arial"/>
                <w:color w:val="auto"/>
                <w:sz w:val="21"/>
                <w:highlight w:val="none"/>
              </w:rPr>
            </w:pPr>
          </w:p>
        </w:tc>
        <w:tc>
          <w:tcPr>
            <w:tcW w:w="1236" w:type="dxa"/>
            <w:vAlign w:val="top"/>
          </w:tcPr>
          <w:p w14:paraId="1693A80C">
            <w:pPr>
              <w:rPr>
                <w:rFonts w:ascii="Arial"/>
                <w:color w:val="auto"/>
                <w:sz w:val="21"/>
                <w:highlight w:val="none"/>
              </w:rPr>
            </w:pPr>
          </w:p>
        </w:tc>
        <w:tc>
          <w:tcPr>
            <w:tcW w:w="747" w:type="dxa"/>
            <w:vAlign w:val="top"/>
          </w:tcPr>
          <w:p w14:paraId="283715DF">
            <w:pPr>
              <w:rPr>
                <w:rFonts w:ascii="Arial"/>
                <w:color w:val="auto"/>
                <w:sz w:val="21"/>
                <w:highlight w:val="none"/>
              </w:rPr>
            </w:pPr>
          </w:p>
        </w:tc>
      </w:tr>
      <w:tr w14:paraId="09715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16" w:type="dxa"/>
            <w:vAlign w:val="top"/>
          </w:tcPr>
          <w:p w14:paraId="4A3A4095">
            <w:pPr>
              <w:rPr>
                <w:rFonts w:ascii="Arial"/>
                <w:color w:val="auto"/>
                <w:sz w:val="21"/>
                <w:highlight w:val="none"/>
              </w:rPr>
            </w:pPr>
          </w:p>
        </w:tc>
        <w:tc>
          <w:tcPr>
            <w:tcW w:w="1087" w:type="dxa"/>
            <w:vAlign w:val="top"/>
          </w:tcPr>
          <w:p w14:paraId="2D34944A">
            <w:pPr>
              <w:rPr>
                <w:rFonts w:ascii="Arial"/>
                <w:color w:val="auto"/>
                <w:sz w:val="21"/>
                <w:highlight w:val="none"/>
              </w:rPr>
            </w:pPr>
          </w:p>
        </w:tc>
        <w:tc>
          <w:tcPr>
            <w:tcW w:w="899" w:type="dxa"/>
            <w:vAlign w:val="top"/>
          </w:tcPr>
          <w:p w14:paraId="7286900C">
            <w:pPr>
              <w:rPr>
                <w:rFonts w:ascii="Arial"/>
                <w:color w:val="auto"/>
                <w:sz w:val="21"/>
                <w:highlight w:val="none"/>
              </w:rPr>
            </w:pPr>
          </w:p>
        </w:tc>
        <w:tc>
          <w:tcPr>
            <w:tcW w:w="900" w:type="dxa"/>
            <w:vAlign w:val="top"/>
          </w:tcPr>
          <w:p w14:paraId="0C497453">
            <w:pPr>
              <w:rPr>
                <w:rFonts w:ascii="Arial"/>
                <w:color w:val="auto"/>
                <w:sz w:val="21"/>
                <w:highlight w:val="none"/>
              </w:rPr>
            </w:pPr>
          </w:p>
        </w:tc>
        <w:tc>
          <w:tcPr>
            <w:tcW w:w="900" w:type="dxa"/>
            <w:vAlign w:val="top"/>
          </w:tcPr>
          <w:p w14:paraId="6CAC3B51">
            <w:pPr>
              <w:rPr>
                <w:rFonts w:ascii="Arial"/>
                <w:color w:val="auto"/>
                <w:sz w:val="21"/>
                <w:highlight w:val="none"/>
              </w:rPr>
            </w:pPr>
          </w:p>
        </w:tc>
        <w:tc>
          <w:tcPr>
            <w:tcW w:w="900" w:type="dxa"/>
            <w:vAlign w:val="top"/>
          </w:tcPr>
          <w:p w14:paraId="25A300A4">
            <w:pPr>
              <w:rPr>
                <w:rFonts w:ascii="Arial"/>
                <w:color w:val="auto"/>
                <w:sz w:val="21"/>
                <w:highlight w:val="none"/>
              </w:rPr>
            </w:pPr>
          </w:p>
        </w:tc>
        <w:tc>
          <w:tcPr>
            <w:tcW w:w="1120" w:type="dxa"/>
            <w:vAlign w:val="top"/>
          </w:tcPr>
          <w:p w14:paraId="7FB98FDF">
            <w:pPr>
              <w:rPr>
                <w:rFonts w:ascii="Arial"/>
                <w:color w:val="auto"/>
                <w:sz w:val="21"/>
                <w:highlight w:val="none"/>
              </w:rPr>
            </w:pPr>
          </w:p>
        </w:tc>
        <w:tc>
          <w:tcPr>
            <w:tcW w:w="859" w:type="dxa"/>
            <w:vAlign w:val="top"/>
          </w:tcPr>
          <w:p w14:paraId="2E4BA144">
            <w:pPr>
              <w:rPr>
                <w:rFonts w:ascii="Arial"/>
                <w:color w:val="auto"/>
                <w:sz w:val="21"/>
                <w:highlight w:val="none"/>
              </w:rPr>
            </w:pPr>
          </w:p>
        </w:tc>
        <w:tc>
          <w:tcPr>
            <w:tcW w:w="1236" w:type="dxa"/>
            <w:vAlign w:val="top"/>
          </w:tcPr>
          <w:p w14:paraId="700554A4">
            <w:pPr>
              <w:rPr>
                <w:rFonts w:ascii="Arial"/>
                <w:color w:val="auto"/>
                <w:sz w:val="21"/>
                <w:highlight w:val="none"/>
              </w:rPr>
            </w:pPr>
          </w:p>
        </w:tc>
        <w:tc>
          <w:tcPr>
            <w:tcW w:w="747" w:type="dxa"/>
            <w:vAlign w:val="top"/>
          </w:tcPr>
          <w:p w14:paraId="7EF123ED">
            <w:pPr>
              <w:rPr>
                <w:rFonts w:ascii="Arial"/>
                <w:color w:val="auto"/>
                <w:sz w:val="21"/>
                <w:highlight w:val="none"/>
              </w:rPr>
            </w:pPr>
          </w:p>
        </w:tc>
      </w:tr>
      <w:tr w14:paraId="3B54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16" w:type="dxa"/>
            <w:vAlign w:val="top"/>
          </w:tcPr>
          <w:p w14:paraId="74D5915E">
            <w:pPr>
              <w:rPr>
                <w:rFonts w:ascii="Arial"/>
                <w:color w:val="auto"/>
                <w:sz w:val="21"/>
                <w:highlight w:val="none"/>
              </w:rPr>
            </w:pPr>
          </w:p>
        </w:tc>
        <w:tc>
          <w:tcPr>
            <w:tcW w:w="1087" w:type="dxa"/>
            <w:vAlign w:val="top"/>
          </w:tcPr>
          <w:p w14:paraId="6E1B036F">
            <w:pPr>
              <w:rPr>
                <w:rFonts w:ascii="Arial"/>
                <w:color w:val="auto"/>
                <w:sz w:val="21"/>
                <w:highlight w:val="none"/>
              </w:rPr>
            </w:pPr>
          </w:p>
        </w:tc>
        <w:tc>
          <w:tcPr>
            <w:tcW w:w="899" w:type="dxa"/>
            <w:vAlign w:val="top"/>
          </w:tcPr>
          <w:p w14:paraId="2AC795DA">
            <w:pPr>
              <w:rPr>
                <w:rFonts w:ascii="Arial"/>
                <w:color w:val="auto"/>
                <w:sz w:val="21"/>
                <w:highlight w:val="none"/>
              </w:rPr>
            </w:pPr>
          </w:p>
        </w:tc>
        <w:tc>
          <w:tcPr>
            <w:tcW w:w="900" w:type="dxa"/>
            <w:vAlign w:val="top"/>
          </w:tcPr>
          <w:p w14:paraId="3367E0E4">
            <w:pPr>
              <w:rPr>
                <w:rFonts w:ascii="Arial"/>
                <w:color w:val="auto"/>
                <w:sz w:val="21"/>
                <w:highlight w:val="none"/>
              </w:rPr>
            </w:pPr>
          </w:p>
        </w:tc>
        <w:tc>
          <w:tcPr>
            <w:tcW w:w="900" w:type="dxa"/>
            <w:vAlign w:val="top"/>
          </w:tcPr>
          <w:p w14:paraId="60BBEE86">
            <w:pPr>
              <w:rPr>
                <w:rFonts w:ascii="Arial"/>
                <w:color w:val="auto"/>
                <w:sz w:val="21"/>
                <w:highlight w:val="none"/>
              </w:rPr>
            </w:pPr>
          </w:p>
        </w:tc>
        <w:tc>
          <w:tcPr>
            <w:tcW w:w="900" w:type="dxa"/>
            <w:vAlign w:val="top"/>
          </w:tcPr>
          <w:p w14:paraId="7F8AC33E">
            <w:pPr>
              <w:rPr>
                <w:rFonts w:ascii="Arial"/>
                <w:color w:val="auto"/>
                <w:sz w:val="21"/>
                <w:highlight w:val="none"/>
              </w:rPr>
            </w:pPr>
          </w:p>
        </w:tc>
        <w:tc>
          <w:tcPr>
            <w:tcW w:w="1120" w:type="dxa"/>
            <w:vAlign w:val="top"/>
          </w:tcPr>
          <w:p w14:paraId="003D159E">
            <w:pPr>
              <w:rPr>
                <w:rFonts w:ascii="Arial"/>
                <w:color w:val="auto"/>
                <w:sz w:val="21"/>
                <w:highlight w:val="none"/>
              </w:rPr>
            </w:pPr>
          </w:p>
        </w:tc>
        <w:tc>
          <w:tcPr>
            <w:tcW w:w="859" w:type="dxa"/>
            <w:vAlign w:val="top"/>
          </w:tcPr>
          <w:p w14:paraId="2B1D9151">
            <w:pPr>
              <w:rPr>
                <w:rFonts w:ascii="Arial"/>
                <w:color w:val="auto"/>
                <w:sz w:val="21"/>
                <w:highlight w:val="none"/>
              </w:rPr>
            </w:pPr>
          </w:p>
        </w:tc>
        <w:tc>
          <w:tcPr>
            <w:tcW w:w="1236" w:type="dxa"/>
            <w:vAlign w:val="top"/>
          </w:tcPr>
          <w:p w14:paraId="798032D8">
            <w:pPr>
              <w:rPr>
                <w:rFonts w:ascii="Arial"/>
                <w:color w:val="auto"/>
                <w:sz w:val="21"/>
                <w:highlight w:val="none"/>
              </w:rPr>
            </w:pPr>
          </w:p>
        </w:tc>
        <w:tc>
          <w:tcPr>
            <w:tcW w:w="747" w:type="dxa"/>
            <w:vAlign w:val="top"/>
          </w:tcPr>
          <w:p w14:paraId="5E84FFF4">
            <w:pPr>
              <w:rPr>
                <w:rFonts w:ascii="Arial"/>
                <w:color w:val="auto"/>
                <w:sz w:val="21"/>
                <w:highlight w:val="none"/>
              </w:rPr>
            </w:pPr>
          </w:p>
        </w:tc>
      </w:tr>
    </w:tbl>
    <w:p w14:paraId="6BC76D34">
      <w:pPr>
        <w:pStyle w:val="7"/>
        <w:spacing w:before="35" w:line="219" w:lineRule="auto"/>
        <w:ind w:left="511"/>
        <w:rPr>
          <w:color w:val="auto"/>
          <w:sz w:val="24"/>
          <w:szCs w:val="24"/>
          <w:highlight w:val="none"/>
        </w:rPr>
      </w:pPr>
      <w:r>
        <w:rPr>
          <w:color w:val="auto"/>
          <w:spacing w:val="-2"/>
          <w:sz w:val="24"/>
          <w:szCs w:val="24"/>
          <w:highlight w:val="none"/>
        </w:rPr>
        <w:t>附表二：拟配备本标段的试验和检测仪器设备表</w:t>
      </w:r>
    </w:p>
    <w:p w14:paraId="0172E63F">
      <w:pPr>
        <w:spacing w:line="146" w:lineRule="exact"/>
        <w:rPr>
          <w:color w:val="auto"/>
          <w:highlight w:val="none"/>
        </w:rPr>
      </w:pPr>
    </w:p>
    <w:tbl>
      <w:tblPr>
        <w:tblStyle w:val="36"/>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1979"/>
        <w:gridCol w:w="899"/>
        <w:gridCol w:w="900"/>
        <w:gridCol w:w="900"/>
        <w:gridCol w:w="900"/>
        <w:gridCol w:w="1079"/>
        <w:gridCol w:w="1079"/>
        <w:gridCol w:w="904"/>
      </w:tblGrid>
      <w:tr w14:paraId="170A1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24" w:type="dxa"/>
            <w:vAlign w:val="top"/>
          </w:tcPr>
          <w:p w14:paraId="240EE6B3">
            <w:pPr>
              <w:pStyle w:val="39"/>
              <w:spacing w:before="272" w:line="221" w:lineRule="auto"/>
              <w:ind w:left="126"/>
              <w:rPr>
                <w:color w:val="auto"/>
                <w:highlight w:val="none"/>
              </w:rPr>
            </w:pPr>
            <w:r>
              <w:rPr>
                <w:color w:val="auto"/>
                <w:spacing w:val="-5"/>
                <w:highlight w:val="none"/>
              </w:rPr>
              <w:t>序号</w:t>
            </w:r>
          </w:p>
        </w:tc>
        <w:tc>
          <w:tcPr>
            <w:tcW w:w="1979" w:type="dxa"/>
            <w:vAlign w:val="top"/>
          </w:tcPr>
          <w:p w14:paraId="01610DC4">
            <w:pPr>
              <w:pStyle w:val="39"/>
              <w:spacing w:before="273" w:line="219" w:lineRule="auto"/>
              <w:ind w:left="276"/>
              <w:rPr>
                <w:color w:val="auto"/>
                <w:highlight w:val="none"/>
              </w:rPr>
            </w:pPr>
            <w:r>
              <w:rPr>
                <w:color w:val="auto"/>
                <w:spacing w:val="-2"/>
                <w:highlight w:val="none"/>
              </w:rPr>
              <w:t>仪器设备名称</w:t>
            </w:r>
          </w:p>
        </w:tc>
        <w:tc>
          <w:tcPr>
            <w:tcW w:w="899" w:type="dxa"/>
            <w:vAlign w:val="top"/>
          </w:tcPr>
          <w:p w14:paraId="51350575">
            <w:pPr>
              <w:pStyle w:val="39"/>
              <w:spacing w:before="40" w:line="343" w:lineRule="auto"/>
              <w:ind w:left="217" w:right="207" w:firstLine="6"/>
              <w:rPr>
                <w:color w:val="auto"/>
                <w:highlight w:val="none"/>
              </w:rPr>
            </w:pPr>
            <w:r>
              <w:rPr>
                <w:color w:val="auto"/>
                <w:spacing w:val="-9"/>
                <w:highlight w:val="none"/>
              </w:rPr>
              <w:t>型号</w:t>
            </w:r>
            <w:r>
              <w:rPr>
                <w:color w:val="auto"/>
                <w:highlight w:val="none"/>
              </w:rPr>
              <w:t xml:space="preserve"> </w:t>
            </w:r>
            <w:r>
              <w:rPr>
                <w:color w:val="auto"/>
                <w:spacing w:val="-6"/>
                <w:highlight w:val="none"/>
              </w:rPr>
              <w:t>规格</w:t>
            </w:r>
          </w:p>
        </w:tc>
        <w:tc>
          <w:tcPr>
            <w:tcW w:w="900" w:type="dxa"/>
            <w:vAlign w:val="top"/>
          </w:tcPr>
          <w:p w14:paraId="45954034">
            <w:pPr>
              <w:pStyle w:val="39"/>
              <w:spacing w:before="273" w:line="219" w:lineRule="auto"/>
              <w:ind w:left="219"/>
              <w:rPr>
                <w:color w:val="auto"/>
                <w:highlight w:val="none"/>
              </w:rPr>
            </w:pPr>
            <w:r>
              <w:rPr>
                <w:color w:val="auto"/>
                <w:spacing w:val="-6"/>
                <w:highlight w:val="none"/>
              </w:rPr>
              <w:t>数量</w:t>
            </w:r>
          </w:p>
        </w:tc>
        <w:tc>
          <w:tcPr>
            <w:tcW w:w="900" w:type="dxa"/>
            <w:vAlign w:val="top"/>
          </w:tcPr>
          <w:p w14:paraId="7867E11C">
            <w:pPr>
              <w:pStyle w:val="39"/>
              <w:spacing w:before="40" w:line="343" w:lineRule="auto"/>
              <w:ind w:left="217" w:right="207" w:firstLine="23"/>
              <w:rPr>
                <w:color w:val="auto"/>
                <w:highlight w:val="none"/>
              </w:rPr>
            </w:pPr>
            <w:r>
              <w:rPr>
                <w:color w:val="auto"/>
                <w:spacing w:val="-17"/>
                <w:highlight w:val="none"/>
              </w:rPr>
              <w:t>国别</w:t>
            </w:r>
            <w:r>
              <w:rPr>
                <w:color w:val="auto"/>
                <w:highlight w:val="none"/>
              </w:rPr>
              <w:t xml:space="preserve"> </w:t>
            </w:r>
            <w:r>
              <w:rPr>
                <w:color w:val="auto"/>
                <w:spacing w:val="-5"/>
                <w:highlight w:val="none"/>
              </w:rPr>
              <w:t>产地</w:t>
            </w:r>
          </w:p>
        </w:tc>
        <w:tc>
          <w:tcPr>
            <w:tcW w:w="900" w:type="dxa"/>
            <w:vAlign w:val="top"/>
          </w:tcPr>
          <w:p w14:paraId="2B70B14C">
            <w:pPr>
              <w:pStyle w:val="39"/>
              <w:spacing w:before="40" w:line="343" w:lineRule="auto"/>
              <w:ind w:left="218" w:right="207"/>
              <w:rPr>
                <w:color w:val="auto"/>
                <w:highlight w:val="none"/>
              </w:rPr>
            </w:pPr>
            <w:r>
              <w:rPr>
                <w:color w:val="auto"/>
                <w:spacing w:val="-6"/>
                <w:highlight w:val="none"/>
              </w:rPr>
              <w:t>制造</w:t>
            </w:r>
            <w:r>
              <w:rPr>
                <w:color w:val="auto"/>
                <w:highlight w:val="none"/>
              </w:rPr>
              <w:t xml:space="preserve"> </w:t>
            </w:r>
            <w:r>
              <w:rPr>
                <w:color w:val="auto"/>
                <w:spacing w:val="-6"/>
                <w:highlight w:val="none"/>
              </w:rPr>
              <w:t>年份</w:t>
            </w:r>
          </w:p>
        </w:tc>
        <w:tc>
          <w:tcPr>
            <w:tcW w:w="1079" w:type="dxa"/>
            <w:vAlign w:val="top"/>
          </w:tcPr>
          <w:p w14:paraId="621C438D">
            <w:pPr>
              <w:pStyle w:val="39"/>
              <w:spacing w:before="40" w:line="343" w:lineRule="auto"/>
              <w:ind w:left="204" w:right="49" w:hanging="64"/>
              <w:rPr>
                <w:color w:val="auto"/>
                <w:highlight w:val="none"/>
              </w:rPr>
            </w:pPr>
            <w:r>
              <w:rPr>
                <w:color w:val="auto"/>
                <w:spacing w:val="-19"/>
                <w:highlight w:val="none"/>
              </w:rPr>
              <w:t>已使用、</w:t>
            </w:r>
            <w:r>
              <w:rPr>
                <w:color w:val="auto"/>
                <w:highlight w:val="none"/>
              </w:rPr>
              <w:t xml:space="preserve"> </w:t>
            </w:r>
            <w:r>
              <w:rPr>
                <w:color w:val="auto"/>
                <w:spacing w:val="-10"/>
                <w:highlight w:val="none"/>
              </w:rPr>
              <w:t>台时数</w:t>
            </w:r>
          </w:p>
        </w:tc>
        <w:tc>
          <w:tcPr>
            <w:tcW w:w="1079" w:type="dxa"/>
            <w:vAlign w:val="top"/>
          </w:tcPr>
          <w:p w14:paraId="1C51CE1E">
            <w:pPr>
              <w:pStyle w:val="39"/>
              <w:spacing w:before="272" w:line="221" w:lineRule="auto"/>
              <w:ind w:left="308"/>
              <w:rPr>
                <w:color w:val="auto"/>
                <w:highlight w:val="none"/>
              </w:rPr>
            </w:pPr>
            <w:r>
              <w:rPr>
                <w:color w:val="auto"/>
                <w:spacing w:val="-6"/>
                <w:highlight w:val="none"/>
              </w:rPr>
              <w:t>用途</w:t>
            </w:r>
          </w:p>
        </w:tc>
        <w:tc>
          <w:tcPr>
            <w:tcW w:w="904" w:type="dxa"/>
            <w:vAlign w:val="top"/>
          </w:tcPr>
          <w:p w14:paraId="5EBBE554">
            <w:pPr>
              <w:pStyle w:val="39"/>
              <w:spacing w:before="272" w:line="221" w:lineRule="auto"/>
              <w:ind w:left="222"/>
              <w:rPr>
                <w:color w:val="auto"/>
                <w:highlight w:val="none"/>
              </w:rPr>
            </w:pPr>
            <w:r>
              <w:rPr>
                <w:color w:val="auto"/>
                <w:spacing w:val="-7"/>
                <w:highlight w:val="none"/>
              </w:rPr>
              <w:t>备注</w:t>
            </w:r>
          </w:p>
        </w:tc>
      </w:tr>
      <w:tr w14:paraId="74FD3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24" w:type="dxa"/>
            <w:vAlign w:val="top"/>
          </w:tcPr>
          <w:p w14:paraId="2FF52CEC">
            <w:pPr>
              <w:rPr>
                <w:rFonts w:ascii="Arial"/>
                <w:color w:val="auto"/>
                <w:sz w:val="21"/>
                <w:highlight w:val="none"/>
              </w:rPr>
            </w:pPr>
          </w:p>
        </w:tc>
        <w:tc>
          <w:tcPr>
            <w:tcW w:w="1979" w:type="dxa"/>
            <w:vAlign w:val="top"/>
          </w:tcPr>
          <w:p w14:paraId="52873CB0">
            <w:pPr>
              <w:rPr>
                <w:rFonts w:ascii="Arial"/>
                <w:color w:val="auto"/>
                <w:sz w:val="21"/>
                <w:highlight w:val="none"/>
              </w:rPr>
            </w:pPr>
          </w:p>
        </w:tc>
        <w:tc>
          <w:tcPr>
            <w:tcW w:w="899" w:type="dxa"/>
            <w:vAlign w:val="top"/>
          </w:tcPr>
          <w:p w14:paraId="4F620063">
            <w:pPr>
              <w:rPr>
                <w:rFonts w:ascii="Arial"/>
                <w:color w:val="auto"/>
                <w:sz w:val="21"/>
                <w:highlight w:val="none"/>
              </w:rPr>
            </w:pPr>
          </w:p>
        </w:tc>
        <w:tc>
          <w:tcPr>
            <w:tcW w:w="900" w:type="dxa"/>
            <w:vAlign w:val="top"/>
          </w:tcPr>
          <w:p w14:paraId="57B40712">
            <w:pPr>
              <w:rPr>
                <w:rFonts w:ascii="Arial"/>
                <w:color w:val="auto"/>
                <w:sz w:val="21"/>
                <w:highlight w:val="none"/>
              </w:rPr>
            </w:pPr>
          </w:p>
        </w:tc>
        <w:tc>
          <w:tcPr>
            <w:tcW w:w="900" w:type="dxa"/>
            <w:vAlign w:val="top"/>
          </w:tcPr>
          <w:p w14:paraId="216E946A">
            <w:pPr>
              <w:rPr>
                <w:rFonts w:ascii="Arial"/>
                <w:color w:val="auto"/>
                <w:sz w:val="21"/>
                <w:highlight w:val="none"/>
              </w:rPr>
            </w:pPr>
          </w:p>
        </w:tc>
        <w:tc>
          <w:tcPr>
            <w:tcW w:w="900" w:type="dxa"/>
            <w:vAlign w:val="top"/>
          </w:tcPr>
          <w:p w14:paraId="50BB6B75">
            <w:pPr>
              <w:rPr>
                <w:rFonts w:ascii="Arial"/>
                <w:color w:val="auto"/>
                <w:sz w:val="21"/>
                <w:highlight w:val="none"/>
              </w:rPr>
            </w:pPr>
          </w:p>
        </w:tc>
        <w:tc>
          <w:tcPr>
            <w:tcW w:w="1079" w:type="dxa"/>
            <w:vAlign w:val="top"/>
          </w:tcPr>
          <w:p w14:paraId="7DC21C8D">
            <w:pPr>
              <w:rPr>
                <w:rFonts w:ascii="Arial"/>
                <w:color w:val="auto"/>
                <w:sz w:val="21"/>
                <w:highlight w:val="none"/>
              </w:rPr>
            </w:pPr>
          </w:p>
        </w:tc>
        <w:tc>
          <w:tcPr>
            <w:tcW w:w="1079" w:type="dxa"/>
            <w:vAlign w:val="top"/>
          </w:tcPr>
          <w:p w14:paraId="3867FC9E">
            <w:pPr>
              <w:rPr>
                <w:rFonts w:ascii="Arial"/>
                <w:color w:val="auto"/>
                <w:sz w:val="21"/>
                <w:highlight w:val="none"/>
              </w:rPr>
            </w:pPr>
          </w:p>
        </w:tc>
        <w:tc>
          <w:tcPr>
            <w:tcW w:w="904" w:type="dxa"/>
            <w:vAlign w:val="top"/>
          </w:tcPr>
          <w:p w14:paraId="3D14212B">
            <w:pPr>
              <w:rPr>
                <w:rFonts w:ascii="Arial"/>
                <w:color w:val="auto"/>
                <w:sz w:val="21"/>
                <w:highlight w:val="none"/>
              </w:rPr>
            </w:pPr>
          </w:p>
        </w:tc>
      </w:tr>
      <w:tr w14:paraId="20443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24" w:type="dxa"/>
            <w:vAlign w:val="top"/>
          </w:tcPr>
          <w:p w14:paraId="048E58F6">
            <w:pPr>
              <w:rPr>
                <w:rFonts w:ascii="Arial"/>
                <w:color w:val="auto"/>
                <w:sz w:val="21"/>
                <w:highlight w:val="none"/>
              </w:rPr>
            </w:pPr>
          </w:p>
        </w:tc>
        <w:tc>
          <w:tcPr>
            <w:tcW w:w="1979" w:type="dxa"/>
            <w:vAlign w:val="top"/>
          </w:tcPr>
          <w:p w14:paraId="55571D03">
            <w:pPr>
              <w:rPr>
                <w:rFonts w:ascii="Arial"/>
                <w:color w:val="auto"/>
                <w:sz w:val="21"/>
                <w:highlight w:val="none"/>
              </w:rPr>
            </w:pPr>
          </w:p>
        </w:tc>
        <w:tc>
          <w:tcPr>
            <w:tcW w:w="899" w:type="dxa"/>
            <w:vAlign w:val="top"/>
          </w:tcPr>
          <w:p w14:paraId="1C7500AE">
            <w:pPr>
              <w:rPr>
                <w:rFonts w:ascii="Arial"/>
                <w:color w:val="auto"/>
                <w:sz w:val="21"/>
                <w:highlight w:val="none"/>
              </w:rPr>
            </w:pPr>
          </w:p>
        </w:tc>
        <w:tc>
          <w:tcPr>
            <w:tcW w:w="900" w:type="dxa"/>
            <w:vAlign w:val="top"/>
          </w:tcPr>
          <w:p w14:paraId="3EAE96A1">
            <w:pPr>
              <w:rPr>
                <w:rFonts w:ascii="Arial"/>
                <w:color w:val="auto"/>
                <w:sz w:val="21"/>
                <w:highlight w:val="none"/>
              </w:rPr>
            </w:pPr>
          </w:p>
        </w:tc>
        <w:tc>
          <w:tcPr>
            <w:tcW w:w="900" w:type="dxa"/>
            <w:vAlign w:val="top"/>
          </w:tcPr>
          <w:p w14:paraId="5D358386">
            <w:pPr>
              <w:rPr>
                <w:rFonts w:ascii="Arial"/>
                <w:color w:val="auto"/>
                <w:sz w:val="21"/>
                <w:highlight w:val="none"/>
              </w:rPr>
            </w:pPr>
          </w:p>
        </w:tc>
        <w:tc>
          <w:tcPr>
            <w:tcW w:w="900" w:type="dxa"/>
            <w:vAlign w:val="top"/>
          </w:tcPr>
          <w:p w14:paraId="3B71FBE5">
            <w:pPr>
              <w:rPr>
                <w:rFonts w:ascii="Arial"/>
                <w:color w:val="auto"/>
                <w:sz w:val="21"/>
                <w:highlight w:val="none"/>
              </w:rPr>
            </w:pPr>
          </w:p>
        </w:tc>
        <w:tc>
          <w:tcPr>
            <w:tcW w:w="1079" w:type="dxa"/>
            <w:vAlign w:val="top"/>
          </w:tcPr>
          <w:p w14:paraId="24075106">
            <w:pPr>
              <w:rPr>
                <w:rFonts w:ascii="Arial"/>
                <w:color w:val="auto"/>
                <w:sz w:val="21"/>
                <w:highlight w:val="none"/>
              </w:rPr>
            </w:pPr>
          </w:p>
        </w:tc>
        <w:tc>
          <w:tcPr>
            <w:tcW w:w="1079" w:type="dxa"/>
            <w:vAlign w:val="top"/>
          </w:tcPr>
          <w:p w14:paraId="3E5CCF3E">
            <w:pPr>
              <w:rPr>
                <w:rFonts w:ascii="Arial"/>
                <w:color w:val="auto"/>
                <w:sz w:val="21"/>
                <w:highlight w:val="none"/>
              </w:rPr>
            </w:pPr>
          </w:p>
        </w:tc>
        <w:tc>
          <w:tcPr>
            <w:tcW w:w="904" w:type="dxa"/>
            <w:vAlign w:val="top"/>
          </w:tcPr>
          <w:p w14:paraId="7CACAEC6">
            <w:pPr>
              <w:rPr>
                <w:rFonts w:ascii="Arial"/>
                <w:color w:val="auto"/>
                <w:sz w:val="21"/>
                <w:highlight w:val="none"/>
              </w:rPr>
            </w:pPr>
          </w:p>
        </w:tc>
      </w:tr>
      <w:tr w14:paraId="62C73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24" w:type="dxa"/>
            <w:vAlign w:val="top"/>
          </w:tcPr>
          <w:p w14:paraId="2A23EAE7">
            <w:pPr>
              <w:rPr>
                <w:rFonts w:ascii="Arial"/>
                <w:color w:val="auto"/>
                <w:sz w:val="21"/>
                <w:highlight w:val="none"/>
              </w:rPr>
            </w:pPr>
          </w:p>
        </w:tc>
        <w:tc>
          <w:tcPr>
            <w:tcW w:w="1979" w:type="dxa"/>
            <w:vAlign w:val="top"/>
          </w:tcPr>
          <w:p w14:paraId="64F1E8D2">
            <w:pPr>
              <w:rPr>
                <w:rFonts w:ascii="Arial"/>
                <w:color w:val="auto"/>
                <w:sz w:val="21"/>
                <w:highlight w:val="none"/>
              </w:rPr>
            </w:pPr>
          </w:p>
        </w:tc>
        <w:tc>
          <w:tcPr>
            <w:tcW w:w="899" w:type="dxa"/>
            <w:vAlign w:val="top"/>
          </w:tcPr>
          <w:p w14:paraId="232786FB">
            <w:pPr>
              <w:rPr>
                <w:rFonts w:ascii="Arial"/>
                <w:color w:val="auto"/>
                <w:sz w:val="21"/>
                <w:highlight w:val="none"/>
              </w:rPr>
            </w:pPr>
          </w:p>
        </w:tc>
        <w:tc>
          <w:tcPr>
            <w:tcW w:w="900" w:type="dxa"/>
            <w:vAlign w:val="top"/>
          </w:tcPr>
          <w:p w14:paraId="046F512E">
            <w:pPr>
              <w:rPr>
                <w:rFonts w:ascii="Arial"/>
                <w:color w:val="auto"/>
                <w:sz w:val="21"/>
                <w:highlight w:val="none"/>
              </w:rPr>
            </w:pPr>
          </w:p>
        </w:tc>
        <w:tc>
          <w:tcPr>
            <w:tcW w:w="900" w:type="dxa"/>
            <w:vAlign w:val="top"/>
          </w:tcPr>
          <w:p w14:paraId="7FE0EC17">
            <w:pPr>
              <w:rPr>
                <w:rFonts w:ascii="Arial"/>
                <w:color w:val="auto"/>
                <w:sz w:val="21"/>
                <w:highlight w:val="none"/>
              </w:rPr>
            </w:pPr>
          </w:p>
        </w:tc>
        <w:tc>
          <w:tcPr>
            <w:tcW w:w="900" w:type="dxa"/>
            <w:vAlign w:val="top"/>
          </w:tcPr>
          <w:p w14:paraId="72B23F57">
            <w:pPr>
              <w:rPr>
                <w:rFonts w:ascii="Arial"/>
                <w:color w:val="auto"/>
                <w:sz w:val="21"/>
                <w:highlight w:val="none"/>
              </w:rPr>
            </w:pPr>
          </w:p>
        </w:tc>
        <w:tc>
          <w:tcPr>
            <w:tcW w:w="1079" w:type="dxa"/>
            <w:vAlign w:val="top"/>
          </w:tcPr>
          <w:p w14:paraId="4E0F4744">
            <w:pPr>
              <w:rPr>
                <w:rFonts w:ascii="Arial"/>
                <w:color w:val="auto"/>
                <w:sz w:val="21"/>
                <w:highlight w:val="none"/>
              </w:rPr>
            </w:pPr>
          </w:p>
        </w:tc>
        <w:tc>
          <w:tcPr>
            <w:tcW w:w="1079" w:type="dxa"/>
            <w:vAlign w:val="top"/>
          </w:tcPr>
          <w:p w14:paraId="3A17C4C9">
            <w:pPr>
              <w:rPr>
                <w:rFonts w:ascii="Arial"/>
                <w:color w:val="auto"/>
                <w:sz w:val="21"/>
                <w:highlight w:val="none"/>
              </w:rPr>
            </w:pPr>
          </w:p>
        </w:tc>
        <w:tc>
          <w:tcPr>
            <w:tcW w:w="904" w:type="dxa"/>
            <w:vAlign w:val="top"/>
          </w:tcPr>
          <w:p w14:paraId="7B17B514">
            <w:pPr>
              <w:rPr>
                <w:rFonts w:ascii="Arial"/>
                <w:color w:val="auto"/>
                <w:sz w:val="21"/>
                <w:highlight w:val="none"/>
              </w:rPr>
            </w:pPr>
          </w:p>
        </w:tc>
      </w:tr>
      <w:tr w14:paraId="7ECFA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24" w:type="dxa"/>
            <w:vAlign w:val="top"/>
          </w:tcPr>
          <w:p w14:paraId="4E376CC3">
            <w:pPr>
              <w:rPr>
                <w:rFonts w:ascii="Arial"/>
                <w:color w:val="auto"/>
                <w:sz w:val="21"/>
                <w:highlight w:val="none"/>
              </w:rPr>
            </w:pPr>
          </w:p>
        </w:tc>
        <w:tc>
          <w:tcPr>
            <w:tcW w:w="1979" w:type="dxa"/>
            <w:vAlign w:val="top"/>
          </w:tcPr>
          <w:p w14:paraId="2F5A3E3F">
            <w:pPr>
              <w:rPr>
                <w:rFonts w:ascii="Arial"/>
                <w:color w:val="auto"/>
                <w:sz w:val="21"/>
                <w:highlight w:val="none"/>
              </w:rPr>
            </w:pPr>
          </w:p>
        </w:tc>
        <w:tc>
          <w:tcPr>
            <w:tcW w:w="899" w:type="dxa"/>
            <w:vAlign w:val="top"/>
          </w:tcPr>
          <w:p w14:paraId="61726CAC">
            <w:pPr>
              <w:rPr>
                <w:rFonts w:ascii="Arial"/>
                <w:color w:val="auto"/>
                <w:sz w:val="21"/>
                <w:highlight w:val="none"/>
              </w:rPr>
            </w:pPr>
          </w:p>
        </w:tc>
        <w:tc>
          <w:tcPr>
            <w:tcW w:w="900" w:type="dxa"/>
            <w:vAlign w:val="top"/>
          </w:tcPr>
          <w:p w14:paraId="0856FAB2">
            <w:pPr>
              <w:rPr>
                <w:rFonts w:ascii="Arial"/>
                <w:color w:val="auto"/>
                <w:sz w:val="21"/>
                <w:highlight w:val="none"/>
              </w:rPr>
            </w:pPr>
          </w:p>
        </w:tc>
        <w:tc>
          <w:tcPr>
            <w:tcW w:w="900" w:type="dxa"/>
            <w:vAlign w:val="top"/>
          </w:tcPr>
          <w:p w14:paraId="4735D4E4">
            <w:pPr>
              <w:rPr>
                <w:rFonts w:ascii="Arial"/>
                <w:color w:val="auto"/>
                <w:sz w:val="21"/>
                <w:highlight w:val="none"/>
              </w:rPr>
            </w:pPr>
          </w:p>
        </w:tc>
        <w:tc>
          <w:tcPr>
            <w:tcW w:w="900" w:type="dxa"/>
            <w:vAlign w:val="top"/>
          </w:tcPr>
          <w:p w14:paraId="570628B9">
            <w:pPr>
              <w:rPr>
                <w:rFonts w:ascii="Arial"/>
                <w:color w:val="auto"/>
                <w:sz w:val="21"/>
                <w:highlight w:val="none"/>
              </w:rPr>
            </w:pPr>
          </w:p>
        </w:tc>
        <w:tc>
          <w:tcPr>
            <w:tcW w:w="1079" w:type="dxa"/>
            <w:vAlign w:val="top"/>
          </w:tcPr>
          <w:p w14:paraId="15B294B5">
            <w:pPr>
              <w:rPr>
                <w:rFonts w:ascii="Arial"/>
                <w:color w:val="auto"/>
                <w:sz w:val="21"/>
                <w:highlight w:val="none"/>
              </w:rPr>
            </w:pPr>
          </w:p>
        </w:tc>
        <w:tc>
          <w:tcPr>
            <w:tcW w:w="1079" w:type="dxa"/>
            <w:vAlign w:val="top"/>
          </w:tcPr>
          <w:p w14:paraId="7B8FAE49">
            <w:pPr>
              <w:rPr>
                <w:rFonts w:ascii="Arial"/>
                <w:color w:val="auto"/>
                <w:sz w:val="21"/>
                <w:highlight w:val="none"/>
              </w:rPr>
            </w:pPr>
          </w:p>
        </w:tc>
        <w:tc>
          <w:tcPr>
            <w:tcW w:w="904" w:type="dxa"/>
            <w:vAlign w:val="top"/>
          </w:tcPr>
          <w:p w14:paraId="3095313A">
            <w:pPr>
              <w:rPr>
                <w:rFonts w:ascii="Arial"/>
                <w:color w:val="auto"/>
                <w:sz w:val="21"/>
                <w:highlight w:val="none"/>
              </w:rPr>
            </w:pPr>
          </w:p>
        </w:tc>
      </w:tr>
    </w:tbl>
    <w:p w14:paraId="3749E5FA">
      <w:pPr>
        <w:rPr>
          <w:rFonts w:ascii="Arial"/>
          <w:color w:val="auto"/>
          <w:sz w:val="21"/>
          <w:highlight w:val="none"/>
        </w:rPr>
      </w:pPr>
    </w:p>
    <w:p w14:paraId="70BEB42C">
      <w:pPr>
        <w:rPr>
          <w:rFonts w:ascii="Arial" w:hAnsi="Arial" w:eastAsia="Arial" w:cs="Arial"/>
          <w:color w:val="auto"/>
          <w:sz w:val="21"/>
          <w:szCs w:val="21"/>
          <w:highlight w:val="none"/>
        </w:rPr>
        <w:sectPr>
          <w:pgSz w:w="11906" w:h="16839"/>
          <w:pgMar w:top="400" w:right="1173" w:bottom="919" w:left="1129" w:header="680" w:footer="680" w:gutter="0"/>
          <w:pgNumType w:fmt="decimal"/>
          <w:cols w:space="720" w:num="1"/>
        </w:sectPr>
      </w:pPr>
    </w:p>
    <w:p w14:paraId="3D5F226D">
      <w:pPr>
        <w:spacing w:line="249" w:lineRule="auto"/>
        <w:rPr>
          <w:rFonts w:ascii="Arial"/>
          <w:color w:val="auto"/>
          <w:sz w:val="21"/>
          <w:highlight w:val="none"/>
        </w:rPr>
      </w:pPr>
    </w:p>
    <w:p w14:paraId="0C6F36E8">
      <w:pPr>
        <w:spacing w:line="250" w:lineRule="auto"/>
        <w:rPr>
          <w:rFonts w:ascii="Arial"/>
          <w:color w:val="auto"/>
          <w:sz w:val="21"/>
          <w:highlight w:val="none"/>
        </w:rPr>
      </w:pPr>
    </w:p>
    <w:p w14:paraId="59A17C63">
      <w:pPr>
        <w:pStyle w:val="7"/>
        <w:spacing w:before="78" w:line="219" w:lineRule="auto"/>
        <w:ind w:left="511"/>
        <w:rPr>
          <w:color w:val="auto"/>
          <w:highlight w:val="none"/>
        </w:rPr>
      </w:pPr>
      <w:r>
        <w:rPr>
          <w:color w:val="auto"/>
          <w:spacing w:val="-3"/>
          <w:highlight w:val="none"/>
        </w:rPr>
        <w:t>附表三：劳动力计划表</w:t>
      </w:r>
    </w:p>
    <w:p w14:paraId="513E90B2">
      <w:pPr>
        <w:spacing w:line="146" w:lineRule="exact"/>
        <w:rPr>
          <w:color w:val="auto"/>
          <w:highlight w:val="none"/>
        </w:rPr>
      </w:pPr>
    </w:p>
    <w:tbl>
      <w:tblPr>
        <w:tblStyle w:val="36"/>
        <w:tblW w:w="91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3"/>
        <w:gridCol w:w="1153"/>
        <w:gridCol w:w="1152"/>
        <w:gridCol w:w="1153"/>
        <w:gridCol w:w="1153"/>
        <w:gridCol w:w="1153"/>
        <w:gridCol w:w="1153"/>
        <w:gridCol w:w="1158"/>
      </w:tblGrid>
      <w:tr w14:paraId="570A6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63" w:type="dxa"/>
            <w:vAlign w:val="top"/>
          </w:tcPr>
          <w:p w14:paraId="28D63696">
            <w:pPr>
              <w:pStyle w:val="39"/>
              <w:spacing w:before="39" w:line="220" w:lineRule="auto"/>
              <w:ind w:left="301"/>
              <w:rPr>
                <w:color w:val="auto"/>
                <w:highlight w:val="none"/>
              </w:rPr>
            </w:pPr>
            <w:r>
              <w:rPr>
                <w:color w:val="auto"/>
                <w:spacing w:val="-7"/>
                <w:highlight w:val="none"/>
              </w:rPr>
              <w:t>工种</w:t>
            </w:r>
          </w:p>
        </w:tc>
        <w:tc>
          <w:tcPr>
            <w:tcW w:w="8075" w:type="dxa"/>
            <w:gridSpan w:val="7"/>
            <w:vAlign w:val="top"/>
          </w:tcPr>
          <w:p w14:paraId="0859F163">
            <w:pPr>
              <w:pStyle w:val="39"/>
              <w:spacing w:before="39" w:line="219" w:lineRule="auto"/>
              <w:ind w:left="2364"/>
              <w:rPr>
                <w:color w:val="auto"/>
                <w:highlight w:val="none"/>
              </w:rPr>
            </w:pPr>
            <w:r>
              <w:rPr>
                <w:color w:val="auto"/>
                <w:spacing w:val="-1"/>
                <w:highlight w:val="none"/>
              </w:rPr>
              <w:t>按工程施工阶段投入劳动力情况</w:t>
            </w:r>
          </w:p>
        </w:tc>
      </w:tr>
      <w:tr w14:paraId="5243D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63" w:type="dxa"/>
            <w:vAlign w:val="top"/>
          </w:tcPr>
          <w:p w14:paraId="6BD1ED17">
            <w:pPr>
              <w:rPr>
                <w:rFonts w:ascii="Arial"/>
                <w:color w:val="auto"/>
                <w:sz w:val="21"/>
                <w:highlight w:val="none"/>
              </w:rPr>
            </w:pPr>
          </w:p>
        </w:tc>
        <w:tc>
          <w:tcPr>
            <w:tcW w:w="1153" w:type="dxa"/>
            <w:vAlign w:val="top"/>
          </w:tcPr>
          <w:p w14:paraId="0845B03B">
            <w:pPr>
              <w:rPr>
                <w:rFonts w:ascii="Arial"/>
                <w:color w:val="auto"/>
                <w:sz w:val="21"/>
                <w:highlight w:val="none"/>
              </w:rPr>
            </w:pPr>
          </w:p>
        </w:tc>
        <w:tc>
          <w:tcPr>
            <w:tcW w:w="1152" w:type="dxa"/>
            <w:vAlign w:val="top"/>
          </w:tcPr>
          <w:p w14:paraId="607A9DC9">
            <w:pPr>
              <w:rPr>
                <w:rFonts w:ascii="Arial"/>
                <w:color w:val="auto"/>
                <w:sz w:val="21"/>
                <w:highlight w:val="none"/>
              </w:rPr>
            </w:pPr>
          </w:p>
        </w:tc>
        <w:tc>
          <w:tcPr>
            <w:tcW w:w="1153" w:type="dxa"/>
            <w:vAlign w:val="top"/>
          </w:tcPr>
          <w:p w14:paraId="37A07770">
            <w:pPr>
              <w:rPr>
                <w:rFonts w:ascii="Arial"/>
                <w:color w:val="auto"/>
                <w:sz w:val="21"/>
                <w:highlight w:val="none"/>
              </w:rPr>
            </w:pPr>
          </w:p>
        </w:tc>
        <w:tc>
          <w:tcPr>
            <w:tcW w:w="1153" w:type="dxa"/>
            <w:vAlign w:val="top"/>
          </w:tcPr>
          <w:p w14:paraId="5B11799B">
            <w:pPr>
              <w:rPr>
                <w:rFonts w:ascii="Arial"/>
                <w:color w:val="auto"/>
                <w:sz w:val="21"/>
                <w:highlight w:val="none"/>
              </w:rPr>
            </w:pPr>
          </w:p>
        </w:tc>
        <w:tc>
          <w:tcPr>
            <w:tcW w:w="1153" w:type="dxa"/>
            <w:vAlign w:val="top"/>
          </w:tcPr>
          <w:p w14:paraId="0EE92D64">
            <w:pPr>
              <w:rPr>
                <w:rFonts w:ascii="Arial"/>
                <w:color w:val="auto"/>
                <w:sz w:val="21"/>
                <w:highlight w:val="none"/>
              </w:rPr>
            </w:pPr>
          </w:p>
        </w:tc>
        <w:tc>
          <w:tcPr>
            <w:tcW w:w="1153" w:type="dxa"/>
            <w:vAlign w:val="top"/>
          </w:tcPr>
          <w:p w14:paraId="0BD7C5AC">
            <w:pPr>
              <w:rPr>
                <w:rFonts w:ascii="Arial"/>
                <w:color w:val="auto"/>
                <w:sz w:val="21"/>
                <w:highlight w:val="none"/>
              </w:rPr>
            </w:pPr>
          </w:p>
        </w:tc>
        <w:tc>
          <w:tcPr>
            <w:tcW w:w="1158" w:type="dxa"/>
            <w:vAlign w:val="top"/>
          </w:tcPr>
          <w:p w14:paraId="2FF255EF">
            <w:pPr>
              <w:rPr>
                <w:rFonts w:ascii="Arial"/>
                <w:color w:val="auto"/>
                <w:sz w:val="21"/>
                <w:highlight w:val="none"/>
              </w:rPr>
            </w:pPr>
          </w:p>
        </w:tc>
      </w:tr>
      <w:tr w14:paraId="6F076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63" w:type="dxa"/>
            <w:vAlign w:val="top"/>
          </w:tcPr>
          <w:p w14:paraId="2EAC45B4">
            <w:pPr>
              <w:rPr>
                <w:rFonts w:ascii="Arial"/>
                <w:color w:val="auto"/>
                <w:sz w:val="21"/>
                <w:highlight w:val="none"/>
              </w:rPr>
            </w:pPr>
          </w:p>
        </w:tc>
        <w:tc>
          <w:tcPr>
            <w:tcW w:w="1153" w:type="dxa"/>
            <w:vAlign w:val="top"/>
          </w:tcPr>
          <w:p w14:paraId="6042CCBC">
            <w:pPr>
              <w:rPr>
                <w:rFonts w:ascii="Arial"/>
                <w:color w:val="auto"/>
                <w:sz w:val="21"/>
                <w:highlight w:val="none"/>
              </w:rPr>
            </w:pPr>
          </w:p>
        </w:tc>
        <w:tc>
          <w:tcPr>
            <w:tcW w:w="1152" w:type="dxa"/>
            <w:vAlign w:val="top"/>
          </w:tcPr>
          <w:p w14:paraId="6E587487">
            <w:pPr>
              <w:rPr>
                <w:rFonts w:ascii="Arial"/>
                <w:color w:val="auto"/>
                <w:sz w:val="21"/>
                <w:highlight w:val="none"/>
              </w:rPr>
            </w:pPr>
          </w:p>
        </w:tc>
        <w:tc>
          <w:tcPr>
            <w:tcW w:w="1153" w:type="dxa"/>
            <w:vAlign w:val="top"/>
          </w:tcPr>
          <w:p w14:paraId="2D883A05">
            <w:pPr>
              <w:rPr>
                <w:rFonts w:ascii="Arial"/>
                <w:color w:val="auto"/>
                <w:sz w:val="21"/>
                <w:highlight w:val="none"/>
              </w:rPr>
            </w:pPr>
          </w:p>
        </w:tc>
        <w:tc>
          <w:tcPr>
            <w:tcW w:w="1153" w:type="dxa"/>
            <w:vAlign w:val="top"/>
          </w:tcPr>
          <w:p w14:paraId="6C7539B2">
            <w:pPr>
              <w:rPr>
                <w:rFonts w:ascii="Arial"/>
                <w:color w:val="auto"/>
                <w:sz w:val="21"/>
                <w:highlight w:val="none"/>
              </w:rPr>
            </w:pPr>
          </w:p>
        </w:tc>
        <w:tc>
          <w:tcPr>
            <w:tcW w:w="1153" w:type="dxa"/>
            <w:vAlign w:val="top"/>
          </w:tcPr>
          <w:p w14:paraId="00B0E952">
            <w:pPr>
              <w:rPr>
                <w:rFonts w:ascii="Arial"/>
                <w:color w:val="auto"/>
                <w:sz w:val="21"/>
                <w:highlight w:val="none"/>
              </w:rPr>
            </w:pPr>
          </w:p>
        </w:tc>
        <w:tc>
          <w:tcPr>
            <w:tcW w:w="1153" w:type="dxa"/>
            <w:vAlign w:val="top"/>
          </w:tcPr>
          <w:p w14:paraId="56E3C788">
            <w:pPr>
              <w:rPr>
                <w:rFonts w:ascii="Arial"/>
                <w:color w:val="auto"/>
                <w:sz w:val="21"/>
                <w:highlight w:val="none"/>
              </w:rPr>
            </w:pPr>
          </w:p>
        </w:tc>
        <w:tc>
          <w:tcPr>
            <w:tcW w:w="1158" w:type="dxa"/>
            <w:vAlign w:val="top"/>
          </w:tcPr>
          <w:p w14:paraId="73249716">
            <w:pPr>
              <w:rPr>
                <w:rFonts w:ascii="Arial"/>
                <w:color w:val="auto"/>
                <w:sz w:val="21"/>
                <w:highlight w:val="none"/>
              </w:rPr>
            </w:pPr>
          </w:p>
        </w:tc>
      </w:tr>
      <w:tr w14:paraId="07C4D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063" w:type="dxa"/>
            <w:vAlign w:val="top"/>
          </w:tcPr>
          <w:p w14:paraId="5935440C">
            <w:pPr>
              <w:rPr>
                <w:rFonts w:ascii="Arial"/>
                <w:color w:val="auto"/>
                <w:sz w:val="21"/>
                <w:highlight w:val="none"/>
              </w:rPr>
            </w:pPr>
          </w:p>
        </w:tc>
        <w:tc>
          <w:tcPr>
            <w:tcW w:w="1153" w:type="dxa"/>
            <w:vAlign w:val="top"/>
          </w:tcPr>
          <w:p w14:paraId="50332903">
            <w:pPr>
              <w:rPr>
                <w:rFonts w:ascii="Arial"/>
                <w:color w:val="auto"/>
                <w:sz w:val="21"/>
                <w:highlight w:val="none"/>
              </w:rPr>
            </w:pPr>
          </w:p>
        </w:tc>
        <w:tc>
          <w:tcPr>
            <w:tcW w:w="1152" w:type="dxa"/>
            <w:vAlign w:val="top"/>
          </w:tcPr>
          <w:p w14:paraId="445BCF53">
            <w:pPr>
              <w:rPr>
                <w:rFonts w:ascii="Arial"/>
                <w:color w:val="auto"/>
                <w:sz w:val="21"/>
                <w:highlight w:val="none"/>
              </w:rPr>
            </w:pPr>
          </w:p>
        </w:tc>
        <w:tc>
          <w:tcPr>
            <w:tcW w:w="1153" w:type="dxa"/>
            <w:vAlign w:val="top"/>
          </w:tcPr>
          <w:p w14:paraId="2CCB84BA">
            <w:pPr>
              <w:rPr>
                <w:rFonts w:ascii="Arial"/>
                <w:color w:val="auto"/>
                <w:sz w:val="21"/>
                <w:highlight w:val="none"/>
              </w:rPr>
            </w:pPr>
          </w:p>
        </w:tc>
        <w:tc>
          <w:tcPr>
            <w:tcW w:w="1153" w:type="dxa"/>
            <w:vAlign w:val="top"/>
          </w:tcPr>
          <w:p w14:paraId="381DAFD0">
            <w:pPr>
              <w:rPr>
                <w:rFonts w:ascii="Arial"/>
                <w:color w:val="auto"/>
                <w:sz w:val="21"/>
                <w:highlight w:val="none"/>
              </w:rPr>
            </w:pPr>
          </w:p>
        </w:tc>
        <w:tc>
          <w:tcPr>
            <w:tcW w:w="1153" w:type="dxa"/>
            <w:vAlign w:val="top"/>
          </w:tcPr>
          <w:p w14:paraId="05BF6310">
            <w:pPr>
              <w:rPr>
                <w:rFonts w:ascii="Arial"/>
                <w:color w:val="auto"/>
                <w:sz w:val="21"/>
                <w:highlight w:val="none"/>
              </w:rPr>
            </w:pPr>
          </w:p>
        </w:tc>
        <w:tc>
          <w:tcPr>
            <w:tcW w:w="1153" w:type="dxa"/>
            <w:vAlign w:val="top"/>
          </w:tcPr>
          <w:p w14:paraId="6071CB63">
            <w:pPr>
              <w:rPr>
                <w:rFonts w:ascii="Arial"/>
                <w:color w:val="auto"/>
                <w:sz w:val="21"/>
                <w:highlight w:val="none"/>
              </w:rPr>
            </w:pPr>
          </w:p>
        </w:tc>
        <w:tc>
          <w:tcPr>
            <w:tcW w:w="1158" w:type="dxa"/>
            <w:vAlign w:val="top"/>
          </w:tcPr>
          <w:p w14:paraId="0617DB18">
            <w:pPr>
              <w:rPr>
                <w:rFonts w:ascii="Arial"/>
                <w:color w:val="auto"/>
                <w:sz w:val="21"/>
                <w:highlight w:val="none"/>
              </w:rPr>
            </w:pPr>
          </w:p>
        </w:tc>
      </w:tr>
      <w:tr w14:paraId="6A65D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1063" w:type="dxa"/>
            <w:vAlign w:val="top"/>
          </w:tcPr>
          <w:p w14:paraId="373C7302">
            <w:pPr>
              <w:rPr>
                <w:rFonts w:ascii="Arial"/>
                <w:color w:val="auto"/>
                <w:sz w:val="21"/>
                <w:highlight w:val="none"/>
              </w:rPr>
            </w:pPr>
          </w:p>
        </w:tc>
        <w:tc>
          <w:tcPr>
            <w:tcW w:w="1153" w:type="dxa"/>
            <w:vAlign w:val="top"/>
          </w:tcPr>
          <w:p w14:paraId="1FAD9007">
            <w:pPr>
              <w:rPr>
                <w:rFonts w:ascii="Arial"/>
                <w:color w:val="auto"/>
                <w:sz w:val="21"/>
                <w:highlight w:val="none"/>
              </w:rPr>
            </w:pPr>
          </w:p>
        </w:tc>
        <w:tc>
          <w:tcPr>
            <w:tcW w:w="1152" w:type="dxa"/>
            <w:vAlign w:val="top"/>
          </w:tcPr>
          <w:p w14:paraId="7B904EF6">
            <w:pPr>
              <w:rPr>
                <w:rFonts w:ascii="Arial"/>
                <w:color w:val="auto"/>
                <w:sz w:val="21"/>
                <w:highlight w:val="none"/>
              </w:rPr>
            </w:pPr>
          </w:p>
        </w:tc>
        <w:tc>
          <w:tcPr>
            <w:tcW w:w="1153" w:type="dxa"/>
            <w:vAlign w:val="top"/>
          </w:tcPr>
          <w:p w14:paraId="46E456AF">
            <w:pPr>
              <w:rPr>
                <w:rFonts w:ascii="Arial"/>
                <w:color w:val="auto"/>
                <w:sz w:val="21"/>
                <w:highlight w:val="none"/>
              </w:rPr>
            </w:pPr>
          </w:p>
        </w:tc>
        <w:tc>
          <w:tcPr>
            <w:tcW w:w="1153" w:type="dxa"/>
            <w:vAlign w:val="top"/>
          </w:tcPr>
          <w:p w14:paraId="01D2708A">
            <w:pPr>
              <w:rPr>
                <w:rFonts w:ascii="Arial"/>
                <w:color w:val="auto"/>
                <w:sz w:val="21"/>
                <w:highlight w:val="none"/>
              </w:rPr>
            </w:pPr>
          </w:p>
        </w:tc>
        <w:tc>
          <w:tcPr>
            <w:tcW w:w="1153" w:type="dxa"/>
            <w:vAlign w:val="top"/>
          </w:tcPr>
          <w:p w14:paraId="53712726">
            <w:pPr>
              <w:rPr>
                <w:rFonts w:ascii="Arial"/>
                <w:color w:val="auto"/>
                <w:sz w:val="21"/>
                <w:highlight w:val="none"/>
              </w:rPr>
            </w:pPr>
          </w:p>
        </w:tc>
        <w:tc>
          <w:tcPr>
            <w:tcW w:w="1153" w:type="dxa"/>
            <w:vAlign w:val="top"/>
          </w:tcPr>
          <w:p w14:paraId="541361BF">
            <w:pPr>
              <w:rPr>
                <w:rFonts w:ascii="Arial"/>
                <w:color w:val="auto"/>
                <w:sz w:val="21"/>
                <w:highlight w:val="none"/>
              </w:rPr>
            </w:pPr>
          </w:p>
        </w:tc>
        <w:tc>
          <w:tcPr>
            <w:tcW w:w="1158" w:type="dxa"/>
            <w:vAlign w:val="top"/>
          </w:tcPr>
          <w:p w14:paraId="0A50FA2E">
            <w:pPr>
              <w:rPr>
                <w:rFonts w:ascii="Arial"/>
                <w:color w:val="auto"/>
                <w:sz w:val="21"/>
                <w:highlight w:val="none"/>
              </w:rPr>
            </w:pPr>
          </w:p>
        </w:tc>
      </w:tr>
    </w:tbl>
    <w:p w14:paraId="3329B9E6">
      <w:pPr>
        <w:spacing w:line="423" w:lineRule="auto"/>
        <w:rPr>
          <w:rFonts w:ascii="Arial"/>
          <w:color w:val="auto"/>
          <w:sz w:val="21"/>
          <w:highlight w:val="none"/>
        </w:rPr>
      </w:pPr>
    </w:p>
    <w:p w14:paraId="1C5951A5">
      <w:pPr>
        <w:pStyle w:val="7"/>
        <w:spacing w:before="78" w:line="219" w:lineRule="auto"/>
        <w:ind w:left="511"/>
        <w:rPr>
          <w:color w:val="auto"/>
          <w:highlight w:val="none"/>
        </w:rPr>
      </w:pPr>
      <w:r>
        <w:rPr>
          <w:color w:val="auto"/>
          <w:spacing w:val="-2"/>
          <w:highlight w:val="none"/>
        </w:rPr>
        <w:t>附表四：计划开、竣工日期和施工进度网络图</w:t>
      </w:r>
    </w:p>
    <w:p w14:paraId="52E8BB0C">
      <w:pPr>
        <w:pStyle w:val="7"/>
        <w:spacing w:before="181" w:line="345" w:lineRule="auto"/>
        <w:ind w:left="15" w:firstLine="494"/>
        <w:rPr>
          <w:color w:val="auto"/>
          <w:highlight w:val="none"/>
        </w:rPr>
      </w:pPr>
      <w:r>
        <w:rPr>
          <w:color w:val="auto"/>
          <w:spacing w:val="-1"/>
          <w:highlight w:val="none"/>
        </w:rPr>
        <w:t>1.供应商应递交施工进度网络图或施工进度表，说明按招标文件要求的计划工期进行施</w:t>
      </w:r>
      <w:r>
        <w:rPr>
          <w:color w:val="auto"/>
          <w:spacing w:val="10"/>
          <w:highlight w:val="none"/>
        </w:rPr>
        <w:t xml:space="preserve"> </w:t>
      </w:r>
      <w:r>
        <w:rPr>
          <w:color w:val="auto"/>
          <w:spacing w:val="-2"/>
          <w:highlight w:val="none"/>
        </w:rPr>
        <w:t>工的各个关键日期。</w:t>
      </w:r>
    </w:p>
    <w:p w14:paraId="09E319CF">
      <w:pPr>
        <w:pStyle w:val="7"/>
        <w:spacing w:before="36" w:line="219" w:lineRule="auto"/>
        <w:ind w:left="495"/>
        <w:rPr>
          <w:color w:val="auto"/>
          <w:highlight w:val="none"/>
        </w:rPr>
      </w:pPr>
      <w:r>
        <w:rPr>
          <w:color w:val="auto"/>
          <w:spacing w:val="-1"/>
          <w:highlight w:val="none"/>
        </w:rPr>
        <w:t>2.施工进度表可采用网络图（或横道图）表示。</w:t>
      </w:r>
    </w:p>
    <w:p w14:paraId="1E786B5E">
      <w:pPr>
        <w:spacing w:line="283" w:lineRule="auto"/>
        <w:rPr>
          <w:rFonts w:ascii="Arial"/>
          <w:color w:val="auto"/>
          <w:sz w:val="21"/>
          <w:highlight w:val="none"/>
        </w:rPr>
      </w:pPr>
    </w:p>
    <w:p w14:paraId="1C787AA1">
      <w:pPr>
        <w:spacing w:line="284" w:lineRule="auto"/>
        <w:rPr>
          <w:rFonts w:ascii="Arial"/>
          <w:color w:val="auto"/>
          <w:sz w:val="21"/>
          <w:highlight w:val="none"/>
        </w:rPr>
      </w:pPr>
    </w:p>
    <w:p w14:paraId="30E55D60">
      <w:pPr>
        <w:pStyle w:val="7"/>
        <w:spacing w:before="78" w:line="219" w:lineRule="auto"/>
        <w:ind w:left="511"/>
        <w:rPr>
          <w:color w:val="auto"/>
          <w:highlight w:val="none"/>
        </w:rPr>
      </w:pPr>
      <w:r>
        <w:rPr>
          <w:color w:val="auto"/>
          <w:spacing w:val="-3"/>
          <w:highlight w:val="none"/>
        </w:rPr>
        <w:t>附表五：施工总平面图</w:t>
      </w:r>
    </w:p>
    <w:p w14:paraId="49A78EA4">
      <w:pPr>
        <w:pStyle w:val="7"/>
        <w:spacing w:before="183" w:line="350" w:lineRule="auto"/>
        <w:ind w:left="13" w:firstLine="479"/>
        <w:rPr>
          <w:color w:val="auto"/>
          <w:highlight w:val="none"/>
        </w:rPr>
      </w:pPr>
      <w:r>
        <w:rPr>
          <w:color w:val="auto"/>
          <w:highlight w:val="none"/>
        </w:rPr>
        <w:t>供应商应递交一份施工总平面图，绘出现场临时设施布置图表</w:t>
      </w:r>
      <w:r>
        <w:rPr>
          <w:color w:val="auto"/>
          <w:spacing w:val="-1"/>
          <w:highlight w:val="none"/>
        </w:rPr>
        <w:t>并附文字说明，说明临时</w:t>
      </w:r>
      <w:r>
        <w:rPr>
          <w:color w:val="auto"/>
          <w:highlight w:val="none"/>
        </w:rPr>
        <w:t xml:space="preserve"> 设施、加工车间、现场办公、设备仓储、供电、供水、卫生、生</w:t>
      </w:r>
      <w:r>
        <w:rPr>
          <w:color w:val="auto"/>
          <w:spacing w:val="-1"/>
          <w:highlight w:val="none"/>
        </w:rPr>
        <w:t>活、道路、智能化等设施的</w:t>
      </w:r>
      <w:r>
        <w:rPr>
          <w:color w:val="auto"/>
          <w:highlight w:val="none"/>
        </w:rPr>
        <w:t xml:space="preserve"> </w:t>
      </w:r>
      <w:r>
        <w:rPr>
          <w:color w:val="auto"/>
          <w:spacing w:val="-2"/>
          <w:highlight w:val="none"/>
        </w:rPr>
        <w:t>情况和布置。</w:t>
      </w:r>
    </w:p>
    <w:p w14:paraId="524419FF">
      <w:pPr>
        <w:spacing w:line="421" w:lineRule="auto"/>
        <w:rPr>
          <w:rFonts w:ascii="Arial"/>
          <w:color w:val="auto"/>
          <w:sz w:val="21"/>
          <w:highlight w:val="none"/>
        </w:rPr>
      </w:pPr>
    </w:p>
    <w:p w14:paraId="0C02D9A7">
      <w:pPr>
        <w:pStyle w:val="7"/>
        <w:spacing w:before="79" w:line="219" w:lineRule="auto"/>
        <w:ind w:left="511"/>
        <w:rPr>
          <w:color w:val="auto"/>
          <w:highlight w:val="none"/>
        </w:rPr>
      </w:pPr>
      <w:r>
        <w:rPr>
          <w:color w:val="auto"/>
          <w:spacing w:val="-4"/>
          <w:highlight w:val="none"/>
        </w:rPr>
        <w:t>附表六：临时用地表</w:t>
      </w:r>
    </w:p>
    <w:p w14:paraId="34845057">
      <w:pPr>
        <w:spacing w:line="147" w:lineRule="exact"/>
        <w:rPr>
          <w:color w:val="auto"/>
          <w:highlight w:val="none"/>
        </w:rPr>
      </w:pPr>
    </w:p>
    <w:tbl>
      <w:tblPr>
        <w:tblStyle w:val="36"/>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3"/>
        <w:gridCol w:w="2317"/>
        <w:gridCol w:w="2307"/>
        <w:gridCol w:w="2537"/>
      </w:tblGrid>
      <w:tr w14:paraId="4B23C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203" w:type="dxa"/>
            <w:vAlign w:val="top"/>
          </w:tcPr>
          <w:p w14:paraId="47998A0F">
            <w:pPr>
              <w:pStyle w:val="39"/>
              <w:spacing w:before="38" w:line="221" w:lineRule="auto"/>
              <w:ind w:left="871"/>
              <w:rPr>
                <w:color w:val="auto"/>
                <w:highlight w:val="none"/>
              </w:rPr>
            </w:pPr>
            <w:r>
              <w:rPr>
                <w:color w:val="auto"/>
                <w:spacing w:val="-6"/>
                <w:highlight w:val="none"/>
              </w:rPr>
              <w:t>用途</w:t>
            </w:r>
          </w:p>
        </w:tc>
        <w:tc>
          <w:tcPr>
            <w:tcW w:w="2317" w:type="dxa"/>
            <w:vAlign w:val="top"/>
          </w:tcPr>
          <w:p w14:paraId="7898C24A">
            <w:pPr>
              <w:pStyle w:val="39"/>
              <w:spacing w:before="39" w:line="219" w:lineRule="auto"/>
              <w:ind w:left="325"/>
              <w:rPr>
                <w:color w:val="auto"/>
                <w:highlight w:val="none"/>
              </w:rPr>
            </w:pPr>
            <w:r>
              <w:rPr>
                <w:color w:val="auto"/>
                <w:spacing w:val="-2"/>
                <w:highlight w:val="none"/>
              </w:rPr>
              <w:t>面积（平方米）</w:t>
            </w:r>
          </w:p>
        </w:tc>
        <w:tc>
          <w:tcPr>
            <w:tcW w:w="2307" w:type="dxa"/>
            <w:vAlign w:val="top"/>
          </w:tcPr>
          <w:p w14:paraId="37922ED1">
            <w:pPr>
              <w:pStyle w:val="39"/>
              <w:spacing w:before="38" w:line="221" w:lineRule="auto"/>
              <w:ind w:left="921"/>
              <w:rPr>
                <w:color w:val="auto"/>
                <w:highlight w:val="none"/>
              </w:rPr>
            </w:pPr>
            <w:r>
              <w:rPr>
                <w:color w:val="auto"/>
                <w:spacing w:val="-5"/>
                <w:highlight w:val="none"/>
              </w:rPr>
              <w:t>位置</w:t>
            </w:r>
          </w:p>
        </w:tc>
        <w:tc>
          <w:tcPr>
            <w:tcW w:w="2537" w:type="dxa"/>
            <w:vAlign w:val="top"/>
          </w:tcPr>
          <w:p w14:paraId="2E541BC7">
            <w:pPr>
              <w:pStyle w:val="39"/>
              <w:spacing w:before="39" w:line="220" w:lineRule="auto"/>
              <w:ind w:left="809"/>
              <w:rPr>
                <w:color w:val="auto"/>
                <w:highlight w:val="none"/>
              </w:rPr>
            </w:pPr>
            <w:r>
              <w:rPr>
                <w:color w:val="auto"/>
                <w:spacing w:val="-6"/>
                <w:highlight w:val="none"/>
              </w:rPr>
              <w:t>需用时间</w:t>
            </w:r>
          </w:p>
        </w:tc>
      </w:tr>
      <w:tr w14:paraId="5D97C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203" w:type="dxa"/>
            <w:vAlign w:val="top"/>
          </w:tcPr>
          <w:p w14:paraId="7C0CB5E7">
            <w:pPr>
              <w:rPr>
                <w:rFonts w:ascii="Arial"/>
                <w:color w:val="auto"/>
                <w:sz w:val="21"/>
                <w:highlight w:val="none"/>
              </w:rPr>
            </w:pPr>
          </w:p>
        </w:tc>
        <w:tc>
          <w:tcPr>
            <w:tcW w:w="2317" w:type="dxa"/>
            <w:vAlign w:val="top"/>
          </w:tcPr>
          <w:p w14:paraId="61E74657">
            <w:pPr>
              <w:rPr>
                <w:rFonts w:ascii="Arial"/>
                <w:color w:val="auto"/>
                <w:sz w:val="21"/>
                <w:highlight w:val="none"/>
              </w:rPr>
            </w:pPr>
          </w:p>
        </w:tc>
        <w:tc>
          <w:tcPr>
            <w:tcW w:w="2307" w:type="dxa"/>
            <w:vAlign w:val="top"/>
          </w:tcPr>
          <w:p w14:paraId="53EED87F">
            <w:pPr>
              <w:rPr>
                <w:rFonts w:ascii="Arial"/>
                <w:color w:val="auto"/>
                <w:sz w:val="21"/>
                <w:highlight w:val="none"/>
              </w:rPr>
            </w:pPr>
          </w:p>
        </w:tc>
        <w:tc>
          <w:tcPr>
            <w:tcW w:w="2537" w:type="dxa"/>
            <w:vAlign w:val="top"/>
          </w:tcPr>
          <w:p w14:paraId="08361967">
            <w:pPr>
              <w:rPr>
                <w:rFonts w:ascii="Arial"/>
                <w:color w:val="auto"/>
                <w:sz w:val="21"/>
                <w:highlight w:val="none"/>
              </w:rPr>
            </w:pPr>
          </w:p>
        </w:tc>
      </w:tr>
      <w:tr w14:paraId="5BD8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203" w:type="dxa"/>
            <w:vAlign w:val="top"/>
          </w:tcPr>
          <w:p w14:paraId="31B51534">
            <w:pPr>
              <w:rPr>
                <w:rFonts w:ascii="Arial"/>
                <w:color w:val="auto"/>
                <w:sz w:val="21"/>
                <w:highlight w:val="none"/>
              </w:rPr>
            </w:pPr>
          </w:p>
        </w:tc>
        <w:tc>
          <w:tcPr>
            <w:tcW w:w="2317" w:type="dxa"/>
            <w:vAlign w:val="top"/>
          </w:tcPr>
          <w:p w14:paraId="03502A66">
            <w:pPr>
              <w:rPr>
                <w:rFonts w:ascii="Arial"/>
                <w:color w:val="auto"/>
                <w:sz w:val="21"/>
                <w:highlight w:val="none"/>
              </w:rPr>
            </w:pPr>
          </w:p>
        </w:tc>
        <w:tc>
          <w:tcPr>
            <w:tcW w:w="2307" w:type="dxa"/>
            <w:vAlign w:val="top"/>
          </w:tcPr>
          <w:p w14:paraId="1E8FD43A">
            <w:pPr>
              <w:rPr>
                <w:rFonts w:ascii="Arial"/>
                <w:color w:val="auto"/>
                <w:sz w:val="21"/>
                <w:highlight w:val="none"/>
              </w:rPr>
            </w:pPr>
          </w:p>
        </w:tc>
        <w:tc>
          <w:tcPr>
            <w:tcW w:w="2537" w:type="dxa"/>
            <w:vAlign w:val="top"/>
          </w:tcPr>
          <w:p w14:paraId="5DE13E3C">
            <w:pPr>
              <w:rPr>
                <w:rFonts w:ascii="Arial"/>
                <w:color w:val="auto"/>
                <w:sz w:val="21"/>
                <w:highlight w:val="none"/>
              </w:rPr>
            </w:pPr>
          </w:p>
        </w:tc>
      </w:tr>
      <w:tr w14:paraId="25392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203" w:type="dxa"/>
            <w:vAlign w:val="top"/>
          </w:tcPr>
          <w:p w14:paraId="6810F7DC">
            <w:pPr>
              <w:rPr>
                <w:rFonts w:ascii="Arial"/>
                <w:color w:val="auto"/>
                <w:sz w:val="21"/>
                <w:highlight w:val="none"/>
              </w:rPr>
            </w:pPr>
          </w:p>
        </w:tc>
        <w:tc>
          <w:tcPr>
            <w:tcW w:w="2317" w:type="dxa"/>
            <w:vAlign w:val="top"/>
          </w:tcPr>
          <w:p w14:paraId="2ACC636B">
            <w:pPr>
              <w:rPr>
                <w:rFonts w:ascii="Arial"/>
                <w:color w:val="auto"/>
                <w:sz w:val="21"/>
                <w:highlight w:val="none"/>
              </w:rPr>
            </w:pPr>
          </w:p>
        </w:tc>
        <w:tc>
          <w:tcPr>
            <w:tcW w:w="2307" w:type="dxa"/>
            <w:vAlign w:val="top"/>
          </w:tcPr>
          <w:p w14:paraId="53B09339">
            <w:pPr>
              <w:rPr>
                <w:rFonts w:ascii="Arial"/>
                <w:color w:val="auto"/>
                <w:sz w:val="21"/>
                <w:highlight w:val="none"/>
              </w:rPr>
            </w:pPr>
          </w:p>
        </w:tc>
        <w:tc>
          <w:tcPr>
            <w:tcW w:w="2537" w:type="dxa"/>
            <w:vAlign w:val="top"/>
          </w:tcPr>
          <w:p w14:paraId="3868166A">
            <w:pPr>
              <w:rPr>
                <w:rFonts w:ascii="Arial"/>
                <w:color w:val="auto"/>
                <w:sz w:val="21"/>
                <w:highlight w:val="none"/>
              </w:rPr>
            </w:pPr>
          </w:p>
        </w:tc>
      </w:tr>
      <w:tr w14:paraId="5355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203" w:type="dxa"/>
            <w:vAlign w:val="top"/>
          </w:tcPr>
          <w:p w14:paraId="042375CB">
            <w:pPr>
              <w:rPr>
                <w:rFonts w:ascii="Arial"/>
                <w:color w:val="auto"/>
                <w:sz w:val="21"/>
                <w:highlight w:val="none"/>
              </w:rPr>
            </w:pPr>
          </w:p>
        </w:tc>
        <w:tc>
          <w:tcPr>
            <w:tcW w:w="2317" w:type="dxa"/>
            <w:vAlign w:val="top"/>
          </w:tcPr>
          <w:p w14:paraId="3A82F01F">
            <w:pPr>
              <w:rPr>
                <w:rFonts w:ascii="Arial"/>
                <w:color w:val="auto"/>
                <w:sz w:val="21"/>
                <w:highlight w:val="none"/>
              </w:rPr>
            </w:pPr>
          </w:p>
        </w:tc>
        <w:tc>
          <w:tcPr>
            <w:tcW w:w="2307" w:type="dxa"/>
            <w:vAlign w:val="top"/>
          </w:tcPr>
          <w:p w14:paraId="69EE970C">
            <w:pPr>
              <w:rPr>
                <w:rFonts w:ascii="Arial"/>
                <w:color w:val="auto"/>
                <w:sz w:val="21"/>
                <w:highlight w:val="none"/>
              </w:rPr>
            </w:pPr>
          </w:p>
        </w:tc>
        <w:tc>
          <w:tcPr>
            <w:tcW w:w="2537" w:type="dxa"/>
            <w:vAlign w:val="top"/>
          </w:tcPr>
          <w:p w14:paraId="326E1EC2">
            <w:pPr>
              <w:rPr>
                <w:rFonts w:ascii="Arial"/>
                <w:color w:val="auto"/>
                <w:sz w:val="21"/>
                <w:highlight w:val="none"/>
              </w:rPr>
            </w:pPr>
          </w:p>
        </w:tc>
      </w:tr>
    </w:tbl>
    <w:p w14:paraId="0B280F1D">
      <w:pPr>
        <w:rPr>
          <w:rFonts w:ascii="Arial" w:hAnsi="Arial" w:eastAsia="Arial" w:cs="Arial"/>
          <w:color w:val="auto"/>
          <w:sz w:val="21"/>
          <w:szCs w:val="21"/>
          <w:highlight w:val="none"/>
        </w:rPr>
        <w:sectPr>
          <w:footerReference r:id="rId18" w:type="default"/>
          <w:pgSz w:w="11906" w:h="16839"/>
          <w:pgMar w:top="400" w:right="1173" w:bottom="919" w:left="1129" w:header="680" w:footer="680" w:gutter="0"/>
          <w:pgNumType w:fmt="decimal"/>
          <w:cols w:space="720" w:num="1"/>
        </w:sectPr>
      </w:pPr>
    </w:p>
    <w:p w14:paraId="673D51DD">
      <w:pPr>
        <w:spacing w:line="247" w:lineRule="auto"/>
        <w:rPr>
          <w:rFonts w:ascii="Arial"/>
          <w:color w:val="auto"/>
          <w:sz w:val="21"/>
          <w:highlight w:val="none"/>
        </w:rPr>
      </w:pPr>
    </w:p>
    <w:p w14:paraId="61653896">
      <w:pPr>
        <w:pStyle w:val="4"/>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八、近年完成的类似项目情况表</w:t>
      </w:r>
    </w:p>
    <w:tbl>
      <w:tblPr>
        <w:tblStyle w:val="21"/>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7337"/>
      </w:tblGrid>
      <w:tr w14:paraId="2898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7EABA234">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337" w:type="dxa"/>
            <w:vAlign w:val="center"/>
          </w:tcPr>
          <w:p w14:paraId="1846BD38">
            <w:pPr>
              <w:spacing w:after="0" w:line="0" w:lineRule="atLeast"/>
              <w:jc w:val="center"/>
              <w:rPr>
                <w:rFonts w:hint="eastAsia" w:ascii="宋体" w:hAnsi="宋体" w:eastAsia="宋体" w:cs="宋体"/>
                <w:color w:val="auto"/>
                <w:sz w:val="21"/>
                <w:szCs w:val="21"/>
                <w:highlight w:val="none"/>
              </w:rPr>
            </w:pPr>
          </w:p>
        </w:tc>
      </w:tr>
      <w:tr w14:paraId="67AA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6F1BED9F">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项目所在地</w:t>
            </w:r>
          </w:p>
        </w:tc>
        <w:tc>
          <w:tcPr>
            <w:tcW w:w="7337" w:type="dxa"/>
            <w:vAlign w:val="center"/>
          </w:tcPr>
          <w:p w14:paraId="4951349C">
            <w:pPr>
              <w:spacing w:after="0" w:line="0" w:lineRule="atLeast"/>
              <w:jc w:val="center"/>
              <w:rPr>
                <w:rFonts w:hint="eastAsia" w:ascii="宋体" w:hAnsi="宋体" w:eastAsia="宋体" w:cs="宋体"/>
                <w:color w:val="auto"/>
                <w:sz w:val="21"/>
                <w:szCs w:val="21"/>
                <w:highlight w:val="none"/>
              </w:rPr>
            </w:pPr>
          </w:p>
        </w:tc>
      </w:tr>
      <w:tr w14:paraId="2157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0C0877F8">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发包人名称</w:t>
            </w:r>
          </w:p>
        </w:tc>
        <w:tc>
          <w:tcPr>
            <w:tcW w:w="7337" w:type="dxa"/>
            <w:vAlign w:val="center"/>
          </w:tcPr>
          <w:p w14:paraId="5B2B8B24">
            <w:pPr>
              <w:spacing w:after="0" w:line="0" w:lineRule="atLeast"/>
              <w:jc w:val="center"/>
              <w:rPr>
                <w:rFonts w:hint="eastAsia" w:ascii="宋体" w:hAnsi="宋体" w:eastAsia="宋体" w:cs="宋体"/>
                <w:color w:val="auto"/>
                <w:sz w:val="21"/>
                <w:szCs w:val="21"/>
                <w:highlight w:val="none"/>
              </w:rPr>
            </w:pPr>
          </w:p>
        </w:tc>
      </w:tr>
      <w:tr w14:paraId="1CC6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340B60ED">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发包人地址</w:t>
            </w:r>
          </w:p>
        </w:tc>
        <w:tc>
          <w:tcPr>
            <w:tcW w:w="7337" w:type="dxa"/>
            <w:vAlign w:val="center"/>
          </w:tcPr>
          <w:p w14:paraId="2DB4C30F">
            <w:pPr>
              <w:spacing w:after="0" w:line="0" w:lineRule="atLeast"/>
              <w:jc w:val="center"/>
              <w:rPr>
                <w:rFonts w:hint="eastAsia" w:ascii="宋体" w:hAnsi="宋体" w:eastAsia="宋体" w:cs="宋体"/>
                <w:color w:val="auto"/>
                <w:sz w:val="21"/>
                <w:szCs w:val="21"/>
                <w:highlight w:val="none"/>
              </w:rPr>
            </w:pPr>
          </w:p>
        </w:tc>
      </w:tr>
      <w:tr w14:paraId="677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4B80852A">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发包人电话</w:t>
            </w:r>
          </w:p>
        </w:tc>
        <w:tc>
          <w:tcPr>
            <w:tcW w:w="7337" w:type="dxa"/>
            <w:vAlign w:val="center"/>
          </w:tcPr>
          <w:p w14:paraId="2AD0474A">
            <w:pPr>
              <w:spacing w:after="0" w:line="0" w:lineRule="atLeast"/>
              <w:jc w:val="center"/>
              <w:rPr>
                <w:rFonts w:hint="eastAsia" w:ascii="宋体" w:hAnsi="宋体" w:eastAsia="宋体" w:cs="宋体"/>
                <w:color w:val="auto"/>
                <w:sz w:val="21"/>
                <w:szCs w:val="21"/>
                <w:highlight w:val="none"/>
              </w:rPr>
            </w:pPr>
          </w:p>
        </w:tc>
      </w:tr>
      <w:tr w14:paraId="2681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42662BEA">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w:t>
            </w:r>
          </w:p>
        </w:tc>
        <w:tc>
          <w:tcPr>
            <w:tcW w:w="7337" w:type="dxa"/>
            <w:vAlign w:val="center"/>
          </w:tcPr>
          <w:p w14:paraId="4D5C319E">
            <w:pPr>
              <w:spacing w:after="0" w:line="0" w:lineRule="atLeast"/>
              <w:jc w:val="center"/>
              <w:rPr>
                <w:rFonts w:hint="eastAsia" w:ascii="宋体" w:hAnsi="宋体" w:eastAsia="宋体" w:cs="宋体"/>
                <w:color w:val="auto"/>
                <w:sz w:val="21"/>
                <w:szCs w:val="21"/>
                <w:highlight w:val="none"/>
              </w:rPr>
            </w:pPr>
          </w:p>
        </w:tc>
      </w:tr>
      <w:tr w14:paraId="2844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2056D8CE">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7337" w:type="dxa"/>
            <w:vAlign w:val="center"/>
          </w:tcPr>
          <w:p w14:paraId="5654DCB1">
            <w:pPr>
              <w:spacing w:after="0" w:line="0" w:lineRule="atLeast"/>
              <w:jc w:val="center"/>
              <w:rPr>
                <w:rFonts w:hint="eastAsia" w:ascii="宋体" w:hAnsi="宋体" w:eastAsia="宋体" w:cs="宋体"/>
                <w:color w:val="auto"/>
                <w:sz w:val="21"/>
                <w:szCs w:val="21"/>
                <w:highlight w:val="none"/>
              </w:rPr>
            </w:pPr>
          </w:p>
        </w:tc>
      </w:tr>
      <w:tr w14:paraId="29F7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15F9FE2D">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c>
          <w:tcPr>
            <w:tcW w:w="7337" w:type="dxa"/>
            <w:vAlign w:val="center"/>
          </w:tcPr>
          <w:p w14:paraId="58BE948D">
            <w:pPr>
              <w:spacing w:after="0" w:line="0" w:lineRule="atLeast"/>
              <w:jc w:val="center"/>
              <w:rPr>
                <w:rFonts w:hint="eastAsia" w:ascii="宋体" w:hAnsi="宋体" w:eastAsia="宋体" w:cs="宋体"/>
                <w:color w:val="auto"/>
                <w:sz w:val="21"/>
                <w:szCs w:val="21"/>
                <w:highlight w:val="none"/>
              </w:rPr>
            </w:pPr>
          </w:p>
        </w:tc>
      </w:tr>
      <w:tr w14:paraId="5238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5CDDFDF0">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承担的工作</w:t>
            </w:r>
          </w:p>
        </w:tc>
        <w:tc>
          <w:tcPr>
            <w:tcW w:w="7337" w:type="dxa"/>
            <w:vAlign w:val="center"/>
          </w:tcPr>
          <w:p w14:paraId="2AC9E4E9">
            <w:pPr>
              <w:spacing w:after="0" w:line="0" w:lineRule="atLeast"/>
              <w:jc w:val="center"/>
              <w:rPr>
                <w:rFonts w:hint="eastAsia" w:ascii="宋体" w:hAnsi="宋体" w:eastAsia="宋体" w:cs="宋体"/>
                <w:color w:val="auto"/>
                <w:sz w:val="21"/>
                <w:szCs w:val="21"/>
                <w:highlight w:val="none"/>
              </w:rPr>
            </w:pPr>
          </w:p>
        </w:tc>
      </w:tr>
      <w:tr w14:paraId="3942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29189BDB">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c>
          <w:tcPr>
            <w:tcW w:w="7337" w:type="dxa"/>
            <w:vAlign w:val="center"/>
          </w:tcPr>
          <w:p w14:paraId="383FD92B">
            <w:pPr>
              <w:spacing w:after="0" w:line="0" w:lineRule="atLeast"/>
              <w:jc w:val="center"/>
              <w:rPr>
                <w:rFonts w:hint="eastAsia" w:ascii="宋体" w:hAnsi="宋体" w:eastAsia="宋体" w:cs="宋体"/>
                <w:color w:val="auto"/>
                <w:sz w:val="21"/>
                <w:szCs w:val="21"/>
                <w:highlight w:val="none"/>
              </w:rPr>
            </w:pPr>
          </w:p>
        </w:tc>
      </w:tr>
      <w:tr w14:paraId="6870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63217570">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p>
        </w:tc>
        <w:tc>
          <w:tcPr>
            <w:tcW w:w="7337" w:type="dxa"/>
            <w:vAlign w:val="center"/>
          </w:tcPr>
          <w:p w14:paraId="131F7B1B">
            <w:pPr>
              <w:spacing w:after="0" w:line="0" w:lineRule="atLeast"/>
              <w:jc w:val="center"/>
              <w:rPr>
                <w:rFonts w:hint="eastAsia" w:ascii="宋体" w:hAnsi="宋体" w:eastAsia="宋体" w:cs="宋体"/>
                <w:color w:val="auto"/>
                <w:sz w:val="21"/>
                <w:szCs w:val="21"/>
                <w:highlight w:val="none"/>
              </w:rPr>
            </w:pPr>
          </w:p>
        </w:tc>
      </w:tr>
      <w:tr w14:paraId="31F6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72C524AF">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7337" w:type="dxa"/>
            <w:vAlign w:val="center"/>
          </w:tcPr>
          <w:p w14:paraId="577E9EA1">
            <w:pPr>
              <w:spacing w:after="0" w:line="0" w:lineRule="atLeast"/>
              <w:jc w:val="center"/>
              <w:rPr>
                <w:rFonts w:hint="eastAsia" w:ascii="宋体" w:hAnsi="宋体" w:eastAsia="宋体" w:cs="宋体"/>
                <w:color w:val="auto"/>
                <w:sz w:val="21"/>
                <w:szCs w:val="21"/>
                <w:highlight w:val="none"/>
              </w:rPr>
            </w:pPr>
          </w:p>
        </w:tc>
      </w:tr>
      <w:tr w14:paraId="3BCD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67211BB4">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总监理工程师及电话</w:t>
            </w:r>
          </w:p>
        </w:tc>
        <w:tc>
          <w:tcPr>
            <w:tcW w:w="7337" w:type="dxa"/>
            <w:vAlign w:val="center"/>
          </w:tcPr>
          <w:p w14:paraId="0454C958">
            <w:pPr>
              <w:spacing w:after="0" w:line="0" w:lineRule="atLeast"/>
              <w:jc w:val="center"/>
              <w:rPr>
                <w:rFonts w:hint="eastAsia" w:ascii="宋体" w:hAnsi="宋体" w:eastAsia="宋体" w:cs="宋体"/>
                <w:color w:val="auto"/>
                <w:sz w:val="21"/>
                <w:szCs w:val="21"/>
                <w:highlight w:val="none"/>
              </w:rPr>
            </w:pPr>
          </w:p>
        </w:tc>
      </w:tr>
      <w:tr w14:paraId="1DF3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1D5EEF79">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项目描述</w:t>
            </w:r>
          </w:p>
        </w:tc>
        <w:tc>
          <w:tcPr>
            <w:tcW w:w="7337" w:type="dxa"/>
            <w:vAlign w:val="center"/>
          </w:tcPr>
          <w:p w14:paraId="2FD706E1">
            <w:pPr>
              <w:spacing w:after="0" w:line="0" w:lineRule="atLeast"/>
              <w:jc w:val="center"/>
              <w:rPr>
                <w:rFonts w:hint="eastAsia" w:ascii="宋体" w:hAnsi="宋体" w:eastAsia="宋体" w:cs="宋体"/>
                <w:color w:val="auto"/>
                <w:sz w:val="21"/>
                <w:szCs w:val="21"/>
                <w:highlight w:val="none"/>
              </w:rPr>
            </w:pPr>
          </w:p>
        </w:tc>
      </w:tr>
      <w:tr w14:paraId="40EF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3" w:type="dxa"/>
            <w:vAlign w:val="center"/>
          </w:tcPr>
          <w:p w14:paraId="52764F6A">
            <w:pPr>
              <w:spacing w:after="0" w:line="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337" w:type="dxa"/>
            <w:vAlign w:val="center"/>
          </w:tcPr>
          <w:p w14:paraId="0C1A55BB">
            <w:pPr>
              <w:spacing w:after="0" w:line="0" w:lineRule="atLeast"/>
              <w:jc w:val="center"/>
              <w:rPr>
                <w:rFonts w:hint="eastAsia" w:ascii="宋体" w:hAnsi="宋体" w:eastAsia="宋体" w:cs="宋体"/>
                <w:color w:val="auto"/>
                <w:sz w:val="21"/>
                <w:szCs w:val="21"/>
                <w:highlight w:val="none"/>
              </w:rPr>
            </w:pPr>
          </w:p>
        </w:tc>
      </w:tr>
    </w:tbl>
    <w:p w14:paraId="16341D5E">
      <w:pPr>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注：业绩证明材料以中标（成交）通知书或合同（协议）复印件加盖公章为准，业绩证明材料放入在响应文件中，未提供不得分。类似业绩指建筑业企业资质范围内的施工业绩。</w:t>
      </w:r>
    </w:p>
    <w:p w14:paraId="12DDD526">
      <w:pPr>
        <w:numPr>
          <w:ilvl w:val="0"/>
          <w:numId w:val="0"/>
        </w:numPr>
        <w:rPr>
          <w:rFonts w:hint="eastAsia"/>
          <w:color w:val="auto"/>
          <w:highlight w:val="none"/>
          <w:lang w:val="en-US" w:eastAsia="zh-CN"/>
        </w:rPr>
      </w:pPr>
    </w:p>
    <w:p w14:paraId="443FC924">
      <w:pPr>
        <w:rPr>
          <w:rFonts w:hint="eastAsia"/>
          <w:b/>
          <w:bCs/>
          <w:color w:val="auto"/>
          <w:spacing w:val="6"/>
          <w:sz w:val="31"/>
          <w:szCs w:val="31"/>
          <w:highlight w:val="none"/>
          <w:lang w:val="en-US" w:eastAsia="zh-CN"/>
        </w:rPr>
      </w:pPr>
      <w:r>
        <w:rPr>
          <w:rFonts w:hint="eastAsia"/>
          <w:b/>
          <w:bCs/>
          <w:color w:val="auto"/>
          <w:spacing w:val="6"/>
          <w:sz w:val="31"/>
          <w:szCs w:val="31"/>
          <w:highlight w:val="none"/>
          <w:lang w:val="en-US" w:eastAsia="zh-CN"/>
        </w:rPr>
        <w:br w:type="page"/>
      </w:r>
    </w:p>
    <w:p w14:paraId="5A0825BC">
      <w:pPr>
        <w:pStyle w:val="4"/>
        <w:numPr>
          <w:ilvl w:val="0"/>
          <w:numId w:val="2"/>
        </w:numPr>
        <w:spacing w:line="360" w:lineRule="auto"/>
        <w:ind w:left="0" w:leftChars="0" w:firstLine="723" w:firstLineChars="200"/>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工程量清单</w:t>
      </w:r>
    </w:p>
    <w:p w14:paraId="293666F7">
      <w:pPr>
        <w:numPr>
          <w:ilvl w:val="0"/>
          <w:numId w:val="0"/>
        </w:numPr>
        <w:ind w:leftChars="200"/>
        <w:rPr>
          <w:rFonts w:hint="eastAsia"/>
          <w:color w:val="auto"/>
          <w:highlight w:val="none"/>
          <w:lang w:val="en-US" w:eastAsia="zh-CN"/>
        </w:rPr>
      </w:pPr>
    </w:p>
    <w:p w14:paraId="2E4F9605">
      <w:pPr>
        <w:rPr>
          <w:rFonts w:hint="default"/>
          <w:color w:val="auto"/>
          <w:highlight w:val="none"/>
          <w:lang w:val="en-US" w:eastAsia="zh-CN"/>
        </w:rPr>
      </w:pPr>
    </w:p>
    <w:p w14:paraId="61E3F900">
      <w:pPr>
        <w:pStyle w:val="4"/>
        <w:spacing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十、竞争性磋商文件要求提供的其他资料</w:t>
      </w:r>
    </w:p>
    <w:p w14:paraId="1651C948">
      <w:pPr>
        <w:spacing w:line="360" w:lineRule="auto"/>
        <w:jc w:val="center"/>
        <w:rPr>
          <w:rFonts w:hint="eastAsia" w:ascii="宋体" w:hAnsi="宋体" w:eastAsia="宋体" w:cs="宋体"/>
          <w:b/>
          <w:bCs/>
          <w:color w:val="auto"/>
          <w:kern w:val="2"/>
          <w:sz w:val="36"/>
          <w:szCs w:val="28"/>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磋商申请人</w:t>
      </w:r>
      <w:r>
        <w:rPr>
          <w:rFonts w:hint="eastAsia" w:ascii="宋体" w:hAnsi="宋体" w:eastAsia="宋体" w:cs="宋体"/>
          <w:color w:val="auto"/>
          <w:highlight w:val="none"/>
        </w:rPr>
        <w:t>根据竞争性磋商文件要求，提供认为可以提供的资料）。</w:t>
      </w:r>
    </w:p>
    <w:p w14:paraId="64DE679B">
      <w:pPr>
        <w:pStyle w:val="7"/>
        <w:spacing w:before="230" w:line="219" w:lineRule="auto"/>
        <w:ind w:left="226"/>
        <w:rPr>
          <w:color w:val="auto"/>
          <w:spacing w:val="-1"/>
          <w:highlight w:val="none"/>
        </w:rPr>
      </w:pPr>
    </w:p>
    <w:p w14:paraId="0CDB8D63">
      <w:pPr>
        <w:rPr>
          <w:rFonts w:hint="eastAsia" w:ascii="宋体" w:hAnsi="宋体" w:eastAsia="宋体" w:cs="宋体"/>
          <w:b/>
          <w:color w:val="auto"/>
          <w:sz w:val="24"/>
          <w:szCs w:val="24"/>
          <w:highlight w:val="none"/>
        </w:rPr>
      </w:pPr>
      <w:bookmarkStart w:id="640" w:name="_Toc436725449"/>
      <w:bookmarkStart w:id="641" w:name="_Toc502328431"/>
      <w:bookmarkStart w:id="642" w:name="_Toc31247"/>
      <w:bookmarkStart w:id="643" w:name="_Toc26021"/>
      <w:bookmarkStart w:id="644" w:name="_Toc490492636"/>
      <w:bookmarkStart w:id="645" w:name="_Toc436725476"/>
      <w:bookmarkStart w:id="646" w:name="_Toc500594549"/>
    </w:p>
    <w:p w14:paraId="70399618">
      <w:pPr>
        <w:adjustRightInd/>
        <w:snapToGrid/>
        <w:spacing w:after="0"/>
        <w:rPr>
          <w:rFonts w:hint="eastAsia" w:ascii="宋体" w:hAnsi="宋体" w:eastAsia="宋体" w:cs="宋体"/>
          <w:b/>
          <w:caps/>
          <w:color w:val="auto"/>
          <w:sz w:val="24"/>
          <w:szCs w:val="24"/>
          <w:highlight w:val="none"/>
        </w:rPr>
      </w:pPr>
      <w:r>
        <w:rPr>
          <w:rFonts w:hint="eastAsia" w:ascii="宋体" w:hAnsi="宋体" w:eastAsia="宋体" w:cs="宋体"/>
          <w:b/>
          <w:caps/>
          <w:color w:val="auto"/>
          <w:sz w:val="24"/>
          <w:szCs w:val="24"/>
          <w:highlight w:val="none"/>
        </w:rPr>
        <w:br w:type="page"/>
      </w:r>
    </w:p>
    <w:bookmarkEnd w:id="640"/>
    <w:bookmarkEnd w:id="641"/>
    <w:bookmarkEnd w:id="642"/>
    <w:bookmarkEnd w:id="643"/>
    <w:bookmarkEnd w:id="644"/>
    <w:bookmarkEnd w:id="645"/>
    <w:bookmarkEnd w:id="646"/>
    <w:p w14:paraId="41F32957">
      <w:pPr>
        <w:spacing w:line="360" w:lineRule="auto"/>
        <w:rPr>
          <w:rFonts w:hint="eastAsia" w:ascii="宋体" w:hAnsi="宋体" w:eastAsia="宋体" w:cs="宋体"/>
          <w:color w:val="auto"/>
          <w:kern w:val="2"/>
          <w:sz w:val="21"/>
          <w:szCs w:val="24"/>
          <w:highlight w:val="none"/>
        </w:rPr>
      </w:pPr>
      <w:bookmarkStart w:id="647" w:name="_Toc436725447"/>
      <w:bookmarkStart w:id="648" w:name="_Toc436725474"/>
    </w:p>
    <w:bookmarkEnd w:id="634"/>
    <w:bookmarkEnd w:id="647"/>
    <w:bookmarkEnd w:id="648"/>
    <w:p w14:paraId="30AD0A6A">
      <w:pPr>
        <w:pStyle w:val="3"/>
        <w:tabs>
          <w:tab w:val="left" w:pos="432"/>
        </w:tabs>
        <w:snapToGrid w:val="0"/>
        <w:spacing w:before="0" w:after="0" w:line="360" w:lineRule="auto"/>
        <w:ind w:left="432" w:hanging="432"/>
        <w:jc w:val="center"/>
        <w:rPr>
          <w:rFonts w:hint="eastAsia" w:ascii="宋体" w:hAnsi="宋体" w:eastAsia="宋体" w:cs="宋体"/>
          <w:bCs w:val="0"/>
          <w:color w:val="auto"/>
          <w:sz w:val="44"/>
          <w:szCs w:val="44"/>
          <w:highlight w:val="none"/>
        </w:rPr>
      </w:pPr>
      <w:bookmarkStart w:id="649" w:name="_Toc24657"/>
      <w:bookmarkStart w:id="650" w:name="_Toc3223"/>
      <w:bookmarkStart w:id="651" w:name="_Toc6632"/>
      <w:r>
        <w:rPr>
          <w:rFonts w:hint="eastAsia" w:hAnsi="宋体" w:cs="宋体"/>
          <w:bCs w:val="0"/>
          <w:color w:val="auto"/>
          <w:sz w:val="44"/>
          <w:szCs w:val="44"/>
          <w:highlight w:val="none"/>
          <w:lang w:val="en-US" w:eastAsia="zh-CN"/>
        </w:rPr>
        <w:t>第六章  采购需求</w:t>
      </w:r>
      <w:bookmarkEnd w:id="649"/>
      <w:bookmarkEnd w:id="650"/>
      <w:bookmarkEnd w:id="651"/>
    </w:p>
    <w:p w14:paraId="65BD1C3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红河县车古乡利博村委会至龙腾公路工程建设项目。</w:t>
      </w:r>
    </w:p>
    <w:p w14:paraId="556573C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：YNJY-260518。</w:t>
      </w:r>
    </w:p>
    <w:p w14:paraId="630DB3B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采购方式：竞争性磋商</w:t>
      </w:r>
      <w:r>
        <w:rPr>
          <w:rFonts w:hint="eastAsia" w:ascii="宋体" w:hAnsi="宋体" w:eastAsia="宋体" w:cs="宋体"/>
          <w:color w:val="auto"/>
          <w:sz w:val="24"/>
          <w:szCs w:val="24"/>
          <w:highlight w:val="none"/>
          <w:lang w:eastAsia="zh-CN"/>
        </w:rPr>
        <w:t>。</w:t>
      </w:r>
    </w:p>
    <w:p w14:paraId="0CD0F80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预算金额：人民币</w:t>
      </w:r>
      <w:r>
        <w:rPr>
          <w:rFonts w:hint="eastAsia" w:ascii="宋体" w:hAnsi="宋体" w:eastAsia="宋体" w:cs="宋体"/>
          <w:color w:val="auto"/>
          <w:sz w:val="24"/>
          <w:szCs w:val="24"/>
          <w:highlight w:val="none"/>
          <w:lang w:eastAsia="zh-CN"/>
        </w:rPr>
        <w:t>3909000.00元</w:t>
      </w:r>
      <w:r>
        <w:rPr>
          <w:rFonts w:hint="eastAsia" w:ascii="宋体" w:hAnsi="宋体" w:eastAsia="宋体" w:cs="宋体"/>
          <w:color w:val="auto"/>
          <w:sz w:val="24"/>
          <w:szCs w:val="24"/>
          <w:highlight w:val="none"/>
          <w:lang w:val="en-US" w:eastAsia="zh-CN"/>
        </w:rPr>
        <w:t>。</w:t>
      </w:r>
    </w:p>
    <w:p w14:paraId="3E3122C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招标控制价：人民币3794399.74元。</w:t>
      </w:r>
    </w:p>
    <w:p w14:paraId="5B8D116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本项目主要为改建工程，故该项目平面、纵断原则维持原老路，纵段平面线形基本维持原状况，在老路上加宽路基，浇筑混凝土路面。路线整体由西北向东南方向布设，路线起点K0+000处位于利博村委会，止点K2+956止于利博村委会龙腾村，沿老路已有路线布线，路面采用C30混凝土浇筑，项目全长2.956公里。主要控制点：利博村委会，在原有老路走廊带对道路进行改建，包括：路基土石方23866m³、浇筑混凝土路面14165㎡，浇筑路缘边沟807.18m³、路基路面宽度：4.5米，行车道宽4.5 米。汽车荷载等级：公路-II级。</w:t>
      </w:r>
    </w:p>
    <w:p w14:paraId="157C5E1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建设地点：红河县车古乡利博村委会。</w:t>
      </w:r>
    </w:p>
    <w:p w14:paraId="0FA27E5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计划工期：120日历天。</w:t>
      </w:r>
    </w:p>
    <w:p w14:paraId="4EA0899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质量要求：施工质量符合现行《公路工程质量检验评定标准》及国家相关标准、规范要求，一次性验收合格。</w:t>
      </w:r>
    </w:p>
    <w:p w14:paraId="36551F1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w:t>
      </w:r>
    </w:p>
    <w:p w14:paraId="627E305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831715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auto"/>
          <w:sz w:val="24"/>
          <w:szCs w:val="24"/>
          <w:highlight w:val="none"/>
        </w:rPr>
      </w:pPr>
    </w:p>
    <w:p w14:paraId="1D679277">
      <w:pPr>
        <w:pStyle w:val="3"/>
        <w:tabs>
          <w:tab w:val="left" w:pos="432"/>
        </w:tabs>
        <w:snapToGrid w:val="0"/>
        <w:spacing w:before="0" w:after="0" w:line="360" w:lineRule="auto"/>
        <w:ind w:left="432" w:hanging="432"/>
        <w:jc w:val="center"/>
        <w:rPr>
          <w:rFonts w:hint="eastAsia" w:ascii="宋体" w:hAnsi="宋体" w:eastAsia="宋体" w:cs="宋体"/>
          <w:bCs w:val="0"/>
          <w:color w:val="auto"/>
          <w:sz w:val="44"/>
          <w:szCs w:val="44"/>
          <w:highlight w:val="none"/>
          <w:lang w:val="en-US" w:eastAsia="zh-CN"/>
        </w:rPr>
      </w:pPr>
      <w:bookmarkStart w:id="652" w:name="_Toc18282"/>
      <w:r>
        <w:rPr>
          <w:rFonts w:hint="eastAsia" w:ascii="宋体" w:hAnsi="宋体" w:eastAsia="宋体" w:cs="宋体"/>
          <w:bCs w:val="0"/>
          <w:color w:val="auto"/>
          <w:sz w:val="44"/>
          <w:szCs w:val="44"/>
          <w:highlight w:val="none"/>
          <w:lang w:val="en-US" w:eastAsia="zh-CN"/>
        </w:rPr>
        <w:t>第七章  技术标准和要求</w:t>
      </w:r>
      <w:bookmarkEnd w:id="652"/>
    </w:p>
    <w:p w14:paraId="5A857433">
      <w:pPr>
        <w:pStyle w:val="38"/>
        <w:spacing w:before="120" w:beforeLines="50" w:after="20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一、本采购项目的材料、设备、施工须达到现行中华人民共和国以及省、自治区、直辖市或行业的工程建设标准、规范的要求；严格遵照设计施工图及国家或行业有关标准、规范执行。</w:t>
      </w:r>
    </w:p>
    <w:p w14:paraId="106F63F2">
      <w:pPr>
        <w:pStyle w:val="38"/>
        <w:spacing w:before="120" w:beforeLines="50" w:after="20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二、本采购项目涉及的安全生产、文明施工、环境保护措施应符合中华人民共和国以及省、市、自治区、直辖市或行业以及当地政府的有关法律、法规的要求。</w:t>
      </w:r>
    </w:p>
    <w:p w14:paraId="4C8874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三、根据工程设计要求及所处地域当地政府的相关规定，适用时本招标工程项目的材料、设备、施工必须达到但不限于以下现行标准或规范及其最新版本的要求。</w:t>
      </w:r>
    </w:p>
    <w:p w14:paraId="14CEA071">
      <w:pPr>
        <w:pStyle w:val="16"/>
        <w:rPr>
          <w:rFonts w:hint="eastAsia" w:ascii="宋体" w:hAnsi="宋体" w:eastAsia="宋体" w:cs="宋体"/>
          <w:b/>
          <w:bCs/>
          <w:color w:val="auto"/>
          <w:kern w:val="2"/>
          <w:sz w:val="36"/>
          <w:szCs w:val="28"/>
          <w:highlight w:val="none"/>
          <w:lang w:val="en-US" w:eastAsia="zh-CN"/>
        </w:rPr>
      </w:pPr>
    </w:p>
    <w:p w14:paraId="02D488C8">
      <w:pPr>
        <w:rPr>
          <w:rFonts w:hint="eastAsia" w:ascii="宋体" w:hAnsi="宋体" w:eastAsia="宋体" w:cs="宋体"/>
          <w:color w:val="auto"/>
          <w:highlight w:val="none"/>
        </w:rPr>
      </w:pPr>
    </w:p>
    <w:sectPr>
      <w:headerReference r:id="rId19" w:type="default"/>
      <w:footerReference r:id="rId20" w:type="even"/>
      <w:pgSz w:w="11899" w:h="16839"/>
      <w:pgMar w:top="1247" w:right="1077" w:bottom="1247" w:left="1077" w:header="612" w:footer="612"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EDA6">
    <w:pPr>
      <w:pStyle w:val="12"/>
      <w:jc w:val="left"/>
      <w:rPr>
        <w:rFonts w:ascii="宋体" w:hAnsi="宋体" w:eastAsia="宋体"/>
        <w:sz w:val="21"/>
        <w:szCs w:val="21"/>
      </w:rPr>
    </w:pPr>
  </w:p>
  <w:p w14:paraId="2D768C9A">
    <w:pPr>
      <w:pStyle w:val="12"/>
      <w:rPr>
        <w:rFonts w:hint="eastAsia" w:ascii="宋体" w:hAnsi="宋体" w:eastAsia="宋体" w:cs="宋体"/>
        <w:lang w:eastAsia="zh-CN"/>
      </w:rPr>
    </w:pPr>
    <w:r>
      <w:rPr>
        <w:rFonts w:hint="eastAsia" w:ascii="宋体" w:hAnsi="宋体" w:eastAsia="宋体" w:cs="宋体"/>
        <w:lang w:eastAsia="zh-CN"/>
      </w:rPr>
      <w:t>云南疆屿项目管理咨询有限公司</w:t>
    </w:r>
  </w:p>
  <w:p w14:paraId="64A934A4">
    <w:pPr>
      <w:pStyle w:val="12"/>
      <w:rPr>
        <w:rFonts w:hint="eastAsia" w:ascii="宋体" w:hAnsi="宋体"/>
        <w:color w:val="808080"/>
        <w:kern w:val="2"/>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12CDE">
    <w:pPr>
      <w:pStyle w:val="12"/>
      <w:rPr>
        <w:rFonts w:hint="eastAsia" w:ascii="楷体" w:hAnsi="楷体" w:eastAsia="楷体_GB2312" w:cs="楷体"/>
        <w:sz w:val="24"/>
        <w:szCs w:val="24"/>
        <w:lang w:eastAsia="zh-CN"/>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ECD72">
                          <w:pPr>
                            <w:pStyle w:val="1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36ECD72">
                    <w:pPr>
                      <w:pStyle w:val="12"/>
                    </w:pPr>
                    <w:r>
                      <w:fldChar w:fldCharType="begin"/>
                    </w:r>
                    <w:r>
                      <w:instrText xml:space="preserve"> PAGE  \* MERGEFORMAT </w:instrText>
                    </w:r>
                    <w:r>
                      <w:fldChar w:fldCharType="separate"/>
                    </w:r>
                    <w:r>
                      <w:t>65</w:t>
                    </w:r>
                    <w:r>
                      <w:fldChar w:fldCharType="end"/>
                    </w:r>
                  </w:p>
                </w:txbxContent>
              </v:textbox>
            </v:shape>
          </w:pict>
        </mc:Fallback>
      </mc:AlternateContent>
    </w:r>
    <w:r>
      <w:rPr>
        <w:rFonts w:hint="eastAsia" w:ascii="宋体" w:hAnsi="宋体" w:eastAsia="宋体" w:cs="宋体"/>
        <w:lang w:eastAsia="zh-CN"/>
      </w:rPr>
      <w:t>云南疆屿项目管理咨询有限公司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CD84">
    <w:pPr>
      <w:pStyle w:val="12"/>
      <w:rPr>
        <w:rFonts w:hint="eastAsia" w:ascii="楷体" w:hAnsi="楷体" w:eastAsia="楷体_GB2312" w:cs="楷体"/>
        <w:sz w:val="24"/>
        <w:szCs w:val="24"/>
        <w:lang w:eastAsia="zh-CN"/>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EA839">
                          <w:pPr>
                            <w:pStyle w:val="1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D8EA839">
                    <w:pPr>
                      <w:pStyle w:val="12"/>
                    </w:pPr>
                    <w:r>
                      <w:fldChar w:fldCharType="begin"/>
                    </w:r>
                    <w:r>
                      <w:instrText xml:space="preserve"> PAGE  \* MERGEFORMAT </w:instrText>
                    </w:r>
                    <w:r>
                      <w:fldChar w:fldCharType="separate"/>
                    </w:r>
                    <w:r>
                      <w:t>66</w:t>
                    </w:r>
                    <w:r>
                      <w:fldChar w:fldCharType="end"/>
                    </w:r>
                  </w:p>
                </w:txbxContent>
              </v:textbox>
            </v:shape>
          </w:pict>
        </mc:Fallback>
      </mc:AlternateContent>
    </w:r>
    <w:r>
      <w:rPr>
        <w:rFonts w:hint="eastAsia" w:ascii="宋体" w:hAnsi="宋体" w:eastAsia="宋体" w:cs="宋体"/>
        <w:lang w:eastAsia="zh-CN"/>
      </w:rPr>
      <w:t>云南疆屿项目管理咨询有限公司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CA2DF">
    <w:pPr>
      <w:pStyle w:val="12"/>
      <w:rPr>
        <w:rFonts w:hint="eastAsia" w:ascii="楷体" w:hAnsi="楷体" w:eastAsia="楷体_GB2312" w:cs="楷体"/>
        <w:sz w:val="24"/>
        <w:szCs w:val="24"/>
        <w:lang w:eastAsia="zh-CN"/>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688EE">
                          <w:pPr>
                            <w:pStyle w:val="1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47688EE">
                    <w:pPr>
                      <w:pStyle w:val="12"/>
                    </w:pPr>
                    <w:r>
                      <w:fldChar w:fldCharType="begin"/>
                    </w:r>
                    <w:r>
                      <w:instrText xml:space="preserve"> PAGE  \* MERGEFORMAT </w:instrText>
                    </w:r>
                    <w:r>
                      <w:fldChar w:fldCharType="separate"/>
                    </w:r>
                    <w:r>
                      <w:t>67</w:t>
                    </w:r>
                    <w:r>
                      <w:fldChar w:fldCharType="end"/>
                    </w:r>
                  </w:p>
                </w:txbxContent>
              </v:textbox>
            </v:shape>
          </w:pict>
        </mc:Fallback>
      </mc:AlternateContent>
    </w:r>
    <w:r>
      <w:rPr>
        <w:rFonts w:hint="eastAsia" w:ascii="宋体" w:hAnsi="宋体" w:eastAsia="宋体" w:cs="宋体"/>
        <w:lang w:eastAsia="zh-CN"/>
      </w:rPr>
      <w:t>云南疆屿项目管理咨询有限公司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3AC2B">
    <w:pPr>
      <w:pStyle w:val="12"/>
      <w:rPr>
        <w:rFonts w:hint="eastAsia" w:ascii="楷体" w:hAnsi="楷体" w:eastAsia="楷体_GB2312" w:cs="楷体"/>
        <w:sz w:val="24"/>
        <w:szCs w:val="24"/>
        <w:lang w:eastAsia="zh-CN"/>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3B75AC">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A3B75AC">
                    <w:pPr>
                      <w:pStyle w:val="12"/>
                    </w:pPr>
                    <w:r>
                      <w:fldChar w:fldCharType="begin"/>
                    </w:r>
                    <w:r>
                      <w:instrText xml:space="preserve"> PAGE  \* MERGEFORMAT </w:instrText>
                    </w:r>
                    <w:r>
                      <w:fldChar w:fldCharType="separate"/>
                    </w:r>
                    <w:r>
                      <w:t>73</w:t>
                    </w:r>
                    <w:r>
                      <w:fldChar w:fldCharType="end"/>
                    </w:r>
                  </w:p>
                </w:txbxContent>
              </v:textbox>
            </v:shape>
          </w:pict>
        </mc:Fallback>
      </mc:AlternateContent>
    </w:r>
    <w:r>
      <w:rPr>
        <w:rFonts w:hint="eastAsia" w:ascii="宋体" w:hAnsi="宋体" w:eastAsia="宋体" w:cs="宋体"/>
        <w:lang w:eastAsia="zh-CN"/>
      </w:rPr>
      <w:t>云南疆屿项目管理咨询有限公司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E304">
    <w:pPr>
      <w:pStyle w:val="12"/>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848625">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848625">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49A7">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0AC54">
    <w:pPr>
      <w:pStyle w:val="12"/>
      <w:rPr>
        <w:rFonts w:hint="eastAsia" w:ascii="宋体" w:hAnsi="宋体" w:eastAsia="楷体_GB2312" w:cs="宋体"/>
        <w:lang w:eastAsia="zh-CN"/>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DD18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97DD18C">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lang w:eastAsia="zh-CN"/>
      </w:rPr>
      <w:t>云南疆屿项目管理咨询有限公司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F74D">
    <w:pPr>
      <w:pStyle w:val="12"/>
      <w:rPr>
        <w:rFonts w:hint="eastAsia" w:ascii="楷体" w:hAnsi="楷体" w:eastAsia="楷体_GB2312" w:cs="楷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006DD">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67006DD">
                    <w:pPr>
                      <w:pStyle w:val="12"/>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ascii="宋体" w:hAnsi="宋体" w:eastAsia="宋体" w:cs="宋体"/>
        <w:lang w:eastAsia="zh-CN"/>
      </w:rPr>
      <w:t>云南疆屿项目管理咨询有限公司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2D80">
    <w:pPr>
      <w:pStyle w:val="12"/>
      <w:rPr>
        <w:rFonts w:hint="eastAsia" w:ascii="楷体" w:hAnsi="楷体" w:eastAsia="楷体_GB2312" w:cs="楷体"/>
        <w:sz w:val="24"/>
        <w:szCs w:val="24"/>
        <w:lang w:eastAsia="zh-C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2615D">
                          <w:pPr>
                            <w:pStyle w:val="1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1C2615D">
                    <w:pPr>
                      <w:pStyle w:val="12"/>
                    </w:pPr>
                    <w:r>
                      <w:fldChar w:fldCharType="begin"/>
                    </w:r>
                    <w:r>
                      <w:instrText xml:space="preserve"> PAGE  \* MERGEFORMAT </w:instrText>
                    </w:r>
                    <w:r>
                      <w:fldChar w:fldCharType="separate"/>
                    </w:r>
                    <w:r>
                      <w:t>60</w:t>
                    </w:r>
                    <w:r>
                      <w:fldChar w:fldCharType="end"/>
                    </w:r>
                  </w:p>
                </w:txbxContent>
              </v:textbox>
            </v:shape>
          </w:pict>
        </mc:Fallback>
      </mc:AlternateContent>
    </w:r>
    <w:r>
      <w:rPr>
        <w:rFonts w:hint="eastAsia" w:ascii="宋体" w:hAnsi="宋体" w:eastAsia="宋体" w:cs="宋体"/>
        <w:lang w:eastAsia="zh-CN"/>
      </w:rPr>
      <w:t>云南疆屿项目管理咨询有限公司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C9E7">
    <w:pPr>
      <w:pStyle w:val="12"/>
      <w:rPr>
        <w:rFonts w:hint="eastAsia" w:ascii="楷体" w:hAnsi="楷体" w:eastAsia="楷体_GB2312" w:cs="楷体"/>
        <w:sz w:val="24"/>
        <w:szCs w:val="24"/>
        <w:lang w:eastAsia="zh-C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79859">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E879859">
                    <w:pPr>
                      <w:pStyle w:val="12"/>
                    </w:pPr>
                    <w:r>
                      <w:fldChar w:fldCharType="begin"/>
                    </w:r>
                    <w:r>
                      <w:instrText xml:space="preserve"> PAGE  \* MERGEFORMAT </w:instrText>
                    </w:r>
                    <w:r>
                      <w:fldChar w:fldCharType="separate"/>
                    </w:r>
                    <w:r>
                      <w:t>61</w:t>
                    </w:r>
                    <w:r>
                      <w:fldChar w:fldCharType="end"/>
                    </w:r>
                  </w:p>
                </w:txbxContent>
              </v:textbox>
            </v:shape>
          </w:pict>
        </mc:Fallback>
      </mc:AlternateContent>
    </w:r>
    <w:r>
      <w:rPr>
        <w:rFonts w:hint="eastAsia" w:ascii="宋体" w:hAnsi="宋体" w:eastAsia="宋体" w:cs="宋体"/>
        <w:lang w:eastAsia="zh-CN"/>
      </w:rPr>
      <w:t>云南疆屿项目管理咨询有限公司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0687">
    <w:pPr>
      <w:pStyle w:val="12"/>
      <w:rPr>
        <w:rFonts w:hint="eastAsia" w:ascii="楷体" w:hAnsi="楷体" w:eastAsia="楷体_GB2312" w:cs="楷体"/>
        <w:sz w:val="24"/>
        <w:szCs w:val="24"/>
        <w:lang w:eastAsia="zh-CN"/>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DBDBB">
                          <w:pPr>
                            <w:pStyle w:val="1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98DBDBB">
                    <w:pPr>
                      <w:pStyle w:val="12"/>
                    </w:pPr>
                    <w:r>
                      <w:fldChar w:fldCharType="begin"/>
                    </w:r>
                    <w:r>
                      <w:instrText xml:space="preserve"> PAGE  \* MERGEFORMAT </w:instrText>
                    </w:r>
                    <w:r>
                      <w:fldChar w:fldCharType="separate"/>
                    </w:r>
                    <w:r>
                      <w:t>62</w:t>
                    </w:r>
                    <w:r>
                      <w:fldChar w:fldCharType="end"/>
                    </w:r>
                  </w:p>
                </w:txbxContent>
              </v:textbox>
            </v:shape>
          </w:pict>
        </mc:Fallback>
      </mc:AlternateContent>
    </w:r>
    <w:r>
      <w:rPr>
        <w:rFonts w:hint="eastAsia" w:ascii="宋体" w:hAnsi="宋体" w:eastAsia="宋体" w:cs="宋体"/>
        <w:lang w:eastAsia="zh-CN"/>
      </w:rPr>
      <w:t>云南疆屿项目管理咨询有限公司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FAECD">
    <w:pPr>
      <w:pStyle w:val="12"/>
      <w:rPr>
        <w:rFonts w:hint="eastAsia" w:ascii="楷体" w:hAnsi="楷体" w:eastAsia="楷体_GB2312" w:cs="楷体"/>
        <w:sz w:val="24"/>
        <w:szCs w:val="24"/>
        <w:lang w:eastAsia="zh-CN"/>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6B69">
                          <w:pPr>
                            <w:pStyle w:val="1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7446B69">
                    <w:pPr>
                      <w:pStyle w:val="12"/>
                    </w:pPr>
                    <w:r>
                      <w:fldChar w:fldCharType="begin"/>
                    </w:r>
                    <w:r>
                      <w:instrText xml:space="preserve"> PAGE  \* MERGEFORMAT </w:instrText>
                    </w:r>
                    <w:r>
                      <w:fldChar w:fldCharType="separate"/>
                    </w:r>
                    <w:r>
                      <w:t>63</w:t>
                    </w:r>
                    <w:r>
                      <w:fldChar w:fldCharType="end"/>
                    </w:r>
                  </w:p>
                </w:txbxContent>
              </v:textbox>
            </v:shape>
          </w:pict>
        </mc:Fallback>
      </mc:AlternateContent>
    </w:r>
    <w:r>
      <w:rPr>
        <w:rFonts w:hint="eastAsia" w:ascii="宋体" w:hAnsi="宋体" w:eastAsia="宋体" w:cs="宋体"/>
        <w:lang w:eastAsia="zh-CN"/>
      </w:rPr>
      <w:t>云南疆屿项目管理咨询有限公司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FB5BB">
    <w:pPr>
      <w:pStyle w:val="12"/>
      <w:rPr>
        <w:rFonts w:hint="eastAsia" w:ascii="楷体" w:hAnsi="楷体" w:eastAsia="楷体_GB2312" w:cs="楷体"/>
        <w:sz w:val="24"/>
        <w:szCs w:val="24"/>
        <w:lang w:eastAsia="zh-CN"/>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E2E0F5">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CE2E0F5">
                    <w:pPr>
                      <w:pStyle w:val="12"/>
                    </w:pPr>
                    <w:r>
                      <w:fldChar w:fldCharType="begin"/>
                    </w:r>
                    <w:r>
                      <w:instrText xml:space="preserve"> PAGE  \* MERGEFORMAT </w:instrText>
                    </w:r>
                    <w:r>
                      <w:fldChar w:fldCharType="separate"/>
                    </w:r>
                    <w:r>
                      <w:t>64</w:t>
                    </w:r>
                    <w:r>
                      <w:fldChar w:fldCharType="end"/>
                    </w:r>
                  </w:p>
                </w:txbxContent>
              </v:textbox>
            </v:shape>
          </w:pict>
        </mc:Fallback>
      </mc:AlternateContent>
    </w:r>
    <w:r>
      <w:rPr>
        <w:rFonts w:hint="eastAsia" w:ascii="宋体" w:hAnsi="宋体" w:eastAsia="宋体" w:cs="宋体"/>
        <w:lang w:eastAsia="zh-CN"/>
      </w:rPr>
      <w:t>云南疆屿项目管理咨询有限公司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EA46">
    <w:pPr>
      <w:pStyle w:val="1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3596C">
    <w:pPr>
      <w:pStyle w:val="14"/>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8301">
    <w:pPr>
      <w:pStyle w:val="14"/>
      <w:pBdr>
        <w:top w:val="none" w:color="auto" w:sz="0" w:space="0"/>
        <w:left w:val="none" w:color="auto" w:sz="0" w:space="0"/>
        <w:bottom w:val="none" w:color="auto" w:sz="0" w:space="1"/>
        <w:right w:val="none" w:color="auto" w:sz="0" w:space="0"/>
        <w:between w:val="none" w:color="auto" w:sz="0" w:space="0"/>
      </w:pBdr>
      <w:rPr>
        <w:rFonts w:hint="default"/>
        <w:lang w:val="en-US"/>
      </w:rPr>
    </w:pPr>
    <w:r>
      <w:rPr>
        <w:rFonts w:hint="eastAsia" w:ascii="宋体" w:hAnsi="宋体" w:cs="宋体"/>
        <w:color w:val="auto"/>
        <w:sz w:val="24"/>
        <w:szCs w:val="24"/>
        <w:highlight w:val="none"/>
        <w:lang w:eastAsia="zh-CN"/>
      </w:rPr>
      <w:t>红河县车古乡利博村委会至龙腾公路工程建设项目</w:t>
    </w:r>
    <w:r>
      <w:rPr>
        <w:rFonts w:hint="eastAsia" w:ascii="宋体" w:hAnsi="宋体" w:cs="宋体"/>
        <w:color w:val="auto"/>
        <w:sz w:val="24"/>
        <w:szCs w:val="24"/>
        <w:highlight w:val="none"/>
        <w:lang w:val="en-US" w:eastAsia="zh-CN"/>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87101">
    <w:pPr>
      <w:pStyle w:val="14"/>
      <w:pBdr>
        <w:bottom w:val="single" w:color="auto" w:sz="4" w:space="1"/>
      </w:pBdr>
      <w:jc w:val="left"/>
      <w:rPr>
        <w:rFonts w:ascii="微软雅黑" w:hAnsi="微软雅黑"/>
        <w:w w:val="80"/>
        <w:sz w:val="24"/>
        <w:szCs w:val="24"/>
      </w:rPr>
    </w:pPr>
    <w:r>
      <w:rPr>
        <w:rFonts w:hint="eastAsia"/>
        <w:sz w:val="24"/>
        <w:szCs w:val="24"/>
        <w:lang w:eastAsia="zh-CN"/>
      </w:rPr>
      <w:t>红河县车古乡利博村委会至龙腾公路工程建设项目</w:t>
    </w: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05B99"/>
    <w:multiLevelType w:val="singleLevel"/>
    <w:tmpl w:val="95905B99"/>
    <w:lvl w:ilvl="0" w:tentative="0">
      <w:start w:val="9"/>
      <w:numFmt w:val="chineseCounting"/>
      <w:suff w:val="nothing"/>
      <w:lvlText w:val="%1、"/>
      <w:lvlJc w:val="left"/>
      <w:rPr>
        <w:rFonts w:hint="eastAsia"/>
      </w:rPr>
    </w:lvl>
  </w:abstractNum>
  <w:abstractNum w:abstractNumId="1">
    <w:nsid w:val="4D461A18"/>
    <w:multiLevelType w:val="singleLevel"/>
    <w:tmpl w:val="4D461A18"/>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MzRmYWRlZmE0MDUyMjUyMGRlNjA1NjUxMTA0MGYifQ=="/>
  </w:docVars>
  <w:rsids>
    <w:rsidRoot w:val="00000000"/>
    <w:rsid w:val="01A75501"/>
    <w:rsid w:val="04EF5EE1"/>
    <w:rsid w:val="05597E8A"/>
    <w:rsid w:val="056072FA"/>
    <w:rsid w:val="05A650F7"/>
    <w:rsid w:val="05EC0902"/>
    <w:rsid w:val="06540093"/>
    <w:rsid w:val="07DC3A4C"/>
    <w:rsid w:val="0AE96DD9"/>
    <w:rsid w:val="0C082DAD"/>
    <w:rsid w:val="0E2F5830"/>
    <w:rsid w:val="0FDF3286"/>
    <w:rsid w:val="105256D8"/>
    <w:rsid w:val="105B624A"/>
    <w:rsid w:val="111A2D07"/>
    <w:rsid w:val="11CE5360"/>
    <w:rsid w:val="11FF40B8"/>
    <w:rsid w:val="12B37443"/>
    <w:rsid w:val="13E9668A"/>
    <w:rsid w:val="183B4A63"/>
    <w:rsid w:val="196B7C85"/>
    <w:rsid w:val="1BF81957"/>
    <w:rsid w:val="1CC41919"/>
    <w:rsid w:val="1D9B13BF"/>
    <w:rsid w:val="1DC132D8"/>
    <w:rsid w:val="1FD10F56"/>
    <w:rsid w:val="20036C81"/>
    <w:rsid w:val="21AC2BEB"/>
    <w:rsid w:val="22D52621"/>
    <w:rsid w:val="274B5341"/>
    <w:rsid w:val="27C43035"/>
    <w:rsid w:val="29EF5EBD"/>
    <w:rsid w:val="2A9B7F85"/>
    <w:rsid w:val="2B013C59"/>
    <w:rsid w:val="2B1E03F0"/>
    <w:rsid w:val="2B427682"/>
    <w:rsid w:val="2B632B65"/>
    <w:rsid w:val="2C2A60DE"/>
    <w:rsid w:val="2D2A5967"/>
    <w:rsid w:val="2EA96AE1"/>
    <w:rsid w:val="2F1D55A6"/>
    <w:rsid w:val="2F283BF9"/>
    <w:rsid w:val="3000026D"/>
    <w:rsid w:val="301E0B1F"/>
    <w:rsid w:val="30322AC0"/>
    <w:rsid w:val="316B2774"/>
    <w:rsid w:val="34CA3A51"/>
    <w:rsid w:val="36941E25"/>
    <w:rsid w:val="36E628E2"/>
    <w:rsid w:val="386A1D8A"/>
    <w:rsid w:val="3AC01F67"/>
    <w:rsid w:val="3AE14CE6"/>
    <w:rsid w:val="3C450467"/>
    <w:rsid w:val="3CBB0EE8"/>
    <w:rsid w:val="3E155F41"/>
    <w:rsid w:val="3F54419C"/>
    <w:rsid w:val="3FAE608F"/>
    <w:rsid w:val="40860028"/>
    <w:rsid w:val="40F732FB"/>
    <w:rsid w:val="42A11B51"/>
    <w:rsid w:val="43505326"/>
    <w:rsid w:val="439B2E94"/>
    <w:rsid w:val="43D163CE"/>
    <w:rsid w:val="44B54E5B"/>
    <w:rsid w:val="45016672"/>
    <w:rsid w:val="45A35BE1"/>
    <w:rsid w:val="466C32BA"/>
    <w:rsid w:val="482A4904"/>
    <w:rsid w:val="499542AC"/>
    <w:rsid w:val="4A106EB5"/>
    <w:rsid w:val="4BA42102"/>
    <w:rsid w:val="4D6F4279"/>
    <w:rsid w:val="51B9101F"/>
    <w:rsid w:val="51C504A8"/>
    <w:rsid w:val="526D1A50"/>
    <w:rsid w:val="53E82A87"/>
    <w:rsid w:val="547E2A2F"/>
    <w:rsid w:val="55F711EF"/>
    <w:rsid w:val="56537A53"/>
    <w:rsid w:val="56C4642F"/>
    <w:rsid w:val="58B203A4"/>
    <w:rsid w:val="5D417D61"/>
    <w:rsid w:val="5ED15115"/>
    <w:rsid w:val="614B11AE"/>
    <w:rsid w:val="61505303"/>
    <w:rsid w:val="61D107F6"/>
    <w:rsid w:val="61DB3F27"/>
    <w:rsid w:val="66DB0B19"/>
    <w:rsid w:val="67534553"/>
    <w:rsid w:val="69544751"/>
    <w:rsid w:val="6A31115D"/>
    <w:rsid w:val="6B60191E"/>
    <w:rsid w:val="6C8B1F02"/>
    <w:rsid w:val="6CEA5FE2"/>
    <w:rsid w:val="6D0D4104"/>
    <w:rsid w:val="703F1DF0"/>
    <w:rsid w:val="70AC0E49"/>
    <w:rsid w:val="721E4989"/>
    <w:rsid w:val="73974727"/>
    <w:rsid w:val="73D509D0"/>
    <w:rsid w:val="762C2432"/>
    <w:rsid w:val="76432DD6"/>
    <w:rsid w:val="7742263B"/>
    <w:rsid w:val="778D0ACD"/>
    <w:rsid w:val="77EF68E0"/>
    <w:rsid w:val="783E7317"/>
    <w:rsid w:val="78AF606F"/>
    <w:rsid w:val="79225278"/>
    <w:rsid w:val="79C7598A"/>
    <w:rsid w:val="7C2813F8"/>
    <w:rsid w:val="7D3B7EFB"/>
    <w:rsid w:val="7E953F59"/>
    <w:rsid w:val="7EA17DBD"/>
    <w:rsid w:val="7ED34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textAlignment w:val="baseline"/>
    </w:pPr>
    <w:rPr>
      <w:rFonts w:ascii="楷体_GB2312" w:hAnsi="Arial" w:eastAsia="楷体_GB2312" w:cs="Times New Roman"/>
      <w:sz w:val="24"/>
      <w:lang w:val="en-US" w:eastAsia="zh-CN" w:bidi="ar-SA"/>
    </w:rPr>
  </w:style>
  <w:style w:type="paragraph" w:styleId="3">
    <w:name w:val="heading 1"/>
    <w:basedOn w:val="1"/>
    <w:next w:val="1"/>
    <w:qFormat/>
    <w:uiPriority w:val="0"/>
    <w:pPr>
      <w:keepNext/>
      <w:keepLines/>
      <w:autoSpaceDE/>
      <w:autoSpaceDN/>
      <w:adjustRightInd/>
      <w:spacing w:before="340" w:after="330" w:line="578" w:lineRule="auto"/>
      <w:jc w:val="both"/>
      <w:textAlignment w:val="auto"/>
      <w:outlineLvl w:val="0"/>
    </w:pPr>
    <w:rPr>
      <w:rFonts w:ascii="宋体" w:hAnsi="Times New Roman" w:eastAsia="宋体"/>
      <w:b/>
      <w:bCs/>
      <w:kern w:val="44"/>
      <w:sz w:val="21"/>
      <w:szCs w:val="21"/>
    </w:rPr>
  </w:style>
  <w:style w:type="paragraph" w:styleId="4">
    <w:name w:val="heading 2"/>
    <w:basedOn w:val="1"/>
    <w:next w:val="1"/>
    <w:qFormat/>
    <w:uiPriority w:val="0"/>
    <w:pPr>
      <w:keepNext/>
      <w:keepLines/>
      <w:spacing w:before="260" w:after="260" w:line="416" w:lineRule="auto"/>
      <w:outlineLvl w:val="1"/>
    </w:pPr>
    <w:rPr>
      <w:rFonts w:ascii="Arial" w:eastAsia="黑体"/>
      <w:b/>
      <w:bCs/>
      <w:sz w:val="32"/>
      <w:szCs w:val="32"/>
    </w:rPr>
  </w:style>
  <w:style w:type="paragraph" w:styleId="5">
    <w:name w:val="heading 3"/>
    <w:basedOn w:val="1"/>
    <w:next w:val="1"/>
    <w:qFormat/>
    <w:uiPriority w:val="0"/>
    <w:pPr>
      <w:keepNext/>
      <w:keepLines/>
      <w:widowControl w:val="0"/>
      <w:adjustRightInd/>
      <w:snapToGrid/>
      <w:spacing w:after="0" w:line="360" w:lineRule="auto"/>
      <w:jc w:val="both"/>
      <w:outlineLvl w:val="2"/>
    </w:pPr>
    <w:rPr>
      <w:rFonts w:ascii="Times New Roman" w:hAnsi="Times New Roman" w:eastAsia="宋体" w:cs="Times New Roman"/>
      <w:b/>
      <w:bCs/>
      <w:kern w:val="2"/>
      <w:sz w:val="24"/>
      <w:szCs w:val="32"/>
    </w:rPr>
  </w:style>
  <w:style w:type="paragraph" w:styleId="2">
    <w:name w:val="heading 4"/>
    <w:basedOn w:val="1"/>
    <w:next w:val="1"/>
    <w:qFormat/>
    <w:uiPriority w:val="0"/>
    <w:pPr>
      <w:keepNext/>
      <w:keepLines/>
      <w:spacing w:before="280" w:after="290" w:line="376" w:lineRule="auto"/>
      <w:outlineLvl w:val="3"/>
    </w:pPr>
    <w:rPr>
      <w:rFonts w:ascii="Arial" w:eastAsia="黑体"/>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widowControl/>
      <w:autoSpaceDE/>
      <w:autoSpaceDN/>
      <w:adjustRightInd/>
      <w:spacing w:line="300" w:lineRule="auto"/>
      <w:jc w:val="both"/>
      <w:textAlignment w:val="auto"/>
    </w:pPr>
    <w:rPr>
      <w:rFonts w:ascii="仿宋_GB2312" w:hAnsi="Times New Roman" w:eastAsia="仿宋_GB2312"/>
      <w:sz w:val="28"/>
    </w:rPr>
  </w:style>
  <w:style w:type="paragraph" w:styleId="7">
    <w:name w:val="Body Text"/>
    <w:basedOn w:val="1"/>
    <w:qFormat/>
    <w:uiPriority w:val="0"/>
    <w:pPr>
      <w:autoSpaceDE/>
      <w:autoSpaceDN/>
      <w:adjustRightInd/>
      <w:spacing w:after="120"/>
      <w:jc w:val="both"/>
      <w:textAlignment w:val="auto"/>
    </w:pPr>
    <w:rPr>
      <w:rFonts w:ascii="Times New Roman" w:hAnsi="Times New Roman" w:eastAsia="宋体" w:cs="Times New Roman"/>
      <w:kern w:val="2"/>
      <w:sz w:val="21"/>
      <w:szCs w:val="24"/>
    </w:rPr>
  </w:style>
  <w:style w:type="paragraph" w:styleId="8">
    <w:name w:val="Body Text Indent"/>
    <w:basedOn w:val="1"/>
    <w:next w:val="9"/>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9">
    <w:name w:val="envelope return"/>
    <w:basedOn w:val="1"/>
    <w:qFormat/>
    <w:uiPriority w:val="0"/>
    <w:pPr>
      <w:autoSpaceDE/>
      <w:autoSpaceDN/>
      <w:adjustRightInd/>
      <w:snapToGrid w:val="0"/>
      <w:jc w:val="both"/>
      <w:textAlignment w:val="auto"/>
    </w:pPr>
    <w:rPr>
      <w:rFonts w:ascii="Arial" w:hAnsi="Times New Roman" w:eastAsia="宋体" w:cs="Arial"/>
      <w:kern w:val="2"/>
      <w:sz w:val="21"/>
      <w:szCs w:val="24"/>
    </w:rPr>
  </w:style>
  <w:style w:type="paragraph" w:styleId="10">
    <w:name w:val="Plain Text"/>
    <w:basedOn w:val="1"/>
    <w:qFormat/>
    <w:uiPriority w:val="0"/>
    <w:pPr>
      <w:autoSpaceDE/>
      <w:autoSpaceDN/>
      <w:adjustRightInd/>
      <w:jc w:val="both"/>
      <w:textAlignment w:val="auto"/>
    </w:pPr>
    <w:rPr>
      <w:rFonts w:ascii="宋体" w:hAnsi="Courier New" w:eastAsia="宋体" w:cs="Courier New"/>
      <w:kern w:val="2"/>
      <w:sz w:val="21"/>
      <w:szCs w:val="21"/>
    </w:rPr>
  </w:style>
  <w:style w:type="paragraph" w:styleId="11">
    <w:name w:val="Date"/>
    <w:basedOn w:val="1"/>
    <w:next w:val="1"/>
    <w:qFormat/>
    <w:uiPriority w:val="0"/>
    <w:pPr>
      <w:autoSpaceDE/>
      <w:autoSpaceDN/>
      <w:spacing w:line="312" w:lineRule="atLeast"/>
      <w:ind w:left="100" w:leftChars="2500"/>
      <w:jc w:val="both"/>
    </w:pPr>
    <w:rPr>
      <w:rFonts w:ascii="宋体" w:hAnsi="宋体" w:eastAsia="宋体"/>
      <w:szCs w:val="24"/>
    </w:rPr>
  </w:style>
  <w:style w:type="paragraph" w:styleId="12">
    <w:name w:val="footer"/>
    <w:basedOn w:val="1"/>
    <w:next w:val="13"/>
    <w:qFormat/>
    <w:uiPriority w:val="0"/>
    <w:pPr>
      <w:tabs>
        <w:tab w:val="center" w:pos="4320"/>
        <w:tab w:val="right" w:pos="8640"/>
      </w:tabs>
    </w:pPr>
  </w:style>
  <w:style w:type="paragraph" w:styleId="13">
    <w:name w:val="toc 4"/>
    <w:next w:val="1"/>
    <w:qFormat/>
    <w:uiPriority w:val="0"/>
    <w:pPr>
      <w:widowControl/>
      <w:wordWrap w:val="0"/>
      <w:autoSpaceDE/>
      <w:autoSpaceDN/>
      <w:spacing w:before="0" w:after="0" w:line="240" w:lineRule="auto"/>
      <w:ind w:left="850" w:firstLine="0"/>
      <w:jc w:val="both"/>
    </w:pPr>
    <w:rPr>
      <w:rFonts w:ascii="Times New Roman" w:hAnsi="Times New Roman" w:eastAsia="宋体" w:cs="Times New Roman"/>
      <w:sz w:val="21"/>
    </w:rPr>
  </w:style>
  <w:style w:type="paragraph" w:styleId="14">
    <w:name w:val="header"/>
    <w:basedOn w:val="1"/>
    <w:qFormat/>
    <w:uiPriority w:val="0"/>
    <w:pPr>
      <w:pBdr>
        <w:bottom w:val="single" w:color="auto" w:sz="6" w:space="1"/>
      </w:pBdr>
      <w:tabs>
        <w:tab w:val="center" w:pos="4153"/>
        <w:tab w:val="right" w:pos="8306"/>
      </w:tabs>
      <w:snapToGrid w:val="0"/>
      <w:spacing w:line="400" w:lineRule="exact"/>
      <w:jc w:val="center"/>
    </w:pPr>
    <w:rPr>
      <w:rFonts w:ascii="Times New Roman" w:hAnsi="Times New Roman" w:eastAsia="宋体" w:cs="Times New Roman"/>
      <w:sz w:val="18"/>
    </w:rPr>
  </w:style>
  <w:style w:type="paragraph" w:styleId="15">
    <w:name w:val="toc 1"/>
    <w:basedOn w:val="1"/>
    <w:next w:val="1"/>
    <w:qFormat/>
    <w:uiPriority w:val="39"/>
    <w:pPr>
      <w:spacing w:before="120" w:after="120"/>
    </w:pPr>
    <w:rPr>
      <w:rFonts w:ascii="Calibri" w:hAnsi="Calibri"/>
      <w:b/>
      <w:bCs/>
      <w:caps/>
      <w:sz w:val="20"/>
    </w:rPr>
  </w:style>
  <w:style w:type="paragraph" w:styleId="16">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17">
    <w:name w:val="Normal (Web)"/>
    <w:basedOn w:val="1"/>
    <w:qFormat/>
    <w:uiPriority w:val="99"/>
    <w:pPr>
      <w:widowControl/>
      <w:autoSpaceDE/>
      <w:autoSpaceDN/>
      <w:adjustRightInd/>
      <w:spacing w:before="100" w:beforeAutospacing="1" w:after="100" w:afterAutospacing="1"/>
      <w:textAlignment w:val="auto"/>
    </w:pPr>
    <w:rPr>
      <w:rFonts w:ascii="宋体" w:hAnsi="宋体" w:eastAsia="宋体" w:cs="宋体"/>
      <w:szCs w:val="24"/>
    </w:rPr>
  </w:style>
  <w:style w:type="paragraph" w:styleId="18">
    <w:name w:val="Title"/>
    <w:basedOn w:val="1"/>
    <w:next w:val="1"/>
    <w:link w:val="37"/>
    <w:qFormat/>
    <w:uiPriority w:val="0"/>
    <w:pPr>
      <w:widowControl w:val="0"/>
      <w:adjustRightInd/>
      <w:snapToGrid/>
      <w:spacing w:before="240" w:after="60"/>
      <w:jc w:val="center"/>
      <w:outlineLvl w:val="0"/>
    </w:pPr>
    <w:rPr>
      <w:rFonts w:ascii="Cambria" w:hAnsi="Cambria" w:eastAsia="宋体" w:cs="Cambria"/>
      <w:b/>
      <w:bCs/>
      <w:kern w:val="2"/>
      <w:sz w:val="32"/>
      <w:szCs w:val="32"/>
    </w:rPr>
  </w:style>
  <w:style w:type="paragraph" w:styleId="19">
    <w:name w:val="Body Text First Indent"/>
    <w:basedOn w:val="7"/>
    <w:next w:val="1"/>
    <w:qFormat/>
    <w:uiPriority w:val="0"/>
    <w:pPr>
      <w:spacing w:line="312" w:lineRule="auto"/>
      <w:ind w:firstLine="420"/>
    </w:pPr>
    <w:rPr>
      <w:rFonts w:eastAsia="仿宋_GB2312"/>
    </w:rPr>
  </w:style>
  <w:style w:type="paragraph" w:styleId="20">
    <w:name w:val="Body Text First Indent 2"/>
    <w:basedOn w:val="8"/>
    <w:next w:val="19"/>
    <w:qFormat/>
    <w:uiPriority w:val="0"/>
    <w:pPr>
      <w:autoSpaceDE/>
      <w:autoSpaceDN/>
      <w:adjustRightInd/>
      <w:ind w:leftChars="0" w:firstLine="420"/>
      <w:jc w:val="both"/>
      <w:textAlignment w:val="auto"/>
    </w:pPr>
    <w:rPr>
      <w:rFonts w:ascii="Times New Roman" w:hAnsi="Times New Roman" w:eastAsia="宋体" w:cs="Times New Roman"/>
      <w:kern w:val="2"/>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25">
    <w:name w:val="一级条标题"/>
    <w:next w:val="1"/>
    <w:qFormat/>
    <w:uiPriority w:val="0"/>
    <w:pPr>
      <w:spacing w:beforeLines="50" w:afterLines="50"/>
      <w:ind w:left="1069" w:hanging="450"/>
      <w:outlineLvl w:val="2"/>
    </w:pPr>
    <w:rPr>
      <w:rFonts w:ascii="黑体" w:hAnsi="Times New Roman" w:eastAsia="黑体" w:cs="Times New Roman"/>
      <w:szCs w:val="21"/>
      <w:lang w:val="en-US" w:eastAsia="zh-CN" w:bidi="ar-SA"/>
    </w:rPr>
  </w:style>
  <w:style w:type="paragraph" w:customStyle="1" w:styleId="26">
    <w:name w:val="实施方案正文"/>
    <w:basedOn w:val="1"/>
    <w:qFormat/>
    <w:uiPriority w:val="0"/>
    <w:pPr>
      <w:ind w:firstLine="566" w:firstLineChars="202"/>
    </w:pPr>
    <w:rPr>
      <w:kern w:val="0"/>
      <w:szCs w:val="20"/>
    </w:rPr>
  </w:style>
  <w:style w:type="paragraph" w:customStyle="1" w:styleId="27">
    <w:name w:val="首行缩进"/>
    <w:basedOn w:val="28"/>
    <w:qFormat/>
    <w:uiPriority w:val="0"/>
    <w:pPr>
      <w:tabs>
        <w:tab w:val="left" w:pos="2160"/>
      </w:tabs>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28">
    <w:name w:val="正文1"/>
    <w:basedOn w:val="29"/>
    <w:next w:val="27"/>
    <w:qFormat/>
    <w:uiPriority w:val="0"/>
    <w:pPr>
      <w:tabs>
        <w:tab w:val="left" w:pos="2160"/>
      </w:tabs>
      <w:spacing w:line="490" w:lineRule="exact"/>
      <w:jc w:val="center"/>
    </w:pPr>
    <w:rPr>
      <w:rFonts w:ascii="仿宋_GB2312" w:hAnsi="Times New Roman" w:eastAsia="仿宋_GB2312"/>
      <w:sz w:val="34"/>
      <w:szCs w:val="20"/>
    </w:rPr>
  </w:style>
  <w:style w:type="paragraph" w:customStyle="1" w:styleId="29">
    <w:name w:val="样式1"/>
    <w:basedOn w:val="1"/>
    <w:next w:val="1"/>
    <w:qFormat/>
    <w:uiPriority w:val="0"/>
    <w:pPr>
      <w:autoSpaceDE/>
      <w:autoSpaceDN/>
      <w:jc w:val="both"/>
    </w:pPr>
    <w:rPr>
      <w:rFonts w:ascii="宋体" w:hAnsi="宋体" w:eastAsia="宋体" w:cs="Times New Roman"/>
      <w:sz w:val="21"/>
      <w:szCs w:val="21"/>
    </w:rPr>
  </w:style>
  <w:style w:type="paragraph" w:customStyle="1" w:styleId="30">
    <w:name w:val="p0"/>
    <w:basedOn w:val="31"/>
    <w:qFormat/>
    <w:uiPriority w:val="0"/>
    <w:pPr>
      <w:widowControl/>
      <w:autoSpaceDE/>
      <w:autoSpaceDN/>
      <w:adjustRightInd/>
      <w:jc w:val="both"/>
      <w:textAlignment w:val="auto"/>
    </w:pPr>
    <w:rPr>
      <w:rFonts w:ascii="Times New Roman" w:hAnsi="Times New Roman" w:eastAsia="宋体" w:cs="Times New Roman"/>
      <w:sz w:val="21"/>
      <w:szCs w:val="21"/>
    </w:rPr>
  </w:style>
  <w:style w:type="paragraph" w:customStyle="1" w:styleId="31">
    <w:name w:val="Normal_3"/>
    <w:basedOn w:val="1"/>
    <w:qFormat/>
    <w:uiPriority w:val="0"/>
    <w:pPr>
      <w:widowControl w:val="0"/>
      <w:adjustRightInd/>
      <w:snapToGrid/>
      <w:spacing w:after="0"/>
      <w:jc w:val="both"/>
    </w:pPr>
    <w:rPr>
      <w:rFonts w:ascii="Times New Roman" w:hAnsi="Times New Roman" w:eastAsia="宋体" w:cs="Times New Roman"/>
      <w:sz w:val="24"/>
      <w:szCs w:val="24"/>
    </w:rPr>
  </w:style>
  <w:style w:type="paragraph" w:customStyle="1" w:styleId="32">
    <w:name w:val="msonormalcxspmiddle"/>
    <w:basedOn w:val="1"/>
    <w:qFormat/>
    <w:uiPriority w:val="0"/>
    <w:pPr>
      <w:widowControl/>
      <w:autoSpaceDE/>
      <w:autoSpaceDN/>
      <w:adjustRightInd/>
      <w:spacing w:before="100" w:beforeAutospacing="1" w:after="100" w:afterAutospacing="1"/>
      <w:textAlignment w:val="auto"/>
    </w:pPr>
    <w:rPr>
      <w:rFonts w:ascii="宋体" w:hAnsi="宋体" w:eastAsia="宋体" w:cs="宋体"/>
      <w:szCs w:val="24"/>
    </w:rPr>
  </w:style>
  <w:style w:type="paragraph" w:customStyle="1" w:styleId="33">
    <w:name w:val="标题一"/>
    <w:basedOn w:val="1"/>
    <w:qFormat/>
    <w:uiPriority w:val="0"/>
    <w:pPr>
      <w:pageBreakBefore/>
      <w:spacing w:beforeLines="100" w:line="360" w:lineRule="auto"/>
      <w:jc w:val="center"/>
      <w:textAlignment w:val="auto"/>
    </w:pPr>
    <w:rPr>
      <w:rFonts w:ascii="黑体" w:hAnsi="Times New Roman" w:eastAsia="黑体" w:cs="Times New Roman"/>
      <w:sz w:val="32"/>
      <w:szCs w:val="32"/>
    </w:rPr>
  </w:style>
  <w:style w:type="paragraph" w:customStyle="1" w:styleId="34">
    <w:name w:val="样式 行距: 1.5 倍行距"/>
    <w:basedOn w:val="1"/>
    <w:qFormat/>
    <w:uiPriority w:val="0"/>
    <w:pPr>
      <w:autoSpaceDE/>
      <w:autoSpaceDN/>
      <w:adjustRightInd/>
      <w:spacing w:line="360" w:lineRule="auto"/>
      <w:jc w:val="both"/>
      <w:textAlignment w:val="auto"/>
    </w:pPr>
    <w:rPr>
      <w:rFonts w:ascii="Times New Roman" w:hAnsi="Times New Roman" w:eastAsia="宋体" w:cs="宋体"/>
      <w:kern w:val="2"/>
      <w:sz w:val="21"/>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table" w:customStyle="1" w:styleId="36">
    <w:name w:val="Table Normal"/>
    <w:unhideWhenUsed/>
    <w:qFormat/>
    <w:uiPriority w:val="2"/>
    <w:tblPr>
      <w:tblCellMar>
        <w:top w:w="0" w:type="dxa"/>
        <w:left w:w="0" w:type="dxa"/>
        <w:bottom w:w="0" w:type="dxa"/>
        <w:right w:w="0" w:type="dxa"/>
      </w:tblCellMar>
    </w:tblPr>
  </w:style>
  <w:style w:type="character" w:customStyle="1" w:styleId="37">
    <w:name w:val="标题 字符"/>
    <w:link w:val="18"/>
    <w:qFormat/>
    <w:uiPriority w:val="0"/>
    <w:rPr>
      <w:rFonts w:ascii="Cambria" w:hAnsi="Cambria" w:eastAsia="宋体" w:cs="Cambria"/>
      <w:b/>
      <w:bCs/>
      <w:kern w:val="2"/>
      <w:sz w:val="32"/>
      <w:szCs w:val="32"/>
    </w:rPr>
  </w:style>
  <w:style w:type="paragraph" w:customStyle="1" w:styleId="38">
    <w:name w:val="Normal_1"/>
    <w:qFormat/>
    <w:uiPriority w:val="0"/>
    <w:rPr>
      <w:rFonts w:ascii="Times New Roman" w:hAnsi="Times New Roman" w:eastAsia="Times New Roman" w:cs="Times New Roman"/>
      <w:sz w:val="24"/>
      <w:szCs w:val="24"/>
      <w:lang w:val="en-US" w:eastAsia="zh-CN" w:bidi="ar-SA"/>
    </w:rPr>
  </w:style>
  <w:style w:type="paragraph" w:customStyle="1" w:styleId="3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16935</Words>
  <Characters>18161</Characters>
  <Lines>0</Lines>
  <Paragraphs>0</Paragraphs>
  <TotalTime>93</TotalTime>
  <ScaleCrop>false</ScaleCrop>
  <LinksUpToDate>false</LinksUpToDate>
  <CharactersWithSpaces>18483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2024-01-31T07:29:00Z</dcterms:created>
  <dc:creator>Administrator</dc:creator>
  <cp:lastModifiedBy>0.0</cp:lastModifiedBy>
  <dcterms:modified xsi:type="dcterms:W3CDTF">2026-05-19T04:42:23Z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EACC7F582C0447F49256DD93B3ED1858_13</vt:lpwstr>
  </property>
  <property fmtid="{D5CDD505-2E9C-101B-9397-08002B2CF9AE}" pid="4" name="KSOTemplateDocerSaveRecord">
    <vt:lpwstr>eyJoZGlkIjoiOGFkZTlkNjBhNTE1OTRhMGI5ZGFjOWMwM2I2MjUyNmEiLCJ1c2VySWQiOiIxNDI3MDk5NjU0In0=</vt:lpwstr>
  </property>
</Properties>
</file>