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sz w:val="24"/>
          <w:highlight w:val="none"/>
        </w:rPr>
      </w:pPr>
    </w:p>
    <w:p>
      <w:pPr>
        <w:adjustRightInd/>
        <w:spacing w:line="360" w:lineRule="auto"/>
        <w:jc w:val="center"/>
        <w:rPr>
          <w:rFonts w:hint="eastAsia" w:ascii="宋体" w:hAnsi="宋体" w:cs="宋体"/>
          <w:b/>
          <w:color w:val="auto"/>
          <w:sz w:val="48"/>
          <w:szCs w:val="48"/>
          <w:highlight w:val="none"/>
        </w:rPr>
      </w:pPr>
    </w:p>
    <w:p>
      <w:pPr>
        <w:adjustRightInd/>
        <w:spacing w:line="480" w:lineRule="auto"/>
        <w:jc w:val="center"/>
        <w:rPr>
          <w:rFonts w:hint="eastAsia" w:cs="宋体"/>
          <w:color w:val="auto"/>
          <w:sz w:val="48"/>
          <w:szCs w:val="48"/>
          <w:highlight w:val="none"/>
          <w:lang w:eastAsia="zh-CN"/>
        </w:rPr>
      </w:pPr>
      <w:r>
        <w:rPr>
          <w:rFonts w:hint="eastAsia" w:cs="宋体"/>
          <w:color w:val="auto"/>
          <w:sz w:val="44"/>
          <w:szCs w:val="44"/>
          <w:highlight w:val="none"/>
          <w:lang w:eastAsia="zh-CN"/>
        </w:rPr>
        <w:t>钱塘江流域中心监控更新及维护项目</w:t>
      </w:r>
    </w:p>
    <w:p>
      <w:pPr>
        <w:adjustRightInd/>
        <w:spacing w:line="48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48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pPr>
        <w:snapToGrid w:val="0"/>
        <w:spacing w:line="48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330000263170090000035</w:t>
      </w:r>
    </w:p>
    <w:p>
      <w:pPr>
        <w:adjustRightInd/>
        <w:spacing w:line="360" w:lineRule="auto"/>
        <w:rPr>
          <w:rFonts w:hint="eastAsia" w:ascii="宋体" w:hAnsi="宋体" w:cs="宋体"/>
          <w:color w:val="auto"/>
          <w:sz w:val="28"/>
          <w:szCs w:val="20"/>
          <w:highlight w:val="none"/>
        </w:rPr>
      </w:pPr>
    </w:p>
    <w:p>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hint="eastAsia" w:ascii="宋体" w:hAnsi="宋体" w:cs="宋体"/>
          <w:b/>
          <w:color w:val="auto"/>
          <w:sz w:val="44"/>
          <w:szCs w:val="44"/>
          <w:highlight w:val="none"/>
        </w:rPr>
      </w:pPr>
    </w:p>
    <w:p>
      <w:pPr>
        <w:pStyle w:val="2"/>
        <w:rPr>
          <w:rFonts w:hint="eastAsia"/>
          <w:color w:val="auto"/>
          <w:highlight w:val="none"/>
          <w:lang w:eastAsia="zh-CN"/>
        </w:rPr>
      </w:pP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p>
    <w:p>
      <w:pPr>
        <w:spacing w:line="480" w:lineRule="auto"/>
        <w:rPr>
          <w:rFonts w:hint="eastAsia" w:ascii="宋体" w:hAnsi="宋体" w:cs="宋体"/>
          <w:b/>
          <w:bCs/>
          <w:color w:val="auto"/>
          <w:sz w:val="32"/>
          <w:szCs w:val="32"/>
          <w:highlight w:val="none"/>
        </w:rPr>
      </w:pPr>
    </w:p>
    <w:p>
      <w:pPr>
        <w:snapToGrid w:val="0"/>
        <w:spacing w:line="480" w:lineRule="auto"/>
        <w:ind w:firstLine="1928" w:firstLineChars="600"/>
        <w:jc w:val="both"/>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采购单位：浙江省钱塘江流域中心</w:t>
      </w:r>
    </w:p>
    <w:p>
      <w:pPr>
        <w:snapToGrid w:val="0"/>
        <w:spacing w:line="480" w:lineRule="auto"/>
        <w:jc w:val="center"/>
        <w:rPr>
          <w:b/>
          <w:bCs/>
          <w:color w:val="auto"/>
          <w:sz w:val="32"/>
          <w:szCs w:val="32"/>
          <w:highlight w:val="none"/>
          <w:lang w:val="zh-CN"/>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采购代理机构：</w:t>
      </w:r>
      <w:r>
        <w:rPr>
          <w:rFonts w:hint="eastAsia"/>
          <w:b/>
          <w:bCs/>
          <w:color w:val="auto"/>
          <w:sz w:val="32"/>
          <w:szCs w:val="32"/>
          <w:highlight w:val="none"/>
          <w:lang w:val="zh-CN"/>
        </w:rPr>
        <w:t>浙江中际工程项目管理有限公司</w:t>
      </w:r>
      <w:r>
        <w:rPr>
          <w:b/>
          <w:bCs/>
          <w:color w:val="auto"/>
          <w:sz w:val="32"/>
          <w:szCs w:val="32"/>
          <w:highlight w:val="none"/>
          <w:lang w:val="zh-CN"/>
        </w:rPr>
        <w:t xml:space="preserve"> </w:t>
      </w:r>
    </w:p>
    <w:p>
      <w:pPr>
        <w:snapToGrid w:val="0"/>
        <w:spacing w:line="48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月</w:t>
      </w:r>
    </w:p>
    <w:p>
      <w:pPr>
        <w:pStyle w:val="638"/>
        <w:rPr>
          <w:color w:val="auto"/>
          <w:highlight w:val="none"/>
        </w:rPr>
        <w:sectPr>
          <w:headerReference r:id="rId4" w:type="first"/>
          <w:headerReference r:id="rId3" w:type="default"/>
          <w:footerReference r:id="rId5" w:type="even"/>
          <w:pgSz w:w="11906" w:h="16838"/>
          <w:pgMar w:top="1417" w:right="1418" w:bottom="141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38"/>
        <w:rPr>
          <w:color w:val="auto"/>
          <w:highlight w:val="none"/>
        </w:rPr>
      </w:pPr>
    </w:p>
    <w:p>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hint="eastAsia" w:ascii="宋体" w:hAnsi="宋体" w:cs="宋体"/>
          <w:color w:val="auto"/>
          <w:sz w:val="32"/>
          <w:szCs w:val="32"/>
          <w:highlight w:val="none"/>
        </w:rPr>
      </w:pPr>
    </w:p>
    <w:p>
      <w:pPr>
        <w:spacing w:line="360" w:lineRule="auto"/>
        <w:rPr>
          <w:rFonts w:hint="eastAsia" w:ascii="宋体" w:hAnsi="宋体" w:cs="宋体"/>
          <w:color w:val="auto"/>
          <w:sz w:val="32"/>
          <w:szCs w:val="32"/>
          <w:highlight w:val="none"/>
        </w:rPr>
      </w:pP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招标公告</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评标办法</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pPr>
        <w:spacing w:line="360" w:lineRule="auto"/>
        <w:ind w:firstLine="549" w:firstLineChars="229"/>
        <w:rPr>
          <w:rFonts w:hint="eastAsia" w:ascii="宋体" w:hAnsi="宋体" w:cs="宋体"/>
          <w:color w:val="auto"/>
          <w:sz w:val="24"/>
          <w:highlight w:val="none"/>
        </w:rPr>
      </w:pPr>
      <w:bookmarkStart w:id="0" w:name="_Hlt91233176"/>
      <w:bookmarkEnd w:id="0"/>
      <w:bookmarkStart w:id="1" w:name="_Toc91899869"/>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spacing w:line="360" w:lineRule="auto"/>
        <w:ind w:firstLine="549" w:firstLineChars="229"/>
        <w:rPr>
          <w:rFonts w:hint="eastAsia" w:ascii="宋体" w:hAnsi="宋体" w:cs="宋体"/>
          <w:color w:val="auto"/>
          <w:sz w:val="24"/>
          <w:highlight w:val="none"/>
        </w:rPr>
      </w:pPr>
    </w:p>
    <w:p>
      <w:pPr>
        <w:adjustRightInd/>
        <w:spacing w:line="360" w:lineRule="auto"/>
        <w:jc w:val="center"/>
        <w:outlineLvl w:val="0"/>
        <w:rPr>
          <w:rFonts w:hint="eastAsia"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29822"/>
      <w:bookmarkEnd w:id="3"/>
      <w:bookmarkStart w:id="4" w:name="_Hlt74728647"/>
      <w:bookmarkEnd w:id="4"/>
      <w:bookmarkStart w:id="5" w:name="_Hlt74649545"/>
      <w:bookmarkEnd w:id="5"/>
      <w:bookmarkStart w:id="6" w:name="_Hlt74707423"/>
      <w:bookmarkEnd w:id="6"/>
      <w:bookmarkStart w:id="7" w:name="第二部分"/>
      <w:bookmarkStart w:id="8" w:name="_Toc91899870"/>
      <w:bookmarkStart w:id="9" w:name="_Toc91899871"/>
      <w:r>
        <w:rPr>
          <w:rFonts w:hint="eastAsia" w:ascii="宋体" w:hAnsi="宋体" w:cs="宋体"/>
          <w:b/>
          <w:color w:val="auto"/>
          <w:sz w:val="36"/>
          <w:szCs w:val="20"/>
          <w:highlight w:val="none"/>
        </w:rPr>
        <w:t>第一部分 招标公告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钱塘江流域中心监控更新及维护项目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w:t>
      </w:r>
      <w:r>
        <w:rPr>
          <w:rStyle w:val="77"/>
          <w:rFonts w:hint="eastAsia" w:ascii="宋体" w:hAnsi="宋体" w:cs="宋体"/>
          <w:snapToGrid/>
          <w:color w:val="auto"/>
          <w:kern w:val="2"/>
          <w:sz w:val="24"/>
          <w:szCs w:val="24"/>
          <w:highlight w:val="none"/>
          <w:lang w:eastAsia="zh-CN"/>
        </w:rPr>
        <w:t>2026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5</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19</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lang w:val="en-US" w:eastAsia="zh-CN"/>
        </w:rPr>
        <w:t>9</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30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330000263170090000035</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钱塘江流域中心监控更新及维护项目</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1997800</w:t>
      </w:r>
    </w:p>
    <w:p>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1997800</w:t>
      </w:r>
    </w:p>
    <w:p>
      <w:pPr>
        <w:pStyle w:val="5"/>
        <w:spacing w:line="360" w:lineRule="auto"/>
        <w:ind w:firstLine="480"/>
        <w:rPr>
          <w:rFonts w:hint="eastAsia" w:hAnsi="宋体" w:eastAsia="宋体" w:cs="宋体"/>
          <w:bCs/>
          <w:snapToGrid/>
          <w:color w:val="auto"/>
          <w:kern w:val="2"/>
          <w:sz w:val="24"/>
          <w:szCs w:val="24"/>
          <w:highlight w:val="none"/>
          <w:lang w:eastAsia="zh-CN"/>
        </w:rPr>
      </w:pPr>
      <w:r>
        <w:rPr>
          <w:rFonts w:hint="eastAsia" w:hAnsi="宋体" w:cs="宋体"/>
          <w:b/>
          <w:color w:val="auto"/>
          <w:sz w:val="24"/>
          <w:highlight w:val="none"/>
        </w:rPr>
        <w:t>采购需求：</w:t>
      </w:r>
    </w:p>
    <w:p>
      <w:pPr>
        <w:pStyle w:val="138"/>
        <w:keepNext w:val="0"/>
        <w:keepLines w:val="0"/>
        <w:pageBreakBefore w:val="0"/>
        <w:widowControl w:val="0"/>
        <w:kinsoku/>
        <w:wordWrap/>
        <w:overflowPunct/>
        <w:topLinePunct w:val="0"/>
        <w:autoSpaceDE/>
        <w:autoSpaceDN/>
        <w:bidi w:val="0"/>
        <w:adjustRightInd w:val="0"/>
        <w:snapToGrid/>
        <w:spacing w:before="0"/>
        <w:ind w:firstLine="482"/>
        <w:textAlignment w:val="auto"/>
        <w:outlineLvl w:val="2"/>
        <w:rPr>
          <w:rFonts w:hint="eastAsia" w:ascii="宋体" w:hAnsi="宋体" w:eastAsia="宋体" w:cs="宋体"/>
          <w:snapToGrid w:val="0"/>
          <w:color w:val="auto"/>
          <w:kern w:val="28"/>
          <w:sz w:val="24"/>
          <w:szCs w:val="20"/>
          <w:highlight w:val="none"/>
          <w:lang w:val="en-US" w:eastAsia="zh-CN" w:bidi="ar-SA"/>
        </w:rPr>
      </w:pPr>
      <w:r>
        <w:rPr>
          <w:rFonts w:hint="eastAsia" w:ascii="宋体" w:hAnsi="宋体" w:eastAsia="宋体" w:cs="宋体"/>
          <w:snapToGrid w:val="0"/>
          <w:color w:val="auto"/>
          <w:kern w:val="28"/>
          <w:sz w:val="24"/>
          <w:szCs w:val="20"/>
          <w:highlight w:val="none"/>
          <w:lang w:val="en-US" w:eastAsia="zh-CN" w:bidi="ar-SA"/>
        </w:rPr>
        <w:t>标项名称:</w:t>
      </w:r>
      <w:r>
        <w:rPr>
          <w:rFonts w:hint="eastAsia" w:ascii="宋体" w:hAnsi="宋体" w:cs="宋体"/>
          <w:color w:val="auto"/>
          <w:sz w:val="24"/>
          <w:highlight w:val="none"/>
          <w:lang w:eastAsia="zh-CN"/>
        </w:rPr>
        <w:t>钱塘江流域中心监控更新及维护项目</w:t>
      </w:r>
    </w:p>
    <w:p>
      <w:pPr>
        <w:pStyle w:val="138"/>
        <w:keepNext w:val="0"/>
        <w:keepLines w:val="0"/>
        <w:pageBreakBefore w:val="0"/>
        <w:widowControl w:val="0"/>
        <w:kinsoku/>
        <w:wordWrap/>
        <w:overflowPunct/>
        <w:topLinePunct w:val="0"/>
        <w:autoSpaceDE/>
        <w:autoSpaceDN/>
        <w:bidi w:val="0"/>
        <w:adjustRightInd w:val="0"/>
        <w:snapToGrid/>
        <w:spacing w:before="0"/>
        <w:ind w:firstLine="482"/>
        <w:textAlignment w:val="auto"/>
        <w:outlineLvl w:val="2"/>
        <w:rPr>
          <w:rFonts w:hint="eastAsia" w:ascii="宋体" w:hAnsi="宋体" w:eastAsia="宋体" w:cs="宋体"/>
          <w:snapToGrid w:val="0"/>
          <w:color w:val="auto"/>
          <w:kern w:val="28"/>
          <w:sz w:val="24"/>
          <w:szCs w:val="20"/>
          <w:highlight w:val="none"/>
          <w:lang w:val="en-US" w:eastAsia="zh-CN" w:bidi="ar-SA"/>
        </w:rPr>
      </w:pPr>
      <w:r>
        <w:rPr>
          <w:rFonts w:hint="eastAsia" w:ascii="宋体" w:hAnsi="宋体" w:eastAsia="宋体" w:cs="宋体"/>
          <w:snapToGrid w:val="0"/>
          <w:color w:val="auto"/>
          <w:kern w:val="28"/>
          <w:sz w:val="24"/>
          <w:szCs w:val="20"/>
          <w:highlight w:val="none"/>
          <w:lang w:val="en-US" w:eastAsia="zh-CN" w:bidi="ar-SA"/>
        </w:rPr>
        <w:t>数量:1项</w:t>
      </w:r>
    </w:p>
    <w:p>
      <w:pPr>
        <w:pStyle w:val="138"/>
        <w:keepNext w:val="0"/>
        <w:keepLines w:val="0"/>
        <w:pageBreakBefore w:val="0"/>
        <w:widowControl w:val="0"/>
        <w:kinsoku/>
        <w:wordWrap/>
        <w:overflowPunct/>
        <w:topLinePunct w:val="0"/>
        <w:autoSpaceDE/>
        <w:autoSpaceDN/>
        <w:bidi w:val="0"/>
        <w:adjustRightInd w:val="0"/>
        <w:snapToGrid/>
        <w:spacing w:before="0"/>
        <w:ind w:firstLine="482"/>
        <w:textAlignment w:val="auto"/>
        <w:outlineLvl w:val="2"/>
        <w:rPr>
          <w:rFonts w:hint="default" w:ascii="宋体" w:hAnsi="宋体" w:eastAsia="宋体" w:cs="宋体"/>
          <w:snapToGrid w:val="0"/>
          <w:color w:val="auto"/>
          <w:kern w:val="28"/>
          <w:sz w:val="24"/>
          <w:szCs w:val="20"/>
          <w:highlight w:val="none"/>
          <w:lang w:val="en-US" w:eastAsia="zh-CN" w:bidi="ar-SA"/>
        </w:rPr>
      </w:pPr>
      <w:r>
        <w:rPr>
          <w:rFonts w:hint="eastAsia" w:ascii="宋体" w:hAnsi="宋体" w:eastAsia="宋体" w:cs="宋体"/>
          <w:snapToGrid w:val="0"/>
          <w:color w:val="auto"/>
          <w:kern w:val="28"/>
          <w:sz w:val="24"/>
          <w:szCs w:val="20"/>
          <w:highlight w:val="none"/>
          <w:lang w:val="en-US" w:eastAsia="zh-CN" w:bidi="ar-SA"/>
        </w:rPr>
        <w:t xml:space="preserve">    预算金额（元）:</w:t>
      </w:r>
      <w:r>
        <w:rPr>
          <w:rFonts w:hint="eastAsia" w:ascii="宋体" w:hAnsi="宋体" w:cs="宋体"/>
          <w:b/>
          <w:color w:val="auto"/>
          <w:sz w:val="24"/>
          <w:highlight w:val="none"/>
          <w:lang w:val="en-US" w:eastAsia="zh-CN"/>
        </w:rPr>
        <w:t>1997800</w:t>
      </w:r>
      <w:r>
        <w:rPr>
          <w:rFonts w:hint="eastAsia" w:ascii="宋体" w:hAnsi="宋体" w:eastAsia="宋体" w:cs="宋体"/>
          <w:snapToGrid w:val="0"/>
          <w:color w:val="auto"/>
          <w:kern w:val="28"/>
          <w:sz w:val="24"/>
          <w:szCs w:val="20"/>
          <w:highlight w:val="none"/>
          <w:lang w:val="en-US" w:eastAsia="zh-CN" w:bidi="ar-SA"/>
        </w:rPr>
        <w:t xml:space="preserve"> </w:t>
      </w:r>
    </w:p>
    <w:p>
      <w:pPr>
        <w:pStyle w:val="138"/>
        <w:keepNext w:val="0"/>
        <w:keepLines w:val="0"/>
        <w:pageBreakBefore w:val="0"/>
        <w:widowControl w:val="0"/>
        <w:kinsoku/>
        <w:wordWrap/>
        <w:overflowPunct/>
        <w:topLinePunct w:val="0"/>
        <w:autoSpaceDE/>
        <w:autoSpaceDN/>
        <w:bidi w:val="0"/>
        <w:adjustRightInd w:val="0"/>
        <w:snapToGrid/>
        <w:spacing w:before="0"/>
        <w:ind w:firstLine="482"/>
        <w:textAlignment w:val="auto"/>
        <w:outlineLvl w:val="2"/>
        <w:rPr>
          <w:rFonts w:hint="eastAsia" w:ascii="宋体" w:hAnsi="宋体" w:eastAsia="宋体" w:cs="宋体"/>
          <w:snapToGrid w:val="0"/>
          <w:color w:val="auto"/>
          <w:kern w:val="28"/>
          <w:sz w:val="24"/>
          <w:szCs w:val="20"/>
          <w:highlight w:val="none"/>
          <w:lang w:val="en-US" w:eastAsia="zh-CN" w:bidi="ar-SA"/>
        </w:rPr>
      </w:pPr>
      <w:r>
        <w:rPr>
          <w:rFonts w:hint="eastAsia" w:ascii="宋体" w:hAnsi="宋体" w:eastAsia="宋体" w:cs="宋体"/>
          <w:snapToGrid w:val="0"/>
          <w:color w:val="auto"/>
          <w:kern w:val="28"/>
          <w:sz w:val="24"/>
          <w:szCs w:val="20"/>
          <w:highlight w:val="none"/>
          <w:lang w:val="en-US" w:eastAsia="zh-CN" w:bidi="ar-SA"/>
        </w:rPr>
        <w:t xml:space="preserve">    简要规格描述或项目基本概况介绍、用途：</w:t>
      </w:r>
      <w:bookmarkStart w:id="10" w:name="OLE_LINK4"/>
      <w:r>
        <w:rPr>
          <w:rFonts w:hint="eastAsia" w:ascii="宋体" w:hAnsi="宋体" w:eastAsia="宋体" w:cs="宋体"/>
          <w:snapToGrid w:val="0"/>
          <w:color w:val="auto"/>
          <w:kern w:val="28"/>
          <w:sz w:val="24"/>
          <w:szCs w:val="20"/>
          <w:highlight w:val="none"/>
          <w:lang w:val="en-US" w:eastAsia="zh-CN" w:bidi="ar-SA"/>
        </w:rPr>
        <w:t>详见采购文件第三部分要求。</w:t>
      </w:r>
      <w:bookmarkEnd w:id="10"/>
    </w:p>
    <w:p>
      <w:pPr>
        <w:pStyle w:val="138"/>
        <w:keepNext w:val="0"/>
        <w:keepLines w:val="0"/>
        <w:pageBreakBefore w:val="0"/>
        <w:widowControl w:val="0"/>
        <w:kinsoku/>
        <w:wordWrap/>
        <w:overflowPunct/>
        <w:topLinePunct w:val="0"/>
        <w:autoSpaceDE/>
        <w:autoSpaceDN/>
        <w:bidi w:val="0"/>
        <w:adjustRightInd w:val="0"/>
        <w:snapToGrid/>
        <w:spacing w:before="0"/>
        <w:ind w:firstLine="482"/>
        <w:textAlignment w:val="auto"/>
        <w:outlineLvl w:val="2"/>
        <w:rPr>
          <w:rFonts w:hint="eastAsia" w:asciiTheme="minorEastAsia" w:hAnsiTheme="minorEastAsia" w:eastAsiaTheme="minorEastAsia"/>
          <w:snapToGrid/>
          <w:color w:val="auto"/>
          <w:kern w:val="2"/>
          <w:sz w:val="24"/>
          <w:szCs w:val="24"/>
          <w:highlight w:val="none"/>
        </w:rPr>
      </w:pPr>
      <w:r>
        <w:rPr>
          <w:rFonts w:hint="eastAsia" w:ascii="宋体" w:hAnsi="宋体" w:eastAsia="宋体" w:cs="宋体"/>
          <w:snapToGrid w:val="0"/>
          <w:color w:val="auto"/>
          <w:kern w:val="28"/>
          <w:sz w:val="24"/>
          <w:szCs w:val="20"/>
          <w:highlight w:val="none"/>
          <w:lang w:val="en-US" w:eastAsia="zh-CN" w:bidi="ar-SA"/>
        </w:rPr>
        <w:t xml:space="preserve">    备注： </w:t>
      </w:r>
    </w:p>
    <w:p>
      <w:pPr>
        <w:pStyle w:val="5"/>
        <w:spacing w:line="360" w:lineRule="auto"/>
        <w:ind w:firstLine="480"/>
        <w:rPr>
          <w:rFonts w:hint="eastAsia" w:hAnsi="宋体" w:cs="宋体"/>
          <w:color w:val="auto"/>
          <w:highlight w:val="none"/>
        </w:rPr>
      </w:pPr>
      <w:r>
        <w:rPr>
          <w:rFonts w:hint="eastAsia" w:hAnsi="宋体" w:cs="宋体"/>
          <w:b/>
          <w:color w:val="auto"/>
          <w:sz w:val="24"/>
          <w:highlight w:val="none"/>
        </w:rPr>
        <w:t>合同履约期限：202</w:t>
      </w:r>
      <w:r>
        <w:rPr>
          <w:rFonts w:hint="eastAsia" w:hAnsi="宋体" w:cs="宋体"/>
          <w:b/>
          <w:color w:val="auto"/>
          <w:sz w:val="24"/>
          <w:highlight w:val="none"/>
          <w:lang w:val="en-US" w:eastAsia="zh-CN"/>
        </w:rPr>
        <w:t>6</w:t>
      </w:r>
      <w:r>
        <w:rPr>
          <w:rFonts w:hint="eastAsia" w:hAnsi="宋体" w:cs="宋体"/>
          <w:b/>
          <w:color w:val="auto"/>
          <w:sz w:val="24"/>
          <w:highlight w:val="none"/>
        </w:rPr>
        <w:t>年1月1日-202</w:t>
      </w:r>
      <w:r>
        <w:rPr>
          <w:rFonts w:hint="eastAsia" w:hAnsi="宋体" w:cs="宋体"/>
          <w:b/>
          <w:color w:val="auto"/>
          <w:sz w:val="24"/>
          <w:highlight w:val="none"/>
          <w:lang w:val="en-US" w:eastAsia="zh-CN"/>
        </w:rPr>
        <w:t>6</w:t>
      </w:r>
      <w:r>
        <w:rPr>
          <w:rFonts w:hint="eastAsia" w:hAnsi="宋体" w:cs="宋体"/>
          <w:b/>
          <w:color w:val="auto"/>
          <w:sz w:val="24"/>
          <w:highlight w:val="none"/>
        </w:rPr>
        <w:t>年</w:t>
      </w:r>
      <w:r>
        <w:rPr>
          <w:rFonts w:hint="eastAsia" w:hAnsi="宋体" w:cs="宋体"/>
          <w:b/>
          <w:color w:val="auto"/>
          <w:sz w:val="24"/>
          <w:highlight w:val="none"/>
          <w:lang w:val="en-US" w:eastAsia="zh-CN"/>
        </w:rPr>
        <w:t>12</w:t>
      </w:r>
      <w:r>
        <w:rPr>
          <w:rFonts w:hint="eastAsia" w:hAnsi="宋体" w:cs="宋体"/>
          <w:b/>
          <w:color w:val="auto"/>
          <w:sz w:val="24"/>
          <w:highlight w:val="none"/>
        </w:rPr>
        <w:t>月31日</w:t>
      </w:r>
    </w:p>
    <w:p>
      <w:pPr>
        <w:pStyle w:val="5"/>
        <w:spacing w:line="360" w:lineRule="auto"/>
        <w:ind w:firstLine="480"/>
        <w:rPr>
          <w:rFonts w:hint="eastAsia"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eastAsia="宋体" w:cs="宋体"/>
              <w:snapToGrid w:val="0"/>
              <w:color w:val="auto"/>
              <w:kern w:val="0"/>
              <w:sz w:val="24"/>
              <w:szCs w:val="20"/>
              <w:highlight w:val="none"/>
              <w:lang w:val="en-US" w:eastAsia="zh-CN" w:bidi="ar-SA"/>
            </w:rPr>
            <w:t>þ</w:t>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eastAsia="宋体" w:cs="Segoe UI Symbol"/>
              <w:snapToGrid w:val="0"/>
              <w:color w:val="auto"/>
              <w:kern w:val="0"/>
              <w:sz w:val="24"/>
              <w:szCs w:val="20"/>
              <w:highlight w:val="none"/>
              <w:lang w:val="en-US" w:eastAsia="zh-CN" w:bidi="ar-SA"/>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w:t>
      </w:r>
    </w:p>
    <w:p>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服务全部由符合政策要求的中小企业承接，提供中小企业声明函；</w:t>
      </w:r>
    </w:p>
    <w:p>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pPr>
        <w:rPr>
          <w:rFonts w:ascii="宋体" w:hAnsi="宋体" w:cs="宋体"/>
          <w:color w:val="auto"/>
          <w:highlight w:val="none"/>
        </w:rPr>
      </w:pP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lang w:val="en-US" w:eastAsia="zh-CN"/>
        </w:rPr>
        <w:t>40%</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pPr>
        <w:spacing w:line="360" w:lineRule="auto"/>
        <w:ind w:firstLine="480" w:firstLineChars="200"/>
        <w:rPr>
          <w:rFonts w:hint="eastAsia" w:ascii="宋体" w:hAnsi="宋体" w:cs="宋体"/>
          <w:snapToGrid w:val="0"/>
          <w:color w:val="auto"/>
          <w:kern w:val="28"/>
          <w:sz w:val="24"/>
          <w:szCs w:val="20"/>
          <w:highlight w:val="none"/>
          <w:lang w:eastAsia="zh-CN"/>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无。</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19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pPr>
        <w:spacing w:line="360" w:lineRule="auto"/>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5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19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 购 人：浙江省钱塘江流域中心</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地址：杭州市上城区清江路185号</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陈先生</w:t>
      </w:r>
    </w:p>
    <w:p>
      <w:pPr>
        <w:pStyle w:val="25"/>
        <w:ind w:firstLine="480" w:firstLineChars="200"/>
        <w:rPr>
          <w:rFonts w:hint="default" w:hAnsi="宋体" w:eastAsia="宋体" w:cs="宋体"/>
          <w:color w:val="auto"/>
          <w:highlight w:val="none"/>
          <w:lang w:val="en-US" w:eastAsia="zh-CN"/>
        </w:rPr>
      </w:pPr>
      <w:r>
        <w:rPr>
          <w:rFonts w:hint="eastAsia" w:hAnsi="宋体" w:cs="宋体"/>
          <w:color w:val="auto"/>
          <w:highlight w:val="none"/>
        </w:rPr>
        <w:t>项目联系方式（询问）：</w:t>
      </w:r>
      <w:r>
        <w:rPr>
          <w:rFonts w:hint="eastAsia" w:hAnsi="宋体" w:cs="宋体"/>
          <w:color w:val="auto"/>
          <w:highlight w:val="none"/>
          <w:lang w:val="en-US" w:eastAsia="zh-CN"/>
        </w:rPr>
        <w:t>0571-86531582</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质疑联系人：王先生</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质疑联系方式：0571-86526017</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pPr>
        <w:widowControl/>
        <w:snapToGrid w:val="0"/>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rPr>
        <w:t>名称：</w:t>
      </w:r>
      <w:r>
        <w:rPr>
          <w:rFonts w:hint="eastAsia" w:ascii="宋体" w:hAnsi="宋体" w:cs="Arial"/>
          <w:color w:val="auto"/>
          <w:sz w:val="24"/>
          <w:highlight w:val="none"/>
          <w:lang w:eastAsia="zh-CN"/>
        </w:rPr>
        <w:t>浙江中际工程项目管理有限公司</w:t>
      </w:r>
    </w:p>
    <w:p>
      <w:pPr>
        <w:widowControl/>
        <w:snapToGrid w:val="0"/>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rPr>
        <w:t>地址：</w:t>
      </w:r>
      <w:r>
        <w:rPr>
          <w:rFonts w:hint="eastAsia" w:ascii="宋体" w:hAnsi="宋体" w:cs="Arial"/>
          <w:color w:val="auto"/>
          <w:sz w:val="24"/>
          <w:highlight w:val="none"/>
          <w:lang w:eastAsia="zh-CN"/>
        </w:rPr>
        <w:t>浙江省杭州市上城区华成国际发展大厦8楼</w:t>
      </w:r>
    </w:p>
    <w:p>
      <w:pPr>
        <w:widowControl/>
        <w:snapToGrid w:val="0"/>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rPr>
        <w:t>项目联系人（询问）：</w:t>
      </w:r>
      <w:r>
        <w:rPr>
          <w:rFonts w:hint="eastAsia" w:ascii="宋体" w:hAnsi="宋体" w:cs="Arial"/>
          <w:color w:val="auto"/>
          <w:sz w:val="24"/>
          <w:highlight w:val="none"/>
          <w:lang w:eastAsia="zh-CN"/>
        </w:rPr>
        <w:t>周俊其</w:t>
      </w:r>
    </w:p>
    <w:p>
      <w:pPr>
        <w:widowControl/>
        <w:snapToGrid w:val="0"/>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rPr>
        <w:t>项目联系方式（询问）：</w:t>
      </w:r>
      <w:r>
        <w:rPr>
          <w:rFonts w:hint="eastAsia" w:ascii="宋体" w:hAnsi="宋体" w:cs="Arial"/>
          <w:color w:val="auto"/>
          <w:sz w:val="24"/>
          <w:highlight w:val="none"/>
          <w:lang w:eastAsia="zh-CN"/>
        </w:rPr>
        <w:t>15382363926</w:t>
      </w:r>
    </w:p>
    <w:p>
      <w:pPr>
        <w:widowControl/>
        <w:snapToGrid w:val="0"/>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rPr>
        <w:t>质疑联系人：</w:t>
      </w:r>
      <w:r>
        <w:rPr>
          <w:rFonts w:hint="eastAsia" w:ascii="宋体" w:hAnsi="宋体" w:cs="Arial"/>
          <w:color w:val="auto"/>
          <w:sz w:val="24"/>
          <w:highlight w:val="none"/>
          <w:lang w:eastAsia="zh-CN"/>
        </w:rPr>
        <w:t>来女士</w:t>
      </w:r>
    </w:p>
    <w:p>
      <w:pPr>
        <w:widowControl/>
        <w:snapToGrid w:val="0"/>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rPr>
        <w:t>质疑联系方式：</w:t>
      </w:r>
      <w:r>
        <w:rPr>
          <w:rFonts w:hint="eastAsia" w:ascii="宋体" w:hAnsi="宋体" w:cs="Arial"/>
          <w:color w:val="auto"/>
          <w:sz w:val="24"/>
          <w:highlight w:val="none"/>
          <w:lang w:eastAsia="zh-CN"/>
        </w:rPr>
        <w:t>17366611194</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名称：浙江省政府采购行政裁决服务中心（杭州市上城区清泰街549号城建综合大楼11楼）</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地址：杭州市上城区清泰街549号城建综合大楼11楼</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传真：/</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联系人：朱老师、王老师、匡老师</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监督投诉电话：057187800218、87227671、87227986</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政策咨询：何一平、冯华，0571-87058424、87055741</w:t>
      </w:r>
    </w:p>
    <w:p>
      <w:pPr>
        <w:widowControl/>
        <w:snapToGrid w:val="0"/>
        <w:spacing w:line="360" w:lineRule="auto"/>
        <w:ind w:firstLine="480" w:firstLineChars="200"/>
        <w:jc w:val="left"/>
        <w:rPr>
          <w:rFonts w:hint="eastAsia" w:ascii="宋体" w:hAnsi="宋体" w:eastAsia="宋体" w:cs="Arial"/>
          <w:b w:val="0"/>
          <w:bCs w:val="0"/>
          <w:color w:val="auto"/>
          <w:sz w:val="24"/>
          <w:highlight w:val="none"/>
        </w:rPr>
      </w:pPr>
      <w:r>
        <w:rPr>
          <w:rFonts w:hint="eastAsia" w:ascii="宋体" w:hAnsi="宋体" w:eastAsia="宋体" w:cs="Arial"/>
          <w:b w:val="0"/>
          <w:bCs w:val="0"/>
          <w:color w:val="auto"/>
          <w:sz w:val="24"/>
          <w:highlight w:val="none"/>
        </w:rPr>
        <w:t>预算金额未达100万元的采购项目，由采购人处理采购争议。</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pPr>
        <w:widowControl/>
        <w:adjustRightInd/>
        <w:jc w:val="left"/>
        <w:rPr>
          <w:rFonts w:hint="eastAsia"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7"/>
      <w:r>
        <w:rPr>
          <w:rFonts w:hint="eastAsia" w:ascii="宋体" w:hAnsi="宋体" w:cs="宋体"/>
          <w:b/>
          <w:color w:val="auto"/>
          <w:sz w:val="36"/>
          <w:szCs w:val="20"/>
          <w:highlight w:val="none"/>
        </w:rPr>
        <w:t xml:space="preserve"> 投标人须知</w:t>
      </w:r>
      <w:bookmarkEnd w:id="8"/>
    </w:p>
    <w:p>
      <w:pPr>
        <w:adjustRightInd/>
        <w:spacing w:line="360" w:lineRule="auto"/>
        <w:ind w:firstLine="3845" w:firstLineChars="1197"/>
        <w:outlineLvl w:val="0"/>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3"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项目属性</w:t>
            </w:r>
          </w:p>
        </w:tc>
        <w:tc>
          <w:tcPr>
            <w:tcW w:w="609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eastAsia="zh-CN"/>
              </w:rPr>
              <w:t>钱塘江流域中心监控更新及维护项目</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软件和信息技术服务业</w:t>
            </w:r>
            <w:r>
              <w:rPr>
                <w:rFonts w:hint="eastAsia" w:ascii="宋体" w:hAnsi="宋体" w:cs="宋体"/>
                <w:color w:val="auto"/>
                <w:kern w:val="0"/>
                <w:sz w:val="24"/>
                <w:highlight w:val="none"/>
              </w:rPr>
              <w:t>行业。</w:t>
            </w:r>
          </w:p>
          <w:p>
            <w:pPr>
              <w:pStyle w:val="2"/>
              <w:rPr>
                <w:rFonts w:hint="eastAsia"/>
                <w:color w:val="auto"/>
                <w:highlight w:val="none"/>
              </w:rPr>
            </w:pPr>
            <w:r>
              <w:rPr>
                <w:rFonts w:hint="eastAsia"/>
                <w:color w:val="auto"/>
                <w:highlight w:val="none"/>
              </w:rPr>
              <w:t>根据《关于印发中小企业划型标准规定的通知》（工信部联企业〔2011〕300号）第四条规定：软件和信息技术服务业行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0"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bookmarkStart w:id="402" w:name="_GoBack"/>
            <w:bookmarkEnd w:id="402"/>
          </w:p>
          <w:p>
            <w:pPr>
              <w:spacing w:line="360" w:lineRule="auto"/>
              <w:rPr>
                <w:rFonts w:hint="eastAsia"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5"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同意将非主体、非关键性的工作分包。</w:t>
            </w:r>
          </w:p>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681655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8"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p>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pPr>
              <w:spacing w:line="360" w:lineRule="auto"/>
              <w:rPr>
                <w:rFonts w:hint="eastAsia"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pPr>
              <w:snapToGrid w:val="0"/>
              <w:spacing w:line="360" w:lineRule="auto"/>
              <w:jc w:val="center"/>
              <w:rPr>
                <w:rFonts w:hint="eastAsia"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pPr>
              <w:snapToGrid w:val="0"/>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4746587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6449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hint="eastAsia"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tblHeader/>
        </w:trPr>
        <w:tc>
          <w:tcPr>
            <w:tcW w:w="629" w:type="dxa"/>
            <w:vMerge w:val="continue"/>
            <w:vAlign w:val="center"/>
          </w:tcPr>
          <w:p>
            <w:pPr>
              <w:snapToGrid w:val="0"/>
              <w:spacing w:line="360" w:lineRule="auto"/>
              <w:jc w:val="center"/>
              <w:rPr>
                <w:rFonts w:hint="eastAsia" w:ascii="宋体" w:hAnsi="宋体" w:cs="宋体"/>
                <w:color w:val="auto"/>
                <w:sz w:val="24"/>
                <w:highlight w:val="none"/>
              </w:rPr>
            </w:pPr>
          </w:p>
        </w:tc>
        <w:tc>
          <w:tcPr>
            <w:tcW w:w="1843" w:type="dxa"/>
            <w:vMerge w:val="continue"/>
            <w:vAlign w:val="center"/>
          </w:tcPr>
          <w:p>
            <w:pPr>
              <w:snapToGrid w:val="0"/>
              <w:spacing w:line="360" w:lineRule="auto"/>
              <w:jc w:val="center"/>
              <w:rPr>
                <w:rFonts w:hint="eastAsia" w:ascii="宋体" w:hAnsi="宋体" w:cs="宋体"/>
                <w:b/>
                <w:color w:val="auto"/>
                <w:sz w:val="24"/>
                <w:highlight w:val="none"/>
              </w:rPr>
            </w:pPr>
          </w:p>
        </w:tc>
        <w:tc>
          <w:tcPr>
            <w:tcW w:w="609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vAlign w:val="center"/>
          </w:tcPr>
          <w:p>
            <w:pPr>
              <w:pStyle w:val="87"/>
              <w:snapToGrid w:val="0"/>
              <w:spacing w:line="360" w:lineRule="auto"/>
              <w:ind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pPr>
              <w:pStyle w:val="87"/>
              <w:ind w:firstLine="480"/>
              <w:jc w:val="both"/>
              <w:rPr>
                <w:rFonts w:hint="eastAsia"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pPr>
              <w:pStyle w:val="87"/>
              <w:ind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pPr>
              <w:pStyle w:val="87"/>
              <w:ind w:firstLine="48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pPr>
              <w:pStyle w:val="87"/>
              <w:ind w:firstLine="480"/>
              <w:jc w:val="both"/>
              <w:rPr>
                <w:rFonts w:hint="eastAsia"/>
                <w:color w:val="auto"/>
                <w:highlight w:val="none"/>
              </w:rPr>
            </w:pPr>
            <w:r>
              <w:rPr>
                <w:rFonts w:hint="eastAsia" w:ascii="宋体" w:hAnsi="宋体" w:eastAsia="宋体" w:cs="宋体"/>
                <w:color w:val="auto"/>
                <w:kern w:val="2"/>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p>
          <w:p>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pPr>
              <w:snapToGrid w:val="0"/>
              <w:spacing w:line="360" w:lineRule="auto"/>
              <w:ind w:firstLine="241" w:firstLineChars="100"/>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pPr>
              <w:snapToGrid w:val="0"/>
              <w:spacing w:line="360" w:lineRule="auto"/>
              <w:ind w:firstLine="241" w:firstLineChars="100"/>
              <w:jc w:val="left"/>
              <w:rPr>
                <w:rFonts w:hint="eastAsia"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1"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vAlign w:val="center"/>
          </w:tcPr>
          <w:p>
            <w:pPr>
              <w:pStyle w:val="34"/>
              <w:spacing w:line="360" w:lineRule="auto"/>
              <w:rPr>
                <w:rFonts w:hint="eastAsia" w:hAnsi="宋体" w:cs="宋体"/>
                <w:color w:val="auto"/>
                <w:kern w:val="28"/>
                <w:sz w:val="24"/>
                <w:highlight w:val="none"/>
              </w:rPr>
            </w:pPr>
            <w:r>
              <w:rPr>
                <w:rFonts w:hint="eastAsia" w:hAnsi="宋体" w:cs="宋体"/>
                <w:color w:val="auto"/>
                <w:kern w:val="28"/>
                <w:sz w:val="24"/>
                <w:highlight w:val="none"/>
              </w:rPr>
              <w:t>备份投标文件送达地点：浙江省杭州市上城区华成国际发展大厦8楼319室；</w:t>
            </w:r>
          </w:p>
          <w:p>
            <w:pPr>
              <w:pStyle w:val="34"/>
              <w:spacing w:line="360" w:lineRule="auto"/>
              <w:rPr>
                <w:rFonts w:hint="eastAsia" w:hAnsi="宋体" w:cs="宋体"/>
                <w:color w:val="auto"/>
                <w:kern w:val="28"/>
                <w:sz w:val="24"/>
                <w:highlight w:val="none"/>
              </w:rPr>
            </w:pPr>
            <w:r>
              <w:rPr>
                <w:rFonts w:hint="eastAsia" w:hAnsi="宋体" w:cs="宋体"/>
                <w:color w:val="auto"/>
                <w:kern w:val="28"/>
                <w:sz w:val="24"/>
                <w:highlight w:val="none"/>
              </w:rPr>
              <w:t>备份投标文件签收联系人：</w:t>
            </w:r>
            <w:r>
              <w:rPr>
                <w:rFonts w:hint="eastAsia" w:hAnsi="宋体" w:cs="宋体"/>
                <w:color w:val="auto"/>
                <w:kern w:val="28"/>
                <w:sz w:val="24"/>
                <w:highlight w:val="none"/>
                <w:lang w:eastAsia="zh-CN"/>
              </w:rPr>
              <w:t>周俊其</w:t>
            </w:r>
            <w:r>
              <w:rPr>
                <w:rFonts w:hint="eastAsia" w:hAnsi="宋体" w:cs="宋体"/>
                <w:color w:val="auto"/>
                <w:kern w:val="28"/>
                <w:sz w:val="24"/>
                <w:highlight w:val="none"/>
              </w:rPr>
              <w:t xml:space="preserve">；联系电话： </w:t>
            </w:r>
            <w:r>
              <w:rPr>
                <w:rFonts w:hint="eastAsia" w:hAnsi="宋体" w:cs="宋体"/>
                <w:color w:val="auto"/>
                <w:kern w:val="28"/>
                <w:sz w:val="24"/>
                <w:highlight w:val="none"/>
                <w:lang w:eastAsia="zh-CN"/>
              </w:rPr>
              <w:t>15382363926</w:t>
            </w:r>
            <w:r>
              <w:rPr>
                <w:rFonts w:hint="eastAsia" w:hAnsi="宋体" w:cs="宋体"/>
                <w:color w:val="auto"/>
                <w:kern w:val="28"/>
                <w:sz w:val="24"/>
                <w:highlight w:val="none"/>
              </w:rPr>
              <w:t xml:space="preserve"> 。</w:t>
            </w:r>
          </w:p>
          <w:p>
            <w:pPr>
              <w:pStyle w:val="34"/>
              <w:spacing w:line="360" w:lineRule="auto"/>
              <w:rPr>
                <w:rFonts w:hint="eastAsia" w:hAnsi="宋体" w:cs="宋体"/>
                <w:color w:val="auto"/>
                <w:kern w:val="28"/>
                <w:sz w:val="24"/>
                <w:highlight w:val="none"/>
              </w:rPr>
            </w:pPr>
            <w:r>
              <w:rPr>
                <w:rFonts w:hint="eastAsia" w:hAnsi="宋体" w:cs="宋体"/>
                <w:b/>
                <w:bCs/>
                <w:color w:val="auto"/>
                <w:kern w:val="28"/>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vAlign w:val="center"/>
          </w:tcPr>
          <w:p>
            <w:pPr>
              <w:snapToGrid w:val="0"/>
              <w:spacing w:line="360"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pPr>
              <w:snapToGrid w:val="0"/>
              <w:spacing w:line="360" w:lineRule="auto"/>
              <w:jc w:val="center"/>
              <w:rPr>
                <w:rFonts w:hint="eastAsia" w:ascii="宋体" w:hAnsi="宋体" w:cs="宋体"/>
                <w:color w:val="auto"/>
                <w:sz w:val="24"/>
                <w:highlight w:val="none"/>
              </w:rPr>
            </w:pPr>
          </w:p>
        </w:tc>
        <w:tc>
          <w:tcPr>
            <w:tcW w:w="1843" w:type="dxa"/>
            <w:vMerge w:val="continue"/>
            <w:vAlign w:val="center"/>
          </w:tcPr>
          <w:p>
            <w:pPr>
              <w:snapToGrid w:val="0"/>
              <w:spacing w:line="360" w:lineRule="auto"/>
              <w:jc w:val="center"/>
              <w:rPr>
                <w:rFonts w:hint="eastAsia" w:ascii="宋体" w:hAnsi="宋体" w:cs="宋体"/>
                <w:b/>
                <w:color w:val="auto"/>
                <w:sz w:val="24"/>
                <w:highlight w:val="none"/>
              </w:rPr>
            </w:pPr>
          </w:p>
        </w:tc>
        <w:tc>
          <w:tcPr>
            <w:tcW w:w="6095" w:type="dxa"/>
            <w:vAlign w:val="center"/>
          </w:tcPr>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Wingdings" w:hAnsi="Wingdings" w:cs="Arial" w:eastAsiaTheme="minorEastAsia"/>
                    <w:color w:val="auto"/>
                    <w:kern w:val="0"/>
                    <w:sz w:val="24"/>
                    <w:szCs w:val="24"/>
                    <w:highlight w:val="none"/>
                    <w:lang w:val="en-US" w:eastAsia="zh-CN" w:bidi="ar-SA"/>
                  </w:rPr>
                  <w:t>þ</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pPr>
              <w:snapToGrid w:val="0"/>
              <w:spacing w:line="360" w:lineRule="auto"/>
              <w:jc w:val="center"/>
              <w:rPr>
                <w:rFonts w:hint="eastAsia" w:ascii="宋体" w:hAnsi="宋体" w:cs="宋体"/>
                <w:color w:val="auto"/>
                <w:sz w:val="24"/>
                <w:highlight w:val="none"/>
              </w:rPr>
            </w:pPr>
          </w:p>
        </w:tc>
        <w:tc>
          <w:tcPr>
            <w:tcW w:w="1843" w:type="dxa"/>
            <w:vMerge w:val="continue"/>
            <w:vAlign w:val="center"/>
          </w:tcPr>
          <w:p>
            <w:pPr>
              <w:snapToGrid w:val="0"/>
              <w:spacing w:line="360" w:lineRule="auto"/>
              <w:jc w:val="center"/>
              <w:rPr>
                <w:rFonts w:hint="eastAsia" w:ascii="宋体" w:hAnsi="宋体" w:cs="宋体"/>
                <w:b/>
                <w:color w:val="auto"/>
                <w:sz w:val="24"/>
                <w:highlight w:val="none"/>
              </w:rPr>
            </w:pPr>
          </w:p>
        </w:tc>
        <w:tc>
          <w:tcPr>
            <w:tcW w:w="6095" w:type="dxa"/>
            <w:vAlign w:val="center"/>
          </w:tcPr>
          <w:p>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为保证中心视频监控系统正常使用，自</w:t>
            </w:r>
            <w:r>
              <w:rPr>
                <w:rFonts w:hint="eastAsia" w:cs="Arial" w:asciiTheme="minorEastAsia" w:hAnsiTheme="minorEastAsia" w:eastAsiaTheme="minorEastAsia"/>
                <w:color w:val="auto"/>
                <w:kern w:val="0"/>
                <w:sz w:val="24"/>
                <w:highlight w:val="none"/>
                <w:lang w:eastAsia="zh-CN"/>
              </w:rPr>
              <w:t>202</w:t>
            </w:r>
            <w:r>
              <w:rPr>
                <w:rFonts w:hint="eastAsia" w:cs="Arial" w:asciiTheme="minorEastAsia" w:hAnsiTheme="minorEastAsia" w:eastAsiaTheme="minorEastAsia"/>
                <w:color w:val="auto"/>
                <w:kern w:val="0"/>
                <w:sz w:val="24"/>
                <w:highlight w:val="none"/>
                <w:lang w:val="en-US" w:eastAsia="zh-CN"/>
              </w:rPr>
              <w:t>6</w:t>
            </w:r>
            <w:r>
              <w:rPr>
                <w:rFonts w:hint="eastAsia" w:cs="Arial" w:asciiTheme="minorEastAsia" w:hAnsiTheme="minorEastAsia" w:eastAsiaTheme="minorEastAsia"/>
                <w:color w:val="auto"/>
                <w:kern w:val="0"/>
                <w:sz w:val="24"/>
                <w:highlight w:val="none"/>
              </w:rPr>
              <w:t>年1月1日至本采购项目签订合同前，部分设备、网络仍委托前期服务商提供服务。投标人报价应计入前期已发生的服务费用，并负责在中标后按下表参考金额及时支付给前期服务商，具体支付金额需取得前期服务商的同意，以实际网络切换时间详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pPr>
              <w:snapToGrid w:val="0"/>
              <w:spacing w:line="360" w:lineRule="auto"/>
              <w:jc w:val="center"/>
              <w:rPr>
                <w:rFonts w:hint="eastAsia" w:ascii="宋体" w:hAnsi="宋体" w:cs="宋体"/>
                <w:color w:val="auto"/>
                <w:sz w:val="24"/>
                <w:highlight w:val="none"/>
              </w:rPr>
            </w:pPr>
          </w:p>
        </w:tc>
        <w:tc>
          <w:tcPr>
            <w:tcW w:w="1843" w:type="dxa"/>
            <w:vMerge w:val="continue"/>
            <w:vAlign w:val="center"/>
          </w:tcPr>
          <w:p>
            <w:pPr>
              <w:snapToGrid w:val="0"/>
              <w:spacing w:line="360" w:lineRule="auto"/>
              <w:jc w:val="center"/>
              <w:rPr>
                <w:rFonts w:hint="eastAsia" w:ascii="宋体" w:hAnsi="宋体" w:cs="宋体"/>
                <w:b/>
                <w:color w:val="auto"/>
                <w:sz w:val="24"/>
                <w:highlight w:val="none"/>
              </w:rPr>
            </w:pPr>
          </w:p>
        </w:tc>
        <w:tc>
          <w:tcPr>
            <w:tcW w:w="60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Arial" w:asciiTheme="minorEastAsia" w:hAnsiTheme="minorEastAsia" w:eastAsiaTheme="minorEastAsia"/>
                <w:color w:val="auto"/>
                <w:kern w:val="0"/>
                <w:sz w:val="24"/>
                <w:highlight w:val="none"/>
              </w:rPr>
            </w:pPr>
            <w:r>
              <w:rPr>
                <w:rFonts w:hint="eastAsia"/>
                <w:color w:val="auto"/>
                <w:sz w:val="24"/>
                <w:szCs w:val="24"/>
                <w:highlight w:val="none"/>
              </w:rPr>
              <w:t>如发现供应商之间IP地址、MAC地址或设备硬件号信息相同的，相关供应商均投标无效。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pPr>
              <w:snapToGrid w:val="0"/>
              <w:spacing w:line="360" w:lineRule="auto"/>
              <w:jc w:val="center"/>
              <w:rPr>
                <w:rFonts w:hint="eastAsia" w:ascii="宋体" w:hAnsi="宋体" w:cs="宋体"/>
                <w:color w:val="auto"/>
                <w:sz w:val="24"/>
                <w:highlight w:val="none"/>
              </w:rPr>
            </w:pPr>
          </w:p>
        </w:tc>
        <w:tc>
          <w:tcPr>
            <w:tcW w:w="1843" w:type="dxa"/>
            <w:vMerge w:val="continue"/>
            <w:vAlign w:val="center"/>
          </w:tcPr>
          <w:p>
            <w:pPr>
              <w:snapToGrid w:val="0"/>
              <w:spacing w:line="360" w:lineRule="auto"/>
              <w:jc w:val="center"/>
              <w:rPr>
                <w:rFonts w:hint="eastAsia" w:ascii="宋体" w:hAnsi="宋体" w:cs="宋体"/>
                <w:b/>
                <w:color w:val="auto"/>
                <w:sz w:val="24"/>
                <w:highlight w:val="none"/>
              </w:rPr>
            </w:pPr>
          </w:p>
        </w:tc>
        <w:tc>
          <w:tcPr>
            <w:tcW w:w="60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Arial" w:asciiTheme="minorEastAsia" w:hAnsiTheme="minorEastAsia" w:eastAsiaTheme="minorEastAsia"/>
                <w:color w:val="auto"/>
                <w:kern w:val="0"/>
                <w:sz w:val="24"/>
                <w:highlight w:val="none"/>
              </w:rPr>
            </w:pPr>
            <w:r>
              <w:rPr>
                <w:rFonts w:hint="eastAsia"/>
                <w:color w:val="auto"/>
                <w:sz w:val="24"/>
                <w:szCs w:val="24"/>
                <w:highlight w:val="none"/>
              </w:rPr>
              <w:t>中标候选人因各种原因被取消中标候选人资格的，推荐的中标候选人不再递补，采购人重新组织招标。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pPr>
              <w:snapToGrid w:val="0"/>
              <w:spacing w:line="360" w:lineRule="auto"/>
              <w:jc w:val="center"/>
              <w:rPr>
                <w:rFonts w:hint="eastAsia" w:ascii="宋体" w:hAnsi="宋体" w:cs="宋体"/>
                <w:color w:val="auto"/>
                <w:sz w:val="24"/>
                <w:highlight w:val="none"/>
              </w:rPr>
            </w:pPr>
          </w:p>
        </w:tc>
        <w:tc>
          <w:tcPr>
            <w:tcW w:w="1843" w:type="dxa"/>
            <w:vMerge w:val="continue"/>
            <w:vAlign w:val="center"/>
          </w:tcPr>
          <w:p>
            <w:pPr>
              <w:snapToGrid w:val="0"/>
              <w:spacing w:line="360" w:lineRule="auto"/>
              <w:jc w:val="center"/>
              <w:rPr>
                <w:rFonts w:hint="eastAsia" w:ascii="宋体" w:hAnsi="宋体" w:cs="宋体"/>
                <w:b/>
                <w:color w:val="auto"/>
                <w:sz w:val="24"/>
                <w:highlight w:val="none"/>
              </w:rPr>
            </w:pPr>
          </w:p>
        </w:tc>
        <w:tc>
          <w:tcPr>
            <w:tcW w:w="60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4"/>
                <w:szCs w:val="24"/>
                <w:highlight w:val="none"/>
              </w:rPr>
            </w:pPr>
            <w:r>
              <w:rPr>
                <w:rFonts w:hint="eastAsia" w:ascii="sans-serif" w:hAnsi="sans-serif" w:eastAsia="sans-serif" w:cs="sans-serif"/>
                <w:i w:val="0"/>
                <w:caps w:val="0"/>
                <w:color w:val="auto"/>
                <w:spacing w:val="0"/>
                <w:kern w:val="0"/>
                <w:sz w:val="21"/>
                <w:szCs w:val="21"/>
                <w:highlight w:val="none"/>
                <w:shd w:val="clear" w:color="auto" w:fill="FFFFFF"/>
                <w:lang w:val="en-US" w:eastAsia="zh-CN" w:bidi="ar"/>
              </w:rPr>
              <w:t>各供应商须在开标后2日内提供1份纸质投标文件，中标单位份数，另行通知。邮寄地址：浙江省杭州市上城区华成国际发展大厦8楼；收件人：俞家琪；联系电话：18968180997。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vAlign w:val="center"/>
          </w:tcPr>
          <w:p>
            <w:pPr>
              <w:snapToGrid w:val="0"/>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43" w:type="dxa"/>
            <w:vAlign w:val="center"/>
          </w:tcPr>
          <w:p>
            <w:pPr>
              <w:snapToGrid w:val="0"/>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代理费用收取方式及标准</w:t>
            </w:r>
          </w:p>
        </w:tc>
        <w:tc>
          <w:tcPr>
            <w:tcW w:w="6095" w:type="dxa"/>
            <w:vAlign w:val="center"/>
          </w:tcPr>
          <w:p>
            <w:pPr>
              <w:spacing w:line="360" w:lineRule="auto"/>
              <w:rPr>
                <w:rFonts w:hint="eastAsia" w:ascii="宋体" w:hAnsi="宋体" w:cs="宋体"/>
                <w:b w:val="0"/>
                <w:bCs w:val="0"/>
                <w:color w:val="auto"/>
                <w:sz w:val="24"/>
                <w:highlight w:val="none"/>
              </w:rPr>
            </w:pPr>
            <w:bookmarkStart w:id="11" w:name="OLE_LINK24"/>
            <w:r>
              <w:rPr>
                <w:rFonts w:hint="eastAsia" w:ascii="宋体" w:hAnsi="宋体" w:cs="宋体"/>
                <w:b w:val="0"/>
                <w:bCs w:val="0"/>
                <w:color w:val="auto"/>
                <w:sz w:val="24"/>
                <w:highlight w:val="none"/>
              </w:rPr>
              <w:t>本项目的采购代理费由中标人支付。计费标准：</w:t>
            </w:r>
          </w:p>
          <w:p>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1、中标服务费以</w:t>
            </w:r>
            <w:r>
              <w:rPr>
                <w:rFonts w:hint="eastAsia" w:ascii="宋体" w:hAnsi="宋体" w:eastAsia="宋体" w:cs="宋体"/>
                <w:b w:val="0"/>
                <w:bCs w:val="0"/>
                <w:color w:val="auto"/>
                <w:sz w:val="24"/>
                <w:highlight w:val="none"/>
                <w:lang w:val="en-US" w:eastAsia="zh-CN"/>
              </w:rPr>
              <w:t>中标</w:t>
            </w:r>
            <w:r>
              <w:rPr>
                <w:rFonts w:hint="eastAsia" w:ascii="宋体" w:hAnsi="宋体" w:eastAsia="宋体" w:cs="宋体"/>
                <w:b w:val="0"/>
                <w:bCs w:val="0"/>
                <w:color w:val="auto"/>
                <w:sz w:val="24"/>
                <w:highlight w:val="none"/>
              </w:rPr>
              <w:t>金额为计费基准，按照</w:t>
            </w:r>
            <w:r>
              <w:rPr>
                <w:rFonts w:hint="eastAsia" w:ascii="宋体" w:hAnsi="宋体" w:eastAsia="宋体" w:cs="宋体"/>
                <w:b w:val="0"/>
                <w:bCs w:val="0"/>
                <w:color w:val="auto"/>
                <w:sz w:val="24"/>
                <w:highlight w:val="none"/>
                <w:lang w:eastAsia="zh-CN"/>
              </w:rPr>
              <w:t>国家发改委《关于降低部分建设项目收费标准规范收费行为等有关问题的通知》（发改价格[2011]534 号）</w:t>
            </w:r>
            <w:r>
              <w:rPr>
                <w:rFonts w:hint="eastAsia" w:ascii="宋体" w:hAnsi="宋体" w:eastAsia="宋体" w:cs="宋体"/>
                <w:b w:val="0"/>
                <w:bCs w:val="0"/>
                <w:color w:val="auto"/>
                <w:sz w:val="24"/>
                <w:highlight w:val="none"/>
                <w:lang w:val="en-US" w:eastAsia="zh-CN"/>
              </w:rPr>
              <w:t>文件</w:t>
            </w:r>
            <w:r>
              <w:rPr>
                <w:rFonts w:hint="eastAsia" w:ascii="宋体" w:hAnsi="宋体" w:eastAsia="宋体" w:cs="宋体"/>
                <w:b w:val="0"/>
                <w:bCs w:val="0"/>
                <w:color w:val="auto"/>
                <w:sz w:val="24"/>
                <w:highlight w:val="none"/>
              </w:rPr>
              <w:t>服务类收费标准</w:t>
            </w:r>
            <w:r>
              <w:rPr>
                <w:rFonts w:hint="eastAsia" w:ascii="宋体" w:hAnsi="宋体" w:eastAsia="宋体" w:cs="宋体"/>
                <w:b w:val="0"/>
                <w:bCs w:val="0"/>
                <w:color w:val="auto"/>
                <w:sz w:val="24"/>
                <w:highlight w:val="none"/>
                <w:lang w:val="en-US" w:eastAsia="zh-CN"/>
              </w:rPr>
              <w:t>的76%</w:t>
            </w:r>
            <w:r>
              <w:rPr>
                <w:rFonts w:hint="eastAsia" w:ascii="宋体" w:hAnsi="宋体" w:eastAsia="宋体" w:cs="宋体"/>
                <w:b w:val="0"/>
                <w:bCs w:val="0"/>
                <w:color w:val="auto"/>
                <w:sz w:val="24"/>
                <w:highlight w:val="none"/>
              </w:rPr>
              <w:t>计取。</w:t>
            </w:r>
            <w:bookmarkEnd w:id="11"/>
          </w:p>
          <w:p>
            <w:pPr>
              <w:spacing w:line="360" w:lineRule="auto"/>
              <w:rPr>
                <w:rFonts w:hint="eastAsia" w:ascii="宋体" w:hAnsi="宋体" w:cs="宋体"/>
                <w:b w:val="0"/>
                <w:bCs w:val="0"/>
                <w:color w:val="auto"/>
                <w:sz w:val="24"/>
                <w:highlight w:val="none"/>
              </w:rPr>
            </w:pPr>
            <w:bookmarkStart w:id="12" w:name="OLE_LINK25"/>
            <w:r>
              <w:rPr>
                <w:rFonts w:hint="eastAsia" w:ascii="宋体" w:hAnsi="宋体" w:cs="宋体"/>
                <w:b w:val="0"/>
                <w:bCs w:val="0"/>
                <w:color w:val="auto"/>
                <w:sz w:val="24"/>
                <w:highlight w:val="none"/>
              </w:rPr>
              <w:t>2、结算方式及时间为：中标结果公告发出后5个工作日内，中标人将中标服务费缴纳至如下账号：</w:t>
            </w:r>
          </w:p>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（1）收 款 人：浙江中际工程项目管理有限公司</w:t>
            </w:r>
          </w:p>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（2）开户银行：中国银行杭州城东支行</w:t>
            </w:r>
          </w:p>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（3）账    号：</w:t>
            </w:r>
            <w:bookmarkEnd w:id="12"/>
            <w:r>
              <w:rPr>
                <w:rFonts w:hint="eastAsia" w:ascii="宋体" w:hAnsi="宋体" w:cs="宋体"/>
                <w:b w:val="0"/>
                <w:bCs w:val="0"/>
                <w:color w:val="auto"/>
                <w:sz w:val="24"/>
                <w:highlight w:val="none"/>
              </w:rPr>
              <w:t>4013 5832 7200</w:t>
            </w:r>
          </w:p>
          <w:p>
            <w:pPr>
              <w:spacing w:line="360" w:lineRule="auto"/>
              <w:rPr>
                <w:rFonts w:hint="eastAsia" w:ascii="宋体" w:hAnsi="宋体" w:cs="宋体"/>
                <w:color w:val="auto"/>
                <w:kern w:val="0"/>
                <w:sz w:val="24"/>
                <w:highlight w:val="none"/>
                <w:lang w:val="en"/>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）联 行 号104331050285</w:t>
            </w:r>
          </w:p>
        </w:tc>
      </w:tr>
    </w:tbl>
    <w:p>
      <w:pPr>
        <w:snapToGrid w:val="0"/>
        <w:spacing w:line="360" w:lineRule="auto"/>
        <w:jc w:val="center"/>
        <w:rPr>
          <w:rFonts w:hint="eastAsia" w:ascii="宋体" w:hAnsi="宋体" w:cs="宋体"/>
          <w:b/>
          <w:color w:val="auto"/>
          <w:sz w:val="32"/>
          <w:szCs w:val="20"/>
          <w:highlight w:val="none"/>
        </w:rPr>
      </w:pPr>
    </w:p>
    <w:bookmarkEnd w:id="9"/>
    <w:p>
      <w:pPr>
        <w:adjustRightInd/>
        <w:spacing w:line="360" w:lineRule="auto"/>
        <w:ind w:firstLine="3845" w:firstLineChars="1197"/>
        <w:outlineLvl w:val="0"/>
        <w:rPr>
          <w:rFonts w:hint="eastAsia" w:ascii="宋体" w:hAnsi="宋体" w:cs="宋体"/>
          <w:b/>
          <w:color w:val="auto"/>
          <w:sz w:val="32"/>
          <w:szCs w:val="20"/>
          <w:highlight w:val="none"/>
        </w:rPr>
      </w:pPr>
      <w:bookmarkStart w:id="13" w:name="第三部分"/>
      <w:bookmarkStart w:id="14" w:name="_Toc164416483"/>
    </w:p>
    <w:p>
      <w:pPr>
        <w:adjustRightInd/>
        <w:spacing w:line="360" w:lineRule="auto"/>
        <w:ind w:firstLine="3845" w:firstLineChars="1197"/>
        <w:outlineLvl w:val="0"/>
        <w:rPr>
          <w:rFonts w:hint="eastAsia" w:ascii="宋体" w:hAnsi="宋体" w:cs="宋体"/>
          <w:b/>
          <w:color w:val="auto"/>
          <w:sz w:val="32"/>
          <w:szCs w:val="20"/>
          <w:highlight w:val="none"/>
        </w:rPr>
      </w:pPr>
    </w:p>
    <w:p>
      <w:pPr>
        <w:adjustRightInd/>
        <w:spacing w:line="360" w:lineRule="auto"/>
        <w:ind w:firstLine="3845" w:firstLineChars="1197"/>
        <w:outlineLvl w:val="0"/>
        <w:rPr>
          <w:rFonts w:hint="eastAsia" w:ascii="宋体" w:hAnsi="宋体" w:cs="宋体"/>
          <w:b/>
          <w:color w:val="auto"/>
          <w:sz w:val="32"/>
          <w:szCs w:val="20"/>
          <w:highlight w:val="none"/>
        </w:rPr>
      </w:pPr>
    </w:p>
    <w:p>
      <w:pPr>
        <w:adjustRightInd/>
        <w:spacing w:line="360" w:lineRule="auto"/>
        <w:ind w:firstLine="3845" w:firstLineChars="1197"/>
        <w:outlineLvl w:val="0"/>
        <w:rPr>
          <w:rFonts w:hint="eastAsia" w:ascii="宋体" w:hAnsi="宋体" w:cs="宋体"/>
          <w:b/>
          <w:color w:val="auto"/>
          <w:sz w:val="32"/>
          <w:szCs w:val="20"/>
          <w:highlight w:val="none"/>
        </w:rPr>
      </w:pPr>
    </w:p>
    <w:p>
      <w:pPr>
        <w:adjustRightInd/>
        <w:spacing w:line="360" w:lineRule="auto"/>
        <w:ind w:firstLine="3845" w:firstLineChars="1197"/>
        <w:outlineLvl w:val="0"/>
        <w:rPr>
          <w:rFonts w:hint="eastAsia" w:ascii="宋体" w:hAnsi="宋体" w:cs="宋体"/>
          <w:b/>
          <w:color w:val="auto"/>
          <w:sz w:val="32"/>
          <w:szCs w:val="20"/>
          <w:highlight w:val="none"/>
        </w:rPr>
      </w:pPr>
    </w:p>
    <w:p>
      <w:pPr>
        <w:adjustRightInd/>
        <w:spacing w:line="360" w:lineRule="auto"/>
        <w:ind w:firstLine="3845" w:firstLineChars="1197"/>
        <w:outlineLvl w:val="0"/>
        <w:rPr>
          <w:rFonts w:hint="eastAsia" w:ascii="宋体" w:hAnsi="宋体" w:cs="宋体"/>
          <w:b/>
          <w:color w:val="auto"/>
          <w:sz w:val="32"/>
          <w:szCs w:val="20"/>
          <w:highlight w:val="none"/>
        </w:rPr>
      </w:pPr>
    </w:p>
    <w:p>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bookmarkEnd w:id="13"/>
    <w:bookmarkEnd w:id="14"/>
    <w:p>
      <w:pPr>
        <w:adjustRightInd/>
        <w:spacing w:line="360" w:lineRule="auto"/>
        <w:ind w:firstLine="3845" w:firstLineChars="1197"/>
        <w:outlineLvl w:val="0"/>
        <w:rPr>
          <w:rFonts w:ascii="宋体" w:hAnsi="宋体" w:cs="宋体"/>
          <w:b/>
          <w:color w:val="auto"/>
          <w:sz w:val="32"/>
          <w:szCs w:val="20"/>
          <w:highlight w:val="none"/>
        </w:rPr>
      </w:pPr>
      <w:bookmarkStart w:id="15" w:name="第四部分"/>
      <w:r>
        <w:rPr>
          <w:rFonts w:hint="eastAsia" w:ascii="宋体" w:hAnsi="宋体" w:cs="宋体"/>
          <w:b/>
          <w:color w:val="auto"/>
          <w:sz w:val="32"/>
          <w:szCs w:val="20"/>
          <w:highlight w:val="none"/>
        </w:rPr>
        <w:t>一、总则</w:t>
      </w:r>
    </w:p>
    <w:p>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14747248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14746901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w:t>
      </w:r>
      <w:r>
        <w:rPr>
          <w:rFonts w:hint="eastAsia" w:ascii="宋体" w:hAnsi="宋体" w:cs="宋体"/>
          <w:color w:val="auto"/>
          <w:sz w:val="24"/>
          <w:highlight w:val="none"/>
          <w:lang w:eastAsia="zh-CN"/>
        </w:rPr>
        <w:t>40%</w:t>
      </w:r>
      <w:r>
        <w:rPr>
          <w:rFonts w:hint="eastAsia" w:ascii="宋体" w:hAnsi="宋体" w:cs="宋体"/>
          <w:color w:val="auto"/>
          <w:sz w:val="24"/>
          <w:highlight w:val="none"/>
        </w:rPr>
        <w:t>以上的，对联合体或者大中型企业的报价给予4%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pPr>
        <w:spacing w:line="360" w:lineRule="auto"/>
        <w:ind w:left="0" w:leftChars="0" w:firstLine="420" w:firstLineChars="175"/>
        <w:rPr>
          <w:rFonts w:hint="eastAsia"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w:t>
      </w:r>
      <w:r>
        <w:rPr>
          <w:rFonts w:hint="eastAsia"/>
          <w:color w:val="auto"/>
          <w:highlight w:val="none"/>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890"/>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pPr>
        <w:pStyle w:val="890"/>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pPr>
        <w:pStyle w:val="890"/>
        <w:shd w:val="clear" w:color="auto" w:fill="FFFFFF"/>
        <w:snapToGrid w:val="0"/>
        <w:spacing w:after="240" w:afterAutospacing="0" w:line="360" w:lineRule="auto"/>
        <w:ind w:firstLine="400"/>
        <w:contextualSpacing/>
        <w:rPr>
          <w:rFonts w:hint="eastAsia"/>
          <w:color w:val="auto"/>
          <w:highlight w:val="none"/>
          <w:lang w:val="zh-CN"/>
        </w:rPr>
      </w:pPr>
      <w:r>
        <w:rPr>
          <w:rFonts w:hint="eastAsia"/>
          <w:color w:val="auto"/>
          <w:highlight w:val="none"/>
        </w:rPr>
        <w:t>4.4.5</w:t>
      </w:r>
      <w:r>
        <w:rPr>
          <w:rFonts w:hint="eastAsia"/>
          <w:color w:val="auto"/>
          <w:highlight w:val="none"/>
          <w:lang w:val="zh-CN"/>
        </w:rPr>
        <w:t>投诉材料可寄送浙江省政府采购行政裁决服务中心（杭州市上城区清泰街549号城建综合大楼11楼），地址：杭州市上城区清泰街549号城建综合大楼11楼，收件人：朱老师、王老师、匡老师，电话：057187800218、87227671、87227986。</w:t>
      </w:r>
    </w:p>
    <w:p>
      <w:pPr>
        <w:pStyle w:val="890"/>
        <w:shd w:val="clear" w:color="auto" w:fill="FFFFFF"/>
        <w:snapToGrid w:val="0"/>
        <w:spacing w:after="240" w:afterAutospacing="0" w:line="360" w:lineRule="auto"/>
        <w:ind w:firstLine="400"/>
        <w:contextualSpacing/>
        <w:rPr>
          <w:rFonts w:hint="eastAsia"/>
          <w:color w:val="auto"/>
          <w:highlight w:val="none"/>
          <w:lang w:val="zh-CN"/>
        </w:rPr>
      </w:pPr>
      <w:r>
        <w:rPr>
          <w:rFonts w:hint="eastAsia"/>
          <w:color w:val="auto"/>
          <w:highlight w:val="none"/>
          <w:lang w:val="zh-CN"/>
        </w:rPr>
        <w:t>投诉书范本及制作说明详见附件3。</w:t>
      </w:r>
    </w:p>
    <w:p>
      <w:pPr>
        <w:pStyle w:val="138"/>
        <w:snapToGrid w:val="0"/>
        <w:spacing w:before="0"/>
        <w:ind w:firstLine="360"/>
        <w:rPr>
          <w:rFonts w:ascii="宋体" w:hAnsi="宋体" w:cs="宋体"/>
          <w:color w:val="auto"/>
          <w:sz w:val="18"/>
          <w:szCs w:val="18"/>
          <w:highlight w:val="none"/>
        </w:rPr>
        <w:sectPr>
          <w:pgSz w:w="11906" w:h="16838"/>
          <w:pgMar w:top="1417" w:right="1418" w:bottom="1417" w:left="1418" w:header="851" w:footer="992" w:gutter="0"/>
          <w:pgNumType w:fmt="decimal"/>
          <w:cols w:space="720" w:num="1"/>
          <w:titlePg/>
          <w:docGrid w:linePitch="312" w:charSpace="0"/>
        </w:sectPr>
      </w:pP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0" w:leftChars="0" w:firstLine="1058" w:firstLineChars="441"/>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left="0" w:leftChars="0" w:firstLine="1058" w:firstLineChars="441"/>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left="0" w:leftChars="0" w:firstLine="1058" w:firstLineChars="441"/>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0" w:leftChars="0" w:firstLine="1058" w:firstLineChars="441"/>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0" w:leftChars="0" w:firstLine="1058" w:firstLineChars="441"/>
        <w:rPr>
          <w:rFonts w:hint="eastAsia" w:ascii="宋体" w:hAnsi="宋体" w:eastAsia="宋体" w:cs="宋体"/>
          <w:color w:val="auto"/>
          <w:sz w:val="24"/>
          <w:highlight w:val="none"/>
        </w:rPr>
      </w:pPr>
      <w:r>
        <w:rPr>
          <w:rFonts w:hint="eastAsia" w:ascii="宋体" w:hAnsi="宋体" w:eastAsia="宋体" w:cs="宋体"/>
          <w:color w:val="auto"/>
          <w:sz w:val="24"/>
          <w:highlight w:val="none"/>
        </w:rPr>
        <w:t>11.2.5评标标准相应的商务技术资料；</w:t>
      </w:r>
    </w:p>
    <w:p>
      <w:pPr>
        <w:snapToGrid w:val="0"/>
        <w:spacing w:line="360" w:lineRule="auto"/>
        <w:ind w:left="0" w:leftChars="0" w:firstLine="1058" w:firstLineChars="441"/>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投标标的清单；</w:t>
      </w:r>
    </w:p>
    <w:p>
      <w:pPr>
        <w:snapToGrid w:val="0"/>
        <w:spacing w:line="360" w:lineRule="auto"/>
        <w:ind w:left="0" w:leftChars="0" w:firstLine="1058" w:firstLineChars="441"/>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商务技术偏离表；</w:t>
      </w:r>
    </w:p>
    <w:p>
      <w:pPr>
        <w:snapToGrid w:val="0"/>
        <w:spacing w:line="360" w:lineRule="auto"/>
        <w:ind w:left="0" w:leftChars="0" w:firstLine="1058" w:firstLineChars="44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政府采购供应商廉洁自律承诺书；</w:t>
      </w:r>
    </w:p>
    <w:p>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pPr>
        <w:pStyle w:val="4"/>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highlight w:val="none"/>
        </w:rPr>
        <w:t>中小企业声明函。</w:t>
      </w:r>
    </w:p>
    <w:p>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pPr>
        <w:pStyle w:val="138"/>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3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13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38"/>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3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3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3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3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pPr>
        <w:pStyle w:val="138"/>
        <w:spacing w:before="0"/>
        <w:ind w:firstLine="643"/>
        <w:rPr>
          <w:rFonts w:ascii="宋体" w:hAnsi="宋体" w:cs="宋体"/>
          <w:b/>
          <w:color w:val="auto"/>
          <w:sz w:val="32"/>
          <w:highlight w:val="none"/>
        </w:rPr>
      </w:pPr>
    </w:p>
    <w:p>
      <w:pPr>
        <w:pStyle w:val="138"/>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8"/>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pPr>
        <w:pStyle w:val="13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3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pPr>
        <w:pStyle w:val="138"/>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3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pPr>
        <w:pStyle w:val="13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3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3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38"/>
        <w:spacing w:before="0"/>
        <w:ind w:firstLine="0" w:firstLineChars="0"/>
        <w:rPr>
          <w:rFonts w:ascii="宋体" w:hAnsi="宋体" w:cs="宋体"/>
          <w:color w:val="auto"/>
          <w:kern w:val="0"/>
          <w:szCs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3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pPr>
        <w:pStyle w:val="13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6" w:name="_Hlk101184471"/>
      <w:r>
        <w:rPr>
          <w:rFonts w:hint="eastAsia" w:ascii="宋体" w:hAnsi="宋体" w:cs="宋体"/>
          <w:color w:val="auto"/>
          <w:sz w:val="24"/>
          <w:highlight w:val="none"/>
        </w:rPr>
        <w:t>资格审查情况、评审专家抽取规则、符合性审查情况、</w:t>
      </w:r>
      <w:bookmarkEnd w:id="16"/>
      <w:r>
        <w:rPr>
          <w:rFonts w:hint="eastAsia" w:ascii="宋体" w:hAnsi="宋体" w:cs="宋体"/>
          <w:color w:val="auto"/>
          <w:sz w:val="24"/>
          <w:highlight w:val="none"/>
        </w:rPr>
        <w:t>未中标情况说明、中标公告期限以及评审专家名单、评分汇总及明细。</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23.4</w:t>
      </w:r>
      <w:r>
        <w:rPr>
          <w:rFonts w:hint="eastAsia" w:ascii="宋体" w:hAnsi="宋体" w:cs="宋体"/>
          <w:color w:val="auto"/>
          <w:sz w:val="24"/>
          <w:highlight w:val="none"/>
        </w:rPr>
        <w:t>由于中标、成交供应商原因导致重新采购的，应当承担支付代理费和专家评审费等费用在内的赔偿责任。</w:t>
      </w:r>
    </w:p>
    <w:p>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pPr>
        <w:pStyle w:val="26"/>
        <w:spacing w:line="360" w:lineRule="auto"/>
        <w:ind w:left="479" w:hanging="479" w:hangingChars="199"/>
        <w:rPr>
          <w:rFonts w:hint="eastAsia" w:cs="宋体"/>
          <w:b/>
          <w:color w:val="auto"/>
          <w:highlight w:val="none"/>
        </w:rPr>
      </w:pPr>
      <w:r>
        <w:rPr>
          <w:rFonts w:hint="eastAsia" w:cs="宋体"/>
          <w:b/>
          <w:color w:val="auto"/>
          <w:highlight w:val="none"/>
        </w:rPr>
        <w:t>24.合同授予</w:t>
      </w:r>
    </w:p>
    <w:p>
      <w:pPr>
        <w:pStyle w:val="26"/>
        <w:spacing w:line="360" w:lineRule="auto"/>
        <w:ind w:left="479" w:leftChars="228" w:firstLine="0" w:firstLineChars="0"/>
        <w:rPr>
          <w:rFonts w:cs="宋体"/>
          <w:b/>
          <w:color w:val="auto"/>
          <w:highlight w:val="none"/>
        </w:rPr>
      </w:pPr>
      <w:r>
        <w:rPr>
          <w:rFonts w:hint="eastAsia" w:cs="宋体"/>
          <w:color w:val="auto"/>
          <w:highlight w:val="none"/>
        </w:rPr>
        <w:t>合同主要条款详见第五部分拟签订的合同文本。</w:t>
      </w:r>
    </w:p>
    <w:p>
      <w:pPr>
        <w:pStyle w:val="26"/>
        <w:spacing w:line="360" w:lineRule="auto"/>
        <w:ind w:left="479" w:hanging="479" w:hangingChars="199"/>
        <w:rPr>
          <w:rFonts w:cs="宋体"/>
          <w:b/>
          <w:color w:val="auto"/>
          <w:highlight w:val="none"/>
        </w:rPr>
      </w:pPr>
      <w:r>
        <w:rPr>
          <w:rFonts w:hint="eastAsia" w:cs="宋体"/>
          <w:b/>
          <w:color w:val="auto"/>
          <w:highlight w:val="none"/>
        </w:rPr>
        <w:t>25.合同的签订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13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138"/>
        <w:snapToGrid w:val="0"/>
        <w:spacing w:before="0"/>
        <w:ind w:firstLine="480"/>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pPr>
        <w:pStyle w:val="26"/>
        <w:spacing w:line="360" w:lineRule="auto"/>
        <w:ind w:left="479" w:hanging="479" w:hangingChars="199"/>
        <w:rPr>
          <w:rFonts w:hint="eastAsia" w:cs="宋体"/>
          <w:b/>
          <w:color w:val="auto"/>
          <w:highlight w:val="none"/>
          <w:lang w:val="en-US" w:eastAsia="zh-CN"/>
        </w:rPr>
      </w:pPr>
      <w:r>
        <w:rPr>
          <w:rFonts w:hint="eastAsia" w:cs="宋体"/>
          <w:b/>
          <w:color w:val="auto"/>
          <w:highlight w:val="none"/>
          <w:lang w:val="en-US" w:eastAsia="zh-CN"/>
        </w:rPr>
        <w:t>27.预付款</w:t>
      </w:r>
    </w:p>
    <w:p>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pPr>
        <w:rPr>
          <w:color w:val="auto"/>
          <w:highlight w:val="none"/>
        </w:rPr>
      </w:pP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38"/>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38"/>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pPr>
        <w:pStyle w:val="26"/>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88"/>
        <w:rPr>
          <w:rFonts w:hint="eastAsia"/>
          <w:color w:val="auto"/>
          <w:highlight w:val="none"/>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pPr>
        <w:tabs>
          <w:tab w:val="left" w:pos="0"/>
        </w:tabs>
        <w:spacing w:line="360" w:lineRule="auto"/>
        <w:ind w:firstLine="480"/>
        <w:rPr>
          <w:rFonts w:hint="eastAsia" w:ascii="宋体" w:hAnsi="宋体" w:cs="宋体"/>
          <w:color w:val="auto"/>
          <w:kern w:val="0"/>
          <w:sz w:val="24"/>
          <w:highlight w:val="none"/>
        </w:rPr>
        <w:sectPr>
          <w:footerReference r:id="rId6" w:type="default"/>
          <w:pgSz w:w="11906" w:h="16838"/>
          <w:pgMar w:top="1417" w:right="1418" w:bottom="1417" w:left="1418" w:header="851" w:footer="992" w:gutter="0"/>
          <w:pgBorders>
            <w:top w:val="none" w:sz="0" w:space="0"/>
            <w:left w:val="none" w:sz="0" w:space="0"/>
            <w:bottom w:val="none" w:sz="0" w:space="0"/>
            <w:right w:val="none" w:sz="0" w:space="0"/>
          </w:pgBorders>
          <w:cols w:space="720" w:num="1"/>
          <w:docGrid w:linePitch="312" w:charSpace="0"/>
        </w:sectPr>
      </w:pPr>
      <w:bookmarkStart w:id="17" w:name="_Hlt68073093"/>
      <w:bookmarkEnd w:id="17"/>
      <w:bookmarkStart w:id="18" w:name="_Hlt75236101"/>
      <w:bookmarkEnd w:id="18"/>
      <w:bookmarkStart w:id="19" w:name="_Hlt75236011"/>
      <w:bookmarkEnd w:id="19"/>
      <w:bookmarkStart w:id="20" w:name="_Hlt74730295"/>
      <w:bookmarkEnd w:id="20"/>
      <w:bookmarkStart w:id="21" w:name="_Hlt68403820"/>
      <w:bookmarkEnd w:id="21"/>
      <w:bookmarkStart w:id="22" w:name="_Hlt68072998"/>
      <w:bookmarkEnd w:id="22"/>
      <w:bookmarkStart w:id="23" w:name="_Hlt74729768"/>
      <w:bookmarkEnd w:id="23"/>
      <w:bookmarkStart w:id="24" w:name="_Hlt74714665"/>
      <w:bookmarkEnd w:id="24"/>
      <w:bookmarkStart w:id="25" w:name="_Hlt68057669"/>
      <w:bookmarkEnd w:id="25"/>
      <w:bookmarkStart w:id="26" w:name="_Hlt75236290"/>
      <w:bookmarkEnd w:id="26"/>
      <w:bookmarkStart w:id="27" w:name="_Hlt68072990"/>
      <w:bookmarkEnd w:id="27"/>
      <w:bookmarkStart w:id="28" w:name="_Hlt74707468"/>
      <w:bookmarkEnd w:id="28"/>
    </w:p>
    <w:p>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为保障钱塘江流域中心</w:t>
      </w:r>
      <w:r>
        <w:rPr>
          <w:rFonts w:hint="eastAsia" w:ascii="宋体" w:hAnsi="宋体" w:cs="宋体"/>
          <w:color w:val="auto"/>
          <w:kern w:val="0"/>
          <w:sz w:val="24"/>
          <w:highlight w:val="none"/>
          <w:lang w:val="en-US" w:eastAsia="zh-CN"/>
        </w:rPr>
        <w:t>自建视频</w:t>
      </w:r>
      <w:r>
        <w:rPr>
          <w:rFonts w:hint="eastAsia" w:ascii="宋体" w:hAnsi="宋体" w:cs="宋体"/>
          <w:color w:val="auto"/>
          <w:kern w:val="0"/>
          <w:sz w:val="24"/>
          <w:highlight w:val="none"/>
        </w:rPr>
        <w:t>监控更新及</w:t>
      </w:r>
      <w:r>
        <w:rPr>
          <w:rFonts w:hint="eastAsia" w:ascii="宋体" w:hAnsi="宋体" w:cs="宋体"/>
          <w:color w:val="auto"/>
          <w:kern w:val="0"/>
          <w:sz w:val="24"/>
          <w:highlight w:val="none"/>
          <w:lang w:val="en-US" w:eastAsia="zh-CN"/>
        </w:rPr>
        <w:t>维护</w:t>
      </w:r>
      <w:r>
        <w:rPr>
          <w:rFonts w:hint="eastAsia" w:ascii="宋体" w:hAnsi="宋体" w:cs="宋体"/>
          <w:color w:val="auto"/>
          <w:kern w:val="0"/>
          <w:sz w:val="24"/>
          <w:highlight w:val="none"/>
        </w:rPr>
        <w:t>，支撑钱塘江流域管理工作，开展本服务项目采购。</w:t>
      </w:r>
    </w:p>
    <w:p>
      <w:pPr>
        <w:widowControl/>
        <w:numPr>
          <w:ilvl w:val="0"/>
          <w:numId w:val="1"/>
        </w:numPr>
        <w:spacing w:line="360" w:lineRule="auto"/>
        <w:ind w:firstLine="0" w:firstLineChars="0"/>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项目内容</w:t>
      </w:r>
    </w:p>
    <w:p>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本项目要求中标供应商提供浙江省钱塘江流域中心在钱塘江</w:t>
      </w:r>
      <w:r>
        <w:rPr>
          <w:rFonts w:hint="eastAsia" w:ascii="宋体" w:hAnsi="宋体" w:cs="宋体"/>
          <w:color w:val="auto"/>
          <w:kern w:val="0"/>
          <w:sz w:val="24"/>
          <w:highlight w:val="none"/>
          <w:lang w:val="en-US" w:eastAsia="zh-CN"/>
        </w:rPr>
        <w:t>流域210个</w:t>
      </w:r>
      <w:r>
        <w:rPr>
          <w:rFonts w:hint="eastAsia" w:ascii="宋体" w:hAnsi="宋体" w:cs="宋体"/>
          <w:color w:val="auto"/>
          <w:kern w:val="0"/>
          <w:sz w:val="24"/>
          <w:highlight w:val="none"/>
        </w:rPr>
        <w:t>视频监控</w:t>
      </w:r>
      <w:r>
        <w:rPr>
          <w:rFonts w:hint="eastAsia" w:ascii="宋体" w:hAnsi="宋体" w:cs="宋体"/>
          <w:color w:val="auto"/>
          <w:kern w:val="0"/>
          <w:sz w:val="24"/>
          <w:highlight w:val="none"/>
          <w:lang w:val="en-US" w:eastAsia="zh-CN"/>
        </w:rPr>
        <w:t>点位运维及迁移</w:t>
      </w:r>
      <w:r>
        <w:rPr>
          <w:rFonts w:hint="eastAsia" w:ascii="宋体" w:hAnsi="宋体" w:cs="宋体"/>
          <w:color w:val="auto"/>
          <w:kern w:val="0"/>
          <w:sz w:val="24"/>
          <w:highlight w:val="none"/>
        </w:rPr>
        <w:t>服务，</w:t>
      </w:r>
      <w:r>
        <w:rPr>
          <w:rFonts w:hint="eastAsia" w:ascii="宋体" w:hAnsi="宋体" w:cs="宋体"/>
          <w:color w:val="auto"/>
          <w:kern w:val="0"/>
          <w:sz w:val="24"/>
          <w:highlight w:val="none"/>
          <w:lang w:val="en-US" w:eastAsia="zh-CN"/>
        </w:rPr>
        <w:t>1条专线新建、33条</w:t>
      </w:r>
      <w:r>
        <w:rPr>
          <w:rFonts w:hint="eastAsia" w:ascii="宋体" w:hAnsi="宋体" w:cs="宋体"/>
          <w:color w:val="auto"/>
          <w:kern w:val="0"/>
          <w:sz w:val="24"/>
          <w:highlight w:val="none"/>
        </w:rPr>
        <w:t>视频监控专网</w:t>
      </w:r>
      <w:r>
        <w:rPr>
          <w:rFonts w:hint="eastAsia" w:ascii="宋体" w:hAnsi="宋体" w:cs="宋体"/>
          <w:color w:val="auto"/>
          <w:kern w:val="0"/>
          <w:sz w:val="24"/>
          <w:highlight w:val="none"/>
          <w:lang w:val="en-US" w:eastAsia="zh-CN"/>
        </w:rPr>
        <w:t>续租服务、4张卫星卡续租服务</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以及3套设备用于应急服务</w:t>
      </w:r>
      <w:r>
        <w:rPr>
          <w:rFonts w:hint="eastAsia" w:ascii="宋体" w:hAnsi="宋体" w:cs="宋体"/>
          <w:color w:val="auto"/>
          <w:kern w:val="0"/>
          <w:sz w:val="24"/>
          <w:highlight w:val="none"/>
        </w:rPr>
        <w:t>。</w:t>
      </w:r>
    </w:p>
    <w:p>
      <w:pPr>
        <w:pStyle w:val="2"/>
        <w:jc w:val="center"/>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更新维护服务汇总表</w:t>
      </w:r>
    </w:p>
    <w:tbl>
      <w:tblPr>
        <w:tblStyle w:val="63"/>
        <w:tblpPr w:leftFromText="180" w:rightFromText="180" w:vertAnchor="text" w:horzAnchor="page" w:tblpX="1592" w:tblpY="147"/>
        <w:tblOverlap w:val="never"/>
        <w:tblW w:w="92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1712"/>
        <w:gridCol w:w="1127"/>
        <w:gridCol w:w="55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78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71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项目</w:t>
            </w:r>
          </w:p>
        </w:tc>
        <w:tc>
          <w:tcPr>
            <w:tcW w:w="112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c>
          <w:tcPr>
            <w:tcW w:w="559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主要内容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78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1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视频监控点位运维</w:t>
            </w:r>
            <w:r>
              <w:rPr>
                <w:rFonts w:hint="eastAsia" w:ascii="宋体" w:hAnsi="宋体" w:cs="宋体"/>
                <w:i w:val="0"/>
                <w:iCs w:val="0"/>
                <w:color w:val="auto"/>
                <w:sz w:val="24"/>
                <w:szCs w:val="24"/>
                <w:highlight w:val="none"/>
                <w:u w:val="none"/>
                <w:lang w:val="en-US" w:eastAsia="zh-CN"/>
              </w:rPr>
              <w:t>及迁移</w:t>
            </w:r>
          </w:p>
        </w:tc>
        <w:tc>
          <w:tcPr>
            <w:tcW w:w="1127"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0点</w:t>
            </w:r>
          </w:p>
        </w:tc>
        <w:tc>
          <w:tcPr>
            <w:tcW w:w="5597" w:type="dxa"/>
            <w:tcBorders>
              <w:tl2br w:val="nil"/>
              <w:tr2bl w:val="nil"/>
            </w:tcBorders>
            <w:noWrap w:val="0"/>
            <w:vAlign w:val="center"/>
          </w:tcPr>
          <w:p>
            <w:pPr>
              <w:keepNext w:val="0"/>
              <w:keepLines w:val="0"/>
              <w:widowControl/>
              <w:numPr>
                <w:ilvl w:val="0"/>
                <w:numId w:val="0"/>
              </w:numPr>
              <w:suppressLineNumbers w:val="0"/>
              <w:jc w:val="left"/>
              <w:textAlignment w:val="center"/>
              <w:rPr>
                <w:rFonts w:hint="eastAsia"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1.对210个已建</w:t>
            </w:r>
            <w:r>
              <w:rPr>
                <w:rFonts w:hint="eastAsia" w:ascii="宋体" w:hAnsi="宋体" w:eastAsia="宋体" w:cs="宋体"/>
                <w:i w:val="0"/>
                <w:iCs w:val="0"/>
                <w:color w:val="auto"/>
                <w:sz w:val="24"/>
                <w:szCs w:val="24"/>
                <w:highlight w:val="none"/>
                <w:u w:val="none"/>
                <w:lang w:val="en-US" w:eastAsia="zh-CN"/>
              </w:rPr>
              <w:t>视频监控点位</w:t>
            </w:r>
            <w:r>
              <w:rPr>
                <w:rFonts w:hint="eastAsia" w:ascii="宋体" w:hAnsi="宋体" w:cs="宋体"/>
                <w:i w:val="0"/>
                <w:iCs w:val="0"/>
                <w:color w:val="auto"/>
                <w:sz w:val="24"/>
                <w:szCs w:val="24"/>
                <w:highlight w:val="none"/>
                <w:u w:val="none"/>
                <w:lang w:val="en-US" w:eastAsia="zh-CN"/>
              </w:rPr>
              <w:t>提供</w:t>
            </w:r>
            <w:r>
              <w:rPr>
                <w:rFonts w:hint="eastAsia" w:ascii="宋体" w:hAnsi="宋体" w:eastAsia="宋体" w:cs="宋体"/>
                <w:i w:val="0"/>
                <w:iCs w:val="0"/>
                <w:color w:val="auto"/>
                <w:sz w:val="24"/>
                <w:szCs w:val="24"/>
                <w:highlight w:val="none"/>
                <w:u w:val="none"/>
                <w:lang w:val="en-US" w:eastAsia="zh-CN"/>
              </w:rPr>
              <w:t>运维，包括网络及设备</w:t>
            </w:r>
            <w:r>
              <w:rPr>
                <w:rFonts w:hint="eastAsia" w:ascii="宋体" w:hAnsi="宋体" w:cs="宋体"/>
                <w:i w:val="0"/>
                <w:iCs w:val="0"/>
                <w:color w:val="auto"/>
                <w:sz w:val="24"/>
                <w:szCs w:val="24"/>
                <w:highlight w:val="none"/>
                <w:u w:val="none"/>
                <w:lang w:val="en-US" w:eastAsia="zh-CN"/>
              </w:rPr>
              <w:t>。</w:t>
            </w:r>
          </w:p>
          <w:p>
            <w:pPr>
              <w:keepNext w:val="0"/>
              <w:keepLines w:val="0"/>
              <w:widowControl/>
              <w:numPr>
                <w:ilvl w:val="0"/>
                <w:numId w:val="0"/>
              </w:numPr>
              <w:suppressLineNumbers w:val="0"/>
              <w:jc w:val="left"/>
              <w:textAlignment w:val="center"/>
              <w:rPr>
                <w:color w:val="auto"/>
                <w:highlight w:val="none"/>
              </w:rPr>
            </w:pPr>
            <w:r>
              <w:rPr>
                <w:rFonts w:hint="eastAsia" w:ascii="宋体" w:hAnsi="宋体" w:cs="宋体"/>
                <w:i w:val="0"/>
                <w:iCs w:val="0"/>
                <w:color w:val="auto"/>
                <w:sz w:val="24"/>
                <w:szCs w:val="24"/>
                <w:highlight w:val="none"/>
                <w:u w:val="none"/>
                <w:lang w:val="en-US" w:eastAsia="zh-CN"/>
              </w:rPr>
              <w:t>2.34个点位（编号59-91,208）根据用户要求的时间和地点提供迁移服务，包括原设备拆除与重新选址安装调试。</w:t>
            </w:r>
          </w:p>
          <w:p>
            <w:pPr>
              <w:pStyle w:val="2"/>
              <w:numPr>
                <w:ilvl w:val="-1"/>
                <w:numId w:val="0"/>
              </w:numPr>
              <w:rPr>
                <w:rFonts w:hint="eastAsia"/>
                <w:color w:val="auto"/>
                <w:highlight w:val="none"/>
                <w:lang w:val="en-US" w:eastAsia="zh-CN"/>
              </w:rPr>
            </w:pPr>
            <w:r>
              <w:rPr>
                <w:rFonts w:hint="eastAsia"/>
                <w:color w:val="auto"/>
                <w:highlight w:val="none"/>
                <w:lang w:val="en-US" w:eastAsia="zh-CN"/>
              </w:rPr>
              <w:t>视频监控详细清单见附表1-视频监控详细清单（210点位）。</w:t>
            </w:r>
          </w:p>
          <w:p>
            <w:pPr>
              <w:pStyle w:val="2"/>
              <w:numPr>
                <w:ilvl w:val="-1"/>
                <w:numId w:val="0"/>
              </w:numPr>
              <w:rPr>
                <w:rFonts w:hint="default"/>
                <w:color w:val="auto"/>
                <w:highlight w:val="none"/>
                <w:lang w:val="en-US" w:eastAsia="zh-CN"/>
              </w:rPr>
            </w:pPr>
            <w:r>
              <w:rPr>
                <w:rFonts w:hint="eastAsia"/>
                <w:color w:val="auto"/>
                <w:highlight w:val="none"/>
                <w:lang w:val="en-US" w:eastAsia="zh-CN"/>
              </w:rPr>
              <w:t>关键设备技术参数见附表3-关键设备技术参数。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0" w:hRule="atLeast"/>
        </w:trPr>
        <w:tc>
          <w:tcPr>
            <w:tcW w:w="784"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71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网络线路</w:t>
            </w:r>
          </w:p>
        </w:tc>
        <w:tc>
          <w:tcPr>
            <w:tcW w:w="1127"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34条</w:t>
            </w:r>
          </w:p>
        </w:tc>
        <w:tc>
          <w:tcPr>
            <w:tcW w:w="5597" w:type="dxa"/>
            <w:tcBorders>
              <w:tl2br w:val="nil"/>
              <w:tr2bl w:val="nil"/>
            </w:tcBorders>
            <w:noWrap/>
            <w:vAlign w:val="center"/>
          </w:tcPr>
          <w:p>
            <w:pPr>
              <w:pStyle w:val="2"/>
              <w:jc w:val="left"/>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1.续租原供应商</w:t>
            </w:r>
            <w:r>
              <w:rPr>
                <w:rFonts w:hint="default" w:ascii="宋体" w:hAnsi="宋体" w:eastAsia="宋体" w:cs="宋体"/>
                <w:i w:val="0"/>
                <w:iCs w:val="0"/>
                <w:color w:val="auto"/>
                <w:kern w:val="0"/>
                <w:sz w:val="24"/>
                <w:szCs w:val="24"/>
                <w:highlight w:val="none"/>
                <w:u w:val="none"/>
                <w:lang w:val="en-US" w:eastAsia="zh-CN" w:bidi="ar"/>
              </w:rPr>
              <w:t>500M VPN</w:t>
            </w:r>
            <w:r>
              <w:rPr>
                <w:rFonts w:hint="eastAsia" w:ascii="宋体" w:hAnsi="宋体" w:eastAsia="宋体" w:cs="宋体"/>
                <w:i w:val="0"/>
                <w:iCs w:val="0"/>
                <w:color w:val="auto"/>
                <w:kern w:val="0"/>
                <w:sz w:val="24"/>
                <w:szCs w:val="24"/>
                <w:highlight w:val="none"/>
                <w:u w:val="none"/>
                <w:lang w:val="en-US" w:eastAsia="zh-CN" w:bidi="ar"/>
              </w:rPr>
              <w:t>专线1条，连接视频云平台</w:t>
            </w:r>
            <w:r>
              <w:rPr>
                <w:rFonts w:hint="eastAsia" w:cs="宋体"/>
                <w:i w:val="0"/>
                <w:iCs w:val="0"/>
                <w:color w:val="auto"/>
                <w:kern w:val="0"/>
                <w:sz w:val="24"/>
                <w:szCs w:val="24"/>
                <w:highlight w:val="none"/>
                <w:u w:val="none"/>
                <w:lang w:val="en-US" w:eastAsia="zh-CN" w:bidi="ar"/>
              </w:rPr>
              <w:t>。</w:t>
            </w:r>
          </w:p>
          <w:p>
            <w:pPr>
              <w:pStyle w:val="2"/>
              <w:jc w:val="left"/>
              <w:rPr>
                <w:rFonts w:hint="default" w:ascii="宋体" w:hAnsi="宋体" w:eastAsia="宋体" w:cs="宋体"/>
                <w:i w:val="0"/>
                <w:iCs w:val="0"/>
                <w:color w:val="auto"/>
                <w:kern w:val="0"/>
                <w:sz w:val="24"/>
                <w:szCs w:val="24"/>
                <w:highlight w:val="none"/>
                <w:u w:val="none"/>
                <w:lang w:val="en-US" w:eastAsia="zh-CN" w:bidi="ar"/>
              </w:rPr>
            </w:pPr>
            <w:r>
              <w:rPr>
                <w:rFonts w:hint="eastAsia"/>
                <w:color w:val="auto"/>
                <w:highlight w:val="none"/>
                <w:lang w:val="en-US" w:eastAsia="zh-CN"/>
              </w:rPr>
              <w:t>2.</w:t>
            </w:r>
            <w:r>
              <w:rPr>
                <w:rFonts w:hint="eastAsia" w:ascii="宋体" w:hAnsi="宋体" w:eastAsia="宋体" w:cs="宋体"/>
                <w:i w:val="0"/>
                <w:iCs w:val="0"/>
                <w:color w:val="auto"/>
                <w:kern w:val="0"/>
                <w:sz w:val="24"/>
                <w:szCs w:val="24"/>
                <w:highlight w:val="none"/>
                <w:u w:val="none"/>
                <w:lang w:val="en-US" w:eastAsia="zh-CN" w:bidi="ar"/>
              </w:rPr>
              <w:t>续租原供应商</w:t>
            </w:r>
            <w:r>
              <w:rPr>
                <w:rFonts w:hint="default" w:cs="宋体"/>
                <w:i w:val="0"/>
                <w:iCs w:val="0"/>
                <w:color w:val="auto"/>
                <w:kern w:val="0"/>
                <w:sz w:val="24"/>
                <w:szCs w:val="24"/>
                <w:highlight w:val="none"/>
                <w:u w:val="none"/>
                <w:lang w:val="en-US" w:eastAsia="zh-CN" w:bidi="ar"/>
              </w:rPr>
              <w:t>100M VPN</w:t>
            </w:r>
            <w:r>
              <w:rPr>
                <w:rFonts w:hint="eastAsia" w:ascii="Times New Roman" w:hAnsi="Times New Roman" w:eastAsia="宋体" w:cs="Times New Roman"/>
                <w:i w:val="0"/>
                <w:iCs w:val="0"/>
                <w:color w:val="auto"/>
                <w:kern w:val="0"/>
                <w:sz w:val="24"/>
                <w:szCs w:val="24"/>
                <w:highlight w:val="none"/>
                <w:u w:val="none"/>
                <w:lang w:val="en-US" w:eastAsia="zh-CN" w:bidi="ar"/>
              </w:rPr>
              <w:t>专线1条，连接水利部视频监控系统</w:t>
            </w:r>
            <w:r>
              <w:rPr>
                <w:rFonts w:hint="eastAsia" w:eastAsia="宋体" w:cs="宋体"/>
                <w:i w:val="0"/>
                <w:iCs w:val="0"/>
                <w:color w:val="auto"/>
                <w:kern w:val="0"/>
                <w:sz w:val="24"/>
                <w:szCs w:val="24"/>
                <w:highlight w:val="none"/>
                <w:u w:val="none"/>
                <w:lang w:val="en-US" w:eastAsia="zh-CN" w:bidi="ar"/>
              </w:rPr>
              <w:t>；</w:t>
            </w:r>
            <w:r>
              <w:rPr>
                <w:rFonts w:hint="eastAsia" w:cs="宋体"/>
                <w:i w:val="0"/>
                <w:iCs w:val="0"/>
                <w:color w:val="auto"/>
                <w:kern w:val="0"/>
                <w:sz w:val="24"/>
                <w:szCs w:val="24"/>
                <w:highlight w:val="none"/>
                <w:u w:val="none"/>
                <w:lang w:val="en-US" w:eastAsia="zh-CN" w:bidi="ar"/>
              </w:rPr>
              <w:t>100</w:t>
            </w:r>
            <w:r>
              <w:rPr>
                <w:rFonts w:hint="eastAsia" w:ascii="宋体" w:hAnsi="宋体" w:eastAsia="宋体" w:cs="宋体"/>
                <w:i w:val="0"/>
                <w:iCs w:val="0"/>
                <w:color w:val="auto"/>
                <w:kern w:val="0"/>
                <w:sz w:val="24"/>
                <w:szCs w:val="24"/>
                <w:highlight w:val="none"/>
                <w:u w:val="none"/>
                <w:lang w:val="en-US" w:eastAsia="zh-CN" w:bidi="ar"/>
              </w:rPr>
              <w:t xml:space="preserve">M </w:t>
            </w:r>
            <w:r>
              <w:rPr>
                <w:rFonts w:hint="default" w:ascii="宋体" w:hAnsi="宋体" w:eastAsia="宋体" w:cs="宋体"/>
                <w:i w:val="0"/>
                <w:iCs w:val="0"/>
                <w:color w:val="auto"/>
                <w:kern w:val="0"/>
                <w:sz w:val="24"/>
                <w:szCs w:val="24"/>
                <w:highlight w:val="none"/>
                <w:u w:val="none"/>
                <w:lang w:val="en-US" w:eastAsia="zh-CN" w:bidi="ar"/>
              </w:rPr>
              <w:t>VPN</w:t>
            </w:r>
            <w:r>
              <w:rPr>
                <w:rFonts w:hint="eastAsia" w:ascii="宋体" w:hAnsi="宋体" w:eastAsia="宋体" w:cs="宋体"/>
                <w:i w:val="0"/>
                <w:iCs w:val="0"/>
                <w:color w:val="auto"/>
                <w:kern w:val="0"/>
                <w:sz w:val="24"/>
                <w:szCs w:val="24"/>
                <w:highlight w:val="none"/>
                <w:u w:val="none"/>
                <w:lang w:val="en-US" w:eastAsia="zh-CN" w:bidi="ar"/>
              </w:rPr>
              <w:t>专线1条，连接中心</w:t>
            </w:r>
            <w:r>
              <w:rPr>
                <w:rFonts w:hint="eastAsia" w:cs="宋体"/>
                <w:i w:val="0"/>
                <w:iCs w:val="0"/>
                <w:color w:val="auto"/>
                <w:kern w:val="0"/>
                <w:sz w:val="24"/>
                <w:szCs w:val="24"/>
                <w:highlight w:val="none"/>
                <w:u w:val="none"/>
                <w:lang w:val="en-US" w:eastAsia="zh-CN" w:bidi="ar"/>
              </w:rPr>
              <w:t>西排办公点</w:t>
            </w:r>
            <w:r>
              <w:rPr>
                <w:rFonts w:hint="eastAsia" w:ascii="宋体" w:hAnsi="宋体" w:eastAsia="宋体" w:cs="宋体"/>
                <w:i w:val="0"/>
                <w:iCs w:val="0"/>
                <w:color w:val="auto"/>
                <w:kern w:val="0"/>
                <w:sz w:val="24"/>
                <w:szCs w:val="24"/>
                <w:highlight w:val="none"/>
                <w:u w:val="none"/>
                <w:lang w:val="en-US" w:eastAsia="zh-CN" w:bidi="ar"/>
              </w:rPr>
              <w:t>；续租原供应商</w:t>
            </w:r>
            <w:r>
              <w:rPr>
                <w:rFonts w:hint="default" w:ascii="宋体" w:hAnsi="宋体" w:eastAsia="宋体" w:cs="宋体"/>
                <w:i w:val="0"/>
                <w:iCs w:val="0"/>
                <w:color w:val="auto"/>
                <w:kern w:val="0"/>
                <w:sz w:val="24"/>
                <w:szCs w:val="24"/>
                <w:highlight w:val="none"/>
                <w:u w:val="none"/>
                <w:lang w:val="en-US" w:eastAsia="zh-CN" w:bidi="ar"/>
              </w:rPr>
              <w:t xml:space="preserve">100M </w:t>
            </w:r>
            <w:r>
              <w:rPr>
                <w:rFonts w:hint="eastAsia" w:ascii="宋体" w:hAnsi="宋体" w:eastAsia="宋体" w:cs="宋体"/>
                <w:i w:val="0"/>
                <w:iCs w:val="0"/>
                <w:color w:val="auto"/>
                <w:kern w:val="0"/>
                <w:sz w:val="24"/>
                <w:szCs w:val="24"/>
                <w:highlight w:val="none"/>
                <w:u w:val="none"/>
                <w:lang w:val="en-US" w:eastAsia="zh-CN" w:bidi="ar"/>
              </w:rPr>
              <w:t>长途专线</w:t>
            </w:r>
            <w:r>
              <w:rPr>
                <w:rFonts w:hint="eastAsia"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条</w:t>
            </w:r>
            <w:r>
              <w:rPr>
                <w:rFonts w:hint="eastAsia" w:cs="宋体"/>
                <w:i w:val="0"/>
                <w:iCs w:val="0"/>
                <w:color w:val="auto"/>
                <w:kern w:val="0"/>
                <w:sz w:val="24"/>
                <w:szCs w:val="24"/>
                <w:highlight w:val="none"/>
                <w:u w:val="none"/>
                <w:lang w:val="en-US" w:eastAsia="zh-CN" w:bidi="ar"/>
              </w:rPr>
              <w:t>。</w:t>
            </w:r>
          </w:p>
          <w:p>
            <w:pPr>
              <w:pStyle w:val="2"/>
              <w:jc w:val="left"/>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3.新建200M VPN 专线1条，连接杭州汇聚中心和中心，用于网络割接，租用时间约8个月。</w:t>
            </w:r>
          </w:p>
          <w:p>
            <w:pPr>
              <w:pStyle w:val="2"/>
              <w:jc w:val="left"/>
              <w:rPr>
                <w:rFonts w:hint="eastAsia" w:eastAsia="宋体" w:cs="宋体"/>
                <w:i w:val="0"/>
                <w:iCs w:val="0"/>
                <w:color w:val="auto"/>
                <w:kern w:val="0"/>
                <w:sz w:val="24"/>
                <w:szCs w:val="24"/>
                <w:highlight w:val="none"/>
                <w:u w:val="none"/>
                <w:lang w:val="en-US" w:eastAsia="zh-CN" w:bidi="ar"/>
              </w:rPr>
            </w:pPr>
            <w:r>
              <w:rPr>
                <w:rFonts w:hint="eastAsia" w:eastAsia="宋体" w:cs="宋体"/>
                <w:i w:val="0"/>
                <w:iCs w:val="0"/>
                <w:color w:val="auto"/>
                <w:kern w:val="0"/>
                <w:sz w:val="24"/>
                <w:szCs w:val="24"/>
                <w:highlight w:val="none"/>
                <w:u w:val="none"/>
                <w:lang w:val="en-US" w:eastAsia="zh-CN" w:bidi="ar"/>
              </w:rPr>
              <w:t>5.</w:t>
            </w:r>
            <w:r>
              <w:rPr>
                <w:rFonts w:hint="eastAsia" w:cs="宋体"/>
                <w:i w:val="0"/>
                <w:iCs w:val="0"/>
                <w:color w:val="auto"/>
                <w:kern w:val="0"/>
                <w:sz w:val="24"/>
                <w:szCs w:val="24"/>
                <w:highlight w:val="none"/>
                <w:u w:val="none"/>
                <w:lang w:val="en-US" w:eastAsia="zh-CN" w:bidi="ar"/>
              </w:rPr>
              <w:t>续租20M VPN专线25条，连接涌潮观测设备。</w:t>
            </w:r>
          </w:p>
          <w:p>
            <w:pPr>
              <w:pStyle w:val="2"/>
              <w:jc w:val="left"/>
              <w:rPr>
                <w:rFonts w:hint="eastAsia"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6.</w:t>
            </w:r>
            <w:r>
              <w:rPr>
                <w:rFonts w:hint="eastAsia" w:eastAsia="宋体" w:cs="宋体"/>
                <w:i w:val="0"/>
                <w:iCs w:val="0"/>
                <w:color w:val="auto"/>
                <w:kern w:val="0"/>
                <w:sz w:val="24"/>
                <w:szCs w:val="24"/>
                <w:highlight w:val="none"/>
                <w:u w:val="none"/>
                <w:lang w:val="en-US" w:eastAsia="zh-CN" w:bidi="ar"/>
              </w:rPr>
              <w:t>续租4张卫星通信卡。</w:t>
            </w:r>
          </w:p>
          <w:p>
            <w:pPr>
              <w:pStyle w:val="2"/>
              <w:jc w:val="left"/>
              <w:rPr>
                <w:rFonts w:hint="default" w:eastAsia="宋体" w:cs="宋体"/>
                <w:i w:val="0"/>
                <w:iCs w:val="0"/>
                <w:color w:val="auto"/>
                <w:kern w:val="0"/>
                <w:sz w:val="24"/>
                <w:szCs w:val="24"/>
                <w:highlight w:val="none"/>
                <w:u w:val="none"/>
                <w:lang w:val="en-US" w:eastAsia="zh-CN" w:bidi="ar"/>
              </w:rPr>
            </w:pPr>
            <w:r>
              <w:rPr>
                <w:rFonts w:hint="eastAsia"/>
                <w:color w:val="auto"/>
                <w:highlight w:val="none"/>
                <w:lang w:val="en-US" w:eastAsia="zh-CN"/>
              </w:rPr>
              <w:t>专网线路清单见附表2-专网线路清单（34条）。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78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712"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应急服务</w:t>
            </w:r>
          </w:p>
        </w:tc>
        <w:tc>
          <w:tcPr>
            <w:tcW w:w="11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3套</w:t>
            </w:r>
          </w:p>
        </w:tc>
        <w:tc>
          <w:tcPr>
            <w:tcW w:w="5597" w:type="dxa"/>
            <w:tcBorders>
              <w:tl2br w:val="nil"/>
              <w:tr2bl w:val="nil"/>
            </w:tcBorders>
            <w:shd w:val="clear" w:color="auto" w:fill="auto"/>
            <w:noWrap/>
            <w:vAlign w:val="center"/>
          </w:tcPr>
          <w:p>
            <w:pPr>
              <w:pStyle w:val="2"/>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Cs w:val="24"/>
                <w:highlight w:val="none"/>
                <w:lang w:val="en-US" w:eastAsia="zh-CN"/>
              </w:rPr>
              <w:t>配备</w:t>
            </w:r>
            <w:r>
              <w:rPr>
                <w:rFonts w:hint="eastAsia" w:cs="宋体"/>
                <w:color w:val="auto"/>
                <w:szCs w:val="24"/>
                <w:highlight w:val="none"/>
                <w:lang w:val="en-US" w:eastAsia="zh-CN"/>
              </w:rPr>
              <w:t>黑光级</w:t>
            </w:r>
            <w:r>
              <w:rPr>
                <w:rFonts w:hint="eastAsia" w:ascii="宋体" w:hAnsi="宋体" w:eastAsia="宋体" w:cs="宋体"/>
                <w:color w:val="auto"/>
                <w:szCs w:val="24"/>
                <w:highlight w:val="none"/>
              </w:rPr>
              <w:t>数字高清摄像机和数字高清解码器及电源线、网线、PVC管等辅材</w:t>
            </w:r>
            <w:r>
              <w:rPr>
                <w:rFonts w:hint="eastAsia" w:ascii="宋体" w:hAnsi="宋体" w:eastAsia="宋体" w:cs="宋体"/>
                <w:color w:val="auto"/>
                <w:szCs w:val="24"/>
                <w:highlight w:val="none"/>
                <w:lang w:val="en-US" w:eastAsia="zh-CN"/>
              </w:rPr>
              <w:t>3套</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用于应急期间</w:t>
            </w:r>
            <w:r>
              <w:rPr>
                <w:rFonts w:hint="eastAsia" w:cs="宋体"/>
                <w:color w:val="auto"/>
                <w:szCs w:val="24"/>
                <w:highlight w:val="none"/>
                <w:lang w:val="en-US" w:eastAsia="zh-CN"/>
              </w:rPr>
              <w:t>临时</w:t>
            </w:r>
            <w:r>
              <w:rPr>
                <w:rFonts w:hint="eastAsia" w:ascii="宋体" w:hAnsi="宋体" w:eastAsia="宋体" w:cs="宋体"/>
                <w:color w:val="auto"/>
                <w:szCs w:val="24"/>
                <w:highlight w:val="none"/>
                <w:lang w:val="en-US" w:eastAsia="zh-CN"/>
              </w:rPr>
              <w:t>增设监控。</w:t>
            </w:r>
          </w:p>
        </w:tc>
      </w:tr>
    </w:tbl>
    <w:p>
      <w:pPr>
        <w:widowControl/>
        <w:numPr>
          <w:ilvl w:val="0"/>
          <w:numId w:val="0"/>
        </w:numPr>
        <w:tabs>
          <w:tab w:val="left" w:pos="638"/>
        </w:tabs>
        <w:autoSpaceDE/>
        <w:autoSpaceDN/>
        <w:snapToGrid w:val="0"/>
        <w:spacing w:line="360" w:lineRule="auto"/>
        <w:textAlignment w:val="auto"/>
        <w:rPr>
          <w:rFonts w:hint="default" w:ascii="Times New Roman" w:hAnsi="Times New Roman" w:eastAsia="宋体" w:cs="Times New Roman"/>
          <w:b/>
          <w:bCs/>
          <w:color w:val="auto"/>
          <w:highlight w:val="none"/>
          <w:lang w:val="en-US" w:eastAsia="zh-CN"/>
        </w:rPr>
      </w:pPr>
    </w:p>
    <w:p>
      <w:pPr>
        <w:pStyle w:val="2"/>
        <w:jc w:val="center"/>
        <w:rPr>
          <w:rFonts w:hint="eastAsia"/>
          <w:bCs/>
          <w:color w:val="auto"/>
          <w:highlight w:val="none"/>
          <w:lang w:eastAsia="zh-CN"/>
        </w:rPr>
      </w:pPr>
    </w:p>
    <w:p>
      <w:pPr>
        <w:widowControl/>
        <w:numPr>
          <w:ilvl w:val="0"/>
          <w:numId w:val="1"/>
        </w:numPr>
        <w:autoSpaceDE/>
        <w:autoSpaceDN/>
        <w:snapToGrid/>
        <w:spacing w:line="360" w:lineRule="auto"/>
        <w:ind w:firstLine="0" w:firstLineChars="0"/>
        <w:textAlignment w:val="auto"/>
        <w:rPr>
          <w:rFonts w:hint="eastAsia" w:ascii="黑体" w:hAnsi="黑体" w:eastAsia="黑体" w:cs="黑体"/>
          <w:b w:val="0"/>
          <w:bCs w:val="0"/>
          <w:color w:val="auto"/>
          <w:kern w:val="0"/>
          <w:sz w:val="24"/>
          <w:highlight w:val="none"/>
        </w:rPr>
      </w:pPr>
      <w:r>
        <w:rPr>
          <w:rFonts w:hint="eastAsia" w:ascii="黑体" w:hAnsi="黑体" w:eastAsia="黑体" w:cs="黑体"/>
          <w:b w:val="0"/>
          <w:bCs w:val="0"/>
          <w:color w:val="auto"/>
          <w:kern w:val="0"/>
          <w:sz w:val="24"/>
          <w:highlight w:val="none"/>
          <w:lang w:val="en-US" w:eastAsia="zh-CN"/>
        </w:rPr>
        <w:t>技术要求</w:t>
      </w:r>
    </w:p>
    <w:p>
      <w:pPr>
        <w:numPr>
          <w:ilvl w:val="0"/>
          <w:numId w:val="2"/>
        </w:numPr>
        <w:spacing w:line="360" w:lineRule="auto"/>
        <w:ind w:left="0" w:firstLine="482" w:firstLineChars="200"/>
        <w:contextualSpacing/>
        <w:rPr>
          <w:rFonts w:hint="eastAsia" w:ascii="宋体" w:hAnsi="宋体" w:cs="宋体"/>
          <w:color w:val="auto"/>
          <w:sz w:val="24"/>
          <w:highlight w:val="none"/>
          <w:lang w:val="en-US" w:eastAsia="zh-CN"/>
        </w:rPr>
      </w:pPr>
      <w:r>
        <w:rPr>
          <w:rFonts w:hint="eastAsia" w:ascii="宋体" w:hAnsi="宋体" w:cs="宋体"/>
          <w:b/>
          <w:bCs/>
          <w:color w:val="auto"/>
          <w:sz w:val="24"/>
          <w:szCs w:val="24"/>
          <w:highlight w:val="none"/>
          <w:lang w:val="en-US" w:eastAsia="zh-CN"/>
        </w:rPr>
        <w:t>视频监控运维要求：</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运维内容包含</w:t>
      </w:r>
      <w:r>
        <w:rPr>
          <w:rFonts w:hint="eastAsia" w:ascii="宋体" w:hAnsi="宋体" w:cs="宋体"/>
          <w:color w:val="auto"/>
          <w:sz w:val="24"/>
          <w:szCs w:val="24"/>
          <w:highlight w:val="none"/>
        </w:rPr>
        <w:t>所有视频监控</w:t>
      </w:r>
      <w:r>
        <w:rPr>
          <w:rFonts w:hint="eastAsia" w:ascii="宋体" w:hAnsi="宋体" w:cs="宋体"/>
          <w:color w:val="auto"/>
          <w:sz w:val="24"/>
          <w:szCs w:val="24"/>
          <w:highlight w:val="none"/>
          <w:lang w:val="en-US" w:eastAsia="zh-CN"/>
        </w:rPr>
        <w:t>设施设备</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监控杆土建设施、</w:t>
      </w:r>
      <w:r>
        <w:rPr>
          <w:rFonts w:hint="eastAsia" w:ascii="宋体" w:hAnsi="宋体" w:cs="宋体"/>
          <w:color w:val="auto"/>
          <w:sz w:val="24"/>
          <w:szCs w:val="24"/>
          <w:highlight w:val="none"/>
        </w:rPr>
        <w:t>供电系统、综合布线系统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系统硬件设备故障维修、配件或设备更换、每月通讯服务链路巡检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视频通信专网服务</w:t>
      </w:r>
      <w:r>
        <w:rPr>
          <w:rFonts w:hint="eastAsia" w:ascii="宋体" w:hAnsi="宋体" w:cs="宋体"/>
          <w:color w:val="auto"/>
          <w:sz w:val="24"/>
          <w:szCs w:val="24"/>
          <w:highlight w:val="none"/>
          <w:lang w:val="en-US" w:eastAsia="zh-CN"/>
        </w:rPr>
        <w:t>等，费用</w:t>
      </w:r>
      <w:r>
        <w:rPr>
          <w:rFonts w:hint="eastAsia" w:ascii="宋体" w:hAnsi="宋体" w:cs="宋体"/>
          <w:color w:val="auto"/>
          <w:sz w:val="24"/>
          <w:szCs w:val="24"/>
          <w:highlight w:val="none"/>
        </w:rPr>
        <w:t>全部由中标供应商承担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需提供故障维修记录、更换记录、巡检记录</w:t>
      </w:r>
      <w:r>
        <w:rPr>
          <w:rFonts w:hint="eastAsia" w:ascii="宋体" w:hAnsi="宋体" w:cs="宋体"/>
          <w:color w:val="auto"/>
          <w:sz w:val="24"/>
          <w:szCs w:val="24"/>
          <w:highlight w:val="none"/>
        </w:rPr>
        <w:t>。</w:t>
      </w:r>
    </w:p>
    <w:p>
      <w:pPr>
        <w:numPr>
          <w:ilvl w:val="0"/>
          <w:numId w:val="2"/>
        </w:numPr>
        <w:spacing w:line="360" w:lineRule="auto"/>
        <w:ind w:left="0" w:firstLine="482" w:firstLineChars="200"/>
        <w:contextualSpacing/>
        <w:rPr>
          <w:rFonts w:hint="eastAsia" w:ascii="宋体" w:hAnsi="宋体" w:eastAsia="宋体" w:cs="宋体"/>
          <w:b/>
          <w:bCs/>
          <w:color w:val="auto"/>
          <w:sz w:val="24"/>
          <w:highlight w:val="none"/>
          <w:lang w:val="en-US" w:eastAsia="zh-CN"/>
        </w:rPr>
      </w:pPr>
      <w:r>
        <w:rPr>
          <w:rFonts w:hint="eastAsia" w:ascii="宋体" w:hAnsi="宋体" w:cs="宋体"/>
          <w:b/>
          <w:bCs/>
          <w:color w:val="auto"/>
          <w:sz w:val="24"/>
          <w:szCs w:val="24"/>
          <w:highlight w:val="none"/>
          <w:lang w:val="en-US" w:eastAsia="zh-CN"/>
        </w:rPr>
        <w:t>视频监控迁移要求：</w:t>
      </w:r>
      <w:r>
        <w:rPr>
          <w:rFonts w:hint="eastAsia" w:ascii="宋体" w:hAnsi="宋体" w:cs="宋体"/>
          <w:b w:val="0"/>
          <w:bCs w:val="0"/>
          <w:color w:val="auto"/>
          <w:sz w:val="24"/>
          <w:highlight w:val="none"/>
        </w:rPr>
        <w:t>本项目</w:t>
      </w:r>
      <w:r>
        <w:rPr>
          <w:rFonts w:hint="eastAsia" w:ascii="宋体" w:hAnsi="宋体" w:cs="宋体"/>
          <w:b w:val="0"/>
          <w:bCs w:val="0"/>
          <w:color w:val="auto"/>
          <w:sz w:val="24"/>
          <w:highlight w:val="none"/>
          <w:lang w:val="en-US" w:eastAsia="zh-CN"/>
        </w:rPr>
        <w:t>视频监控迁移包含设备拆除及安装两部分，拆除包含设备及</w:t>
      </w:r>
      <w:r>
        <w:rPr>
          <w:rFonts w:hint="eastAsia" w:ascii="宋体" w:hAnsi="宋体" w:cs="宋体"/>
          <w:color w:val="auto"/>
          <w:sz w:val="24"/>
          <w:highlight w:val="none"/>
        </w:rPr>
        <w:t>监控杆（若产权归甲方且甲方要求拆除）、设备护罩、标识标牌等</w:t>
      </w:r>
      <w:r>
        <w:rPr>
          <w:rFonts w:hint="eastAsia" w:ascii="宋体" w:hAnsi="宋体" w:cs="宋体"/>
          <w:b w:val="0"/>
          <w:bCs w:val="0"/>
          <w:color w:val="auto"/>
          <w:sz w:val="24"/>
          <w:highlight w:val="none"/>
          <w:lang w:val="en-US" w:eastAsia="zh-CN"/>
        </w:rPr>
        <w:t>相关配套设施，迁移时间地点</w:t>
      </w:r>
      <w:r>
        <w:rPr>
          <w:rFonts w:hint="eastAsia" w:ascii="宋体" w:hAnsi="宋体" w:cs="宋体"/>
          <w:b w:val="0"/>
          <w:bCs w:val="0"/>
          <w:color w:val="auto"/>
          <w:sz w:val="24"/>
          <w:highlight w:val="none"/>
        </w:rPr>
        <w:t>由成交供应商与甲方协商确定，甲方出具</w:t>
      </w:r>
      <w:r>
        <w:rPr>
          <w:rFonts w:hint="eastAsia" w:ascii="宋体" w:hAnsi="宋体" w:cs="宋体"/>
          <w:b w:val="0"/>
          <w:bCs w:val="0"/>
          <w:color w:val="auto"/>
          <w:sz w:val="24"/>
          <w:highlight w:val="none"/>
          <w:lang w:val="en-US" w:eastAsia="zh-CN"/>
        </w:rPr>
        <w:t>迁移</w:t>
      </w:r>
      <w:r>
        <w:rPr>
          <w:rFonts w:hint="eastAsia" w:ascii="宋体" w:hAnsi="宋体" w:cs="宋体"/>
          <w:b w:val="0"/>
          <w:bCs w:val="0"/>
          <w:color w:val="auto"/>
          <w:sz w:val="24"/>
          <w:highlight w:val="none"/>
        </w:rPr>
        <w:t>函</w:t>
      </w:r>
      <w:r>
        <w:rPr>
          <w:rFonts w:hint="eastAsia" w:ascii="宋体" w:hAnsi="宋体" w:cs="宋体"/>
          <w:b w:val="0"/>
          <w:bCs w:val="0"/>
          <w:color w:val="auto"/>
          <w:sz w:val="24"/>
          <w:highlight w:val="none"/>
          <w:lang w:val="en-US" w:eastAsia="zh-CN"/>
        </w:rPr>
        <w:t>后实施</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根据甲方指定地点，在拆除后1个月内，将</w:t>
      </w:r>
      <w:r>
        <w:rPr>
          <w:rFonts w:hint="eastAsia" w:ascii="宋体" w:hAnsi="宋体" w:cs="宋体"/>
          <w:color w:val="auto"/>
          <w:sz w:val="24"/>
          <w:highlight w:val="none"/>
        </w:rPr>
        <w:t>原站点的旧设备设施</w:t>
      </w:r>
      <w:r>
        <w:rPr>
          <w:rFonts w:hint="eastAsia" w:ascii="宋体" w:hAnsi="宋体" w:cs="宋体"/>
          <w:color w:val="auto"/>
          <w:sz w:val="24"/>
          <w:highlight w:val="none"/>
          <w:lang w:val="en-US" w:eastAsia="zh-CN"/>
        </w:rPr>
        <w:t>安装至指定地点，并确保视频接入浙江省水利视频监控云平台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如有摄像头遮挡严重，无法符合甲方管理需求，中标供应商根据甲方要求提供迁移服务。</w:t>
      </w:r>
    </w:p>
    <w:p>
      <w:pPr>
        <w:numPr>
          <w:ilvl w:val="0"/>
          <w:numId w:val="2"/>
        </w:numPr>
        <w:spacing w:line="360" w:lineRule="auto"/>
        <w:ind w:left="0" w:firstLine="482" w:firstLineChars="200"/>
        <w:contextualSpacing/>
        <w:rPr>
          <w:rFonts w:hint="eastAsia" w:ascii="宋体" w:hAnsi="宋体" w:cs="宋体"/>
          <w:b/>
          <w:bCs/>
          <w:color w:val="auto"/>
          <w:sz w:val="24"/>
          <w:highlight w:val="none"/>
          <w:lang w:val="en-US" w:eastAsia="zh-CN"/>
        </w:rPr>
      </w:pPr>
      <w:r>
        <w:rPr>
          <w:rFonts w:hint="eastAsia" w:ascii="宋体" w:hAnsi="宋体" w:eastAsia="宋体" w:cs="宋体"/>
          <w:b/>
          <w:bCs/>
          <w:color w:val="auto"/>
          <w:sz w:val="24"/>
          <w:szCs w:val="24"/>
          <w:highlight w:val="none"/>
          <w:lang w:val="en-US" w:eastAsia="zh-CN"/>
        </w:rPr>
        <w:t>驻场要求：</w:t>
      </w:r>
      <w:r>
        <w:rPr>
          <w:rFonts w:hint="eastAsia" w:ascii="宋体" w:hAnsi="宋体" w:cs="宋体"/>
          <w:color w:val="auto"/>
          <w:sz w:val="24"/>
          <w:szCs w:val="24"/>
          <w:highlight w:val="none"/>
          <w:lang w:val="en-US" w:eastAsia="zh-CN"/>
        </w:rPr>
        <w:t>本项目需配备1名驻场运维人员，负责点位接入、视频监控运维、故障排除、巡检及在线率保障的相关工作，需提供驻场人员记录。</w:t>
      </w:r>
    </w:p>
    <w:p>
      <w:pPr>
        <w:numPr>
          <w:ilvl w:val="0"/>
          <w:numId w:val="2"/>
        </w:numPr>
        <w:spacing w:line="360" w:lineRule="auto"/>
        <w:ind w:firstLine="482"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视频存储：</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视频流</w:t>
      </w:r>
      <w:r>
        <w:rPr>
          <w:rFonts w:hint="eastAsia" w:ascii="宋体" w:hAnsi="宋体" w:eastAsia="宋体" w:cs="宋体"/>
          <w:color w:val="auto"/>
          <w:sz w:val="24"/>
          <w:szCs w:val="24"/>
          <w:highlight w:val="none"/>
          <w:lang w:val="en-US" w:eastAsia="zh-CN"/>
        </w:rPr>
        <w:t>需实现前端硬盘录像机存储，存储时间要求详见</w:t>
      </w:r>
      <w:r>
        <w:rPr>
          <w:rFonts w:hint="eastAsia" w:ascii="宋体" w:hAnsi="宋体" w:cs="宋体"/>
          <w:color w:val="auto"/>
          <w:sz w:val="24"/>
          <w:szCs w:val="24"/>
          <w:highlight w:val="none"/>
          <w:lang w:val="en-US" w:eastAsia="zh-CN"/>
        </w:rPr>
        <w:t>附表1-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视频监控详细清单（210点位）</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所有视频录像均要求在监控云平台可以调取、下载</w:t>
      </w:r>
      <w:r>
        <w:rPr>
          <w:rFonts w:hint="eastAsia" w:ascii="宋体" w:hAnsi="宋体" w:eastAsia="宋体" w:cs="宋体"/>
          <w:color w:val="auto"/>
          <w:sz w:val="24"/>
          <w:szCs w:val="24"/>
          <w:highlight w:val="none"/>
          <w:lang w:eastAsia="zh-CN"/>
        </w:rPr>
        <w:t>。</w:t>
      </w:r>
    </w:p>
    <w:p>
      <w:pPr>
        <w:numPr>
          <w:ilvl w:val="0"/>
          <w:numId w:val="2"/>
        </w:numPr>
        <w:spacing w:line="360" w:lineRule="auto"/>
        <w:ind w:firstLine="482"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视频专网：</w:t>
      </w:r>
      <w:r>
        <w:rPr>
          <w:rFonts w:hint="eastAsia" w:ascii="宋体" w:hAnsi="宋体" w:eastAsia="宋体" w:cs="宋体"/>
          <w:color w:val="auto"/>
          <w:sz w:val="24"/>
          <w:szCs w:val="24"/>
          <w:highlight w:val="none"/>
          <w:lang w:val="en-US" w:eastAsia="zh-CN"/>
        </w:rPr>
        <w:t>甲方已构建了视频监控专网，中标供应商必须保证每个点位按照</w:t>
      </w:r>
      <w:r>
        <w:rPr>
          <w:rFonts w:hint="eastAsia" w:ascii="宋体" w:hAnsi="宋体" w:cs="宋体"/>
          <w:color w:val="auto"/>
          <w:sz w:val="24"/>
          <w:szCs w:val="24"/>
          <w:highlight w:val="none"/>
          <w:lang w:val="en-US" w:eastAsia="zh-CN"/>
        </w:rPr>
        <w:t>附表1-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视频监控详细清单（210点位）</w:t>
      </w:r>
      <w:r>
        <w:rPr>
          <w:rFonts w:hint="eastAsia" w:ascii="宋体" w:hAnsi="宋体" w:eastAsia="宋体" w:cs="宋体"/>
          <w:color w:val="auto"/>
          <w:sz w:val="24"/>
          <w:szCs w:val="24"/>
          <w:highlight w:val="none"/>
          <w:lang w:val="en-US" w:eastAsia="zh-CN"/>
        </w:rPr>
        <w:t>》的要求提供独占带宽专线，通过VPN接入专网。同时，中标供应商必须按照《专网线路清单（</w:t>
      </w:r>
      <w:r>
        <w:rPr>
          <w:rFonts w:hint="eastAsia" w:ascii="宋体" w:hAnsi="宋体" w:cs="宋体"/>
          <w:color w:val="auto"/>
          <w:sz w:val="24"/>
          <w:szCs w:val="24"/>
          <w:highlight w:val="none"/>
          <w:lang w:val="en-US" w:eastAsia="zh-CN"/>
        </w:rPr>
        <w:t>34条</w:t>
      </w:r>
      <w:r>
        <w:rPr>
          <w:rFonts w:hint="eastAsia" w:ascii="宋体" w:hAnsi="宋体" w:eastAsia="宋体" w:cs="宋体"/>
          <w:color w:val="auto"/>
          <w:sz w:val="24"/>
          <w:szCs w:val="24"/>
          <w:highlight w:val="none"/>
          <w:lang w:val="en-US" w:eastAsia="zh-CN"/>
        </w:rPr>
        <w:t>）》的要求，提供</w:t>
      </w:r>
      <w:r>
        <w:rPr>
          <w:rFonts w:hint="eastAsia" w:ascii="宋体" w:hAnsi="宋体" w:cs="宋体"/>
          <w:color w:val="auto"/>
          <w:sz w:val="24"/>
          <w:szCs w:val="24"/>
          <w:highlight w:val="none"/>
          <w:lang w:val="en-US" w:eastAsia="zh-CN"/>
        </w:rPr>
        <w:t>视频点位、</w:t>
      </w:r>
      <w:r>
        <w:rPr>
          <w:rFonts w:hint="eastAsia" w:ascii="宋体" w:hAnsi="宋体" w:eastAsia="宋体" w:cs="宋体"/>
          <w:color w:val="auto"/>
          <w:sz w:val="24"/>
          <w:szCs w:val="24"/>
          <w:highlight w:val="none"/>
          <w:lang w:val="en-US" w:eastAsia="zh-CN"/>
        </w:rPr>
        <w:t>流域中心至视频云平台、水利部及办公点的专网线路。</w:t>
      </w:r>
    </w:p>
    <w:p>
      <w:pPr>
        <w:pStyle w:val="2"/>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后期需要配合甲方要求，配合调整视频监控网络架构,确保视频专网和办公专网独立运行。</w:t>
      </w:r>
    </w:p>
    <w:p>
      <w:pPr>
        <w:numPr>
          <w:ilvl w:val="0"/>
          <w:numId w:val="2"/>
        </w:numPr>
        <w:spacing w:line="360" w:lineRule="auto"/>
        <w:ind w:firstLine="482"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管理要求：</w:t>
      </w:r>
      <w:r>
        <w:rPr>
          <w:rFonts w:hint="eastAsia" w:ascii="宋体" w:hAnsi="宋体" w:eastAsia="宋体" w:cs="宋体"/>
          <w:color w:val="auto"/>
          <w:sz w:val="24"/>
          <w:szCs w:val="24"/>
          <w:highlight w:val="none"/>
          <w:lang w:val="en-US" w:eastAsia="zh-CN"/>
        </w:rPr>
        <w:t>因甲方管理需要，</w:t>
      </w:r>
      <w:r>
        <w:rPr>
          <w:rFonts w:hint="eastAsia" w:ascii="宋体" w:hAnsi="宋体" w:eastAsia="宋体" w:cs="宋体"/>
          <w:color w:val="auto"/>
          <w:sz w:val="24"/>
          <w:szCs w:val="24"/>
          <w:highlight w:val="none"/>
        </w:rPr>
        <w:t>本期</w:t>
      </w:r>
      <w:r>
        <w:rPr>
          <w:rFonts w:hint="eastAsia" w:ascii="宋体" w:hAnsi="宋体" w:eastAsia="宋体" w:cs="宋体"/>
          <w:color w:val="auto"/>
          <w:sz w:val="24"/>
          <w:szCs w:val="24"/>
          <w:highlight w:val="none"/>
          <w:lang w:val="en-US" w:eastAsia="zh-CN"/>
        </w:rPr>
        <w:t>维护的监控点均需</w:t>
      </w:r>
      <w:r>
        <w:rPr>
          <w:rFonts w:hint="eastAsia" w:ascii="宋体" w:hAnsi="宋体" w:eastAsia="宋体" w:cs="宋体"/>
          <w:color w:val="auto"/>
          <w:sz w:val="24"/>
          <w:szCs w:val="24"/>
          <w:highlight w:val="none"/>
        </w:rPr>
        <w:t>接入</w:t>
      </w:r>
      <w:r>
        <w:rPr>
          <w:rFonts w:hint="eastAsia" w:ascii="宋体" w:hAnsi="宋体" w:eastAsia="宋体" w:cs="宋体"/>
          <w:color w:val="auto"/>
          <w:sz w:val="24"/>
          <w:szCs w:val="24"/>
          <w:highlight w:val="none"/>
          <w:lang w:val="en-US" w:eastAsia="zh-CN"/>
        </w:rPr>
        <w:t>甲方指定的视频管理平台，甲方将以接入该平台的视频画面作为服务质量考核依据，产生的所有费用均由中标供应商承担，需提供接入记录。</w:t>
      </w:r>
    </w:p>
    <w:p>
      <w:pPr>
        <w:numPr>
          <w:ilvl w:val="0"/>
          <w:numId w:val="2"/>
        </w:numPr>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bidi="ar-SA"/>
        </w:rPr>
        <w:t>服务响应：</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供应商应在杭州、嘉兴、绍兴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衢州</w:t>
      </w:r>
      <w:r>
        <w:rPr>
          <w:rFonts w:hint="eastAsia" w:ascii="宋体" w:hAnsi="宋体" w:eastAsia="宋体" w:cs="宋体"/>
          <w:color w:val="auto"/>
          <w:sz w:val="24"/>
          <w:szCs w:val="24"/>
          <w:highlight w:val="none"/>
        </w:rPr>
        <w:t>等地建立完善的售后服务体系，拥有至少5人以上的专业服务团队，其中配备</w:t>
      </w:r>
      <w:r>
        <w:rPr>
          <w:rFonts w:hint="eastAsia" w:ascii="宋体" w:hAnsi="宋体" w:cs="宋体"/>
          <w:color w:val="auto"/>
          <w:sz w:val="24"/>
          <w:szCs w:val="24"/>
          <w:highlight w:val="none"/>
          <w:lang w:eastAsia="zh-CN"/>
        </w:rPr>
        <w:t>项目负责人</w:t>
      </w:r>
      <w:r>
        <w:rPr>
          <w:rFonts w:hint="eastAsia" w:ascii="宋体" w:hAnsi="宋体" w:eastAsia="宋体" w:cs="宋体"/>
          <w:color w:val="auto"/>
          <w:sz w:val="24"/>
          <w:szCs w:val="24"/>
          <w:highlight w:val="none"/>
        </w:rPr>
        <w:t>1名，</w:t>
      </w:r>
      <w:r>
        <w:rPr>
          <w:rFonts w:hint="eastAsia" w:ascii="宋体" w:hAnsi="宋体" w:eastAsia="宋体" w:cs="宋体"/>
          <w:color w:val="auto"/>
          <w:sz w:val="24"/>
          <w:szCs w:val="24"/>
          <w:highlight w:val="none"/>
          <w:lang w:val="en-US" w:eastAsia="zh-CN"/>
        </w:rPr>
        <w:t>各地</w:t>
      </w:r>
      <w:r>
        <w:rPr>
          <w:rFonts w:hint="eastAsia" w:ascii="宋体" w:hAnsi="宋体" w:eastAsia="宋体" w:cs="宋体"/>
          <w:color w:val="auto"/>
          <w:sz w:val="24"/>
          <w:szCs w:val="24"/>
          <w:highlight w:val="none"/>
        </w:rPr>
        <w:t>维护工程师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人。提供7*24小时的热线技术响应服务；收到故障信息后1小时内</w:t>
      </w:r>
      <w:r>
        <w:rPr>
          <w:rFonts w:hint="eastAsia" w:ascii="宋体" w:hAnsi="宋体" w:eastAsia="宋体" w:cs="宋体"/>
          <w:color w:val="auto"/>
          <w:sz w:val="24"/>
          <w:szCs w:val="24"/>
          <w:highlight w:val="none"/>
          <w:lang w:val="en-US" w:eastAsia="zh-CN"/>
        </w:rPr>
        <w:t>做出实质性</w:t>
      </w:r>
      <w:r>
        <w:rPr>
          <w:rFonts w:hint="eastAsia" w:ascii="宋体" w:hAnsi="宋体" w:eastAsia="宋体" w:cs="宋体"/>
          <w:color w:val="auto"/>
          <w:sz w:val="24"/>
          <w:szCs w:val="24"/>
          <w:highlight w:val="none"/>
        </w:rPr>
        <w:t>响应，12小时内排除故障，重大故障超出12小时未解决的需提供故障分析报告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进行设备备件更换，设备更换费用全部由中标供应商承担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需提供服务响应记录</w:t>
      </w:r>
      <w:r>
        <w:rPr>
          <w:rFonts w:hint="eastAsia" w:ascii="宋体" w:hAnsi="宋体" w:eastAsia="宋体" w:cs="宋体"/>
          <w:color w:val="auto"/>
          <w:sz w:val="24"/>
          <w:szCs w:val="24"/>
          <w:highlight w:val="none"/>
        </w:rPr>
        <w:t>。</w:t>
      </w:r>
    </w:p>
    <w:p>
      <w:pPr>
        <w:numPr>
          <w:ilvl w:val="0"/>
          <w:numId w:val="2"/>
        </w:numPr>
        <w:spacing w:line="360" w:lineRule="auto"/>
        <w:ind w:firstLine="482" w:firstLineChars="20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bidi="ar-SA"/>
        </w:rPr>
        <w:t>备件：</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在杭州应设有长期备件库，备件库内长期备有与水利工程沿线地区视频监控同一品牌型号的数字高清摄像机和数字高清解码器及电源线、网线、PVC管等辅材，更换的设备、部件参数指标不得劣于原设备、部件参数指标。</w:t>
      </w:r>
      <w:r>
        <w:rPr>
          <w:rFonts w:hint="eastAsia" w:ascii="宋体" w:hAnsi="宋体" w:eastAsia="宋体" w:cs="宋体"/>
          <w:color w:val="auto"/>
          <w:sz w:val="24"/>
          <w:szCs w:val="24"/>
          <w:highlight w:val="none"/>
          <w:lang w:val="en-US" w:eastAsia="zh-CN"/>
        </w:rPr>
        <w:t>同时，中标供应商应</w:t>
      </w:r>
      <w:r>
        <w:rPr>
          <w:rFonts w:hint="eastAsia" w:ascii="宋体" w:hAnsi="宋体" w:eastAsia="宋体" w:cs="宋体"/>
          <w:i w:val="0"/>
          <w:iCs w:val="0"/>
          <w:color w:val="auto"/>
          <w:sz w:val="24"/>
          <w:szCs w:val="24"/>
          <w:highlight w:val="none"/>
          <w:u w:val="none"/>
          <w:lang w:val="en-US" w:eastAsia="zh-CN"/>
        </w:rPr>
        <w:t>备货3套应急设备，以备应急期间安装调用，相关费用由中标供应商承担。</w:t>
      </w:r>
    </w:p>
    <w:p>
      <w:pPr>
        <w:numPr>
          <w:ilvl w:val="0"/>
          <w:numId w:val="2"/>
        </w:numPr>
        <w:spacing w:line="360" w:lineRule="auto"/>
        <w:ind w:firstLine="482" w:firstLineChars="200"/>
        <w:contextualSpacing/>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en-US" w:eastAsia="zh-CN" w:bidi="ar-SA"/>
        </w:rPr>
        <w:t>巡检服务：</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val="en-US" w:eastAsia="zh-CN"/>
        </w:rPr>
        <w:t>应对设备、设施、系统进行定期</w:t>
      </w:r>
      <w:r>
        <w:rPr>
          <w:rFonts w:hint="eastAsia" w:ascii="宋体" w:hAnsi="宋体" w:cs="宋体"/>
          <w:color w:val="auto"/>
          <w:sz w:val="24"/>
          <w:szCs w:val="24"/>
          <w:highlight w:val="none"/>
        </w:rPr>
        <w:t>巡检检修、保养，消除系统隐患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需提供巡检服务记录表</w:t>
      </w:r>
      <w:r>
        <w:rPr>
          <w:rFonts w:hint="eastAsia" w:ascii="宋体" w:hAnsi="宋体" w:cs="宋体"/>
          <w:color w:val="auto"/>
          <w:sz w:val="24"/>
          <w:szCs w:val="24"/>
          <w:highlight w:val="none"/>
        </w:rPr>
        <w:t>。</w:t>
      </w:r>
    </w:p>
    <w:p>
      <w:pPr>
        <w:widowControl/>
        <w:tabs>
          <w:tab w:val="left" w:pos="638"/>
        </w:tabs>
        <w:autoSpaceDE/>
        <w:autoSpaceDN/>
        <w:adjustRightInd/>
        <w:spacing w:line="360" w:lineRule="auto"/>
        <w:ind w:firstLine="482" w:firstLineChars="200"/>
        <w:contextualSpacing/>
        <w:jc w:val="center"/>
        <w:textAlignment w:val="auto"/>
        <w:rPr>
          <w:rFonts w:hint="eastAsia" w:ascii="宋体" w:hAnsi="宋体" w:eastAsia="宋体" w:cs="宋体"/>
          <w:b/>
          <w:bCs/>
          <w:color w:val="auto"/>
          <w:sz w:val="24"/>
          <w:highlight w:val="none"/>
          <w:lang w:val="en-US" w:eastAsia="zh-CN" w:bidi="ar-SA"/>
        </w:rPr>
      </w:pPr>
      <w:r>
        <w:rPr>
          <w:rFonts w:hint="eastAsia" w:ascii="宋体" w:hAnsi="宋体" w:eastAsia="宋体" w:cs="宋体"/>
          <w:b/>
          <w:bCs/>
          <w:color w:val="auto"/>
          <w:sz w:val="24"/>
          <w:highlight w:val="none"/>
          <w:lang w:val="en-US" w:eastAsia="zh-CN" w:bidi="ar-SA"/>
        </w:rPr>
        <w:t>巡检服务内容</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39"/>
        <w:gridCol w:w="1235"/>
        <w:gridCol w:w="5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维护内容</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巡检</w:t>
            </w:r>
            <w:r>
              <w:rPr>
                <w:rFonts w:hint="eastAsia" w:ascii="宋体" w:hAnsi="宋体" w:cs="宋体"/>
                <w:b/>
                <w:bCs/>
                <w:color w:val="auto"/>
                <w:sz w:val="24"/>
                <w:highlight w:val="none"/>
              </w:rPr>
              <w:t>周期</w:t>
            </w:r>
          </w:p>
        </w:tc>
        <w:tc>
          <w:tcPr>
            <w:tcW w:w="5190"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维护要求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硬件设备</w:t>
            </w:r>
            <w:r>
              <w:rPr>
                <w:rFonts w:hint="eastAsia" w:ascii="宋体" w:hAnsi="宋体" w:cs="宋体"/>
                <w:color w:val="auto"/>
                <w:sz w:val="24"/>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1次/月</w:t>
            </w:r>
          </w:p>
        </w:tc>
        <w:tc>
          <w:tcPr>
            <w:tcW w:w="5190" w:type="dxa"/>
            <w:tcBorders>
              <w:tl2br w:val="nil"/>
              <w:tr2bl w:val="nil"/>
            </w:tcBorders>
            <w:noWrap w:val="0"/>
            <w:vAlign w:val="center"/>
          </w:tcPr>
          <w:p>
            <w:pPr>
              <w:numPr>
                <w:ilvl w:val="0"/>
                <w:numId w:val="3"/>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清洁数字高清摄像机机体，检查镜头是否清晰、云台是否正常转动、护罩是否破损、设备是否正常通讯</w:t>
            </w:r>
          </w:p>
          <w:p>
            <w:pPr>
              <w:numPr>
                <w:ilvl w:val="0"/>
                <w:numId w:val="3"/>
              </w:numPr>
              <w:autoSpaceDE/>
              <w:autoSpaceDN/>
              <w:adjustRightInd/>
              <w:spacing w:line="360" w:lineRule="auto"/>
              <w:ind w:left="0" w:firstLine="0" w:firstLineChars="0"/>
              <w:contextualSpacing/>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排查前端摄像头弱口令情况</w:t>
            </w:r>
          </w:p>
          <w:p>
            <w:pPr>
              <w:numPr>
                <w:ilvl w:val="0"/>
                <w:numId w:val="3"/>
              </w:numPr>
              <w:autoSpaceDE/>
              <w:autoSpaceDN/>
              <w:adjustRightInd/>
              <w:spacing w:line="360" w:lineRule="auto"/>
              <w:ind w:left="0" w:firstLine="0" w:firstLineChars="0"/>
              <w:contextualSpacing/>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根据监控型号升级最新的固件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供电系统</w:t>
            </w:r>
            <w:r>
              <w:rPr>
                <w:rFonts w:hint="eastAsia" w:ascii="宋体" w:hAnsi="宋体" w:cs="宋体"/>
                <w:color w:val="auto"/>
                <w:sz w:val="24"/>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1次/月</w:t>
            </w:r>
          </w:p>
        </w:tc>
        <w:tc>
          <w:tcPr>
            <w:tcW w:w="5190" w:type="dxa"/>
            <w:tcBorders>
              <w:tl2br w:val="nil"/>
              <w:tr2bl w:val="nil"/>
            </w:tcBorders>
            <w:noWrap w:val="0"/>
            <w:vAlign w:val="center"/>
          </w:tcPr>
          <w:p>
            <w:pPr>
              <w:numPr>
                <w:ilvl w:val="0"/>
                <w:numId w:val="4"/>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检查配电室到数字高清摄像机供电线路是否异常，重点检查线路接口防止短路情况</w:t>
            </w:r>
          </w:p>
          <w:p>
            <w:pPr>
              <w:numPr>
                <w:ilvl w:val="0"/>
                <w:numId w:val="4"/>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检查UPS设备是否正常工作、UPS到数字高清摄像机供电线路是否异常，重点检查线路接口防止短路情况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综合布线系统</w:t>
            </w:r>
            <w:r>
              <w:rPr>
                <w:rFonts w:hint="eastAsia" w:ascii="宋体" w:hAnsi="宋体" w:cs="宋体"/>
                <w:color w:val="auto"/>
                <w:sz w:val="24"/>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1次/月</w:t>
            </w:r>
          </w:p>
        </w:tc>
        <w:tc>
          <w:tcPr>
            <w:tcW w:w="5190" w:type="dxa"/>
            <w:tcBorders>
              <w:tl2br w:val="nil"/>
              <w:tr2bl w:val="nil"/>
            </w:tcBorders>
            <w:noWrap w:val="0"/>
            <w:vAlign w:val="center"/>
          </w:tcPr>
          <w:p>
            <w:pPr>
              <w:numPr>
                <w:ilvl w:val="0"/>
                <w:numId w:val="5"/>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检查防雷器是否异常</w:t>
            </w:r>
          </w:p>
          <w:p>
            <w:pPr>
              <w:numPr>
                <w:ilvl w:val="0"/>
                <w:numId w:val="5"/>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检查是否由于河堤受损导致工程布线裸露，存在安全风险</w:t>
            </w:r>
          </w:p>
          <w:p>
            <w:pPr>
              <w:numPr>
                <w:ilvl w:val="0"/>
                <w:numId w:val="5"/>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检查是否由于土壤松软导致立杆倾斜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4</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通讯链路</w:t>
            </w:r>
            <w:r>
              <w:rPr>
                <w:rFonts w:hint="eastAsia" w:ascii="宋体" w:hAnsi="宋体" w:cs="宋体"/>
                <w:color w:val="auto"/>
                <w:sz w:val="24"/>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4"/>
                <w:highlight w:val="none"/>
              </w:rPr>
            </w:pPr>
            <w:r>
              <w:rPr>
                <w:rFonts w:hint="eastAsia" w:ascii="宋体" w:hAnsi="宋体" w:cs="宋体"/>
                <w:color w:val="auto"/>
                <w:sz w:val="24"/>
                <w:highlight w:val="none"/>
              </w:rPr>
              <w:t>1次/月</w:t>
            </w:r>
          </w:p>
        </w:tc>
        <w:tc>
          <w:tcPr>
            <w:tcW w:w="5190" w:type="dxa"/>
            <w:tcBorders>
              <w:tl2br w:val="nil"/>
              <w:tr2bl w:val="nil"/>
            </w:tcBorders>
            <w:noWrap w:val="0"/>
            <w:vAlign w:val="center"/>
          </w:tcPr>
          <w:p>
            <w:pPr>
              <w:numPr>
                <w:ilvl w:val="0"/>
                <w:numId w:val="6"/>
              </w:numPr>
              <w:autoSpaceDE/>
              <w:autoSpaceDN/>
              <w:adjustRightInd/>
              <w:spacing w:line="360" w:lineRule="auto"/>
              <w:ind w:left="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网络设备检查，保证通讯畅通</w:t>
            </w:r>
          </w:p>
        </w:tc>
      </w:tr>
    </w:tbl>
    <w:p>
      <w:pPr>
        <w:spacing w:line="360" w:lineRule="auto"/>
        <w:ind w:firstLine="482" w:firstLineChars="200"/>
        <w:contextualSpacing/>
        <w:rPr>
          <w:rFonts w:hint="eastAsia" w:ascii="宋体" w:hAnsi="宋体" w:cs="宋体"/>
          <w:b/>
          <w:bCs/>
          <w:color w:val="auto"/>
          <w:sz w:val="24"/>
          <w:szCs w:val="24"/>
          <w:highlight w:val="none"/>
          <w:lang w:eastAsia="zh-CN"/>
        </w:rPr>
      </w:pPr>
    </w:p>
    <w:p>
      <w:pPr>
        <w:numPr>
          <w:ilvl w:val="0"/>
          <w:numId w:val="2"/>
        </w:numPr>
        <w:spacing w:line="360" w:lineRule="auto"/>
        <w:ind w:firstLine="482"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视频监控标识服务：</w:t>
      </w:r>
      <w:r>
        <w:rPr>
          <w:rFonts w:hint="eastAsia" w:ascii="宋体" w:hAnsi="宋体" w:eastAsia="宋体" w:cs="宋体"/>
          <w:b w:val="0"/>
          <w:bCs w:val="0"/>
          <w:color w:val="auto"/>
          <w:sz w:val="24"/>
          <w:szCs w:val="24"/>
          <w:highlight w:val="none"/>
          <w:lang w:val="en-US" w:eastAsia="zh-CN"/>
        </w:rPr>
        <w:t>需要对原有的标识标牌进行维护，及时更新信息，对新增、变更点位增设标识标牌。标识牌需展示视频监控名称，编码，归属单位，运维联系人等。需提供</w:t>
      </w:r>
      <w:r>
        <w:rPr>
          <w:rFonts w:hint="eastAsia" w:ascii="宋体" w:hAnsi="宋体" w:cs="宋体"/>
          <w:b w:val="0"/>
          <w:bCs w:val="0"/>
          <w:color w:val="auto"/>
          <w:sz w:val="24"/>
          <w:szCs w:val="24"/>
          <w:highlight w:val="none"/>
          <w:lang w:val="en-US" w:eastAsia="zh-CN"/>
        </w:rPr>
        <w:t>新增及</w:t>
      </w:r>
      <w:r>
        <w:rPr>
          <w:rFonts w:hint="eastAsia" w:ascii="宋体" w:hAnsi="宋体" w:eastAsia="宋体" w:cs="宋体"/>
          <w:b w:val="0"/>
          <w:bCs w:val="0"/>
          <w:color w:val="auto"/>
          <w:sz w:val="24"/>
          <w:szCs w:val="24"/>
          <w:highlight w:val="none"/>
          <w:lang w:val="en-US" w:eastAsia="zh-CN"/>
        </w:rPr>
        <w:t>维护记录。</w:t>
      </w:r>
    </w:p>
    <w:p>
      <w:pPr>
        <w:numPr>
          <w:ilvl w:val="0"/>
          <w:numId w:val="2"/>
        </w:numPr>
        <w:spacing w:line="360" w:lineRule="auto"/>
        <w:ind w:firstLine="482" w:firstLineChars="200"/>
        <w:contextualSpacing/>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视频监控基础信息整理：</w:t>
      </w:r>
      <w:r>
        <w:rPr>
          <w:rFonts w:hint="eastAsia" w:ascii="宋体" w:hAnsi="宋体" w:cs="宋体"/>
          <w:b w:val="0"/>
          <w:bCs w:val="0"/>
          <w:color w:val="auto"/>
          <w:sz w:val="24"/>
          <w:szCs w:val="24"/>
          <w:highlight w:val="none"/>
          <w:lang w:val="en-US" w:eastAsia="zh-CN"/>
        </w:rPr>
        <w:t>需要对视频监控原有点位进行基础信息维护，新增点位基础信息同步更新。基础信息包括且不限于点位名称，经纬度，所属工程，所属海塘桩号，IP地址，电路编码等，需提供基础信息清单。</w:t>
      </w:r>
    </w:p>
    <w:p>
      <w:pPr>
        <w:numPr>
          <w:ilvl w:val="0"/>
          <w:numId w:val="2"/>
        </w:numPr>
        <w:spacing w:line="360" w:lineRule="auto"/>
        <w:ind w:firstLine="482" w:firstLineChars="200"/>
        <w:contextualSpacing/>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培训要求：</w:t>
      </w:r>
      <w:r>
        <w:rPr>
          <w:rFonts w:hint="eastAsia" w:ascii="宋体" w:hAnsi="宋体" w:eastAsia="宋体" w:cs="宋体"/>
          <w:b w:val="0"/>
          <w:bCs w:val="0"/>
          <w:color w:val="auto"/>
          <w:sz w:val="24"/>
          <w:szCs w:val="24"/>
          <w:highlight w:val="none"/>
          <w:lang w:val="en-US" w:eastAsia="zh-CN"/>
        </w:rPr>
        <w:t>运维单位每</w:t>
      </w:r>
      <w:r>
        <w:rPr>
          <w:rFonts w:hint="eastAsia" w:ascii="宋体" w:hAnsi="宋体" w:cs="宋体"/>
          <w:b w:val="0"/>
          <w:bCs w:val="0"/>
          <w:color w:val="auto"/>
          <w:sz w:val="24"/>
          <w:szCs w:val="24"/>
          <w:highlight w:val="none"/>
          <w:lang w:val="en-US" w:eastAsia="zh-CN"/>
        </w:rPr>
        <w:t>季开展一次内部网络安全宣教，需提供培训记录。</w:t>
      </w:r>
    </w:p>
    <w:p>
      <w:pPr>
        <w:numPr>
          <w:ilvl w:val="0"/>
          <w:numId w:val="2"/>
        </w:numPr>
        <w:spacing w:line="360" w:lineRule="auto"/>
        <w:ind w:firstLine="482" w:firstLineChars="200"/>
        <w:contextualSpacing/>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安全生产要求：</w:t>
      </w:r>
      <w:r>
        <w:rPr>
          <w:rFonts w:hint="eastAsia" w:ascii="宋体" w:hAnsi="宋体" w:cs="宋体"/>
          <w:b w:val="0"/>
          <w:bCs w:val="0"/>
          <w:color w:val="auto"/>
          <w:sz w:val="24"/>
          <w:szCs w:val="24"/>
          <w:highlight w:val="none"/>
          <w:lang w:val="en-US" w:eastAsia="zh-CN"/>
        </w:rPr>
        <w:t>运维人员须严格遵循用电安全、现场施工建设安全等安全生产要求，若因未履行相关要求或运维操作不规范导致安全事故及责任，均由乙方承担。</w:t>
      </w:r>
    </w:p>
    <w:p>
      <w:pPr>
        <w:numPr>
          <w:ilvl w:val="0"/>
          <w:numId w:val="2"/>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网络安全要求</w:t>
      </w:r>
    </w:p>
    <w:p>
      <w:pPr>
        <w:keepNext w:val="0"/>
        <w:keepLines w:val="0"/>
        <w:pageBreakBefore w:val="0"/>
        <w:numPr>
          <w:ilvl w:val="0"/>
          <w:numId w:val="7"/>
        </w:numPr>
        <w:tabs>
          <w:tab w:val="left" w:pos="709"/>
        </w:tabs>
        <w:kinsoku/>
        <w:wordWrap/>
        <w:overflowPunct/>
        <w:topLinePunct w:val="0"/>
        <w:bidi w:val="0"/>
        <w:adjustRightInd w:val="0"/>
        <w:snapToGrid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中标供应商承担所有视频监控点位网络安全的主体责任，如因安全措施不到位造成图像数据泄露等网络安全问题，需在两小时内上报，并按甲方要求进行整改。</w:t>
      </w:r>
    </w:p>
    <w:p>
      <w:pPr>
        <w:keepNext w:val="0"/>
        <w:keepLines w:val="0"/>
        <w:pageBreakBefore w:val="0"/>
        <w:numPr>
          <w:ilvl w:val="0"/>
          <w:numId w:val="7"/>
        </w:numPr>
        <w:tabs>
          <w:tab w:val="left" w:pos="709"/>
        </w:tabs>
        <w:kinsoku/>
        <w:wordWrap/>
        <w:overflowPunct/>
        <w:topLinePunct w:val="0"/>
        <w:bidi w:val="0"/>
        <w:adjustRightInd w:val="0"/>
        <w:snapToGrid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合同签订时，采购人同时和中标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签订保密协议，中标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必须提交本项目网络和数据安全责任人，并提交所有参与运维的人员背景审查资料。中标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应每半年向采购人提交运维人员账号权限管控和资源访问控制管理情况。</w:t>
      </w:r>
    </w:p>
    <w:p>
      <w:pPr>
        <w:keepNext w:val="0"/>
        <w:keepLines w:val="0"/>
        <w:pageBreakBefore w:val="0"/>
        <w:numPr>
          <w:ilvl w:val="0"/>
          <w:numId w:val="7"/>
        </w:numPr>
        <w:tabs>
          <w:tab w:val="left" w:pos="709"/>
        </w:tabs>
        <w:kinsoku/>
        <w:wordWrap/>
        <w:overflowPunct/>
        <w:topLinePunct w:val="0"/>
        <w:bidi w:val="0"/>
        <w:adjustRightInd w:val="0"/>
        <w:snapToGrid w:val="0"/>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项目运维期内，运维单位需配合采购人完成供应链企业安全评估工作，评估费用由运维单位承担。</w:t>
      </w:r>
    </w:p>
    <w:p>
      <w:pPr>
        <w:keepNext w:val="0"/>
        <w:keepLines w:val="0"/>
        <w:pageBreakBefore w:val="0"/>
        <w:numPr>
          <w:ilvl w:val="0"/>
          <w:numId w:val="7"/>
        </w:numPr>
        <w:tabs>
          <w:tab w:val="left" w:pos="709"/>
        </w:tabs>
        <w:kinsoku/>
        <w:wordWrap/>
        <w:overflowPunct/>
        <w:topLinePunct w:val="0"/>
        <w:bidi w:val="0"/>
        <w:adjustRightInd w:val="0"/>
        <w:snapToGrid w:val="0"/>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国家及省</w:t>
      </w:r>
      <w:r>
        <w:rPr>
          <w:rFonts w:hint="eastAsia" w:ascii="宋体" w:hAnsi="宋体" w:eastAsia="宋体" w:cs="宋体"/>
          <w:color w:val="auto"/>
          <w:sz w:val="24"/>
          <w:highlight w:val="none"/>
        </w:rPr>
        <w:t>两会、互联网大会、国家及省攻防演练等重保期间，无条件响应采购人要求，</w:t>
      </w:r>
      <w:r>
        <w:rPr>
          <w:rFonts w:hint="eastAsia" w:ascii="宋体" w:hAnsi="宋体" w:cs="宋体"/>
          <w:color w:val="auto"/>
          <w:sz w:val="24"/>
          <w:highlight w:val="none"/>
        </w:rPr>
        <w:t>落实7*24小时值班制度，落实值班值守人员和应急处置力量，执行每日网络安全事件“零报告”制度</w:t>
      </w:r>
      <w:r>
        <w:rPr>
          <w:rFonts w:hint="eastAsia" w:ascii="宋体" w:hAnsi="宋体" w:cs="宋体"/>
          <w:color w:val="auto"/>
          <w:sz w:val="24"/>
          <w:highlight w:val="none"/>
          <w:lang w:eastAsia="zh-CN"/>
        </w:rPr>
        <w:t>。</w:t>
      </w:r>
    </w:p>
    <w:p>
      <w:pPr>
        <w:keepNext w:val="0"/>
        <w:keepLines w:val="0"/>
        <w:pageBreakBefore w:val="0"/>
        <w:numPr>
          <w:ilvl w:val="0"/>
          <w:numId w:val="7"/>
        </w:numPr>
        <w:tabs>
          <w:tab w:val="left" w:pos="709"/>
        </w:tabs>
        <w:kinsoku/>
        <w:wordWrap/>
        <w:overflowPunct/>
        <w:topLinePunct w:val="0"/>
        <w:bidi w:val="0"/>
        <w:adjustRightInd w:val="0"/>
        <w:snapToGrid w:val="0"/>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不论何时，中标供应商都应承担监测数据的保密责任；中标供应商按照采购人的要求，进行报告和传输有关的监测数据，不得以任何方式和渠道向外界传递、泄露、披露任何监测数据</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硬盘录像机内容清除前做好内容记录，留存记录单</w:t>
      </w:r>
      <w:r>
        <w:rPr>
          <w:rFonts w:hint="eastAsia" w:ascii="宋体" w:hAnsi="宋体" w:cs="宋体"/>
          <w:color w:val="auto"/>
          <w:sz w:val="24"/>
          <w:szCs w:val="24"/>
          <w:highlight w:val="none"/>
        </w:rPr>
        <w:t>。</w:t>
      </w:r>
    </w:p>
    <w:p>
      <w:pPr>
        <w:keepNext w:val="0"/>
        <w:keepLines w:val="0"/>
        <w:pageBreakBefore w:val="0"/>
        <w:numPr>
          <w:ilvl w:val="0"/>
          <w:numId w:val="7"/>
        </w:numPr>
        <w:tabs>
          <w:tab w:val="left" w:pos="709"/>
        </w:tabs>
        <w:kinsoku/>
        <w:wordWrap/>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运营维护及管理的全部资产（包括全部产权和建筑物、设备、软件、配套设施、视频监控系统产生的各类数据信息及相关文档资料）未经采购人同意，中标供应商不得用于其他用途，不得以任何方式对各类财产进行出售、抵押或转移；同时，在委托运营及管理期间，中标供应商有责任保证上述全部资产的完整、安全并处于良好状态。</w:t>
      </w:r>
    </w:p>
    <w:p>
      <w:pPr>
        <w:widowControl/>
        <w:numPr>
          <w:ilvl w:val="0"/>
          <w:numId w:val="1"/>
        </w:numPr>
        <w:autoSpaceDE/>
        <w:autoSpaceDN/>
        <w:snapToGrid/>
        <w:spacing w:line="360" w:lineRule="auto"/>
        <w:ind w:firstLine="0" w:firstLineChars="0"/>
        <w:textAlignment w:val="auto"/>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服务</w:t>
      </w:r>
      <w:r>
        <w:rPr>
          <w:rFonts w:hint="eastAsia" w:ascii="黑体" w:hAnsi="黑体" w:eastAsia="黑体" w:cs="黑体"/>
          <w:color w:val="auto"/>
          <w:kern w:val="0"/>
          <w:sz w:val="24"/>
          <w:highlight w:val="none"/>
          <w:lang w:val="en-US" w:eastAsia="zh-CN"/>
        </w:rPr>
        <w:t>期限</w:t>
      </w:r>
    </w:p>
    <w:p>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服务期限</w:t>
      </w:r>
      <w:r>
        <w:rPr>
          <w:rFonts w:ascii="宋体" w:hAnsi="宋体" w:cs="宋体"/>
          <w:color w:val="auto"/>
          <w:kern w:val="0"/>
          <w:sz w:val="24"/>
          <w:highlight w:val="none"/>
        </w:rPr>
        <w:t>为202</w:t>
      </w:r>
      <w:r>
        <w:rPr>
          <w:rFonts w:hint="eastAsia" w:ascii="宋体" w:hAnsi="宋体" w:cs="宋体"/>
          <w:color w:val="auto"/>
          <w:kern w:val="0"/>
          <w:sz w:val="24"/>
          <w:highlight w:val="none"/>
          <w:lang w:val="en-US" w:eastAsia="zh-CN"/>
        </w:rPr>
        <w:t>6</w:t>
      </w:r>
      <w:r>
        <w:rPr>
          <w:rFonts w:ascii="宋体" w:hAnsi="宋体" w:cs="宋体"/>
          <w:color w:val="auto"/>
          <w:kern w:val="0"/>
          <w:sz w:val="24"/>
          <w:highlight w:val="none"/>
        </w:rPr>
        <w:t>年1月1日至202</w:t>
      </w:r>
      <w:r>
        <w:rPr>
          <w:rFonts w:hint="eastAsia" w:ascii="宋体" w:hAnsi="宋体" w:cs="宋体"/>
          <w:color w:val="auto"/>
          <w:kern w:val="0"/>
          <w:sz w:val="24"/>
          <w:highlight w:val="none"/>
          <w:lang w:val="en-US" w:eastAsia="zh-CN"/>
        </w:rPr>
        <w:t>6</w:t>
      </w:r>
      <w:r>
        <w:rPr>
          <w:rFonts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ascii="宋体" w:hAnsi="宋体" w:cs="宋体"/>
          <w:color w:val="auto"/>
          <w:kern w:val="0"/>
          <w:sz w:val="24"/>
          <w:highlight w:val="none"/>
        </w:rPr>
        <w:t>月31日。</w:t>
      </w:r>
    </w:p>
    <w:p>
      <w:pPr>
        <w:widowControl/>
        <w:numPr>
          <w:ilvl w:val="0"/>
          <w:numId w:val="1"/>
        </w:numPr>
        <w:autoSpaceDE/>
        <w:autoSpaceDN/>
        <w:snapToGrid/>
        <w:spacing w:line="360" w:lineRule="auto"/>
        <w:ind w:firstLine="0" w:firstLineChars="0"/>
        <w:textAlignment w:val="auto"/>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资料成果</w:t>
      </w:r>
    </w:p>
    <w:p>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1.日常维护：</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驻场人员考勤表</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《日常维护报告（每月）》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巡检服务记录表（每月）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标识维护记录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故障维修记录</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设备更换</w:t>
      </w:r>
      <w:r>
        <w:rPr>
          <w:rFonts w:hint="eastAsia" w:ascii="宋体" w:hAnsi="宋体" w:eastAsia="宋体" w:cs="宋体"/>
          <w:b/>
          <w:bCs/>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迁移记录</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更换记录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旧设备处置单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服务响应</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服务响应记录</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.网络安全：</w:t>
      </w:r>
      <w:r>
        <w:rPr>
          <w:rFonts w:hint="eastAsia" w:ascii="宋体" w:hAnsi="宋体" w:eastAsia="宋体" w:cs="宋体"/>
          <w:color w:val="auto"/>
          <w:kern w:val="0"/>
          <w:sz w:val="24"/>
          <w:highlight w:val="none"/>
        </w:rPr>
        <w:t>保密协议，网络和数据安全责任书，人员责任书和背景审查资料，整改报告（如有），《</w:t>
      </w:r>
      <w:r>
        <w:rPr>
          <w:rFonts w:hint="eastAsia" w:ascii="宋体" w:hAnsi="宋体" w:eastAsia="宋体" w:cs="宋体"/>
          <w:color w:val="auto"/>
          <w:kern w:val="0"/>
          <w:sz w:val="24"/>
          <w:highlight w:val="none"/>
          <w:lang w:val="en-US" w:eastAsia="zh-CN"/>
        </w:rPr>
        <w:t>硬盘录像机清除记录留存单</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如有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spacing w:line="360" w:lineRule="auto"/>
        <w:ind w:firstLine="470" w:firstLineChars="196"/>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其他</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视频监控</w:t>
      </w:r>
      <w:r>
        <w:rPr>
          <w:rFonts w:hint="eastAsia" w:ascii="宋体" w:hAnsi="宋体" w:eastAsia="宋体" w:cs="宋体"/>
          <w:color w:val="auto"/>
          <w:kern w:val="0"/>
          <w:sz w:val="24"/>
          <w:highlight w:val="none"/>
        </w:rPr>
        <w:t>基础信息清单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网络安全培训记录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pPr>
        <w:widowControl/>
        <w:numPr>
          <w:ilvl w:val="0"/>
          <w:numId w:val="1"/>
        </w:numPr>
        <w:autoSpaceDE/>
        <w:autoSpaceDN/>
        <w:snapToGrid/>
        <w:spacing w:line="360" w:lineRule="auto"/>
        <w:ind w:firstLine="0" w:firstLineChars="0"/>
        <w:textAlignment w:val="auto"/>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支付方式及进度</w:t>
      </w:r>
    </w:p>
    <w:p>
      <w:pPr>
        <w:pStyle w:val="2"/>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adjustRightInd w:val="0"/>
        <w:snapToGrid w:val="0"/>
        <w:spacing w:line="360" w:lineRule="auto"/>
        <w:ind w:left="0" w:firstLine="480" w:firstLineChars="200"/>
        <w:rPr>
          <w:color w:val="auto"/>
          <w:kern w:val="2"/>
          <w:szCs w:val="24"/>
          <w:highlight w:val="none"/>
          <w:lang w:eastAsia="zh-CN"/>
        </w:rPr>
      </w:pPr>
      <w:r>
        <w:rPr>
          <w:rFonts w:hint="eastAsia"/>
          <w:color w:val="auto"/>
          <w:kern w:val="2"/>
          <w:szCs w:val="24"/>
          <w:highlight w:val="none"/>
          <w:lang w:eastAsia="zh-CN"/>
        </w:rPr>
        <w:t>本合同采用固定总价合同，分4次支付。</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olor w:val="auto"/>
          <w:kern w:val="2"/>
          <w:sz w:val="24"/>
          <w:szCs w:val="32"/>
          <w:highlight w:val="none"/>
        </w:rPr>
      </w:pPr>
      <w:r>
        <w:rPr>
          <w:rFonts w:hint="eastAsia" w:ascii="宋体" w:hAnsi="宋体"/>
          <w:color w:val="auto"/>
          <w:kern w:val="2"/>
          <w:sz w:val="24"/>
          <w:szCs w:val="32"/>
          <w:highlight w:val="none"/>
        </w:rPr>
        <w:t>第一笔付款：合同签订后，7个工作日内支付合同总价50%,</w:t>
      </w:r>
      <w:r>
        <w:rPr>
          <w:rFonts w:hint="eastAsia" w:ascii="宋体" w:hAnsi="宋体" w:cs="宋体"/>
          <w:color w:val="auto"/>
          <w:sz w:val="24"/>
          <w:szCs w:val="32"/>
          <w:highlight w:val="none"/>
        </w:rPr>
        <w:t>中标人应在收到货款后及时结清“前期运维费”。</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olor w:val="auto"/>
          <w:kern w:val="2"/>
          <w:sz w:val="24"/>
          <w:szCs w:val="32"/>
          <w:highlight w:val="none"/>
        </w:rPr>
      </w:pPr>
      <w:r>
        <w:rPr>
          <w:rFonts w:hint="eastAsia" w:ascii="宋体" w:hAnsi="宋体"/>
          <w:color w:val="auto"/>
          <w:kern w:val="2"/>
          <w:sz w:val="24"/>
          <w:szCs w:val="32"/>
          <w:highlight w:val="none"/>
        </w:rPr>
        <w:t>第二笔付款：</w:t>
      </w:r>
      <w:r>
        <w:rPr>
          <w:rFonts w:hint="eastAsia" w:ascii="宋体" w:hAnsi="宋体"/>
          <w:color w:val="auto"/>
          <w:kern w:val="2"/>
          <w:sz w:val="24"/>
          <w:szCs w:val="32"/>
          <w:highlight w:val="none"/>
          <w:lang w:eastAsia="zh-CN"/>
        </w:rPr>
        <w:t>202</w:t>
      </w:r>
      <w:r>
        <w:rPr>
          <w:rFonts w:hint="eastAsia" w:ascii="宋体" w:hAnsi="宋体"/>
          <w:color w:val="auto"/>
          <w:kern w:val="2"/>
          <w:sz w:val="24"/>
          <w:szCs w:val="32"/>
          <w:highlight w:val="none"/>
          <w:lang w:val="en-US" w:eastAsia="zh-CN"/>
        </w:rPr>
        <w:t>6</w:t>
      </w:r>
      <w:r>
        <w:rPr>
          <w:rFonts w:hint="eastAsia" w:ascii="宋体" w:hAnsi="宋体"/>
          <w:color w:val="auto"/>
          <w:kern w:val="2"/>
          <w:sz w:val="24"/>
          <w:szCs w:val="32"/>
          <w:highlight w:val="none"/>
        </w:rPr>
        <w:t>年</w:t>
      </w:r>
      <w:r>
        <w:rPr>
          <w:rFonts w:hint="eastAsia" w:ascii="宋体" w:hAnsi="宋体"/>
          <w:color w:val="auto"/>
          <w:kern w:val="2"/>
          <w:sz w:val="24"/>
          <w:szCs w:val="32"/>
          <w:highlight w:val="none"/>
          <w:lang w:val="en-US" w:eastAsia="zh-CN"/>
        </w:rPr>
        <w:t>7</w:t>
      </w:r>
      <w:r>
        <w:rPr>
          <w:rFonts w:hint="eastAsia" w:ascii="宋体" w:hAnsi="宋体"/>
          <w:color w:val="auto"/>
          <w:kern w:val="2"/>
          <w:sz w:val="24"/>
          <w:szCs w:val="32"/>
          <w:highlight w:val="none"/>
        </w:rPr>
        <w:t>月</w:t>
      </w:r>
      <w:r>
        <w:rPr>
          <w:rFonts w:hint="eastAsia" w:ascii="宋体" w:hAnsi="宋体"/>
          <w:color w:val="auto"/>
          <w:kern w:val="2"/>
          <w:sz w:val="24"/>
          <w:szCs w:val="32"/>
          <w:highlight w:val="none"/>
          <w:lang w:val="en-US" w:eastAsia="zh-CN"/>
        </w:rPr>
        <w:t>30</w:t>
      </w:r>
      <w:r>
        <w:rPr>
          <w:rFonts w:hint="eastAsia" w:ascii="宋体" w:hAnsi="宋体"/>
          <w:color w:val="auto"/>
          <w:kern w:val="2"/>
          <w:sz w:val="24"/>
          <w:szCs w:val="32"/>
          <w:highlight w:val="none"/>
        </w:rPr>
        <w:t>日前，15个工作日内支付合同总价25%金额；</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olor w:val="auto"/>
          <w:kern w:val="2"/>
          <w:sz w:val="24"/>
          <w:szCs w:val="32"/>
          <w:highlight w:val="none"/>
        </w:rPr>
      </w:pPr>
      <w:r>
        <w:rPr>
          <w:rFonts w:hint="eastAsia" w:ascii="宋体" w:hAnsi="宋体"/>
          <w:color w:val="auto"/>
          <w:kern w:val="2"/>
          <w:sz w:val="24"/>
          <w:szCs w:val="32"/>
          <w:highlight w:val="none"/>
        </w:rPr>
        <w:t>第三笔付款：</w:t>
      </w:r>
      <w:r>
        <w:rPr>
          <w:rFonts w:hint="eastAsia" w:ascii="宋体" w:hAnsi="宋体"/>
          <w:color w:val="auto"/>
          <w:kern w:val="2"/>
          <w:sz w:val="24"/>
          <w:szCs w:val="32"/>
          <w:highlight w:val="none"/>
          <w:lang w:eastAsia="zh-CN"/>
        </w:rPr>
        <w:t>202</w:t>
      </w:r>
      <w:r>
        <w:rPr>
          <w:rFonts w:hint="eastAsia" w:ascii="宋体" w:hAnsi="宋体"/>
          <w:color w:val="auto"/>
          <w:kern w:val="2"/>
          <w:sz w:val="24"/>
          <w:szCs w:val="32"/>
          <w:highlight w:val="none"/>
          <w:lang w:val="en-US" w:eastAsia="zh-CN"/>
        </w:rPr>
        <w:t>6</w:t>
      </w:r>
      <w:r>
        <w:rPr>
          <w:rFonts w:hint="eastAsia" w:ascii="宋体" w:hAnsi="宋体"/>
          <w:color w:val="auto"/>
          <w:kern w:val="2"/>
          <w:sz w:val="24"/>
          <w:szCs w:val="32"/>
          <w:highlight w:val="none"/>
        </w:rPr>
        <w:t>年9月30日前，15个工作日内支付合同总价2</w:t>
      </w:r>
      <w:r>
        <w:rPr>
          <w:rFonts w:hint="eastAsia" w:ascii="宋体" w:hAnsi="宋体"/>
          <w:color w:val="auto"/>
          <w:kern w:val="2"/>
          <w:sz w:val="24"/>
          <w:szCs w:val="32"/>
          <w:highlight w:val="none"/>
          <w:lang w:val="en-US" w:eastAsia="zh-CN"/>
        </w:rPr>
        <w:t>3</w:t>
      </w:r>
      <w:r>
        <w:rPr>
          <w:rFonts w:hint="eastAsia" w:ascii="宋体" w:hAnsi="宋体"/>
          <w:color w:val="auto"/>
          <w:kern w:val="2"/>
          <w:sz w:val="24"/>
          <w:szCs w:val="32"/>
          <w:highlight w:val="none"/>
        </w:rPr>
        <w:t>%金额；</w:t>
      </w:r>
    </w:p>
    <w:p>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color w:val="auto"/>
          <w:kern w:val="2"/>
          <w:sz w:val="24"/>
          <w:szCs w:val="32"/>
          <w:highlight w:val="none"/>
        </w:rPr>
      </w:pPr>
      <w:r>
        <w:rPr>
          <w:rFonts w:hint="eastAsia" w:ascii="宋体" w:hAnsi="宋体"/>
          <w:color w:val="auto"/>
          <w:kern w:val="2"/>
          <w:sz w:val="24"/>
          <w:szCs w:val="32"/>
          <w:highlight w:val="none"/>
        </w:rPr>
        <w:t>第四笔付款：</w:t>
      </w:r>
      <w:r>
        <w:rPr>
          <w:rFonts w:hint="eastAsia" w:ascii="宋体" w:hAnsi="宋体"/>
          <w:color w:val="auto"/>
          <w:kern w:val="2"/>
          <w:sz w:val="24"/>
          <w:szCs w:val="32"/>
          <w:highlight w:val="none"/>
          <w:lang w:val="en-US" w:eastAsia="zh-CN"/>
        </w:rPr>
        <w:t>2027年一季度前，在</w:t>
      </w:r>
      <w:r>
        <w:rPr>
          <w:rFonts w:hint="eastAsia" w:ascii="宋体" w:hAnsi="宋体"/>
          <w:color w:val="auto"/>
          <w:kern w:val="2"/>
          <w:sz w:val="24"/>
          <w:szCs w:val="32"/>
          <w:highlight w:val="none"/>
        </w:rPr>
        <w:t>乙方提交全部运维资料</w:t>
      </w:r>
      <w:r>
        <w:rPr>
          <w:rFonts w:hint="eastAsia" w:ascii="宋体" w:hAnsi="宋体"/>
          <w:color w:val="auto"/>
          <w:kern w:val="2"/>
          <w:sz w:val="24"/>
          <w:szCs w:val="32"/>
          <w:highlight w:val="none"/>
          <w:lang w:val="en-US" w:eastAsia="zh-CN"/>
        </w:rPr>
        <w:t>且</w:t>
      </w:r>
      <w:r>
        <w:rPr>
          <w:rFonts w:hint="eastAsia" w:ascii="宋体" w:hAnsi="宋体"/>
          <w:color w:val="auto"/>
          <w:kern w:val="2"/>
          <w:sz w:val="24"/>
          <w:szCs w:val="32"/>
          <w:highlight w:val="none"/>
        </w:rPr>
        <w:t>验收通过后，甲方15个工作日内支付合同余款</w:t>
      </w:r>
      <w:r>
        <w:rPr>
          <w:rFonts w:hint="eastAsia" w:ascii="宋体" w:hAnsi="宋体"/>
          <w:color w:val="auto"/>
          <w:kern w:val="2"/>
          <w:sz w:val="24"/>
          <w:szCs w:val="32"/>
          <w:highlight w:val="none"/>
          <w:lang w:val="en-US" w:eastAsia="zh-CN"/>
        </w:rPr>
        <w:t>2</w:t>
      </w:r>
      <w:r>
        <w:rPr>
          <w:rFonts w:hint="eastAsia" w:ascii="宋体" w:hAnsi="宋体"/>
          <w:color w:val="auto"/>
          <w:kern w:val="2"/>
          <w:sz w:val="24"/>
          <w:szCs w:val="32"/>
          <w:highlight w:val="none"/>
        </w:rPr>
        <w:t>%，合同余款应扣除乙方服务缺陷扣款（如有）。</w:t>
      </w:r>
    </w:p>
    <w:p>
      <w:pPr>
        <w:keepNext w:val="0"/>
        <w:keepLines w:val="0"/>
        <w:pageBreakBefore w:val="0"/>
        <w:kinsoku/>
        <w:wordWrap/>
        <w:overflowPunct/>
        <w:topLinePunct w:val="0"/>
        <w:bidi w:val="0"/>
        <w:adjustRightInd w:val="0"/>
        <w:snapToGrid w:val="0"/>
        <w:spacing w:line="360" w:lineRule="auto"/>
        <w:ind w:left="0" w:firstLine="480" w:firstLineChars="200"/>
        <w:contextualSpacing/>
        <w:rPr>
          <w:rFonts w:hint="eastAsia" w:ascii="宋体" w:hAnsi="宋体"/>
          <w:color w:val="auto"/>
          <w:sz w:val="24"/>
          <w:szCs w:val="32"/>
          <w:highlight w:val="none"/>
        </w:rPr>
      </w:pPr>
      <w:r>
        <w:rPr>
          <w:rFonts w:hint="eastAsia" w:ascii="宋体" w:hAnsi="宋体"/>
          <w:color w:val="auto"/>
          <w:kern w:val="2"/>
          <w:sz w:val="24"/>
          <w:szCs w:val="32"/>
          <w:highlight w:val="none"/>
        </w:rPr>
        <w:t>“前期运维费”</w:t>
      </w:r>
      <w:r>
        <w:rPr>
          <w:rFonts w:hint="eastAsia" w:ascii="宋体" w:hAnsi="宋体"/>
          <w:color w:val="auto"/>
          <w:kern w:val="2"/>
          <w:sz w:val="24"/>
          <w:szCs w:val="32"/>
          <w:highlight w:val="none"/>
          <w:lang w:val="en-US" w:eastAsia="zh-CN"/>
        </w:rPr>
        <w:t>结算</w:t>
      </w:r>
      <w:r>
        <w:rPr>
          <w:rFonts w:hint="eastAsia" w:ascii="宋体" w:hAnsi="宋体"/>
          <w:color w:val="auto"/>
          <w:kern w:val="2"/>
          <w:sz w:val="24"/>
          <w:szCs w:val="32"/>
          <w:highlight w:val="none"/>
          <w:lang w:eastAsia="zh-CN"/>
        </w:rPr>
        <w:t>：</w:t>
      </w:r>
      <w:r>
        <w:rPr>
          <w:rFonts w:hint="eastAsia" w:ascii="宋体" w:hAnsi="宋体"/>
          <w:color w:val="auto"/>
          <w:sz w:val="24"/>
          <w:szCs w:val="32"/>
          <w:highlight w:val="none"/>
        </w:rPr>
        <w:t>为保证中心视频监控系统正常使用，</w:t>
      </w:r>
      <w:r>
        <w:rPr>
          <w:rFonts w:hint="eastAsia" w:ascii="宋体" w:hAnsi="宋体"/>
          <w:color w:val="auto"/>
          <w:kern w:val="2"/>
          <w:sz w:val="24"/>
          <w:szCs w:val="32"/>
          <w:highlight w:val="none"/>
        </w:rPr>
        <w:t>自</w:t>
      </w:r>
      <w:r>
        <w:rPr>
          <w:rFonts w:hint="eastAsia" w:ascii="宋体" w:hAnsi="宋体"/>
          <w:color w:val="auto"/>
          <w:kern w:val="2"/>
          <w:sz w:val="24"/>
          <w:szCs w:val="32"/>
          <w:highlight w:val="none"/>
          <w:lang w:eastAsia="zh-CN"/>
        </w:rPr>
        <w:t>202</w:t>
      </w:r>
      <w:r>
        <w:rPr>
          <w:rFonts w:hint="eastAsia" w:ascii="宋体" w:hAnsi="宋体"/>
          <w:color w:val="auto"/>
          <w:kern w:val="2"/>
          <w:sz w:val="24"/>
          <w:szCs w:val="32"/>
          <w:highlight w:val="none"/>
          <w:lang w:val="en-US" w:eastAsia="zh-CN"/>
        </w:rPr>
        <w:t>6</w:t>
      </w:r>
      <w:r>
        <w:rPr>
          <w:rFonts w:hint="eastAsia" w:ascii="宋体" w:hAnsi="宋体"/>
          <w:color w:val="auto"/>
          <w:kern w:val="2"/>
          <w:sz w:val="24"/>
          <w:szCs w:val="32"/>
          <w:highlight w:val="none"/>
        </w:rPr>
        <w:t>年1月1日至</w:t>
      </w:r>
      <w:r>
        <w:rPr>
          <w:rFonts w:hint="eastAsia" w:ascii="宋体" w:hAnsi="宋体"/>
          <w:color w:val="auto"/>
          <w:sz w:val="24"/>
          <w:szCs w:val="32"/>
          <w:highlight w:val="none"/>
        </w:rPr>
        <w:t>本采购项目签订合同前，部分设备、网络仍委托前期服务商提供服务。投标人报价应计入前期已发生的服务费用，并负责在中标后按下表参考金额及时支付给前期服务商，具体支付金额需取得前期服务商的同意，以</w:t>
      </w:r>
      <w:r>
        <w:rPr>
          <w:rFonts w:hint="eastAsia" w:ascii="宋体" w:hAnsi="宋体"/>
          <w:b w:val="0"/>
          <w:bCs w:val="0"/>
          <w:color w:val="auto"/>
          <w:sz w:val="24"/>
          <w:szCs w:val="32"/>
          <w:highlight w:val="none"/>
        </w:rPr>
        <w:t>实际网络切换时间详细计算</w:t>
      </w:r>
      <w:r>
        <w:rPr>
          <w:rFonts w:hint="eastAsia" w:ascii="宋体" w:hAnsi="宋体"/>
          <w:color w:val="auto"/>
          <w:sz w:val="24"/>
          <w:szCs w:val="32"/>
          <w:highlight w:val="none"/>
        </w:rPr>
        <w:t>。</w:t>
      </w:r>
    </w:p>
    <w:tbl>
      <w:tblPr>
        <w:tblStyle w:val="63"/>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769"/>
        <w:gridCol w:w="782"/>
        <w:gridCol w:w="782"/>
        <w:gridCol w:w="1200"/>
        <w:gridCol w:w="1225"/>
        <w:gridCol w:w="33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2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6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属性</w:t>
            </w:r>
          </w:p>
        </w:tc>
        <w:tc>
          <w:tcPr>
            <w:tcW w:w="7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内容</w:t>
            </w:r>
          </w:p>
        </w:tc>
        <w:tc>
          <w:tcPr>
            <w:tcW w:w="7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2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前期已委托的服务事项</w:t>
            </w:r>
          </w:p>
        </w:tc>
        <w:tc>
          <w:tcPr>
            <w:tcW w:w="1225"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前期已委托的费用</w:t>
            </w:r>
          </w:p>
        </w:tc>
        <w:tc>
          <w:tcPr>
            <w:tcW w:w="333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2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6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摄像头</w:t>
            </w:r>
          </w:p>
        </w:tc>
        <w:tc>
          <w:tcPr>
            <w:tcW w:w="7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维护</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210</w:t>
            </w:r>
          </w:p>
        </w:tc>
        <w:tc>
          <w:tcPr>
            <w:tcW w:w="12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视频监控维护</w:t>
            </w:r>
          </w:p>
        </w:tc>
        <w:tc>
          <w:tcPr>
            <w:tcW w:w="1225"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color w:val="auto"/>
                <w:sz w:val="21"/>
                <w:szCs w:val="21"/>
                <w:highlight w:val="none"/>
                <w:lang w:val="en-US" w:eastAsia="zh-CN" w:bidi="ar"/>
              </w:rPr>
              <w:t>785400</w:t>
            </w:r>
          </w:p>
        </w:tc>
        <w:tc>
          <w:tcPr>
            <w:tcW w:w="333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从202</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年1月至合同签订日（按</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月底测算），费用参照202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年项目合同。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42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6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专线</w:t>
            </w:r>
          </w:p>
        </w:tc>
        <w:tc>
          <w:tcPr>
            <w:tcW w:w="7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租赁</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34</w:t>
            </w:r>
          </w:p>
        </w:tc>
        <w:tc>
          <w:tcPr>
            <w:tcW w:w="12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各办公点专线</w:t>
            </w:r>
            <w:r>
              <w:rPr>
                <w:rFonts w:hint="eastAsia" w:ascii="宋体" w:hAnsi="宋体" w:cs="宋体"/>
                <w:i w:val="0"/>
                <w:iCs w:val="0"/>
                <w:color w:val="auto"/>
                <w:kern w:val="0"/>
                <w:sz w:val="21"/>
                <w:szCs w:val="21"/>
                <w:highlight w:val="none"/>
                <w:u w:val="none"/>
                <w:lang w:val="en-US" w:eastAsia="zh-CN" w:bidi="ar"/>
              </w:rPr>
              <w:t>及25个点位网络费用</w:t>
            </w:r>
          </w:p>
        </w:tc>
        <w:tc>
          <w:tcPr>
            <w:tcW w:w="1225"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172000</w:t>
            </w:r>
          </w:p>
        </w:tc>
        <w:tc>
          <w:tcPr>
            <w:tcW w:w="3334"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从202</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年1月至合同签订日（按</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月底测算），费用参照202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年项目合同。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427" w:type="dxa"/>
            <w:tcBorders>
              <w:tl2br w:val="nil"/>
              <w:tr2bl w:val="nil"/>
            </w:tcBorders>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76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卫星卡</w:t>
            </w:r>
          </w:p>
        </w:tc>
        <w:tc>
          <w:tcPr>
            <w:tcW w:w="7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租赁</w:t>
            </w:r>
          </w:p>
        </w:tc>
        <w:tc>
          <w:tcPr>
            <w:tcW w:w="7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卫星卡使用</w:t>
            </w:r>
          </w:p>
        </w:tc>
        <w:tc>
          <w:tcPr>
            <w:tcW w:w="1225"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00</w:t>
            </w:r>
          </w:p>
        </w:tc>
        <w:tc>
          <w:tcPr>
            <w:tcW w:w="3334" w:type="dxa"/>
            <w:tcBorders>
              <w:tl2br w:val="nil"/>
              <w:tr2bl w:val="nil"/>
            </w:tcBorders>
            <w:noWrap/>
            <w:vAlign w:val="center"/>
          </w:tcPr>
          <w:p>
            <w:pPr>
              <w:keepNext w:val="0"/>
              <w:keepLines w:val="0"/>
              <w:widowControl/>
              <w:suppressLineNumbers w:val="0"/>
              <w:jc w:val="center"/>
              <w:textAlignment w:val="center"/>
              <w:rPr>
                <w:rFonts w:hint="eastAsia" w:ascii="等线" w:hAnsi="等线" w:eastAsia="等线" w:cs="等线"/>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从202</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年1月至合同签订日（按</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月底测算），费用参照202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年项目合同。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427" w:type="dxa"/>
            <w:tcBorders>
              <w:tl2br w:val="nil"/>
              <w:tr2bl w:val="nil"/>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769"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应急服务费</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租赁</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200"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配备相关设备</w:t>
            </w:r>
          </w:p>
        </w:tc>
        <w:tc>
          <w:tcPr>
            <w:tcW w:w="1225"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21750</w:t>
            </w:r>
          </w:p>
        </w:tc>
        <w:tc>
          <w:tcPr>
            <w:tcW w:w="3334"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从202</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年1月至合同签订日（按</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月底测算），费用参照202</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年项目合同。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427" w:type="dxa"/>
            <w:tcBorders>
              <w:tl2br w:val="nil"/>
              <w:tr2bl w:val="nil"/>
            </w:tcBorders>
            <w:noWrap/>
            <w:vAlign w:val="center"/>
          </w:tcPr>
          <w:p>
            <w:pPr>
              <w:jc w:val="left"/>
              <w:rPr>
                <w:rFonts w:hint="eastAsia" w:ascii="等线" w:hAnsi="等线" w:eastAsia="等线" w:cs="等线"/>
                <w:i w:val="0"/>
                <w:iCs w:val="0"/>
                <w:color w:val="auto"/>
                <w:sz w:val="22"/>
                <w:szCs w:val="22"/>
                <w:highlight w:val="none"/>
                <w:u w:val="none"/>
              </w:rPr>
            </w:pPr>
          </w:p>
        </w:tc>
        <w:tc>
          <w:tcPr>
            <w:tcW w:w="769" w:type="dxa"/>
            <w:tcBorders>
              <w:tl2br w:val="nil"/>
              <w:tr2bl w:val="nil"/>
            </w:tcBorders>
            <w:noWrap w:val="0"/>
            <w:vAlign w:val="center"/>
          </w:tcPr>
          <w:p>
            <w:pPr>
              <w:jc w:val="left"/>
              <w:rPr>
                <w:rFonts w:hint="eastAsia" w:ascii="宋体" w:hAnsi="宋体" w:eastAsia="宋体" w:cs="宋体"/>
                <w:i w:val="0"/>
                <w:iCs w:val="0"/>
                <w:color w:val="auto"/>
                <w:sz w:val="21"/>
                <w:szCs w:val="21"/>
                <w:highlight w:val="none"/>
                <w:u w:val="none"/>
              </w:rPr>
            </w:pPr>
          </w:p>
        </w:tc>
        <w:tc>
          <w:tcPr>
            <w:tcW w:w="7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782" w:type="dxa"/>
            <w:tcBorders>
              <w:tl2br w:val="nil"/>
              <w:tr2bl w:val="nil"/>
            </w:tcBorders>
            <w:noWrap w:val="0"/>
            <w:vAlign w:val="center"/>
          </w:tcPr>
          <w:p>
            <w:pPr>
              <w:jc w:val="left"/>
              <w:rPr>
                <w:rFonts w:hint="eastAsia" w:ascii="宋体" w:hAnsi="宋体" w:eastAsia="宋体" w:cs="宋体"/>
                <w:b/>
                <w:bCs/>
                <w:i w:val="0"/>
                <w:iCs w:val="0"/>
                <w:color w:val="auto"/>
                <w:sz w:val="21"/>
                <w:szCs w:val="21"/>
                <w:highlight w:val="none"/>
                <w:u w:val="none"/>
                <w:lang w:val="en-US" w:eastAsia="zh-CN" w:bidi="ar-SA"/>
              </w:rPr>
            </w:pPr>
          </w:p>
        </w:tc>
        <w:tc>
          <w:tcPr>
            <w:tcW w:w="1200" w:type="dxa"/>
            <w:tcBorders>
              <w:tl2br w:val="nil"/>
              <w:tr2bl w:val="nil"/>
            </w:tcBorders>
            <w:noWrap w:val="0"/>
            <w:vAlign w:val="center"/>
          </w:tcPr>
          <w:p>
            <w:pPr>
              <w:jc w:val="center"/>
              <w:rPr>
                <w:rFonts w:hint="eastAsia" w:ascii="宋体" w:hAnsi="宋体" w:eastAsia="宋体" w:cs="宋体"/>
                <w:b/>
                <w:bCs/>
                <w:i w:val="0"/>
                <w:iCs w:val="0"/>
                <w:color w:val="auto"/>
                <w:sz w:val="21"/>
                <w:szCs w:val="21"/>
                <w:highlight w:val="none"/>
                <w:u w:val="none"/>
                <w:lang w:val="en-US" w:eastAsia="zh-CN" w:bidi="ar-SA"/>
              </w:rPr>
            </w:pPr>
          </w:p>
        </w:tc>
        <w:tc>
          <w:tcPr>
            <w:tcW w:w="1225" w:type="dxa"/>
            <w:tcBorders>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bidi="ar-SA"/>
              </w:rPr>
            </w:pPr>
            <w:r>
              <w:rPr>
                <w:rFonts w:hint="eastAsia" w:ascii="宋体" w:hAnsi="宋体" w:cs="宋体"/>
                <w:b/>
                <w:bCs/>
                <w:i w:val="0"/>
                <w:iCs w:val="0"/>
                <w:color w:val="auto"/>
                <w:kern w:val="0"/>
                <w:sz w:val="21"/>
                <w:szCs w:val="21"/>
                <w:highlight w:val="none"/>
                <w:u w:val="none"/>
                <w:lang w:val="en-US" w:eastAsia="zh-CN" w:bidi="ar"/>
              </w:rPr>
              <w:t>982750</w:t>
            </w:r>
          </w:p>
        </w:tc>
        <w:tc>
          <w:tcPr>
            <w:tcW w:w="3334" w:type="dxa"/>
            <w:tcBorders>
              <w:tl2br w:val="nil"/>
              <w:tr2bl w:val="nil"/>
            </w:tcBorders>
            <w:noWrap/>
            <w:vAlign w:val="center"/>
          </w:tcPr>
          <w:p>
            <w:pPr>
              <w:jc w:val="left"/>
              <w:rPr>
                <w:rFonts w:hint="eastAsia" w:ascii="等线" w:hAnsi="等线" w:eastAsia="等线" w:cs="等线"/>
                <w:i w:val="0"/>
                <w:iCs w:val="0"/>
                <w:color w:val="auto"/>
                <w:sz w:val="22"/>
                <w:szCs w:val="22"/>
                <w:highlight w:val="none"/>
                <w:u w:val="none"/>
              </w:rPr>
            </w:pPr>
          </w:p>
        </w:tc>
      </w:tr>
    </w:tbl>
    <w:p>
      <w:pPr>
        <w:spacing w:line="360" w:lineRule="auto"/>
        <w:ind w:firstLine="420" w:firstLineChars="200"/>
        <w:contextualSpacing/>
        <w:jc w:val="right"/>
        <w:rPr>
          <w:rFonts w:hint="default" w:ascii="宋体" w:hAnsi="宋体" w:eastAsia="宋体" w:cs="宋体"/>
          <w:color w:val="auto"/>
          <w:szCs w:val="24"/>
          <w:highlight w:val="none"/>
          <w:lang w:val="en-US" w:eastAsia="zh-CN"/>
        </w:rPr>
      </w:pPr>
      <w:r>
        <w:rPr>
          <w:rFonts w:hint="eastAsia" w:ascii="仿宋" w:hAnsi="仿宋" w:eastAsia="仿宋" w:cs="仿宋"/>
          <w:color w:val="auto"/>
          <w:szCs w:val="24"/>
          <w:highlight w:val="none"/>
          <w:lang w:val="en-US" w:eastAsia="zh-CN"/>
        </w:rPr>
        <w:t>注：本表金额仅供参考</w:t>
      </w:r>
      <w:r>
        <w:rPr>
          <w:rFonts w:hint="eastAsia" w:ascii="宋体" w:hAnsi="宋体" w:cs="宋体"/>
          <w:color w:val="auto"/>
          <w:szCs w:val="24"/>
          <w:highlight w:val="none"/>
          <w:lang w:val="en-US" w:eastAsia="zh-CN"/>
        </w:rPr>
        <w:t>。</w:t>
      </w:r>
    </w:p>
    <w:p>
      <w:pPr>
        <w:spacing w:line="360" w:lineRule="auto"/>
        <w:ind w:firstLine="480" w:firstLineChars="200"/>
        <w:contextualSpacing/>
        <w:rPr>
          <w:rFonts w:hint="eastAsia" w:ascii="宋体" w:hAnsi="宋体"/>
          <w:color w:val="auto"/>
          <w:sz w:val="24"/>
          <w:szCs w:val="24"/>
          <w:highlight w:val="none"/>
        </w:rPr>
      </w:pPr>
      <w:r>
        <w:rPr>
          <w:rFonts w:hint="eastAsia" w:ascii="宋体" w:hAnsi="宋体" w:cs="宋体"/>
          <w:color w:val="auto"/>
          <w:sz w:val="24"/>
          <w:szCs w:val="24"/>
          <w:highlight w:val="none"/>
        </w:rPr>
        <w:t>中标</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承诺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服务期满后，在甲方2027年运维项目合同签订前，将继续</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eastAsia="zh-CN"/>
        </w:rPr>
        <w:t>20</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年的合同</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要求</w:t>
      </w:r>
      <w:r>
        <w:rPr>
          <w:rFonts w:hint="eastAsia" w:ascii="宋体" w:hAnsi="宋体" w:cs="宋体"/>
          <w:color w:val="auto"/>
          <w:sz w:val="24"/>
          <w:szCs w:val="24"/>
          <w:highlight w:val="none"/>
          <w:lang w:val="en-US" w:eastAsia="zh-CN"/>
        </w:rPr>
        <w:t>提供运维服务工作</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中标供应商</w:t>
      </w:r>
      <w:r>
        <w:rPr>
          <w:rFonts w:hint="eastAsia" w:ascii="宋体" w:hAnsi="宋体" w:eastAsia="宋体" w:cs="宋体"/>
          <w:color w:val="auto"/>
          <w:sz w:val="24"/>
          <w:szCs w:val="24"/>
          <w:highlight w:val="none"/>
        </w:rPr>
        <w:t>同意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按20</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年项目</w:t>
      </w:r>
      <w:r>
        <w:rPr>
          <w:rFonts w:hint="eastAsia" w:ascii="宋体" w:hAnsi="宋体" w:cs="宋体"/>
          <w:color w:val="auto"/>
          <w:sz w:val="24"/>
          <w:szCs w:val="24"/>
          <w:highlight w:val="none"/>
          <w:lang w:val="en-US" w:eastAsia="zh-CN"/>
        </w:rPr>
        <w:t>“前期运维费”的</w:t>
      </w:r>
      <w:r>
        <w:rPr>
          <w:rFonts w:hint="eastAsia" w:ascii="宋体" w:hAnsi="宋体" w:cs="宋体"/>
          <w:color w:val="auto"/>
          <w:sz w:val="24"/>
          <w:szCs w:val="24"/>
          <w:highlight w:val="none"/>
        </w:rPr>
        <w:t>结算方式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由新中标单位</w:t>
      </w:r>
      <w:r>
        <w:rPr>
          <w:rFonts w:hint="eastAsia" w:ascii="宋体" w:hAnsi="宋体" w:cs="宋体"/>
          <w:color w:val="auto"/>
          <w:sz w:val="24"/>
          <w:szCs w:val="24"/>
          <w:highlight w:val="none"/>
        </w:rPr>
        <w:t>支付该时段</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费用。</w:t>
      </w:r>
    </w:p>
    <w:p>
      <w:pPr>
        <w:pStyle w:val="263"/>
        <w:snapToGrid w:val="0"/>
        <w:ind w:firstLine="470" w:firstLineChars="196"/>
        <w:jc w:val="left"/>
        <w:rPr>
          <w:rFonts w:hint="eastAsia" w:ascii="宋体" w:hAnsi="宋体" w:cs="宋体"/>
          <w:color w:val="auto"/>
          <w:kern w:val="0"/>
          <w:sz w:val="24"/>
          <w:highlight w:val="none"/>
        </w:rPr>
      </w:pPr>
    </w:p>
    <w:p>
      <w:pPr>
        <w:widowControl/>
        <w:numPr>
          <w:ilvl w:val="0"/>
          <w:numId w:val="1"/>
        </w:numPr>
        <w:snapToGrid/>
        <w:spacing w:line="360" w:lineRule="auto"/>
        <w:ind w:firstLine="0" w:firstLineChars="0"/>
        <w:rPr>
          <w:rFonts w:hint="eastAsia" w:ascii="黑体" w:hAnsi="黑体" w:eastAsia="黑体" w:cs="黑体"/>
          <w:b w:val="0"/>
          <w:bCs w:val="0"/>
          <w:color w:val="auto"/>
          <w:kern w:val="0"/>
          <w:sz w:val="24"/>
          <w:highlight w:val="none"/>
        </w:rPr>
      </w:pPr>
      <w:r>
        <w:rPr>
          <w:rFonts w:hint="eastAsia" w:ascii="黑体" w:hAnsi="黑体" w:eastAsia="黑体" w:cs="黑体"/>
          <w:b w:val="0"/>
          <w:bCs w:val="0"/>
          <w:color w:val="auto"/>
          <w:kern w:val="0"/>
          <w:sz w:val="24"/>
          <w:highlight w:val="none"/>
        </w:rPr>
        <w:t>服务缺陷扣款</w:t>
      </w:r>
    </w:p>
    <w:p>
      <w:pPr>
        <w:pStyle w:val="25"/>
        <w:keepNext w:val="0"/>
        <w:keepLines w:val="0"/>
        <w:pageBreakBefore w:val="0"/>
        <w:kinsoku/>
        <w:wordWrap/>
        <w:overflowPunct/>
        <w:topLinePunct w:val="0"/>
        <w:bidi w:val="0"/>
        <w:adjustRightInd w:val="0"/>
        <w:snapToGrid w:val="0"/>
        <w:spacing w:after="0" w:afterLines="0" w:line="360" w:lineRule="auto"/>
        <w:ind w:firstLine="480" w:firstLineChars="200"/>
        <w:rPr>
          <w:rFonts w:hint="eastAsia" w:ascii="宋体" w:hAnsi="宋体"/>
          <w:color w:val="auto"/>
          <w:kern w:val="2"/>
          <w:sz w:val="24"/>
          <w:szCs w:val="24"/>
          <w:highlight w:val="none"/>
        </w:rPr>
      </w:pPr>
      <w:r>
        <w:rPr>
          <w:rFonts w:hint="eastAsia" w:ascii="宋体" w:hAnsi="宋体"/>
          <w:color w:val="auto"/>
          <w:kern w:val="2"/>
          <w:sz w:val="24"/>
          <w:szCs w:val="24"/>
          <w:highlight w:val="none"/>
        </w:rPr>
        <w:t>1、服务缺陷扣款：本合同服务缺陷扣款金额上限为合同金额的</w:t>
      </w:r>
      <w:r>
        <w:rPr>
          <w:rFonts w:hint="eastAsia" w:hAnsi="宋体"/>
          <w:color w:val="auto"/>
          <w:kern w:val="2"/>
          <w:sz w:val="24"/>
          <w:szCs w:val="24"/>
          <w:highlight w:val="none"/>
          <w:lang w:val="en-US" w:eastAsia="zh-CN"/>
        </w:rPr>
        <w:t>2</w:t>
      </w:r>
      <w:r>
        <w:rPr>
          <w:rFonts w:hint="eastAsia" w:ascii="宋体" w:hAnsi="宋体"/>
          <w:color w:val="auto"/>
          <w:kern w:val="2"/>
          <w:sz w:val="24"/>
          <w:szCs w:val="24"/>
          <w:highlight w:val="none"/>
        </w:rPr>
        <w:t>%，扣款在最后一期付款前一次性完成，具体扣款款项如下，</w:t>
      </w:r>
      <w:r>
        <w:rPr>
          <w:rFonts w:hint="eastAsia" w:ascii="宋体" w:hAnsi="宋体"/>
          <w:color w:val="auto"/>
          <w:kern w:val="2"/>
          <w:sz w:val="24"/>
          <w:szCs w:val="24"/>
          <w:highlight w:val="none"/>
          <w:lang w:val="en-US" w:eastAsia="zh-CN"/>
        </w:rPr>
        <w:t>5</w:t>
      </w:r>
      <w:r>
        <w:rPr>
          <w:rFonts w:hint="eastAsia" w:ascii="宋体" w:hAnsi="宋体"/>
          <w:color w:val="auto"/>
          <w:kern w:val="2"/>
          <w:sz w:val="24"/>
          <w:szCs w:val="24"/>
          <w:highlight w:val="none"/>
        </w:rPr>
        <w:t>项可累加：</w:t>
      </w:r>
    </w:p>
    <w:p>
      <w:pPr>
        <w:pStyle w:val="25"/>
        <w:keepNext w:val="0"/>
        <w:keepLines w:val="0"/>
        <w:pageBreakBefore w:val="0"/>
        <w:kinsoku/>
        <w:wordWrap/>
        <w:overflowPunct/>
        <w:topLinePunct w:val="0"/>
        <w:bidi w:val="0"/>
        <w:adjustRightInd w:val="0"/>
        <w:snapToGrid w:val="0"/>
        <w:spacing w:after="0" w:afterLines="0" w:line="360" w:lineRule="auto"/>
        <w:ind w:firstLine="480" w:firstLineChars="200"/>
        <w:rPr>
          <w:rFonts w:hint="eastAsia" w:ascii="宋体" w:hAnsi="宋体"/>
          <w:color w:val="auto"/>
          <w:kern w:val="2"/>
          <w:sz w:val="24"/>
          <w:szCs w:val="24"/>
          <w:highlight w:val="none"/>
        </w:rPr>
      </w:pPr>
      <w:r>
        <w:rPr>
          <w:rFonts w:hint="eastAsia" w:ascii="宋体" w:hAnsi="宋体"/>
          <w:color w:val="auto"/>
          <w:kern w:val="2"/>
          <w:sz w:val="24"/>
          <w:szCs w:val="24"/>
          <w:highlight w:val="none"/>
          <w:lang w:val="en-US" w:eastAsia="zh-CN"/>
        </w:rPr>
        <w:t>注：</w:t>
      </w:r>
      <w:r>
        <w:rPr>
          <w:rFonts w:hint="eastAsia" w:ascii="宋体" w:hAnsi="宋体" w:cs="宋体"/>
          <w:color w:val="auto"/>
          <w:sz w:val="24"/>
          <w:szCs w:val="24"/>
          <w:highlight w:val="none"/>
        </w:rPr>
        <w:t>因不可抗力或者施工、用电等原因，提交报备审批流程并获得</w:t>
      </w:r>
      <w:r>
        <w:rPr>
          <w:rFonts w:hint="eastAsia" w:ascii="宋体" w:hAnsi="宋体" w:cs="宋体"/>
          <w:color w:val="auto"/>
          <w:sz w:val="24"/>
          <w:szCs w:val="24"/>
          <w:highlight w:val="none"/>
          <w:lang w:val="en-US" w:eastAsia="zh-CN"/>
        </w:rPr>
        <w:t>管理单位</w:t>
      </w:r>
      <w:r>
        <w:rPr>
          <w:rFonts w:hint="eastAsia" w:ascii="宋体" w:hAnsi="宋体" w:cs="宋体"/>
          <w:color w:val="auto"/>
          <w:sz w:val="24"/>
          <w:szCs w:val="24"/>
          <w:highlight w:val="none"/>
        </w:rPr>
        <w:t>审批认可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对应时间段不计入在线率考核</w:t>
      </w:r>
      <w:r>
        <w:rPr>
          <w:rFonts w:hint="eastAsia" w:ascii="宋体" w:hAnsi="宋体" w:cs="宋体"/>
          <w:color w:val="auto"/>
          <w:sz w:val="24"/>
          <w:szCs w:val="24"/>
          <w:highlight w:val="none"/>
          <w:lang w:eastAsia="zh-CN"/>
        </w:rPr>
        <w:t>。</w:t>
      </w:r>
    </w:p>
    <w:p>
      <w:pPr>
        <w:pStyle w:val="25"/>
        <w:keepNext w:val="0"/>
        <w:keepLines w:val="0"/>
        <w:pageBreakBefore w:val="0"/>
        <w:kinsoku/>
        <w:wordWrap/>
        <w:overflowPunct/>
        <w:topLinePunct w:val="0"/>
        <w:bidi w:val="0"/>
        <w:adjustRightInd w:val="0"/>
        <w:snapToGrid w:val="0"/>
        <w:spacing w:after="0" w:afterLines="0" w:line="360" w:lineRule="auto"/>
        <w:ind w:firstLine="480" w:firstLineChars="200"/>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rPr>
        <w:t>1）</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单点在线率</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低于70%的，按月统计，扣除该月该点的流量费用</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按照24年单点约240元/月折算</w:t>
      </w:r>
      <w:r>
        <w:rPr>
          <w:rFonts w:hint="eastAsia" w:ascii="宋体" w:hAnsi="宋体"/>
          <w:color w:val="auto"/>
          <w:kern w:val="2"/>
          <w:sz w:val="24"/>
          <w:szCs w:val="24"/>
          <w:highlight w:val="none"/>
          <w:lang w:eastAsia="zh-CN"/>
        </w:rPr>
        <w:t>）。</w:t>
      </w:r>
    </w:p>
    <w:p>
      <w:pPr>
        <w:pStyle w:val="25"/>
        <w:snapToGrid w:val="0"/>
        <w:spacing w:afterLines="0" w:line="360" w:lineRule="auto"/>
        <w:ind w:firstLine="480" w:firstLineChars="200"/>
        <w:rPr>
          <w:rFonts w:hint="default" w:ascii="宋体" w:hAnsi="宋体"/>
          <w:b/>
          <w:bCs/>
          <w:color w:val="auto"/>
          <w:kern w:val="0"/>
          <w:sz w:val="24"/>
          <w:szCs w:val="24"/>
          <w:highlight w:val="none"/>
          <w:lang w:eastAsia="zh-CN"/>
        </w:rPr>
      </w:pPr>
      <w:r>
        <w:rPr>
          <w:rFonts w:hint="eastAsia" w:ascii="宋体" w:hAnsi="宋体"/>
          <w:color w:val="auto"/>
          <w:kern w:val="2"/>
          <w:sz w:val="24"/>
          <w:szCs w:val="24"/>
          <w:highlight w:val="none"/>
          <w:lang w:eastAsia="zh-CN"/>
        </w:rPr>
        <w:t>“</w:t>
      </w:r>
      <w:r>
        <w:rPr>
          <w:rFonts w:hint="eastAsia" w:ascii="宋体" w:hAnsi="宋体" w:cs="宋体"/>
          <w:color w:val="auto"/>
          <w:sz w:val="24"/>
          <w:szCs w:val="24"/>
          <w:highlight w:val="none"/>
        </w:rPr>
        <w:t>单点在线率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计算公式</w:t>
      </w:r>
      <w:r>
        <w:rPr>
          <w:rFonts w:hint="eastAsia" w:ascii="宋体" w:hAnsi="宋体" w:cs="宋体"/>
          <w:color w:val="auto"/>
          <w:sz w:val="24"/>
          <w:szCs w:val="24"/>
          <w:highlight w:val="none"/>
        </w:rPr>
        <w:t>：每10分钟监测一次单个视频监控点的图像在线情况，计算单点每月在线数和每月应在线数的比值。图像在线情况以“浙江省水利视频监控云平台”监测的数据为准。非中标方原因造成的视频点长时间不在线，由供应商提出书面的服务质量缺陷豁免申请，该点可不计入服务质量考核，业主方可要求中标方免费迁移</w:t>
      </w:r>
      <w:r>
        <w:rPr>
          <w:rFonts w:hint="eastAsia" w:ascii="宋体" w:hAnsi="宋体" w:cs="宋体"/>
          <w:color w:val="auto"/>
          <w:sz w:val="24"/>
          <w:szCs w:val="24"/>
          <w:highlight w:val="none"/>
          <w:lang w:val="en-US" w:eastAsia="zh-CN"/>
        </w:rPr>
        <w:t>该</w:t>
      </w:r>
      <w:r>
        <w:rPr>
          <w:rFonts w:hint="eastAsia" w:ascii="宋体" w:hAnsi="宋体" w:cs="宋体"/>
          <w:color w:val="auto"/>
          <w:sz w:val="24"/>
          <w:szCs w:val="24"/>
          <w:highlight w:val="none"/>
        </w:rPr>
        <w:t>点位。</w:t>
      </w:r>
    </w:p>
    <w:p>
      <w:pPr>
        <w:pStyle w:val="25"/>
        <w:keepNext w:val="0"/>
        <w:keepLines w:val="0"/>
        <w:pageBreakBefore w:val="0"/>
        <w:kinsoku/>
        <w:wordWrap/>
        <w:overflowPunct/>
        <w:topLinePunct w:val="0"/>
        <w:bidi w:val="0"/>
        <w:adjustRightInd w:val="0"/>
        <w:snapToGrid w:val="0"/>
        <w:spacing w:after="0" w:afterLines="0" w:line="360" w:lineRule="auto"/>
        <w:ind w:firstLine="480" w:firstLineChars="200"/>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rPr>
        <w:t>2）</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日常在线率</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低于</w:t>
      </w:r>
      <w:r>
        <w:rPr>
          <w:rFonts w:hint="eastAsia" w:ascii="宋体" w:hAnsi="宋体"/>
          <w:color w:val="auto"/>
          <w:kern w:val="2"/>
          <w:sz w:val="24"/>
          <w:szCs w:val="24"/>
          <w:highlight w:val="none"/>
          <w:lang w:val="en-US" w:eastAsia="zh-CN"/>
        </w:rPr>
        <w:t>95</w:t>
      </w:r>
      <w:r>
        <w:rPr>
          <w:rFonts w:hint="eastAsia" w:ascii="宋体" w:hAnsi="宋体"/>
          <w:color w:val="auto"/>
          <w:kern w:val="2"/>
          <w:sz w:val="24"/>
          <w:szCs w:val="24"/>
          <w:highlight w:val="none"/>
        </w:rPr>
        <w:t>%的，按月统计，</w:t>
      </w:r>
      <w:r>
        <w:rPr>
          <w:rFonts w:hint="eastAsia" w:ascii="宋体" w:hAnsi="宋体"/>
          <w:color w:val="auto"/>
          <w:kern w:val="2"/>
          <w:sz w:val="24"/>
          <w:szCs w:val="24"/>
          <w:highlight w:val="none"/>
          <w:lang w:val="en-US" w:eastAsia="zh-CN"/>
        </w:rPr>
        <w:t>总体</w:t>
      </w:r>
      <w:r>
        <w:rPr>
          <w:rFonts w:hint="eastAsia" w:ascii="宋体" w:hAnsi="宋体"/>
          <w:color w:val="auto"/>
          <w:kern w:val="2"/>
          <w:sz w:val="24"/>
          <w:szCs w:val="24"/>
          <w:highlight w:val="none"/>
        </w:rPr>
        <w:t>在线率每少1%扣除1000元</w:t>
      </w:r>
      <w:r>
        <w:rPr>
          <w:rFonts w:hint="eastAsia" w:ascii="宋体" w:hAnsi="宋体"/>
          <w:color w:val="auto"/>
          <w:kern w:val="2"/>
          <w:sz w:val="24"/>
          <w:szCs w:val="24"/>
          <w:highlight w:val="none"/>
          <w:lang w:eastAsia="zh-CN"/>
        </w:rPr>
        <w:t>。</w:t>
      </w:r>
    </w:p>
    <w:p>
      <w:pPr>
        <w:pStyle w:val="25"/>
        <w:keepNext w:val="0"/>
        <w:keepLines w:val="0"/>
        <w:pageBreakBefore w:val="0"/>
        <w:kinsoku/>
        <w:wordWrap/>
        <w:overflowPunct/>
        <w:topLinePunct w:val="0"/>
        <w:bidi w:val="0"/>
        <w:adjustRightInd w:val="0"/>
        <w:snapToGrid w:val="0"/>
        <w:spacing w:after="0" w:afterLines="0" w:line="360" w:lineRule="auto"/>
        <w:ind w:firstLine="480" w:firstLineChars="200"/>
        <w:rPr>
          <w:rFonts w:hint="eastAsia" w:ascii="宋体" w:hAnsi="宋体"/>
          <w:color w:val="auto"/>
          <w:kern w:val="2"/>
          <w:sz w:val="24"/>
          <w:szCs w:val="24"/>
          <w:highlight w:val="none"/>
        </w:rPr>
      </w:pP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日常在线率</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计算公式：</w:t>
      </w:r>
      <w:r>
        <w:rPr>
          <w:rFonts w:hint="eastAsia" w:ascii="宋体" w:hAnsi="宋体" w:cs="宋体"/>
          <w:color w:val="auto"/>
          <w:sz w:val="24"/>
          <w:szCs w:val="24"/>
          <w:highlight w:val="none"/>
        </w:rPr>
        <w:t>合同内所有</w:t>
      </w:r>
      <w:r>
        <w:rPr>
          <w:rFonts w:hint="eastAsia" w:ascii="宋体" w:hAnsi="宋体" w:cs="宋体"/>
          <w:color w:val="auto"/>
          <w:sz w:val="24"/>
          <w:szCs w:val="24"/>
          <w:highlight w:val="none"/>
          <w:lang w:val="en-US" w:eastAsia="zh-CN"/>
        </w:rPr>
        <w:t>监控点</w:t>
      </w:r>
      <w:r>
        <w:rPr>
          <w:rFonts w:hint="eastAsia" w:ascii="宋体" w:hAnsi="宋体" w:cs="宋体"/>
          <w:color w:val="auto"/>
          <w:sz w:val="24"/>
          <w:szCs w:val="24"/>
          <w:highlight w:val="none"/>
        </w:rPr>
        <w:t>每月的单点在线率平均值。更新点未上线前，仅计入运维点单点在线率。</w:t>
      </w:r>
    </w:p>
    <w:p>
      <w:pPr>
        <w:spacing w:line="360" w:lineRule="auto"/>
        <w:ind w:firstLine="480" w:firstLineChars="200"/>
        <w:contextualSpacing/>
        <w:rPr>
          <w:rFonts w:hint="eastAsia" w:ascii="宋体" w:hAnsi="宋体"/>
          <w:color w:val="auto"/>
          <w:sz w:val="24"/>
          <w:szCs w:val="24"/>
          <w:highlight w:val="none"/>
          <w:lang w:val="en-US" w:eastAsia="zh-CN"/>
        </w:rPr>
      </w:pPr>
      <w:r>
        <w:rPr>
          <w:rFonts w:hint="eastAsia" w:ascii="宋体" w:hAnsi="宋体"/>
          <w:color w:val="auto"/>
          <w:kern w:val="2"/>
          <w:sz w:val="24"/>
          <w:szCs w:val="24"/>
          <w:highlight w:val="none"/>
          <w:lang w:val="en-US" w:eastAsia="zh-CN"/>
        </w:rPr>
        <w:t>3</w:t>
      </w:r>
      <w:r>
        <w:rPr>
          <w:rFonts w:hint="eastAsia" w:ascii="宋体" w:hAnsi="宋体"/>
          <w:color w:val="auto"/>
          <w:kern w:val="2"/>
          <w:sz w:val="24"/>
          <w:szCs w:val="24"/>
          <w:highlight w:val="none"/>
        </w:rPr>
        <w:t>）签订合同起30天内，所有</w:t>
      </w:r>
      <w:r>
        <w:rPr>
          <w:rFonts w:hint="eastAsia" w:ascii="宋体" w:hAnsi="宋体"/>
          <w:color w:val="auto"/>
          <w:kern w:val="2"/>
          <w:sz w:val="24"/>
          <w:szCs w:val="24"/>
          <w:highlight w:val="none"/>
          <w:lang w:val="en-US" w:eastAsia="zh-CN"/>
        </w:rPr>
        <w:t>站点视频监控必须</w:t>
      </w:r>
      <w:r>
        <w:rPr>
          <w:rFonts w:hint="eastAsia" w:ascii="宋体" w:hAnsi="宋体"/>
          <w:color w:val="auto"/>
          <w:kern w:val="2"/>
          <w:sz w:val="24"/>
          <w:szCs w:val="24"/>
          <w:highlight w:val="none"/>
        </w:rPr>
        <w:t>全部接入浙江省水利视频监控云平台，每超期1天，扣除4000元/天。</w:t>
      </w:r>
    </w:p>
    <w:p>
      <w:pPr>
        <w:pStyle w:val="25"/>
        <w:keepNext w:val="0"/>
        <w:keepLines w:val="0"/>
        <w:pageBreakBefore w:val="0"/>
        <w:kinsoku/>
        <w:wordWrap/>
        <w:overflowPunct/>
        <w:topLinePunct w:val="0"/>
        <w:bidi w:val="0"/>
        <w:adjustRightInd w:val="0"/>
        <w:snapToGrid w:val="0"/>
        <w:spacing w:after="0" w:afterLines="0" w:line="360" w:lineRule="auto"/>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2、发生重大网络安全生产责任事故、重大违约</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rPr>
        <w:t>累计服务缺陷扣款超过合同总价的</w:t>
      </w:r>
      <w:r>
        <w:rPr>
          <w:rFonts w:hint="eastAsia" w:hAnsi="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rPr>
        <w:t>%，或参与运维人员存在重大风险的，</w:t>
      </w:r>
      <w:r>
        <w:rPr>
          <w:rFonts w:hint="eastAsia" w:ascii="宋体" w:hAnsi="宋体" w:eastAsia="宋体" w:cs="Times New Roman"/>
          <w:color w:val="auto"/>
          <w:kern w:val="2"/>
          <w:sz w:val="24"/>
          <w:szCs w:val="24"/>
          <w:highlight w:val="none"/>
          <w:lang w:val="en-US" w:eastAsia="zh-CN"/>
        </w:rPr>
        <w:t>甲</w:t>
      </w:r>
      <w:r>
        <w:rPr>
          <w:rFonts w:hint="eastAsia" w:ascii="宋体" w:hAnsi="宋体" w:eastAsia="宋体" w:cs="Times New Roman"/>
          <w:color w:val="auto"/>
          <w:kern w:val="2"/>
          <w:sz w:val="24"/>
          <w:szCs w:val="24"/>
          <w:highlight w:val="none"/>
        </w:rPr>
        <w:t>方有权终止合同，扣除合同金额</w:t>
      </w:r>
      <w:r>
        <w:rPr>
          <w:rFonts w:hint="eastAsia" w:hAnsi="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rPr>
        <w:t>%的全部金额，并根据事故责任大小提出索赔。</w:t>
      </w:r>
    </w:p>
    <w:p>
      <w:pPr>
        <w:widowControl/>
        <w:numPr>
          <w:ilvl w:val="0"/>
          <w:numId w:val="1"/>
        </w:numPr>
        <w:spacing w:line="360" w:lineRule="auto"/>
        <w:ind w:firstLine="0" w:firstLineChars="0"/>
        <w:rPr>
          <w:rFonts w:hint="eastAsia" w:ascii="黑体" w:hAnsi="黑体" w:eastAsia="黑体" w:cs="黑体"/>
          <w:color w:val="auto"/>
          <w:kern w:val="0"/>
          <w:sz w:val="24"/>
          <w:highlight w:val="none"/>
        </w:rPr>
      </w:pPr>
      <w:r>
        <w:rPr>
          <w:rFonts w:hint="eastAsia" w:ascii="黑体" w:hAnsi="黑体" w:eastAsia="黑体" w:cs="黑体"/>
          <w:color w:val="auto"/>
          <w:kern w:val="0"/>
          <w:sz w:val="24"/>
          <w:highlight w:val="none"/>
        </w:rPr>
        <w:t>其他事项</w:t>
      </w:r>
    </w:p>
    <w:p>
      <w:pPr>
        <w:spacing w:line="360" w:lineRule="auto"/>
        <w:ind w:firstLine="470" w:firstLineChars="196"/>
        <w:rPr>
          <w:rFonts w:hint="eastAsia" w:ascii="宋体" w:hAnsi="宋体" w:eastAsia="宋体" w:cs="Times New Roman"/>
          <w:snapToGrid/>
          <w:color w:val="auto"/>
          <w:kern w:val="2"/>
          <w:sz w:val="24"/>
          <w:szCs w:val="24"/>
          <w:highlight w:val="none"/>
          <w:lang w:val="zh-CN" w:eastAsia="zh-CN" w:bidi="ar-SA"/>
        </w:rPr>
      </w:pPr>
      <w:r>
        <w:rPr>
          <w:rFonts w:hint="eastAsia" w:ascii="宋体" w:hAnsi="宋体" w:eastAsia="宋体" w:cs="Times New Roman"/>
          <w:snapToGrid/>
          <w:color w:val="auto"/>
          <w:kern w:val="2"/>
          <w:sz w:val="24"/>
          <w:szCs w:val="24"/>
          <w:highlight w:val="none"/>
          <w:lang w:val="zh-CN" w:eastAsia="zh-CN" w:bidi="ar-SA"/>
        </w:rPr>
        <w:t>1、项目承担单位应对提交的成果内容真实性和质量负责。</w:t>
      </w:r>
    </w:p>
    <w:p>
      <w:pPr>
        <w:spacing w:line="360" w:lineRule="auto"/>
        <w:ind w:firstLine="470" w:firstLineChars="196"/>
        <w:rPr>
          <w:rFonts w:hint="eastAsia" w:ascii="宋体" w:hAnsi="宋体" w:eastAsia="宋体" w:cs="Times New Roman"/>
          <w:snapToGrid/>
          <w:color w:val="auto"/>
          <w:kern w:val="2"/>
          <w:sz w:val="24"/>
          <w:szCs w:val="24"/>
          <w:highlight w:val="none"/>
          <w:lang w:val="zh-CN" w:eastAsia="zh-CN" w:bidi="ar-SA"/>
        </w:rPr>
      </w:pPr>
      <w:r>
        <w:rPr>
          <w:rFonts w:hint="eastAsia" w:ascii="宋体" w:hAnsi="宋体" w:eastAsia="宋体" w:cs="Times New Roman"/>
          <w:snapToGrid/>
          <w:color w:val="auto"/>
          <w:kern w:val="2"/>
          <w:sz w:val="24"/>
          <w:szCs w:val="24"/>
          <w:highlight w:val="none"/>
          <w:lang w:val="zh-CN" w:eastAsia="zh-CN" w:bidi="ar-SA"/>
        </w:rPr>
        <w:t>2、项目承担单位在开展技术服务工作中发生的相关费用（专家及工作人员住宿费、会议室租用费、交通费等），不得将以上费用转嫁于业主单位。</w:t>
      </w:r>
    </w:p>
    <w:p>
      <w:pPr>
        <w:spacing w:line="360" w:lineRule="auto"/>
        <w:ind w:firstLine="470" w:firstLineChars="196"/>
        <w:rPr>
          <w:rFonts w:hint="eastAsia" w:ascii="宋体" w:hAnsi="宋体" w:eastAsia="宋体" w:cs="Times New Roman"/>
          <w:snapToGrid/>
          <w:color w:val="auto"/>
          <w:kern w:val="2"/>
          <w:sz w:val="24"/>
          <w:szCs w:val="24"/>
          <w:highlight w:val="none"/>
          <w:lang w:val="zh-CN" w:eastAsia="zh-CN" w:bidi="ar-SA"/>
        </w:rPr>
      </w:pPr>
      <w:r>
        <w:rPr>
          <w:rFonts w:hint="eastAsia" w:ascii="宋体" w:hAnsi="宋体" w:eastAsia="宋体" w:cs="Times New Roman"/>
          <w:snapToGrid/>
          <w:color w:val="auto"/>
          <w:kern w:val="2"/>
          <w:sz w:val="24"/>
          <w:szCs w:val="24"/>
          <w:highlight w:val="none"/>
          <w:lang w:val="zh-CN" w:eastAsia="zh-CN" w:bidi="ar-SA"/>
        </w:rPr>
        <w:t>3、项目承担单位开展技术服务工作过程中，严格遵守中央八项规定精神和廉洁自律有关规定。</w:t>
      </w:r>
    </w:p>
    <w:p>
      <w:pPr>
        <w:spacing w:line="360" w:lineRule="auto"/>
        <w:ind w:firstLine="470" w:firstLineChars="196"/>
        <w:rPr>
          <w:rFonts w:hint="eastAsia" w:ascii="宋体" w:hAnsi="宋体" w:eastAsia="宋体" w:cs="Times New Roman"/>
          <w:snapToGrid/>
          <w:color w:val="auto"/>
          <w:kern w:val="2"/>
          <w:sz w:val="24"/>
          <w:szCs w:val="24"/>
          <w:highlight w:val="none"/>
          <w:lang w:val="zh-CN" w:eastAsia="zh-CN" w:bidi="ar-SA"/>
        </w:rPr>
      </w:pPr>
      <w:r>
        <w:rPr>
          <w:rFonts w:hint="eastAsia" w:ascii="宋体" w:hAnsi="宋体" w:eastAsia="宋体" w:cs="Times New Roman"/>
          <w:snapToGrid/>
          <w:color w:val="auto"/>
          <w:kern w:val="2"/>
          <w:sz w:val="24"/>
          <w:szCs w:val="24"/>
          <w:highlight w:val="none"/>
          <w:lang w:val="zh-CN" w:eastAsia="zh-CN" w:bidi="ar-SA"/>
        </w:rPr>
        <w:t>4、根据浙江省水利厅对项目支出预算管理的工作要求，项目承担单位须及时做好专项支出记录，进行专项月度支出记录统计（见附表），项目验收时必须提供专项财务支出记录。</w:t>
      </w:r>
    </w:p>
    <w:p>
      <w:pPr>
        <w:widowControl/>
        <w:adjustRightInd/>
        <w:spacing w:line="240" w:lineRule="auto"/>
        <w:jc w:val="left"/>
        <w:outlineLvl w:val="9"/>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tabs>
          <w:tab w:val="left" w:pos="638"/>
        </w:tabs>
        <w:adjustRightInd/>
        <w:spacing w:line="360" w:lineRule="auto"/>
        <w:outlineLvl w:val="2"/>
        <w:rPr>
          <w:rFonts w:hint="default" w:ascii="宋体" w:hAnsi="宋体" w:cs="宋体"/>
          <w:color w:val="auto"/>
          <w:sz w:val="24"/>
          <w:highlight w:val="none"/>
          <w:lang w:val="en-US" w:eastAsia="zh-CN"/>
        </w:rPr>
      </w:pPr>
      <w:r>
        <w:rPr>
          <w:rFonts w:hint="eastAsia" w:ascii="宋体" w:hAnsi="宋体" w:cs="宋体"/>
          <w:color w:val="auto"/>
          <w:sz w:val="24"/>
          <w:highlight w:val="none"/>
        </w:rPr>
        <w:t>附表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视频监控详细清单（210点位）</w:t>
      </w:r>
    </w:p>
    <w:p>
      <w:pPr>
        <w:pStyle w:val="2"/>
        <w:jc w:val="center"/>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视频监控详细清单（210点位）</w:t>
      </w:r>
    </w:p>
    <w:tbl>
      <w:tblPr>
        <w:tblStyle w:val="6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828"/>
        <w:gridCol w:w="1262"/>
        <w:gridCol w:w="1532"/>
        <w:gridCol w:w="1056"/>
        <w:gridCol w:w="1482"/>
        <w:gridCol w:w="843"/>
        <w:gridCol w:w="798"/>
        <w:gridCol w:w="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52" w:type="pct"/>
            <w:vMerge w:val="restart"/>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46" w:type="pct"/>
            <w:vMerge w:val="restart"/>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所属地区</w:t>
            </w:r>
          </w:p>
        </w:tc>
        <w:tc>
          <w:tcPr>
            <w:tcW w:w="679" w:type="pct"/>
            <w:vMerge w:val="restart"/>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位置</w:t>
            </w:r>
          </w:p>
        </w:tc>
        <w:tc>
          <w:tcPr>
            <w:tcW w:w="825" w:type="pct"/>
            <w:vMerge w:val="restart"/>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经纬度</w:t>
            </w:r>
          </w:p>
        </w:tc>
        <w:tc>
          <w:tcPr>
            <w:tcW w:w="1821" w:type="pct"/>
            <w:gridSpan w:val="3"/>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主要更新运维内容</w:t>
            </w:r>
          </w:p>
        </w:tc>
        <w:tc>
          <w:tcPr>
            <w:tcW w:w="430" w:type="pct"/>
            <w:vMerge w:val="restart"/>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摄像头及配套设施产权</w:t>
            </w:r>
          </w:p>
        </w:tc>
        <w:tc>
          <w:tcPr>
            <w:tcW w:w="443" w:type="pct"/>
            <w:vMerge w:val="restart"/>
            <w:tcBorders>
              <w:top w:val="single" w:color="000000" w:sz="8" w:space="0"/>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杆子产权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vMerge w:val="continue"/>
            <w:tcBorders>
              <w:top w:val="single" w:color="000000" w:sz="8" w:space="0"/>
              <w:left w:val="single" w:color="000000" w:sz="8" w:space="0"/>
              <w:bottom w:val="single" w:color="000000" w:sz="8" w:space="0"/>
              <w:right w:val="single" w:color="000000" w:sz="8" w:space="0"/>
            </w:tcBorders>
            <w:shd w:val="clear" w:color="auto" w:fill="BFBFBF"/>
            <w:vAlign w:val="center"/>
          </w:tcPr>
          <w:p>
            <w:pPr>
              <w:jc w:val="center"/>
              <w:rPr>
                <w:rFonts w:hint="eastAsia" w:ascii="宋体" w:hAnsi="宋体" w:eastAsia="宋体" w:cs="宋体"/>
                <w:b/>
                <w:bCs/>
                <w:i w:val="0"/>
                <w:iCs w:val="0"/>
                <w:color w:val="auto"/>
                <w:sz w:val="21"/>
                <w:szCs w:val="21"/>
                <w:highlight w:val="none"/>
                <w:u w:val="none"/>
              </w:rPr>
            </w:pPr>
          </w:p>
        </w:tc>
        <w:tc>
          <w:tcPr>
            <w:tcW w:w="446" w:type="pct"/>
            <w:vMerge w:val="continue"/>
            <w:tcBorders>
              <w:top w:val="single" w:color="000000" w:sz="8" w:space="0"/>
              <w:left w:val="single" w:color="000000" w:sz="8" w:space="0"/>
              <w:bottom w:val="single" w:color="000000" w:sz="8" w:space="0"/>
              <w:right w:val="single" w:color="000000" w:sz="8" w:space="0"/>
            </w:tcBorders>
            <w:shd w:val="clear" w:color="auto" w:fill="BFBFBF"/>
            <w:vAlign w:val="center"/>
          </w:tcPr>
          <w:p>
            <w:pPr>
              <w:jc w:val="center"/>
              <w:rPr>
                <w:rFonts w:hint="eastAsia" w:ascii="宋体" w:hAnsi="宋体" w:eastAsia="宋体" w:cs="宋体"/>
                <w:b/>
                <w:bCs/>
                <w:i w:val="0"/>
                <w:iCs w:val="0"/>
                <w:color w:val="auto"/>
                <w:sz w:val="21"/>
                <w:szCs w:val="21"/>
                <w:highlight w:val="none"/>
                <w:u w:val="none"/>
              </w:rPr>
            </w:pPr>
          </w:p>
        </w:tc>
        <w:tc>
          <w:tcPr>
            <w:tcW w:w="679" w:type="pct"/>
            <w:vMerge w:val="continue"/>
            <w:tcBorders>
              <w:top w:val="single" w:color="000000" w:sz="8" w:space="0"/>
              <w:left w:val="single" w:color="000000" w:sz="8" w:space="0"/>
              <w:bottom w:val="single" w:color="000000" w:sz="8" w:space="0"/>
              <w:right w:val="single" w:color="000000" w:sz="8" w:space="0"/>
            </w:tcBorders>
            <w:shd w:val="clear" w:color="auto" w:fill="BFBFBF"/>
            <w:vAlign w:val="center"/>
          </w:tcPr>
          <w:p>
            <w:pPr>
              <w:jc w:val="center"/>
              <w:rPr>
                <w:rFonts w:hint="eastAsia" w:ascii="宋体" w:hAnsi="宋体" w:eastAsia="宋体" w:cs="宋体"/>
                <w:b/>
                <w:bCs/>
                <w:i w:val="0"/>
                <w:iCs w:val="0"/>
                <w:color w:val="auto"/>
                <w:sz w:val="21"/>
                <w:szCs w:val="21"/>
                <w:highlight w:val="none"/>
                <w:u w:val="none"/>
              </w:rPr>
            </w:pPr>
          </w:p>
        </w:tc>
        <w:tc>
          <w:tcPr>
            <w:tcW w:w="825" w:type="pct"/>
            <w:vMerge w:val="continue"/>
            <w:tcBorders>
              <w:top w:val="single" w:color="000000" w:sz="8" w:space="0"/>
              <w:left w:val="single" w:color="000000" w:sz="8" w:space="0"/>
              <w:bottom w:val="single" w:color="000000" w:sz="8" w:space="0"/>
              <w:right w:val="single" w:color="000000" w:sz="8" w:space="0"/>
            </w:tcBorders>
            <w:shd w:val="clear" w:color="auto" w:fill="BFBFBF"/>
            <w:vAlign w:val="center"/>
          </w:tcPr>
          <w:p>
            <w:pPr>
              <w:jc w:val="center"/>
              <w:rPr>
                <w:rFonts w:hint="eastAsia" w:ascii="宋体" w:hAnsi="宋体" w:eastAsia="宋体" w:cs="宋体"/>
                <w:b/>
                <w:bCs/>
                <w:i w:val="0"/>
                <w:iCs w:val="0"/>
                <w:color w:val="auto"/>
                <w:sz w:val="21"/>
                <w:szCs w:val="21"/>
                <w:highlight w:val="none"/>
                <w:u w:val="none"/>
              </w:rPr>
            </w:pPr>
          </w:p>
        </w:tc>
        <w:tc>
          <w:tcPr>
            <w:tcW w:w="568" w:type="pct"/>
            <w:tcBorders>
              <w:top w:val="nil"/>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关键设备</w:t>
            </w:r>
          </w:p>
        </w:tc>
        <w:tc>
          <w:tcPr>
            <w:tcW w:w="798" w:type="pct"/>
            <w:tcBorders>
              <w:top w:val="nil"/>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视频专线</w:t>
            </w:r>
          </w:p>
        </w:tc>
        <w:tc>
          <w:tcPr>
            <w:tcW w:w="454" w:type="pct"/>
            <w:tcBorders>
              <w:top w:val="nil"/>
              <w:left w:val="single" w:color="000000" w:sz="8" w:space="0"/>
              <w:bottom w:val="single" w:color="000000" w:sz="8" w:space="0"/>
              <w:right w:val="single" w:color="000000" w:sz="8"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前端存储</w:t>
            </w:r>
          </w:p>
        </w:tc>
        <w:tc>
          <w:tcPr>
            <w:tcW w:w="430" w:type="pct"/>
            <w:vMerge w:val="continue"/>
            <w:tcBorders>
              <w:top w:val="single" w:color="000000" w:sz="8" w:space="0"/>
              <w:left w:val="single" w:color="000000" w:sz="8" w:space="0"/>
              <w:bottom w:val="single" w:color="000000" w:sz="8" w:space="0"/>
              <w:right w:val="single" w:color="000000" w:sz="8" w:space="0"/>
            </w:tcBorders>
            <w:shd w:val="clear" w:color="auto" w:fill="BFBFBF"/>
            <w:vAlign w:val="center"/>
          </w:tcPr>
          <w:p>
            <w:pPr>
              <w:jc w:val="center"/>
              <w:rPr>
                <w:rFonts w:hint="eastAsia" w:ascii="宋体" w:hAnsi="宋体" w:eastAsia="宋体" w:cs="宋体"/>
                <w:b/>
                <w:bCs/>
                <w:i w:val="0"/>
                <w:iCs w:val="0"/>
                <w:color w:val="auto"/>
                <w:sz w:val="21"/>
                <w:szCs w:val="21"/>
                <w:highlight w:val="none"/>
                <w:u w:val="none"/>
              </w:rPr>
            </w:pPr>
          </w:p>
        </w:tc>
        <w:tc>
          <w:tcPr>
            <w:tcW w:w="443" w:type="pct"/>
            <w:vMerge w:val="continue"/>
            <w:tcBorders>
              <w:top w:val="single" w:color="000000" w:sz="8" w:space="0"/>
              <w:left w:val="single" w:color="000000" w:sz="8" w:space="0"/>
              <w:bottom w:val="single" w:color="000000" w:sz="8" w:space="0"/>
              <w:right w:val="single" w:color="000000" w:sz="8" w:space="0"/>
            </w:tcBorders>
            <w:shd w:val="clear" w:color="auto" w:fill="BFBFBF"/>
            <w:vAlign w:val="center"/>
          </w:tcPr>
          <w:p>
            <w:pPr>
              <w:jc w:val="center"/>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七塘闸上游右侧摄像机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121.05292 30.24479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七塘闸上游左侧摄像机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121.05275 30.24421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七塘闸下游右侧摄像机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121.05378 30.24453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七塘闸下游左侧摄像机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121.05362 30.24393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上虞三兴闸上游右侧摄像机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120.80138 30.074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上虞三兴闸上游左侧摄像机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120.80098 30.07441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上虞三兴闸下游右侧摄像机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120.80066 30.07377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上虞三兴闸下游左侧摄像机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120.80043 30.0741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上虞闸头堰上游侧摄像机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120.93523 30.09948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上虞闸头堰下游侧摄像机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120.93501 30.09983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四塘闸上游右侧摄像机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121.09857 30.22149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四塘闸上游左侧摄像机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121.0978 30.22216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四塘闸下游右侧摄像机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121.09883 30.22155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四塘闸下游左侧摄像机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121.09774 30.22213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杨汛桥水文监测点摄像机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120.36181 30.15479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浦前上游右侧摄像机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120.92927 30.13235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浦前上游左侧摄像机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120.92841 30.13242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浦前下游右侧摄像机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120.92915 30.13181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浦前下游左侧摄像机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120.92834 30.13191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滨海新三江闸上游右侧摄像机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120.63032 30.13111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滨海新三江闸上游左侧摄像机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120.63147 30.12966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滨海新三江闸下游右侧摄像机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120.63244 30.13013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滨海新三江闸下游左侧摄像机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120.631426 30.131312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牟山闸上游侧摄像机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120.97479 30.07271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牟山闸下游侧摄像机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120.97457 30.07283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萧山后方水文监测点摄像机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120.22042 30.05277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萧山枢纽上游右侧摄像机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120.20338 30.06234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萧山枢纽上游左侧摄像机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120.20256 30.06278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萧山枢纽下游右侧摄像机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120.20228 30.06163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萧山枢纽下游左侧摄像机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120.20187 30.06215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袍江马山闸上游右侧摄像机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120.70231 30.08572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袍江马山闸上游左侧摄像机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120.70149 30.08525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袍江马山闸下游右侧摄像机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120.70186 30.08617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袍江马山闸下游左侧摄像机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120.70126 30.0858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陆中湾上游右侧摄像机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121.2331 30.36706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陆中湾上游左侧摄像机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121.2322 30.36718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陆中湾下游右侧摄像机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121.23296 30.36792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陆中湾下游左侧摄像机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121.23227 30.36786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01平湖市金丝娘桥附近</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121.2665 30.700917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02平湖市海林禅寺东</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121.257861 30.693722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03平湖市独山粮食码头bs0530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121.179528 30.643667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04刘王庙城北路东路口120k+830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120.9575 30.522778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05海盐县敕海庙119k+950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120.955556 30.515278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06海盐县公园铁塔118k+954</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120.948056 30.508889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07海盐海滨公园黄光升像118k+569</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120.946111 30.506667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08公园2号楼顶118k+120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120.947033 30.506607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09海盐县华电能源北116k+700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120.938056 30.493333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10海盐县兰田庙道口115k+400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120.937306 30.48075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11海盐县镀锌厂鬯塘115k+180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120.935 30.482222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12海盐县落塘管理房114k+580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120.932222 30.474444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13海盐县邓衙桥道口112k+800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120.936667 30.4625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14海盐县秦山炮台头北111k+720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120.936944 30.453333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15海宁市塔山坝坝根106k+745</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120.747778 30.358139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16海宁市塔山坝坝头</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120.741472 30.360722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17海宁市并塘头旱闸105k+480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120.743778 30.385278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18海宁市大临村附近104k+720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120.738056 30.373972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19海宁市邬家场103k+650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120.731694 30.378444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20海宁市旧仓航标灯东103k+000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120.723611 30.382556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21海宁市旧仓102k+200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120.716306 30.385833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22海宁市新仓100k+350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120.698389 30.391278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23海宁市污水处理厂99k+110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120.685667 30.393528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24海宁市大缺口东旱闸97k+700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120.671417 30.396694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25海宁市大缺口西转弯处97k+000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120.665306 30.398028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26海宁市56K旱闸96k+000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120.656333 30.401056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27海宁市丁桥41坝</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120.646889 30.401833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28海宁市八堡小盘头93k+030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120.626278 30.402389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29海宁市八堡洋灰塘92k+290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120.61975 30.402194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30海宁市西龙头91k+500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120.61075 30.401611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31海宁市九里桥鬯塘90k+900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120.604111 30.401111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32海宁九里桥红梅基地90k+000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120.597778 30.400917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33海宁市七里庙鬯塘88k+985</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120.584444 30.400139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34海宁盐官城东七里庙西88k+100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120.575361 30.400056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35海宁市三里港桥东87k+400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120.568 30.399833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36海宁市盐官影视城86k+900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120.56275 30.399833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37海宁市养护房86k+260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120.55548 30.40252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38海宁市盐官水文站85k+760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120.546389 30.401944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39海宁市观潮公园84k+790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120.549201 30.404753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40海宁市上河闸旱闸83k+900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120.528611 30.402222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41海宁市庙湾83k+400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120.83357 30.31775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42海宁市大荆场82k+100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120.51021 30.40235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43海宁市秧田庙80k+970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120.49871 30.40166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44海宁市谈家埭水闸80k+240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120.490278 30.401389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45海宁市朱家园79k+680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120.48553 30.40116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46海宁市官桥头旱闸78k+700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120.475278 30.400278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47海宁市胡家兜77k+700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120.46403 30.39858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48海宁市马牧港航标灯76k+700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120.45521 30.39657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49海宁市马牧港75k+800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120.445278 30.394722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50海宁市东陈村旱闸74k+820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120.43967 30.39428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51海宁市盐仓东西塘74k+250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120.429722 30.391944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52海宁市老盐仓回头潮73k+650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120.424167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30.39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53海宁市老盐仓坝斜坡73k+098</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120.424444 30.385556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衢州水文站</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118.877331 28.97745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446"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金华</w:t>
            </w:r>
            <w:r>
              <w:rPr>
                <w:rFonts w:hint="eastAsia" w:ascii="宋体" w:hAnsi="宋体" w:eastAsia="宋体" w:cs="宋体"/>
                <w:i w:val="0"/>
                <w:iCs w:val="0"/>
                <w:color w:val="auto"/>
                <w:kern w:val="0"/>
                <w:sz w:val="21"/>
                <w:szCs w:val="21"/>
                <w:highlight w:val="none"/>
                <w:u w:val="none"/>
                <w:lang w:val="en-US" w:eastAsia="zh-CN" w:bidi="ar"/>
              </w:rPr>
              <w:t>市</w:t>
            </w:r>
          </w:p>
        </w:tc>
        <w:tc>
          <w:tcPr>
            <w:tcW w:w="679"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兰溪</w:t>
            </w:r>
            <w:r>
              <w:rPr>
                <w:rFonts w:hint="eastAsia" w:ascii="宋体" w:hAnsi="宋体" w:eastAsia="宋体" w:cs="宋体"/>
                <w:i w:val="0"/>
                <w:iCs w:val="0"/>
                <w:color w:val="auto"/>
                <w:kern w:val="0"/>
                <w:sz w:val="21"/>
                <w:szCs w:val="21"/>
                <w:highlight w:val="none"/>
                <w:u w:val="none"/>
                <w:lang w:val="en-US" w:eastAsia="zh-CN" w:bidi="ar"/>
              </w:rPr>
              <w:t>水文站</w:t>
            </w:r>
          </w:p>
        </w:tc>
        <w:tc>
          <w:tcPr>
            <w:tcW w:w="82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119.767578 30.810006</w:t>
            </w:r>
          </w:p>
        </w:tc>
        <w:tc>
          <w:tcPr>
            <w:tcW w:w="56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52" w:type="pct"/>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澉浦潮位站</w:t>
            </w:r>
          </w:p>
        </w:tc>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120.5446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30.2212</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西江塘茅山闸0k+000</w:t>
            </w:r>
          </w:p>
        </w:tc>
        <w:tc>
          <w:tcPr>
            <w:tcW w:w="8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120.747157 30.23648</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446"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曹娥江大闸下游右岸</w:t>
            </w:r>
          </w:p>
        </w:tc>
        <w:tc>
          <w:tcPr>
            <w:tcW w:w="82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120.747157 30.23648</w:t>
            </w:r>
          </w:p>
        </w:tc>
        <w:tc>
          <w:tcPr>
            <w:tcW w:w="56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李溪渡泵站</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121.560069 29.922638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塔底枢纽</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118.555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28.5855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安仁铺枢纽</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119.00111675 28.9877744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红船豆枢纽</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119.941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29.25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小溪滩枢纽</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119.1445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29.432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西江塘新坝船闸下游6k+470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120.204466 30.060426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西江塘义桥大桥8k+820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120.189297 30.073133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九乌大堤3#盘头上游侧</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120.371512 30.251343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九乌大堤八号丁坝上游58k+000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120.397077 30.273107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之江防洪堤九溪桥26k+600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120.114487 30.189285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城市防洪堤三堡船闸上游40k+059</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120.223235 30.260215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四格围堤八堡船闸上游49k+950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120.296715 30.296334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乔司三号大堤延伸段猪头角盘头52k+000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120.311031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30.288529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乔司三号大堤延伸段下沙防汛仓库</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120.319735 30.287619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百沥海塘2背水坡半园形挡墙</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120.80089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30.07617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百沥海塘2二渡村新种红叶石楠</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120.80033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30.0759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百沥海塘2沥海闸上游侧</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30.07538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萧绍海塘三条溇村限高架</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120.80005 30.07538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曹娥石塘终点(靠管理房)</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120.8667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29.98897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曹娥石塘老坝底限高架</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120.74618 30.09423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曹娥石塘二号旱闸位置</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120.86771 29.99355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萧绍海塘镇塘殿村新增排水设施处</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120.92933 30.13214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萧绍海塘袍江大桥下坡道口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120.92845 30.13232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百沥海塘1（铁路桥）</w:t>
            </w:r>
          </w:p>
        </w:tc>
        <w:tc>
          <w:tcPr>
            <w:tcW w:w="825"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120.875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30.0097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百沥海塘2-1（花宫）</w:t>
            </w:r>
          </w:p>
        </w:tc>
        <w:tc>
          <w:tcPr>
            <w:tcW w:w="825"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120.7618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30.09927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百沥海塘2-2（三兴闸)</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120.79436 30.08187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百沥海塘2-3（黄家堰村）</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120.79651 30.07904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百沥海塘2-4（杭甬高速）</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120.79837 30.06989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百沥海塘2-5（历海人民欢迎你）</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120.75917 30.08498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百沥海塘2-6(萧绍通道)</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120.591 30.11918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萧绍海塘1(分界点)</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120.72502 30.0834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萧绍海塘2(联浦村)</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120.7348 30.08183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蒿坝海塘1（清水闸）</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120.84623 29.95438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蒿坝海塘中间位置（背水坡隔离网侧）</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120.85058 29.95519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之江防洪堤九溪水闸26k+000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30.17825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南北大塘河道站码头21k+630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120.12207 30.14757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城市防洪堤上城法院34k+450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120.19178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30.22013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城市防洪堤复兴路口29k+700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120.14830 30.20037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城市防洪堤春江花月33k+650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120.1803830.21405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城市防洪堤海月路口31k+000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120.16290 30.20531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城市防洪堤蓝色钱江35k+090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120.19292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30.22062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城市防洪堤衢江路口36k+220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120.20556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30.22062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富春江大坝上游</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119.8403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29.91433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三江汇合处(兰江、新安江、富春江)</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119.838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29.91193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富春江电站下游</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119.6538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29.71558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九上顺坝盘头上游50k+635</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120.200015 30.182764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九乌大堤九号坝盘头51k+750</w:t>
            </w:r>
          </w:p>
        </w:tc>
        <w:tc>
          <w:tcPr>
            <w:tcW w:w="825"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120.2826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30.28234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九乌大堤一号盘头52k+500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120.28358 30.28256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九乌大堤美女坝上游56k+200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120.39870 30.26667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九乌大堤一号盘头丁坝52k+580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120.35352                   30.24372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海盐武原街道乐园路与翁金线路口附近</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120.15399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九乌大堤三号盘头54k+550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120.04582 30.03533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九乌大堤四号盘头55k+550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119.7676 29.8738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江边围堤市民交谊舞广场32k+060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120.19945                     30.21029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江边围堤江虹路口31k+590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120.19639                    30.20897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西兴五号坝围堤西兴大桥下游34k+900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120.22215                      30.22829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color w:val="auto"/>
                <w:highlight w:val="none"/>
                <w:lang w:val="en-US"/>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西兴五号坝围堤西兴路口34k+370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120.21881                 30.22503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九乌大堤美女坝坝根56k+470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120.392 30.26024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秦山至蓝田庙海塘</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120.17808 30.11912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富阳市五丰岛渡口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120.14016 30.08658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西江塘闻堰防汛备石</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120.138944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30.086301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九乌大堤九号坝防汛备石</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120.346279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30.245832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九乌大堤一号盘头防汛备石</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120.35375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30.243753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嘉兴海盐海塘街海塘</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121.17798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30.653775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嘉兴海盐南北湖大堤93K+730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120.855443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30.367005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嘉兴海盐敕海庙3#丁坝以南119K+500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120.938251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30.459277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城市防洪堤西兴大桥下游37k+120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120.207136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30.237756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城市防洪堤城市阳台下游38k+335</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120.21435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30.24715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之江防洪堤六和塔28k+300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120.129717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30.198632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嘉兴海盐敕海庙3#丁坝以北120K+400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120.936716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30.465631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嘉兴海盐原港联北旱闸114K+050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120.937732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30.461282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嘉兴海盐原港联南门旱闸113K+510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120.935328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30.470157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嘉兴海盐炮台头旱闸112K+000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120.954511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30.513485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嘉兴平湖独山-水口海塘149K+750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121.088448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30.594454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嘉兴海盐秦山三期重件码头旱闸112k+790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120.936967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30.452277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嘉兴海盐钱塘物流码头旱闸113K+015</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120.957043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30.516693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西江塘应急抢险监控点1</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120.1832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30.0906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城市防洪堤29k+900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120.1448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30.2029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城市防洪堤32k+700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120.1707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30.2137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城市防洪堤海月桥路口31k+770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120.1624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30.2096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四格围堤之江东路聚首南路口50k+800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120.3019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30.2945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九乌大堤九号坝盘头下游52k+150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120.28358 30.28256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九乌大堤二号盘头丁坝53k+640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120.3636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30.2479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九乌大堤三号盘头丁坝54k+478</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120.3715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30.2514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九乌大堤四号盘头丁坝55k+380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120.3786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30.256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九乌大堤赭山湾7号坝57k+340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120.3928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30.2684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九乌大堤赭山湾闸58k+800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120.4026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30.2785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九乌大堤赭山湾上游58k+830)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120.4026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30.2785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1台星光球机</w:t>
            </w:r>
          </w:p>
        </w:tc>
        <w:tc>
          <w:tcPr>
            <w:tcW w:w="798"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临江码头AI水尺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120.684069 30.304746</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新仓AI水尺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120.430821 30.392204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大缺口AI水尺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120.167466 30.125444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盐官AI水尺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120.551271 30.402361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老盐仓AI水尺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120.694181 30.39382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美女坝站房AI水尺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120.387306 30.262681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七格AI水尺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120.312729 30.288993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闻堰AI水尺</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120.6455311 30.40434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1台水尺摄像头</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乔司三号坝红旗村</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120.391752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30.385803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乔司三号大堤启辉路交叉口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120.383694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30.372928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城市防洪堤城市阳台37k+900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120.21371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30.245097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之江防洪堤武警码头下游28k+832</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120.133898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30.200212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城市防洪堤钱潮路口39k+554</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120.220832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30.256253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城市防洪堤钱塘公馆39k+030</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120.218043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30.252141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曹娥石塘三号旱闸门背水坡路口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120.869059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29.997472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曹娥石塘舜耕大桥北侧景区停车路口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120.869445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29.998170</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百沥2海塘终点吕家埠村路口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120.803458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30.066605</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蒿坝海塘旱闸</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120.85008729.955411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萧绍海塘起点限高架处</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120.666908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30.098208</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萧绍海塘终点车浦村路口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120.740590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30.079513</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萧绍海塘后双盆村与马山闸交叉口</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120.704686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30.086037</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绍兴市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萧绍海塘古楝树闸下坡道</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120.718890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30.083289</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城市防洪堤城市阳台江面1</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120.214316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30.246932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城市防洪堤城市阳台江面2</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120.213739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30.246494</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1台黑光球机（待迁移）</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余姚港</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120.987242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30.247842</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4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宁波市</w:t>
            </w:r>
          </w:p>
        </w:tc>
        <w:tc>
          <w:tcPr>
            <w:tcW w:w="67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新临海浦</w:t>
            </w:r>
          </w:p>
        </w:tc>
        <w:tc>
          <w:tcPr>
            <w:tcW w:w="8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120.954726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30.232161</w:t>
            </w:r>
          </w:p>
        </w:tc>
        <w:tc>
          <w:tcPr>
            <w:tcW w:w="56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1台黑光球机</w:t>
            </w:r>
          </w:p>
        </w:tc>
        <w:tc>
          <w:tcPr>
            <w:tcW w:w="7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1条20M VPN</w:t>
            </w:r>
          </w:p>
        </w:tc>
        <w:tc>
          <w:tcPr>
            <w:tcW w:w="45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30天</w:t>
            </w:r>
          </w:p>
        </w:tc>
        <w:tc>
          <w:tcPr>
            <w:tcW w:w="43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原运维单位</w:t>
            </w:r>
          </w:p>
        </w:tc>
        <w:tc>
          <w:tcPr>
            <w:tcW w:w="44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第三方借杆</w:t>
            </w:r>
          </w:p>
        </w:tc>
      </w:tr>
    </w:tbl>
    <w:p>
      <w:pPr>
        <w:pStyle w:val="2"/>
        <w:jc w:val="center"/>
        <w:rPr>
          <w:rFonts w:hint="eastAsia" w:ascii="黑体" w:hAnsi="黑体" w:eastAsia="黑体" w:cs="黑体"/>
          <w:b/>
          <w:bCs/>
          <w:color w:val="auto"/>
          <w:highlight w:val="none"/>
          <w:lang w:val="en-US" w:eastAsia="zh-CN"/>
        </w:rPr>
      </w:pPr>
    </w:p>
    <w:p>
      <w:pPr>
        <w:widowControl/>
        <w:tabs>
          <w:tab w:val="left" w:pos="638"/>
        </w:tabs>
        <w:adjustRightInd/>
        <w:spacing w:line="360" w:lineRule="auto"/>
        <w:outlineLvl w:val="2"/>
        <w:rPr>
          <w:rFonts w:hint="default" w:ascii="宋体" w:hAnsi="宋体" w:cs="宋体"/>
          <w:color w:val="auto"/>
          <w:sz w:val="24"/>
          <w:highlight w:val="none"/>
          <w:lang w:val="en-US" w:eastAsia="zh-CN"/>
        </w:rPr>
      </w:pPr>
      <w:r>
        <w:rPr>
          <w:rFonts w:hint="eastAsia" w:ascii="宋体" w:hAnsi="宋体" w:cs="宋体"/>
          <w:color w:val="auto"/>
          <w:sz w:val="24"/>
          <w:highlight w:val="none"/>
        </w:rPr>
        <w:t>附表</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专网线路清单（</w:t>
      </w:r>
      <w:r>
        <w:rPr>
          <w:rFonts w:hint="eastAsia" w:ascii="宋体" w:hAnsi="宋体" w:cs="宋体"/>
          <w:color w:val="auto"/>
          <w:sz w:val="24"/>
          <w:highlight w:val="none"/>
          <w:lang w:eastAsia="zh-CN"/>
        </w:rPr>
        <w:t>34条</w:t>
      </w:r>
      <w:r>
        <w:rPr>
          <w:rFonts w:hint="eastAsia" w:ascii="宋体" w:hAnsi="宋体" w:cs="宋体"/>
          <w:color w:val="auto"/>
          <w:sz w:val="24"/>
          <w:highlight w:val="none"/>
        </w:rPr>
        <w:t>）</w:t>
      </w:r>
    </w:p>
    <w:p>
      <w:pPr>
        <w:pStyle w:val="2"/>
        <w:jc w:val="center"/>
        <w:rPr>
          <w:rFonts w:hint="default" w:ascii="黑体" w:hAnsi="黑体" w:eastAsia="黑体" w:cs="黑体"/>
          <w:b/>
          <w:bCs/>
          <w:color w:val="auto"/>
          <w:highlight w:val="none"/>
          <w:lang w:val="en-US" w:eastAsia="zh-CN"/>
        </w:rPr>
      </w:pPr>
    </w:p>
    <w:p>
      <w:pPr>
        <w:pStyle w:val="2"/>
        <w:jc w:val="center"/>
        <w:rPr>
          <w:rFonts w:hint="eastAsia" w:ascii="黑体" w:hAnsi="黑体" w:eastAsia="黑体" w:cs="黑体"/>
          <w:b/>
          <w:bCs/>
          <w:color w:val="auto"/>
          <w:highlight w:val="none"/>
          <w:lang w:val="en-US" w:eastAsia="zh-CN"/>
        </w:rPr>
      </w:pPr>
    </w:p>
    <w:p>
      <w:pPr>
        <w:pStyle w:val="2"/>
        <w:jc w:val="center"/>
        <w:rPr>
          <w:rFonts w:hint="eastAsia" w:ascii="黑体" w:hAnsi="黑体" w:eastAsia="黑体" w:cs="黑体"/>
          <w:b/>
          <w:bCs/>
          <w:color w:val="auto"/>
          <w:highlight w:val="none"/>
          <w:lang w:val="en-US" w:eastAsia="zh-CN"/>
        </w:rPr>
      </w:pPr>
      <w:r>
        <w:rPr>
          <w:rFonts w:hint="eastAsia" w:ascii="黑体" w:hAnsi="黑体" w:eastAsia="黑体" w:cs="黑体"/>
          <w:b/>
          <w:bCs/>
          <w:color w:val="auto"/>
          <w:highlight w:val="none"/>
          <w:lang w:val="en-US" w:eastAsia="zh-CN"/>
        </w:rPr>
        <w:t>专网线路清单（34条）</w:t>
      </w:r>
    </w:p>
    <w:tbl>
      <w:tblPr>
        <w:tblStyle w:val="63"/>
        <w:tblW w:w="92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306"/>
        <w:gridCol w:w="780"/>
        <w:gridCol w:w="732"/>
        <w:gridCol w:w="1236"/>
        <w:gridCol w:w="1236"/>
        <w:gridCol w:w="624"/>
        <w:gridCol w:w="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序号</w:t>
            </w:r>
          </w:p>
        </w:tc>
        <w:tc>
          <w:tcPr>
            <w:tcW w:w="330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所属区域</w:t>
            </w:r>
          </w:p>
        </w:tc>
        <w:tc>
          <w:tcPr>
            <w:tcW w:w="780"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数量</w:t>
            </w:r>
          </w:p>
        </w:tc>
        <w:tc>
          <w:tcPr>
            <w:tcW w:w="732"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需求</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地址1</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地址2</w:t>
            </w:r>
          </w:p>
        </w:tc>
        <w:tc>
          <w:tcPr>
            <w:tcW w:w="624"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带宽</w:t>
            </w:r>
          </w:p>
        </w:tc>
        <w:tc>
          <w:tcPr>
            <w:tcW w:w="685"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tc>
        <w:tc>
          <w:tcPr>
            <w:tcW w:w="330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视频监控专线（连接流域中心）</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清江路185号</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ascii="Times New Roman" w:hAnsi="Times New Roman" w:eastAsia="等线" w:cs="Times New Roman"/>
                <w:color w:val="auto"/>
                <w:sz w:val="21"/>
                <w:szCs w:val="24"/>
                <w:highlight w:val="none"/>
              </w:rPr>
              <w:t>500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color w:val="auto"/>
                <w:sz w:val="21"/>
                <w:szCs w:val="24"/>
                <w:highlight w:val="none"/>
              </w:rPr>
            </w:pPr>
            <w:r>
              <w:rPr>
                <w:rFonts w:hint="eastAsia" w:ascii="宋体" w:hAnsi="宋体" w:eastAsia="宋体" w:cs="宋体"/>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w:t>
            </w:r>
          </w:p>
        </w:tc>
        <w:tc>
          <w:tcPr>
            <w:tcW w:w="330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视频监控专线</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割接用线</w:t>
            </w:r>
            <w:r>
              <w:rPr>
                <w:rFonts w:hint="eastAsia" w:ascii="宋体" w:hAnsi="宋体" w:eastAsia="宋体" w:cs="宋体"/>
                <w:color w:val="auto"/>
                <w:sz w:val="21"/>
                <w:szCs w:val="24"/>
                <w:highlight w:val="none"/>
                <w:lang w:eastAsia="zh-CN"/>
              </w:rPr>
              <w:t>）</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新建</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杭州联通流量汇聚节点</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清江路185号</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200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8个月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3</w:t>
            </w:r>
          </w:p>
        </w:tc>
        <w:tc>
          <w:tcPr>
            <w:tcW w:w="330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水利部视频监控专线</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流域中心</w:t>
            </w:r>
            <w:r>
              <w:rPr>
                <w:rFonts w:hint="eastAsia" w:ascii="宋体" w:hAnsi="宋体" w:eastAsia="宋体" w:cs="宋体"/>
                <w:color w:val="auto"/>
                <w:sz w:val="21"/>
                <w:szCs w:val="24"/>
                <w:highlight w:val="none"/>
                <w:lang w:eastAsia="zh-CN"/>
              </w:rPr>
              <w:t>）</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清江路185号</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梅花碑7号</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ascii="Times New Roman" w:hAnsi="Times New Roman" w:eastAsia="等线" w:cs="Times New Roman"/>
                <w:color w:val="auto"/>
                <w:sz w:val="21"/>
                <w:szCs w:val="24"/>
                <w:highlight w:val="none"/>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color w:val="auto"/>
                <w:sz w:val="21"/>
                <w:szCs w:val="24"/>
                <w:highlight w:val="none"/>
              </w:rPr>
            </w:pPr>
            <w:r>
              <w:rPr>
                <w:rFonts w:hint="eastAsia" w:ascii="宋体" w:hAnsi="宋体" w:eastAsia="宋体" w:cs="宋体"/>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4</w:t>
            </w:r>
          </w:p>
        </w:tc>
        <w:tc>
          <w:tcPr>
            <w:tcW w:w="330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视频监控电路</w:t>
            </w:r>
          </w:p>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（连接</w:t>
            </w:r>
            <w:r>
              <w:rPr>
                <w:rFonts w:hint="eastAsia" w:ascii="宋体" w:hAnsi="宋体" w:eastAsia="宋体" w:cs="宋体"/>
                <w:color w:val="auto"/>
                <w:sz w:val="21"/>
                <w:szCs w:val="24"/>
                <w:highlight w:val="none"/>
                <w:lang w:val="en-US" w:eastAsia="zh-CN"/>
              </w:rPr>
              <w:t>上虞枢纽</w:t>
            </w:r>
            <w:r>
              <w:rPr>
                <w:rFonts w:hint="eastAsia" w:ascii="宋体" w:hAnsi="宋体" w:eastAsia="宋体" w:cs="宋体"/>
                <w:color w:val="auto"/>
                <w:sz w:val="21"/>
                <w:szCs w:val="24"/>
                <w:highlight w:val="none"/>
                <w:lang w:eastAsia="zh-CN"/>
              </w:rPr>
              <w:t>办公点</w:t>
            </w:r>
            <w:r>
              <w:rPr>
                <w:rFonts w:hint="eastAsia" w:ascii="宋体" w:hAnsi="宋体" w:eastAsia="宋体" w:cs="宋体"/>
                <w:color w:val="auto"/>
                <w:sz w:val="21"/>
                <w:szCs w:val="24"/>
                <w:highlight w:val="none"/>
                <w:lang w:val="en-US" w:eastAsia="zh-CN"/>
              </w:rPr>
              <w:t>视频专网</w:t>
            </w:r>
            <w:r>
              <w:rPr>
                <w:rFonts w:hint="eastAsia" w:ascii="宋体" w:hAnsi="宋体" w:eastAsia="宋体" w:cs="宋体"/>
                <w:color w:val="auto"/>
                <w:sz w:val="21"/>
                <w:szCs w:val="24"/>
                <w:highlight w:val="none"/>
              </w:rPr>
              <w:t>）</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ascii="Times New Roman" w:hAnsi="Times New Roman" w:eastAsia="等线" w:cs="Times New Roman"/>
                <w:color w:val="auto"/>
                <w:sz w:val="21"/>
                <w:szCs w:val="24"/>
                <w:highlight w:val="none"/>
              </w:rPr>
              <w:t>1</w:t>
            </w:r>
            <w:r>
              <w:rPr>
                <w:rFonts w:hint="eastAsia" w:ascii="宋体" w:hAnsi="宋体" w:eastAsia="宋体" w:cs="Times New Roman"/>
                <w:color w:val="auto"/>
                <w:sz w:val="21"/>
                <w:szCs w:val="24"/>
                <w:highlight w:val="none"/>
              </w:rPr>
              <w:t>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上虞</w:t>
            </w:r>
            <w:r>
              <w:rPr>
                <w:rFonts w:hint="eastAsia" w:ascii="宋体" w:hAnsi="宋体" w:eastAsia="宋体" w:cs="宋体"/>
                <w:color w:val="auto"/>
                <w:sz w:val="21"/>
                <w:szCs w:val="24"/>
                <w:highlight w:val="none"/>
                <w:lang w:val="en-US" w:eastAsia="zh-CN"/>
              </w:rPr>
              <w:t>西排</w:t>
            </w:r>
            <w:r>
              <w:rPr>
                <w:rFonts w:hint="eastAsia" w:ascii="宋体" w:hAnsi="宋体" w:eastAsia="宋体" w:cs="宋体"/>
                <w:color w:val="auto"/>
                <w:sz w:val="21"/>
                <w:szCs w:val="24"/>
                <w:highlight w:val="none"/>
              </w:rPr>
              <w:t>枢纽</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ascii="Times New Roman" w:hAnsi="Times New Roman" w:eastAsia="等线" w:cs="Times New Roman"/>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5</w:t>
            </w:r>
          </w:p>
        </w:tc>
        <w:tc>
          <w:tcPr>
            <w:tcW w:w="330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视频监控电路</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云联网</w:t>
            </w:r>
            <w:r>
              <w:rPr>
                <w:rFonts w:hint="eastAsia" w:ascii="宋体" w:hAnsi="宋体" w:eastAsia="宋体" w:cs="宋体"/>
                <w:color w:val="auto"/>
                <w:sz w:val="21"/>
                <w:szCs w:val="24"/>
                <w:highlight w:val="none"/>
              </w:rPr>
              <w:t>）</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杭州至</w:t>
            </w:r>
            <w:r>
              <w:rPr>
                <w:rFonts w:hint="eastAsia" w:ascii="宋体" w:hAnsi="宋体" w:eastAsia="宋体" w:cs="宋体"/>
                <w:color w:val="auto"/>
                <w:sz w:val="21"/>
                <w:szCs w:val="24"/>
                <w:highlight w:val="none"/>
              </w:rPr>
              <w:t>嘉兴</w:t>
            </w:r>
            <w:r>
              <w:rPr>
                <w:rFonts w:hint="eastAsia" w:ascii="宋体" w:hAnsi="宋体" w:eastAsia="宋体" w:cs="宋体"/>
                <w:color w:val="auto"/>
                <w:sz w:val="21"/>
                <w:szCs w:val="24"/>
                <w:highlight w:val="none"/>
                <w:lang w:val="en-US" w:eastAsia="zh-CN"/>
              </w:rPr>
              <w:t>跨域电路</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6</w:t>
            </w:r>
          </w:p>
        </w:tc>
        <w:tc>
          <w:tcPr>
            <w:tcW w:w="330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视频监控电路</w:t>
            </w:r>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云联网</w:t>
            </w:r>
            <w:r>
              <w:rPr>
                <w:rFonts w:hint="eastAsia" w:ascii="宋体" w:hAnsi="宋体" w:eastAsia="宋体" w:cs="宋体"/>
                <w:color w:val="auto"/>
                <w:sz w:val="21"/>
                <w:szCs w:val="24"/>
                <w:highlight w:val="none"/>
              </w:rPr>
              <w:t>）</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杭州至绍兴跨域电路</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rPr>
            </w:pPr>
            <w:r>
              <w:rPr>
                <w:rFonts w:hint="eastAsia" w:ascii="等线" w:hAnsi="等线" w:eastAsia="等线" w:cs="宋体"/>
                <w:color w:val="auto"/>
                <w:sz w:val="22"/>
                <w:szCs w:val="22"/>
                <w:highlight w:val="none"/>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ascii="Times New Roman" w:hAnsi="Times New Roman" w:eastAsia="等线" w:cs="Times New Roman"/>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7</w:t>
            </w:r>
          </w:p>
        </w:tc>
        <w:tc>
          <w:tcPr>
            <w:tcW w:w="330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视频监控电路</w:t>
            </w:r>
            <w:r>
              <w:rPr>
                <w:rFonts w:hint="eastAsia" w:ascii="宋体" w:hAnsi="宋体" w:eastAsia="宋体" w:cs="宋体"/>
                <w:color w:val="auto"/>
                <w:sz w:val="21"/>
                <w:szCs w:val="24"/>
                <w:highlight w:val="none"/>
                <w:lang w:val="en-US" w:eastAsia="zh-CN"/>
              </w:rPr>
              <w:t>3（云联网）</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杭州至衢州跨域电路</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rPr>
            </w:pPr>
            <w:r>
              <w:rPr>
                <w:rFonts w:hint="eastAsia" w:ascii="等线" w:hAnsi="等线" w:eastAsia="等线" w:cs="宋体"/>
                <w:color w:val="auto"/>
                <w:sz w:val="22"/>
                <w:szCs w:val="22"/>
                <w:highlight w:val="none"/>
                <w:lang w:val="en-US" w:eastAsia="zh-CN"/>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ascii="Times New Roman" w:hAnsi="Times New Roman" w:eastAsia="等线" w:cs="Times New Roman"/>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8</w:t>
            </w:r>
          </w:p>
        </w:tc>
        <w:tc>
          <w:tcPr>
            <w:tcW w:w="330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视频监控电路</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云联网</w:t>
            </w:r>
            <w:r>
              <w:rPr>
                <w:rFonts w:hint="eastAsia" w:ascii="宋体" w:hAnsi="宋体" w:eastAsia="宋体" w:cs="宋体"/>
                <w:color w:val="auto"/>
                <w:sz w:val="21"/>
                <w:szCs w:val="24"/>
                <w:highlight w:val="none"/>
              </w:rPr>
              <w:t>）</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杭州至金华跨域电路</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等线" w:hAnsi="等线" w:eastAsia="等线" w:cs="宋体"/>
                <w:color w:val="auto"/>
                <w:sz w:val="22"/>
                <w:szCs w:val="22"/>
                <w:highlight w:val="none"/>
                <w:lang w:val="en-US"/>
              </w:rPr>
            </w:pPr>
            <w:r>
              <w:rPr>
                <w:rFonts w:hint="eastAsia" w:ascii="等线" w:hAnsi="等线" w:eastAsia="等线" w:cs="宋体"/>
                <w:color w:val="auto"/>
                <w:sz w:val="22"/>
                <w:szCs w:val="22"/>
                <w:highlight w:val="none"/>
                <w:lang w:val="en-US" w:eastAsia="zh-CN"/>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rPr>
            </w:pPr>
            <w:r>
              <w:rPr>
                <w:rFonts w:ascii="Times New Roman" w:hAnsi="Times New Roman" w:eastAsia="等线" w:cs="Times New Roman"/>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9</w:t>
            </w:r>
          </w:p>
        </w:tc>
        <w:tc>
          <w:tcPr>
            <w:tcW w:w="330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视频监控电路</w:t>
            </w:r>
            <w:r>
              <w:rPr>
                <w:rFonts w:hint="eastAsia" w:ascii="宋体" w:hAnsi="宋体" w:eastAsia="宋体" w:cs="宋体"/>
                <w:color w:val="auto"/>
                <w:sz w:val="21"/>
                <w:szCs w:val="24"/>
                <w:highlight w:val="none"/>
                <w:lang w:val="en-US" w:eastAsia="zh-CN"/>
              </w:rPr>
              <w:t>5（云联网）</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1"/>
                <w:szCs w:val="24"/>
                <w:highlight w:val="none"/>
                <w:lang w:val="en-US" w:eastAsia="zh-CN"/>
              </w:rPr>
              <w:t>杭州至宁波跨域电路</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bidi="ar-SA"/>
              </w:rPr>
            </w:pPr>
            <w:r>
              <w:rPr>
                <w:rFonts w:hint="eastAsia" w:ascii="等线" w:hAnsi="等线" w:eastAsia="等线" w:cs="宋体"/>
                <w:color w:val="auto"/>
                <w:sz w:val="22"/>
                <w:szCs w:val="22"/>
                <w:highlight w:val="none"/>
              </w:rPr>
              <w:t>100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4"/>
                <w:szCs w:val="24"/>
                <w:highlight w:val="none"/>
                <w:lang w:val="en-US" w:eastAsia="zh-CN" w:bidi="ar-SA"/>
              </w:rPr>
            </w:pPr>
            <w:r>
              <w:rPr>
                <w:rFonts w:ascii="Times New Roman" w:hAnsi="Times New Roman" w:eastAsia="等线" w:cs="Times New Roman"/>
                <w:color w:val="auto"/>
                <w:sz w:val="21"/>
                <w:szCs w:val="24"/>
                <w:highlight w:val="none"/>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10</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卧龙码头下游</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卧龙码头下游</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11</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卧龙码头上游</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卧龙码头上游</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12</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嘉绍大桥下游夜视仪</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嘉绍大桥下游夜视仪</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13</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嘉绍大桥下游</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嘉绍大桥下游</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14</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嘉绍大桥上游夜视仪</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嘉绍大桥上游夜视仪</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15</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嘉绍大桥上游</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嘉绍大桥上游</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16</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临江码头江面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临江码头江面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17</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新仓江面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新仓江面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18</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大缺口江面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大缺口江面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19</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盐官江面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盐官江面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20</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老盐仓江面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老盐仓江面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21</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美女坝塔杆江面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美女坝塔杆江面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22</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美女坝站房江面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美女坝站房江面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23</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美女坝栈桥江面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美女坝栈桥江面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24</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七格江面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七格江面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25</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长河江面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长河江面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26</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kern w:val="0"/>
                <w:sz w:val="21"/>
                <w:szCs w:val="21"/>
                <w:highlight w:val="none"/>
                <w:u w:val="none"/>
                <w:lang w:val="en-US" w:eastAsia="zh-CN" w:bidi="ar"/>
              </w:rPr>
              <w:t>闻堰江面</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闻堰江面</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27</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临江码头水尺（涌潮）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临江码头水尺（涌潮）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28</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新仓水尺（涌潮）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新仓水尺（涌潮）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29</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大缺口水尺</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大缺口水尺</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30</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盐官水尺</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盐官水尺</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31</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老盐仓水尺</w:t>
            </w:r>
            <w:r>
              <w:rPr>
                <w:rFonts w:hint="default" w:ascii="Times New Roman" w:hAnsi="Times New Roman" w:eastAsia="宋体" w:cs="Times New Roman"/>
                <w:b w:val="0"/>
                <w:color w:val="auto"/>
                <w:sz w:val="22"/>
                <w:highlight w:val="none"/>
                <w:u w:val="none"/>
                <w:lang w:val="en-US" w:eastAsia="zh-CN" w:bidi="ar"/>
              </w:rPr>
              <w:t>（涌潮）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老盐仓水尺</w:t>
            </w:r>
            <w:r>
              <w:rPr>
                <w:rFonts w:hint="default" w:ascii="Times New Roman" w:hAnsi="Times New Roman" w:eastAsia="宋体" w:cs="Times New Roman"/>
                <w:b w:val="0"/>
                <w:color w:val="auto"/>
                <w:sz w:val="22"/>
                <w:highlight w:val="none"/>
                <w:u w:val="none"/>
                <w:lang w:val="en-US" w:eastAsia="zh-CN" w:bidi="ar"/>
              </w:rPr>
              <w:t>（涌潮）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32</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美女坝站房水尺（涌潮）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美女坝站房水尺（涌潮）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33</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七格水尺（涌潮）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七格水尺（涌潮）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34</w:t>
            </w:r>
          </w:p>
        </w:tc>
        <w:tc>
          <w:tcPr>
            <w:tcW w:w="3306" w:type="dxa"/>
            <w:tcBorders>
              <w:tl2br w:val="nil"/>
              <w:tr2bl w:val="nil"/>
            </w:tcBorders>
            <w:shd w:val="clear" w:color="auto" w:fill="FFFFFF"/>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闻堰水尺（涌潮）</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1条</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提供</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视频监控云平台</w:t>
            </w:r>
          </w:p>
        </w:tc>
        <w:tc>
          <w:tcPr>
            <w:tcW w:w="1236" w:type="dxa"/>
            <w:tcBorders>
              <w:tl2br w:val="nil"/>
              <w:tr2bl w:val="nil"/>
            </w:tcBorders>
            <w:noWrap w:val="0"/>
            <w:vAlign w:val="center"/>
          </w:tcPr>
          <w:p>
            <w:pPr>
              <w:keepNext w:val="0"/>
              <w:keepLines w:val="0"/>
              <w:widowControl/>
              <w:suppressLineNumbers w:val="0"/>
              <w:adjustRightInd w:val="0"/>
              <w:spacing w:before="0" w:beforeLines="-2147483648" w:after="0" w:afterLines="-2147483648" w:line="240" w:lineRule="auto"/>
              <w:ind w:firstLine="0" w:firstLineChars="0"/>
              <w:jc w:val="center"/>
              <w:textAlignment w:val="center"/>
              <w:rPr>
                <w:rFonts w:hint="eastAsia" w:ascii="宋体" w:hAnsi="宋体" w:eastAsia="宋体" w:cs="宋体"/>
                <w:color w:val="auto"/>
                <w:sz w:val="21"/>
                <w:szCs w:val="24"/>
                <w:highlight w:val="none"/>
                <w:lang w:val="en-US" w:eastAsia="zh-CN"/>
              </w:rPr>
            </w:pPr>
            <w:r>
              <w:rPr>
                <w:rFonts w:hint="eastAsia" w:ascii="宋体" w:hAnsi="宋体" w:eastAsia="宋体" w:cs="宋体"/>
                <w:b w:val="0"/>
                <w:i w:val="0"/>
                <w:iCs w:val="0"/>
                <w:color w:val="auto"/>
                <w:kern w:val="0"/>
                <w:sz w:val="21"/>
                <w:szCs w:val="21"/>
                <w:highlight w:val="none"/>
                <w:u w:val="none"/>
                <w:lang w:val="en-US" w:eastAsia="zh-CN" w:bidi="ar"/>
              </w:rPr>
              <w:t>闻堰水尺（涌潮）</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20</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3"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w:t>
            </w:r>
            <w:r>
              <w:rPr>
                <w:rFonts w:hint="eastAsia" w:ascii="宋体" w:hAnsi="宋体" w:cs="宋体"/>
                <w:color w:val="auto"/>
                <w:sz w:val="21"/>
                <w:szCs w:val="24"/>
                <w:highlight w:val="none"/>
                <w:lang w:val="en-US" w:eastAsia="zh-CN"/>
              </w:rPr>
              <w:t>5</w:t>
            </w:r>
          </w:p>
        </w:tc>
        <w:tc>
          <w:tcPr>
            <w:tcW w:w="3306" w:type="dxa"/>
            <w:tcBorders>
              <w:tl2br w:val="nil"/>
              <w:tr2bl w:val="nil"/>
            </w:tcBorders>
            <w:shd w:val="clear" w:color="auto" w:fill="FFFFFF"/>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color w:val="auto"/>
                <w:sz w:val="21"/>
                <w:szCs w:val="24"/>
                <w:highlight w:val="none"/>
                <w:lang w:val="en-US" w:eastAsia="zh-CN"/>
              </w:rPr>
              <w:t>卫星通信卡</w:t>
            </w:r>
          </w:p>
        </w:tc>
        <w:tc>
          <w:tcPr>
            <w:tcW w:w="780"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4张</w:t>
            </w:r>
          </w:p>
        </w:tc>
        <w:tc>
          <w:tcPr>
            <w:tcW w:w="732"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续租</w:t>
            </w:r>
          </w:p>
        </w:tc>
        <w:tc>
          <w:tcPr>
            <w:tcW w:w="1236"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w:t>
            </w:r>
          </w:p>
        </w:tc>
        <w:tc>
          <w:tcPr>
            <w:tcW w:w="1236" w:type="dxa"/>
            <w:tcBorders>
              <w:tl2br w:val="nil"/>
              <w:tr2bl w:val="nil"/>
            </w:tcBorders>
            <w:noWrap w:val="0"/>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color w:val="auto"/>
                <w:sz w:val="21"/>
                <w:szCs w:val="24"/>
                <w:highlight w:val="none"/>
                <w:lang w:val="en-US" w:eastAsia="zh-CN"/>
              </w:rPr>
              <w:t>/</w:t>
            </w:r>
          </w:p>
        </w:tc>
        <w:tc>
          <w:tcPr>
            <w:tcW w:w="624"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等线" w:hAnsi="等线" w:eastAsia="等线" w:cs="宋体"/>
                <w:color w:val="auto"/>
                <w:sz w:val="22"/>
                <w:szCs w:val="22"/>
                <w:highlight w:val="none"/>
                <w:lang w:val="en-US" w:eastAsia="zh-CN"/>
              </w:rPr>
            </w:pPr>
            <w:r>
              <w:rPr>
                <w:rFonts w:hint="eastAsia" w:ascii="等线" w:hAnsi="等线" w:eastAsia="等线" w:cs="宋体"/>
                <w:color w:val="auto"/>
                <w:sz w:val="22"/>
                <w:szCs w:val="22"/>
                <w:highlight w:val="none"/>
                <w:lang w:val="en-US" w:eastAsia="zh-CN"/>
              </w:rPr>
              <w:t>/</w:t>
            </w:r>
          </w:p>
        </w:tc>
        <w:tc>
          <w:tcPr>
            <w:tcW w:w="685" w:type="dxa"/>
            <w:tcBorders>
              <w:tl2br w:val="nil"/>
              <w:tr2bl w:val="nil"/>
            </w:tcBorders>
            <w:noWrap/>
            <w:vAlign w:val="center"/>
          </w:tcPr>
          <w:p>
            <w:pPr>
              <w:widowControl/>
              <w:autoSpaceDE/>
              <w:autoSpaceDN/>
              <w:adjustRightInd/>
              <w:spacing w:before="0" w:beforeLines="-2147483648" w:after="0" w:afterLines="-2147483648" w:line="240" w:lineRule="auto"/>
              <w:ind w:firstLine="0" w:firstLineChars="0"/>
              <w:jc w:val="center"/>
              <w:textAlignment w:val="auto"/>
              <w:rPr>
                <w:rFonts w:hint="eastAsia" w:ascii="Times New Roman" w:hAnsi="Times New Roman" w:eastAsia="等线" w:cs="Times New Roman"/>
                <w:color w:val="auto"/>
                <w:sz w:val="21"/>
                <w:szCs w:val="24"/>
                <w:highlight w:val="none"/>
                <w:lang w:val="en-US" w:eastAsia="zh-CN"/>
              </w:rPr>
            </w:pPr>
            <w:r>
              <w:rPr>
                <w:rFonts w:hint="eastAsia" w:ascii="Times New Roman" w:hAnsi="Times New Roman" w:eastAsia="等线" w:cs="Times New Roman"/>
                <w:color w:val="auto"/>
                <w:sz w:val="21"/>
                <w:szCs w:val="24"/>
                <w:highlight w:val="none"/>
                <w:lang w:val="en-US" w:eastAsia="zh-CN"/>
              </w:rPr>
              <w:t>1年</w:t>
            </w:r>
          </w:p>
        </w:tc>
      </w:tr>
    </w:tbl>
    <w:p>
      <w:pPr>
        <w:numPr>
          <w:ilvl w:val="0"/>
          <w:numId w:val="0"/>
        </w:numPr>
        <w:spacing w:line="360" w:lineRule="auto"/>
        <w:rPr>
          <w:rFonts w:hint="eastAsia" w:ascii="黑体" w:hAnsi="黑体" w:eastAsia="黑体" w:cs="黑体"/>
          <w:color w:val="auto"/>
          <w:kern w:val="0"/>
          <w:sz w:val="24"/>
          <w:highlight w:val="none"/>
        </w:rPr>
      </w:pPr>
    </w:p>
    <w:p>
      <w:pPr>
        <w:tabs>
          <w:tab w:val="left" w:pos="638"/>
        </w:tabs>
        <w:spacing w:line="360" w:lineRule="auto"/>
        <w:outlineLvl w:val="2"/>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附表3-关键设备技术参数</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669"/>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pPr>
              <w:pStyle w:val="2"/>
              <w:widowControl w:val="0"/>
              <w:spacing w:afterLines="0"/>
              <w:jc w:val="both"/>
              <w:rPr>
                <w:rFonts w:hint="default"/>
                <w:b w:val="0"/>
                <w:bCs/>
                <w:color w:val="auto"/>
                <w:highlight w:val="none"/>
                <w:vertAlign w:val="baseline"/>
                <w:lang w:val="en-US" w:eastAsia="zh-CN"/>
              </w:rPr>
            </w:pPr>
            <w:r>
              <w:rPr>
                <w:rFonts w:hint="eastAsia"/>
                <w:b w:val="0"/>
                <w:bCs/>
                <w:color w:val="auto"/>
                <w:highlight w:val="none"/>
                <w:vertAlign w:val="baseline"/>
                <w:lang w:val="en-US" w:eastAsia="zh-CN"/>
              </w:rPr>
              <w:t>序号</w:t>
            </w:r>
          </w:p>
        </w:tc>
        <w:tc>
          <w:tcPr>
            <w:tcW w:w="0" w:type="auto"/>
            <w:tcBorders>
              <w:top w:val="single" w:color="000000" w:sz="12" w:space="0"/>
              <w:left w:val="single" w:color="000000" w:sz="4" w:space="0"/>
              <w:bottom w:val="single" w:color="000000" w:sz="4" w:space="0"/>
              <w:right w:val="single" w:color="000000" w:sz="4" w:space="0"/>
            </w:tcBorders>
            <w:shd w:val="clear" w:color="auto" w:fill="FFFFFF"/>
            <w:vAlign w:val="center"/>
          </w:tcPr>
          <w:p>
            <w:pPr>
              <w:pStyle w:val="2"/>
              <w:widowControl w:val="0"/>
              <w:spacing w:afterLines="0"/>
              <w:jc w:val="both"/>
              <w:rPr>
                <w:rFonts w:hint="default" w:eastAsia="宋体"/>
                <w:b w:val="0"/>
                <w:bCs/>
                <w:color w:val="auto"/>
                <w:highlight w:val="none"/>
                <w:vertAlign w:val="baseline"/>
                <w:lang w:val="en-US" w:eastAsia="zh-CN"/>
              </w:rPr>
            </w:pPr>
            <w:r>
              <w:rPr>
                <w:rFonts w:hint="eastAsia"/>
                <w:b w:val="0"/>
                <w:bCs/>
                <w:color w:val="auto"/>
                <w:highlight w:val="none"/>
                <w:vertAlign w:val="baseline"/>
                <w:lang w:val="en-US" w:eastAsia="zh-CN"/>
              </w:rPr>
              <w:t>设备名称</w:t>
            </w:r>
          </w:p>
        </w:tc>
        <w:tc>
          <w:tcPr>
            <w:tcW w:w="0" w:type="auto"/>
            <w:tcBorders>
              <w:top w:val="single" w:color="000000" w:sz="12" w:space="0"/>
              <w:left w:val="single" w:color="000000" w:sz="4" w:space="0"/>
              <w:bottom w:val="single" w:color="000000" w:sz="4" w:space="0"/>
              <w:right w:val="single" w:color="000000" w:sz="12" w:space="0"/>
            </w:tcBorders>
            <w:shd w:val="clear" w:color="auto" w:fill="FFFFFF"/>
            <w:vAlign w:val="center"/>
          </w:tcPr>
          <w:p>
            <w:pPr>
              <w:pStyle w:val="2"/>
              <w:widowControl w:val="0"/>
              <w:spacing w:afterLines="0"/>
              <w:jc w:val="both"/>
              <w:rPr>
                <w:rFonts w:hint="default" w:eastAsia="宋体"/>
                <w:b w:val="0"/>
                <w:bCs/>
                <w:color w:val="auto"/>
                <w:highlight w:val="none"/>
                <w:vertAlign w:val="baseline"/>
                <w:lang w:val="en-US" w:eastAsia="zh-CN"/>
              </w:rPr>
            </w:pPr>
            <w:r>
              <w:rPr>
                <w:rFonts w:hint="eastAsia"/>
                <w:b w:val="0"/>
                <w:bCs/>
                <w:color w:val="auto"/>
                <w:highlight w:val="none"/>
                <w:vertAlign w:val="baseline"/>
                <w:lang w:val="en-US" w:eastAsia="zh-CN"/>
              </w:rPr>
              <w:t>关键参数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2"/>
              <w:widowControl w:val="0"/>
              <w:spacing w:afterLines="0"/>
              <w:jc w:val="both"/>
              <w:rPr>
                <w:rFonts w:hint="default" w:eastAsia="宋体"/>
                <w:b w:val="0"/>
                <w:bCs w:val="0"/>
                <w:color w:val="auto"/>
                <w:highlight w:val="none"/>
                <w:vertAlign w:val="baseline"/>
                <w:lang w:val="en-US" w:eastAsia="zh-CN"/>
              </w:rPr>
            </w:pPr>
            <w:r>
              <w:rPr>
                <w:rFonts w:hint="eastAsia"/>
                <w:b w:val="0"/>
                <w:bCs w:val="0"/>
                <w:color w:val="auto"/>
                <w:highlight w:val="none"/>
                <w:vertAlign w:val="baseli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1"/>
                <w:numId w:val="0"/>
              </w:numPr>
              <w:tabs>
                <w:tab w:val="left" w:pos="709"/>
              </w:tabs>
              <w:spacing w:afterLines="0" w:line="240" w:lineRule="auto"/>
              <w:ind w:left="0" w:firstLine="0" w:firstLineChars="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水尺摄像头</w:t>
            </w:r>
          </w:p>
          <w:p>
            <w:pPr>
              <w:pStyle w:val="2"/>
              <w:widowControl w:val="0"/>
              <w:spacing w:afterLines="0"/>
              <w:jc w:val="both"/>
              <w:rPr>
                <w:rFonts w:hint="eastAsia" w:eastAsia="宋体"/>
                <w:b w:val="0"/>
                <w:bCs w:val="0"/>
                <w:color w:val="auto"/>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24"/>
              <w:snapToGrid w:val="0"/>
              <w:spacing w:after="0" w:afterLines="0" w:line="240" w:lineRule="auto"/>
              <w:ind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摄像机内置不少于2个镜头，可输出至少一路全景视频和一路细节视频，其中全景路内置1个镜头，细节路内置1个镜头；</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全景通道内置1个镜头，光圈不小于F1.0，具有不小于1/1.8靶面尺寸，内置4颗补光灯</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细节通道内置镜头，具备不小于1/1.8靶面尺寸，内置10颗红外补光灯及1颗白光灯，细节通道内置镜头，支持不小于32倍光学变倍，镜头最大焦距不小于227mm</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内置不少于2颗GPU芯片</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全景通道视频分辨率不小于2560 × 1440，细节通道视频分辨率不小于2560x1440</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支持最低照度可达彩色0.0005 lx，黑白0.0001 lx</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全景画面水平视场角90°，垂直视场角44.7°</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全景通道可进行垂直旋转，旋转范围不低于10°可调，红外距离不小于200米</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具备声音报警功能，可设置11种警戒音、提示音、自定义语音，报警次数1～50次可设；可通过区域入侵侦测、越界侦测、进入区域侦测、离开区域侦测等报警事件，联动声音报警（以公安部检验报告为准）</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支持7路报警输入接口，2路报警输出接口，支持1路音频输入和输出接口</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支持数据感知功能，可同时支持3路web监听通道，设备响应web端发送的查询请求，并返回对应的感知数据；断网重连后，报警信息可继续上传</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支持硬件微引导程序、uboot、OS、应用软件逐级校验功能。非法篡改的uboot、OS、应用软件固件包，不能通过命令行、浏览器、客户端方式进行升级</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当设备在运动过程中，由于机械结构或外力因素导致设备发生失步，运动结束的实际位置和理想位置有偏移时，设备能够自动开启位置矫正。</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在设备检测到位置发生偏移并已经开启位置矫正时,若有其他用户对设备进行 PT 操作，设备能够停止当前矫正过程，同时响应用户操作。</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可通过 IE 浏览器或客户端软件显示设备读取的水尺水位高度信息，水位高度可显示到 0.001m，可将水位信息上传至设定的服务器，上传时间间隔可设。（以公安部检验报告为准）</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可通过 IE 浏览器或客户端软件设置水位偏低及偏高告警值，当设备读取到水位高于偏高告警值或低于偏低告警值时，可通过 OSD 叠加文字变红的形式给出报警提示，并将水位值上传平台</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可通过IE浏览器或客户端软件统计及查询水位信息，查询类型可设置为历史数据或历史图片，统计信息可选择日报表、周报表、月报表、季报表、年报表及自定义，可通过Excel格式导出</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摄像机外接雨量计后，可通过IE浏览器或客户端软件在视频画面上叠加显示当前雨量值，当雨量值超过预设值时，可给出报警提示并上传平台</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在水面平无波浪情况下，设备水位值检测误差不大于1cm</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当检测区域的水面出现漂浮物，且漂浮物面积大于预设值时，设备可给出报警提示</w:t>
            </w:r>
          </w:p>
          <w:p>
            <w:pPr>
              <w:pStyle w:val="24"/>
              <w:snapToGrid w:val="0"/>
              <w:spacing w:after="0" w:afterLines="0" w:line="240" w:lineRule="auto"/>
              <w:ind w:firstLine="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设备可通过IE浏览器或客户端软件对AI模型包进行添加、删除、修改等操作，并可对名称、是否生效等参数进行设备</w:t>
            </w:r>
          </w:p>
          <w:p>
            <w:pPr>
              <w:pStyle w:val="2"/>
              <w:widowControl w:val="0"/>
              <w:spacing w:afterLines="0"/>
              <w:jc w:val="both"/>
              <w:rPr>
                <w:rFonts w:hint="eastAsia" w:eastAsia="宋体"/>
                <w:b w:val="0"/>
                <w:bCs w:val="0"/>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2"/>
              <w:widowControl w:val="0"/>
              <w:spacing w:afterLines="0"/>
              <w:jc w:val="both"/>
              <w:rPr>
                <w:rFonts w:hint="default" w:eastAsia="宋体"/>
                <w:b w:val="0"/>
                <w:bCs w:val="0"/>
                <w:color w:val="auto"/>
                <w:highlight w:val="none"/>
                <w:vertAlign w:val="baseline"/>
                <w:lang w:val="en-US" w:eastAsia="zh-CN"/>
              </w:rPr>
            </w:pPr>
            <w:r>
              <w:rPr>
                <w:rFonts w:hint="eastAsia"/>
                <w:b w:val="0"/>
                <w:bCs w:val="0"/>
                <w:color w:val="auto"/>
                <w:highlight w:val="none"/>
                <w:vertAlign w:val="baseli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1"/>
                <w:numId w:val="0"/>
              </w:numPr>
              <w:tabs>
                <w:tab w:val="left" w:pos="709"/>
              </w:tabs>
              <w:spacing w:afterLines="0"/>
              <w:ind w:left="0" w:firstLine="0" w:firstLineChars="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星光球机</w:t>
            </w:r>
          </w:p>
          <w:p>
            <w:pPr>
              <w:pStyle w:val="2"/>
              <w:widowControl w:val="0"/>
              <w:spacing w:afterLines="0"/>
              <w:jc w:val="both"/>
              <w:rPr>
                <w:rFonts w:hint="eastAsia" w:eastAsia="宋体"/>
                <w:b w:val="0"/>
                <w:bCs w:val="0"/>
                <w:color w:val="auto"/>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视频输出支持2560×1440@25fps，分辨力不小于1100TVL，红外距离可达300米。</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对人或车辆进入警戒区域后，设备可发出白光警示、声音警示，并启动智能跟踪功能。</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支持最低照度可达彩色0.0003Lux，黑白0.0001Lux。</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支持水平手控速度不小于550°/S，垂直速度不小于120°/S，云台定位精度为±0.1°。</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水平旋转范围为360°连续旋转，垂直旋转范围为-20°~90°</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支持对镜头前盖玻璃加热，去除玻璃上的冰状和水状附着物。</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支持人脸抓拍设置，具有最佳抓拍和快速抓拍两种模式设置选项</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需具备智能分析抗干扰功能，当篮球、小狗、树叶等非人或车辆目标经过检测区域时，不会触发报警。</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支持快捷配置功能，可在预览画面开启/关闭“快捷配置”页面，对曝光参数、OSD、智能资源分配模式等参数进行配置，并可一键恢复为默认设置。</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支持像素显示功能，可实时显示监控画面上选定区域的水平像素大小和垂直像素大小。</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支持300个预置位，可按照所设置的预置位完成不小于8条巡航路径，支持不小于4条模式路径设置，支持预置位视频冻结功能；可实现RS485接口优先或RJ45网络接口优先控制功能</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支持智能红外、透雾、强光抑制、电子防抖、数字降噪、防红外过曝功能</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支持区域遮盖功能，支持设置不少于24个不规则四边形区域，可设置不同颜色；支持3D定位、断电记忆功能；支持IP地址访问控制功能，支持定时抓拍或报警联动抓图上传ftp功能</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球机应具备本机存储功能，支持SD卡热插拔，最大支持256GB</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支持采用H.265、H.264视频编码标准，H.264编码支持Baseline/Main/High Profile，音频编码支持G.711ulaw/G.711alaw/G.726/G.722.1</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支持区域入侵、越界入侵、徘徊、物品移除、物品遗留、人员聚集、停车，并联动报警</w:t>
            </w:r>
          </w:p>
          <w:p>
            <w:pPr>
              <w:pStyle w:val="24"/>
              <w:keepNext w:val="0"/>
              <w:keepLines w:val="0"/>
              <w:pageBreakBefore w:val="0"/>
              <w:kinsoku/>
              <w:wordWrap/>
              <w:overflowPunct/>
              <w:topLinePunct w:val="0"/>
              <w:bidi w:val="0"/>
              <w:adjustRightInd/>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具备较好的防护性能环境适应性，支持IP67，8kV防浪涌，工作温度范围可达-45℃-70℃</w:t>
            </w:r>
          </w:p>
          <w:p>
            <w:pPr>
              <w:pStyle w:val="24"/>
              <w:snapToGrid w:val="0"/>
              <w:spacing w:afterLines="0" w:line="240" w:lineRule="auto"/>
              <w:ind w:firstLine="0"/>
              <w:jc w:val="left"/>
              <w:rPr>
                <w:rFonts w:hint="eastAsia" w:eastAsia="宋体"/>
                <w:b w:val="0"/>
                <w:bCs w:val="0"/>
                <w:color w:val="auto"/>
                <w:highlight w:val="none"/>
                <w:vertAlign w:val="baseline"/>
                <w:lang w:val="en-US" w:eastAsia="zh-CN"/>
              </w:rPr>
            </w:pPr>
            <w:r>
              <w:rPr>
                <w:rFonts w:hint="eastAsia" w:ascii="宋体" w:hAnsi="宋体" w:cs="宋体"/>
                <w:b w:val="0"/>
                <w:bCs w:val="0"/>
                <w:color w:val="auto"/>
                <w:sz w:val="24"/>
                <w:szCs w:val="24"/>
                <w:highlight w:val="none"/>
              </w:rPr>
              <w:t>具备较好的电源适应性，电压在AC24V±45%或DC24V±45%范围内变化时，设备可正常工作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2"/>
              <w:widowControl w:val="0"/>
              <w:spacing w:afterLines="0"/>
              <w:jc w:val="both"/>
              <w:rPr>
                <w:rFonts w:hint="default" w:eastAsia="宋体"/>
                <w:b w:val="0"/>
                <w:bCs w:val="0"/>
                <w:color w:val="auto"/>
                <w:highlight w:val="none"/>
                <w:vertAlign w:val="baseline"/>
                <w:lang w:val="en-US" w:eastAsia="zh-CN"/>
              </w:rPr>
            </w:pPr>
            <w:r>
              <w:rPr>
                <w:rFonts w:hint="eastAsia"/>
                <w:b w:val="0"/>
                <w:bCs w:val="0"/>
                <w:color w:val="auto"/>
                <w:highlight w:val="none"/>
                <w:vertAlign w:val="baseline"/>
                <w:lang w:val="en-US" w:eastAsia="zh-CN"/>
              </w:rPr>
              <w:t>3</w:t>
            </w:r>
          </w:p>
        </w:tc>
        <w:tc>
          <w:tcPr>
            <w:tcW w:w="0" w:type="auto"/>
            <w:tcBorders>
              <w:top w:val="single" w:color="000000" w:sz="4" w:space="0"/>
              <w:left w:val="single" w:color="000000" w:sz="4" w:space="0"/>
              <w:bottom w:val="single" w:color="000000" w:sz="12" w:space="0"/>
              <w:right w:val="single" w:color="000000" w:sz="4" w:space="0"/>
            </w:tcBorders>
            <w:shd w:val="clear" w:color="auto" w:fill="FFFFFF"/>
            <w:vAlign w:val="center"/>
          </w:tcPr>
          <w:p>
            <w:pPr>
              <w:numPr>
                <w:ilvl w:val="-1"/>
                <w:numId w:val="0"/>
              </w:numPr>
              <w:tabs>
                <w:tab w:val="left" w:pos="709"/>
              </w:tabs>
              <w:spacing w:afterLines="0"/>
              <w:ind w:left="0" w:firstLine="0" w:firstLineChars="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黑光球机</w:t>
            </w:r>
          </w:p>
          <w:p>
            <w:pPr>
              <w:pStyle w:val="2"/>
              <w:widowControl w:val="0"/>
              <w:spacing w:afterLines="0"/>
              <w:jc w:val="both"/>
              <w:rPr>
                <w:rFonts w:hint="eastAsia" w:eastAsia="宋体"/>
                <w:b w:val="0"/>
                <w:bCs w:val="0"/>
                <w:color w:val="auto"/>
                <w:highlight w:val="none"/>
                <w:vertAlign w:val="baseline"/>
                <w:lang w:val="en-US" w:eastAsia="zh-CN"/>
              </w:rPr>
            </w:pPr>
          </w:p>
        </w:tc>
        <w:tc>
          <w:tcPr>
            <w:tcW w:w="0" w:type="auto"/>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摄像机靶面尺寸不小于1/1.8英寸</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摄像机内置两个图像传感器，可分别输出黑白视频图像和彩色视频图像，并可对这两路视频图像进行融合输出</w:t>
            </w:r>
            <w:r>
              <w:rPr>
                <w:rFonts w:hint="eastAsia" w:ascii="宋体" w:hAnsi="宋体" w:cs="宋体"/>
                <w:b w:val="0"/>
                <w:bCs w:val="0"/>
                <w:color w:val="auto"/>
                <w:sz w:val="24"/>
                <w:szCs w:val="24"/>
                <w:highlight w:val="none"/>
                <w:lang w:eastAsia="zh-CN"/>
              </w:rPr>
              <w:t>。</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内置GPU芯片</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视频图像分辨率与帧率不小于2560×1440、25帧/秒</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最低照度可达彩色0.0002 lx，黑白0.0001 lx</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红外距离不小于200米</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设备支持水平旋转范围为360°连续旋转，垂直旋转范围为-20°~90°</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设备可对监控画面中不小于30个人脸进行检测、跟踪和抓拍</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支持对镜头前玻璃进行加热，去除玻璃上的冰状和水附着物</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设备支持人脸区域自动曝光，可根据人脸区域和光照变化自动调节人脸区域曝光参数</w:t>
            </w:r>
            <w:r>
              <w:rPr>
                <w:rFonts w:hint="eastAsia" w:ascii="宋体" w:hAnsi="宋体" w:cs="宋体"/>
                <w:b w:val="0"/>
                <w:bCs w:val="0"/>
                <w:color w:val="auto"/>
                <w:sz w:val="24"/>
                <w:szCs w:val="24"/>
                <w:highlight w:val="none"/>
                <w:lang w:eastAsia="zh-CN"/>
              </w:rPr>
              <w:t>。</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设备补光自动模式，设备具有亮度限制调节功能，限制等级在0~100可调。具有白光增强设置选项，开启后，在夜晚模式下，可开启白光灯，白光亮度等级在0~100可调</w:t>
            </w:r>
            <w:r>
              <w:rPr>
                <w:rFonts w:hint="eastAsia" w:ascii="宋体" w:hAnsi="宋体" w:cs="宋体"/>
                <w:b w:val="0"/>
                <w:bCs w:val="0"/>
                <w:color w:val="auto"/>
                <w:sz w:val="24"/>
                <w:szCs w:val="24"/>
                <w:highlight w:val="none"/>
                <w:lang w:eastAsia="zh-CN"/>
              </w:rPr>
              <w:t>。</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设备补光手动模式，可同时调整近光灯、中光灯、远光灯的红外灯和白光灯功率（0~100之间可调）。可仅开启白光灯/红外灯进行补光，在仅开启白光灯进行补光时，可输出彩色视频图像</w:t>
            </w:r>
            <w:r>
              <w:rPr>
                <w:rFonts w:hint="eastAsia" w:ascii="宋体" w:hAnsi="宋体" w:cs="宋体"/>
                <w:b w:val="0"/>
                <w:bCs w:val="0"/>
                <w:color w:val="auto"/>
                <w:sz w:val="24"/>
                <w:szCs w:val="24"/>
                <w:highlight w:val="none"/>
                <w:lang w:eastAsia="zh-CN"/>
              </w:rPr>
              <w:t>。</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白光灯色温为：3000K，红外灯光波长为：750nm</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设备在近光灯、中光灯开启后，在变焦过程中红外光斑形状为矩形，长宽比为16:9。</w:t>
            </w:r>
          </w:p>
          <w:p>
            <w:pPr>
              <w:pStyle w:val="24"/>
              <w:keepNext w:val="0"/>
              <w:keepLines w:val="0"/>
              <w:pageBreakBefore w:val="0"/>
              <w:kinsoku/>
              <w:wordWrap/>
              <w:overflowPunct/>
              <w:topLinePunct w:val="0"/>
              <w:bidi w:val="0"/>
              <w:adjustRightInd w:val="0"/>
              <w:snapToGrid w:val="0"/>
              <w:spacing w:after="0" w:afterLines="0" w:line="240" w:lineRule="auto"/>
              <w:ind w:left="0" w:firstLine="0"/>
              <w:jc w:val="left"/>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设备红外光利用率不小于80%</w:t>
            </w:r>
          </w:p>
          <w:p>
            <w:pPr>
              <w:pStyle w:val="2"/>
              <w:widowControl w:val="0"/>
              <w:spacing w:afterLines="0"/>
              <w:jc w:val="both"/>
              <w:rPr>
                <w:rFonts w:hint="eastAsia" w:eastAsia="宋体"/>
                <w:b w:val="0"/>
                <w:bCs w:val="0"/>
                <w:color w:val="auto"/>
                <w:highlight w:val="none"/>
                <w:vertAlign w:val="baseline"/>
                <w:lang w:val="en-US" w:eastAsia="zh-CN"/>
              </w:rPr>
            </w:pPr>
            <w:r>
              <w:rPr>
                <w:rFonts w:hint="eastAsia" w:ascii="宋体" w:hAnsi="宋体" w:cs="宋体"/>
                <w:b w:val="0"/>
                <w:bCs w:val="0"/>
                <w:color w:val="auto"/>
                <w:sz w:val="24"/>
                <w:szCs w:val="24"/>
                <w:highlight w:val="none"/>
              </w:rPr>
              <w:t>在IE浏览器下，可通过手机扫描预览界面上的二维码获取设备资料</w:t>
            </w:r>
          </w:p>
        </w:tc>
      </w:tr>
    </w:tbl>
    <w:p>
      <w:pPr>
        <w:pStyle w:val="2"/>
        <w:rPr>
          <w:rFonts w:hint="eastAsia" w:eastAsia="宋体"/>
          <w:color w:val="auto"/>
          <w:highlight w:val="none"/>
          <w:lang w:val="en-US" w:eastAsia="zh-CN"/>
        </w:rPr>
      </w:pPr>
    </w:p>
    <w:p>
      <w:pPr>
        <w:pStyle w:val="25"/>
        <w:rPr>
          <w:rFonts w:hint="eastAsia" w:hAnsi="宋体" w:cs="宋体"/>
          <w:b w:val="0"/>
          <w:bCs w:val="0"/>
          <w:color w:val="auto"/>
          <w:sz w:val="24"/>
          <w:szCs w:val="24"/>
          <w:highlight w:val="none"/>
          <w:lang w:val="en-US" w:eastAsia="zh-CN"/>
        </w:rPr>
      </w:pPr>
    </w:p>
    <w:p>
      <w:pPr>
        <w:pStyle w:val="24"/>
        <w:keepNext w:val="0"/>
        <w:keepLines w:val="0"/>
        <w:pageBreakBefore w:val="0"/>
        <w:kinsoku/>
        <w:wordWrap/>
        <w:overflowPunct/>
        <w:topLinePunct w:val="0"/>
        <w:bidi w:val="0"/>
        <w:adjustRightInd w:val="0"/>
        <w:snapToGrid w:val="0"/>
        <w:spacing w:after="0" w:afterLines="0" w:line="360" w:lineRule="auto"/>
        <w:ind w:left="0" w:firstLine="560"/>
        <w:rPr>
          <w:rFonts w:hint="eastAsia" w:ascii="宋体" w:hAnsi="宋体" w:cs="宋体"/>
          <w:color w:val="auto"/>
          <w:sz w:val="24"/>
          <w:szCs w:val="24"/>
          <w:highlight w:val="none"/>
        </w:rPr>
      </w:pPr>
    </w:p>
    <w:p>
      <w:pPr>
        <w:widowControl/>
        <w:adjustRightInd/>
        <w:spacing w:line="240" w:lineRule="auto"/>
        <w:outlineLvl w:val="9"/>
        <w:rPr>
          <w:rFonts w:hint="eastAsia"/>
          <w:color w:val="auto"/>
          <w:highlight w:val="none"/>
        </w:rPr>
      </w:pPr>
    </w:p>
    <w:p>
      <w:pPr>
        <w:widowControl/>
        <w:tabs>
          <w:tab w:val="left" w:pos="638"/>
        </w:tabs>
        <w:adjustRightInd/>
        <w:spacing w:line="360" w:lineRule="auto"/>
        <w:outlineLvl w:val="2"/>
        <w:rPr>
          <w:rFonts w:hint="default" w:ascii="宋体" w:hAnsi="宋体" w:cs="宋体"/>
          <w:color w:val="auto"/>
          <w:sz w:val="24"/>
          <w:highlight w:val="none"/>
          <w:lang w:val="en-US" w:eastAsia="zh-CN"/>
        </w:rPr>
      </w:pPr>
      <w:r>
        <w:rPr>
          <w:rFonts w:hint="eastAsia" w:ascii="宋体" w:hAnsi="宋体" w:cs="宋体"/>
          <w:color w:val="auto"/>
          <w:sz w:val="24"/>
          <w:highlight w:val="none"/>
        </w:rPr>
        <w:t>附表</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专项财务支出记录表</w:t>
      </w:r>
    </w:p>
    <w:p>
      <w:pPr>
        <w:pStyle w:val="2"/>
        <w:widowControl/>
        <w:adjustRightInd/>
        <w:ind w:firstLine="3614" w:firstLineChars="1500"/>
        <w:jc w:val="both"/>
        <w:outlineLvl w:val="2"/>
        <w:rPr>
          <w:rFonts w:hint="eastAsia" w:ascii="宋体" w:hAnsi="宋体" w:cs="宋体"/>
          <w:color w:val="auto"/>
          <w:sz w:val="24"/>
          <w:highlight w:val="none"/>
        </w:rPr>
      </w:pPr>
      <w:r>
        <w:rPr>
          <w:rFonts w:hint="eastAsia" w:ascii="黑体" w:hAnsi="黑体" w:eastAsia="黑体" w:cs="黑体"/>
          <w:b/>
          <w:bCs/>
          <w:color w:val="auto"/>
          <w:sz w:val="24"/>
          <w:highlight w:val="none"/>
          <w:lang w:eastAsia="zh-CN"/>
        </w:rPr>
        <w:t>专项财务支出记录表</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614"/>
        <w:gridCol w:w="1136"/>
        <w:gridCol w:w="462"/>
        <w:gridCol w:w="462"/>
        <w:gridCol w:w="462"/>
        <w:gridCol w:w="462"/>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restart"/>
            <w:tcBorders>
              <w:tl2br w:val="nil"/>
              <w:tr2bl w:val="nil"/>
            </w:tcBorders>
            <w:vAlign w:val="center"/>
          </w:tcPr>
          <w:p>
            <w:pPr>
              <w:widowControl/>
              <w:tabs>
                <w:tab w:val="left" w:pos="638"/>
              </w:tabs>
              <w:spacing w:line="360" w:lineRule="auto"/>
              <w:jc w:val="center"/>
              <w:outlineLvl w:val="2"/>
              <w:rPr>
                <w:rFonts w:hint="eastAsia" w:ascii="宋体" w:hAnsi="宋体" w:cs="宋体"/>
                <w:color w:val="auto"/>
                <w:sz w:val="24"/>
                <w:highlight w:val="none"/>
              </w:rPr>
            </w:pPr>
            <w:r>
              <w:rPr>
                <w:rFonts w:hint="eastAsia" w:ascii="宋体" w:hAnsi="宋体" w:cs="宋体"/>
                <w:color w:val="auto"/>
                <w:sz w:val="24"/>
                <w:highlight w:val="none"/>
              </w:rPr>
              <w:t>序号</w:t>
            </w:r>
          </w:p>
        </w:tc>
        <w:tc>
          <w:tcPr>
            <w:tcW w:w="3612" w:type="dxa"/>
            <w:vMerge w:val="restart"/>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136" w:type="dxa"/>
            <w:vMerge w:val="restart"/>
            <w:tcBorders>
              <w:tl2br w:val="nil"/>
              <w:tr2bl w:val="nil"/>
            </w:tcBorders>
            <w:vAlign w:val="center"/>
          </w:tcPr>
          <w:p>
            <w:pPr>
              <w:widowControl/>
              <w:tabs>
                <w:tab w:val="left" w:pos="638"/>
              </w:tabs>
              <w:spacing w:line="360" w:lineRule="auto"/>
              <w:jc w:val="center"/>
              <w:outlineLvl w:val="2"/>
              <w:rPr>
                <w:rFonts w:hint="eastAsia" w:ascii="宋体" w:hAnsi="宋体" w:cs="宋体"/>
                <w:color w:val="auto"/>
                <w:sz w:val="24"/>
                <w:highlight w:val="none"/>
              </w:rPr>
            </w:pPr>
            <w:r>
              <w:rPr>
                <w:rFonts w:hint="eastAsia" w:ascii="宋体" w:hAnsi="宋体" w:cs="宋体"/>
                <w:color w:val="auto"/>
                <w:sz w:val="24"/>
                <w:highlight w:val="none"/>
              </w:rPr>
              <w:t>中标价</w:t>
            </w:r>
          </w:p>
        </w:tc>
        <w:tc>
          <w:tcPr>
            <w:tcW w:w="0" w:type="auto"/>
            <w:gridSpan w:val="4"/>
            <w:tcBorders>
              <w:tl2br w:val="nil"/>
              <w:tr2bl w:val="nil"/>
            </w:tcBorders>
            <w:vAlign w:val="center"/>
          </w:tcPr>
          <w:p>
            <w:pPr>
              <w:widowControl/>
              <w:tabs>
                <w:tab w:val="left" w:pos="638"/>
              </w:tabs>
              <w:spacing w:line="360" w:lineRule="auto"/>
              <w:ind w:left="480" w:hanging="480" w:hangingChars="200"/>
              <w:outlineLvl w:val="2"/>
              <w:rPr>
                <w:rFonts w:hint="eastAsia" w:ascii="宋体" w:hAnsi="宋体" w:cs="宋体"/>
                <w:color w:val="auto"/>
                <w:sz w:val="24"/>
                <w:highlight w:val="none"/>
              </w:rPr>
            </w:pPr>
            <w:r>
              <w:rPr>
                <w:rFonts w:hint="eastAsia" w:ascii="宋体" w:hAnsi="宋体" w:cs="宋体"/>
                <w:color w:val="auto"/>
                <w:sz w:val="24"/>
                <w:highlight w:val="none"/>
              </w:rPr>
              <w:t>月度支出（月）</w:t>
            </w:r>
          </w:p>
        </w:tc>
        <w:tc>
          <w:tcPr>
            <w:tcW w:w="0" w:type="auto"/>
            <w:vMerge w:val="restart"/>
            <w:tcBorders>
              <w:tl2br w:val="nil"/>
              <w:tr2bl w:val="nil"/>
            </w:tcBorders>
            <w:vAlign w:val="center"/>
          </w:tcPr>
          <w:p>
            <w:pPr>
              <w:widowControl/>
              <w:tabs>
                <w:tab w:val="left" w:pos="638"/>
              </w:tabs>
              <w:spacing w:line="360" w:lineRule="auto"/>
              <w:jc w:val="center"/>
              <w:outlineLvl w:val="2"/>
              <w:rPr>
                <w:rFonts w:hint="eastAsia" w:ascii="宋体" w:hAnsi="宋体" w:cs="宋体"/>
                <w:color w:val="auto"/>
                <w:sz w:val="24"/>
                <w:highlight w:val="none"/>
              </w:rPr>
            </w:pPr>
            <w:r>
              <w:rPr>
                <w:rFonts w:hint="eastAsia" w:ascii="宋体" w:hAnsi="宋体" w:cs="宋体"/>
                <w:color w:val="auto"/>
                <w:sz w:val="24"/>
                <w:highlight w:val="none"/>
              </w:rPr>
              <w:t>实际发生数合计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vMerge w:val="continue"/>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1136" w:type="dxa"/>
            <w:vMerge w:val="continue"/>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vMerge w:val="continue"/>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jc w:val="center"/>
              <w:outlineLvl w:val="2"/>
              <w:rPr>
                <w:rFonts w:hint="eastAsia" w:ascii="宋体" w:hAnsi="宋体" w:cs="宋体"/>
                <w:color w:val="auto"/>
                <w:sz w:val="24"/>
                <w:highlight w:val="none"/>
              </w:rPr>
            </w:pPr>
            <w:r>
              <w:rPr>
                <w:rFonts w:hint="eastAsia" w:ascii="宋体" w:hAnsi="宋体" w:cs="宋体"/>
                <w:color w:val="auto"/>
                <w:sz w:val="24"/>
                <w:highlight w:val="none"/>
              </w:rPr>
              <w:t>钱塘江流域中心监控更新及维护项目</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l2br w:val="nil"/>
              <w:tr2bl w:val="nil"/>
            </w:tcBorders>
            <w:vAlign w:val="center"/>
          </w:tcPr>
          <w:p>
            <w:pPr>
              <w:widowControl/>
              <w:tabs>
                <w:tab w:val="left" w:pos="638"/>
              </w:tabs>
              <w:spacing w:line="360" w:lineRule="auto"/>
              <w:jc w:val="center"/>
              <w:outlineLvl w:val="2"/>
              <w:rPr>
                <w:rFonts w:hint="eastAsia" w:ascii="宋体" w:hAnsi="宋体" w:cs="宋体"/>
                <w:color w:val="auto"/>
                <w:sz w:val="24"/>
                <w:highlight w:val="none"/>
              </w:rPr>
            </w:pPr>
            <w:r>
              <w:rPr>
                <w:rFonts w:hint="eastAsia" w:ascii="宋体" w:hAnsi="宋体" w:cs="宋体"/>
                <w:color w:val="auto"/>
                <w:sz w:val="24"/>
                <w:highlight w:val="none"/>
              </w:rPr>
              <w:t>其中：</w:t>
            </w: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工资福利支出</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办公费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印刷费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咨询费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差旅费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劳务费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租赁费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维修（护）费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会议费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评审费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培训费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其他交通费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公务接待费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专用材料费</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其他商品和服务支出</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3612"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r>
              <w:rPr>
                <w:rFonts w:hint="eastAsia" w:ascii="宋体" w:hAnsi="宋体" w:cs="宋体"/>
                <w:color w:val="auto"/>
                <w:sz w:val="24"/>
                <w:highlight w:val="none"/>
              </w:rPr>
              <w:t>……</w:t>
            </w:r>
          </w:p>
        </w:tc>
        <w:tc>
          <w:tcPr>
            <w:tcW w:w="1136" w:type="dxa"/>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c>
          <w:tcPr>
            <w:tcW w:w="0" w:type="auto"/>
            <w:tcBorders>
              <w:tl2br w:val="nil"/>
              <w:tr2bl w:val="nil"/>
            </w:tcBorders>
            <w:vAlign w:val="center"/>
          </w:tcPr>
          <w:p>
            <w:pPr>
              <w:widowControl/>
              <w:tabs>
                <w:tab w:val="left" w:pos="638"/>
              </w:tabs>
              <w:spacing w:line="360" w:lineRule="auto"/>
              <w:ind w:firstLine="480" w:firstLineChars="200"/>
              <w:jc w:val="center"/>
              <w:outlineLvl w:val="2"/>
              <w:rPr>
                <w:rFonts w:hint="eastAsia" w:ascii="宋体" w:hAnsi="宋体" w:cs="宋体"/>
                <w:color w:val="auto"/>
                <w:sz w:val="24"/>
                <w:highlight w:val="none"/>
              </w:rPr>
            </w:pPr>
          </w:p>
        </w:tc>
      </w:tr>
    </w:tbl>
    <w:p>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9" w:name="_Toc184313252"/>
      <w:bookmarkEnd w:id="29"/>
      <w:bookmarkStart w:id="30" w:name="_Toc184310299"/>
      <w:bookmarkEnd w:id="30"/>
      <w:bookmarkStart w:id="31" w:name="_Toc184308043"/>
      <w:bookmarkEnd w:id="31"/>
      <w:bookmarkStart w:id="32" w:name="_Toc184312087"/>
      <w:bookmarkEnd w:id="32"/>
      <w:bookmarkStart w:id="33" w:name="_Toc184314439"/>
      <w:bookmarkEnd w:id="33"/>
      <w:bookmarkStart w:id="34" w:name="_Toc184308048"/>
      <w:bookmarkEnd w:id="34"/>
      <w:bookmarkStart w:id="35" w:name="_Toc184308078"/>
      <w:bookmarkEnd w:id="35"/>
      <w:bookmarkStart w:id="36" w:name="_Toc184314433"/>
      <w:bookmarkEnd w:id="36"/>
      <w:bookmarkStart w:id="37" w:name="_Toc184312131"/>
      <w:bookmarkEnd w:id="37"/>
      <w:bookmarkStart w:id="38" w:name="_Toc184310325"/>
      <w:bookmarkEnd w:id="38"/>
      <w:bookmarkStart w:id="39" w:name="_Toc184314417"/>
      <w:bookmarkEnd w:id="39"/>
      <w:bookmarkStart w:id="40" w:name="_Toc184314414"/>
      <w:bookmarkEnd w:id="40"/>
      <w:bookmarkStart w:id="41" w:name="_Toc184314440"/>
      <w:bookmarkEnd w:id="41"/>
      <w:bookmarkStart w:id="42" w:name="_Toc184310283"/>
      <w:bookmarkEnd w:id="42"/>
      <w:bookmarkStart w:id="43" w:name="_Toc184310320"/>
      <w:bookmarkEnd w:id="43"/>
      <w:bookmarkStart w:id="44" w:name="_Toc184310328"/>
      <w:bookmarkEnd w:id="44"/>
      <w:bookmarkStart w:id="45" w:name="_Toc184308054"/>
      <w:bookmarkEnd w:id="45"/>
      <w:bookmarkStart w:id="46" w:name="_Toc184313250"/>
      <w:bookmarkEnd w:id="46"/>
      <w:bookmarkStart w:id="47" w:name="_Toc184308083"/>
      <w:bookmarkEnd w:id="47"/>
      <w:bookmarkStart w:id="48" w:name="_Toc184313302"/>
      <w:bookmarkEnd w:id="48"/>
      <w:bookmarkStart w:id="49" w:name="_Toc184314453"/>
      <w:bookmarkEnd w:id="49"/>
      <w:bookmarkStart w:id="50" w:name="_Toc184314425"/>
      <w:bookmarkEnd w:id="50"/>
      <w:bookmarkStart w:id="51" w:name="_Toc184310312"/>
      <w:bookmarkEnd w:id="51"/>
      <w:bookmarkStart w:id="52" w:name="_Toc184313247"/>
      <w:bookmarkEnd w:id="52"/>
      <w:bookmarkStart w:id="53" w:name="_Toc184313255"/>
      <w:bookmarkEnd w:id="53"/>
      <w:bookmarkStart w:id="54" w:name="_Toc184312127"/>
      <w:bookmarkEnd w:id="54"/>
      <w:bookmarkStart w:id="55" w:name="_Toc184314459"/>
      <w:bookmarkEnd w:id="55"/>
      <w:bookmarkStart w:id="56" w:name="_Toc184314420"/>
      <w:bookmarkEnd w:id="56"/>
      <w:bookmarkStart w:id="57" w:name="_Toc184308080"/>
      <w:bookmarkEnd w:id="57"/>
      <w:bookmarkStart w:id="58" w:name="_Toc184313284"/>
      <w:bookmarkEnd w:id="58"/>
      <w:bookmarkStart w:id="59" w:name="_Toc184310292"/>
      <w:bookmarkEnd w:id="59"/>
      <w:bookmarkStart w:id="60" w:name="_Toc184313270"/>
      <w:bookmarkEnd w:id="60"/>
      <w:bookmarkStart w:id="61" w:name="_Toc184310280"/>
      <w:bookmarkEnd w:id="61"/>
      <w:bookmarkStart w:id="62" w:name="_Toc184308072"/>
      <w:bookmarkEnd w:id="62"/>
      <w:bookmarkStart w:id="63" w:name="_Toc184313280"/>
      <w:bookmarkEnd w:id="63"/>
      <w:bookmarkStart w:id="64" w:name="_Toc184310313"/>
      <w:bookmarkEnd w:id="64"/>
      <w:bookmarkStart w:id="65" w:name="_Toc184310335"/>
      <w:bookmarkEnd w:id="65"/>
      <w:bookmarkStart w:id="66" w:name="_Toc184314471"/>
      <w:bookmarkEnd w:id="66"/>
      <w:bookmarkStart w:id="67" w:name="_Toc184312133"/>
      <w:bookmarkEnd w:id="67"/>
      <w:bookmarkStart w:id="68" w:name="_Toc184314432"/>
      <w:bookmarkEnd w:id="68"/>
      <w:bookmarkStart w:id="69" w:name="_Toc184312123"/>
      <w:bookmarkEnd w:id="69"/>
      <w:bookmarkStart w:id="70" w:name="_Toc184312124"/>
      <w:bookmarkEnd w:id="70"/>
      <w:bookmarkStart w:id="71" w:name="_Toc184312091"/>
      <w:bookmarkEnd w:id="71"/>
      <w:bookmarkStart w:id="72" w:name="_Toc184314411"/>
      <w:bookmarkEnd w:id="72"/>
      <w:bookmarkStart w:id="73" w:name="_Toc184310282"/>
      <w:bookmarkEnd w:id="73"/>
      <w:bookmarkStart w:id="74" w:name="_Toc184308068"/>
      <w:bookmarkEnd w:id="74"/>
      <w:bookmarkStart w:id="75" w:name="_Toc184308076"/>
      <w:bookmarkEnd w:id="75"/>
      <w:bookmarkStart w:id="76" w:name="_Toc184312118"/>
      <w:bookmarkEnd w:id="76"/>
      <w:bookmarkStart w:id="77" w:name="_Toc184314476"/>
      <w:bookmarkEnd w:id="77"/>
      <w:bookmarkStart w:id="78" w:name="_Toc184308053"/>
      <w:bookmarkEnd w:id="78"/>
      <w:bookmarkStart w:id="79" w:name="_Toc184308106"/>
      <w:bookmarkEnd w:id="79"/>
      <w:bookmarkStart w:id="80" w:name="_Toc184312068"/>
      <w:bookmarkEnd w:id="80"/>
      <w:bookmarkStart w:id="81" w:name="_Toc184312088"/>
      <w:bookmarkEnd w:id="81"/>
      <w:bookmarkStart w:id="82" w:name="_Toc184308057"/>
      <w:bookmarkEnd w:id="82"/>
      <w:bookmarkStart w:id="83" w:name="_Toc184314464"/>
      <w:bookmarkEnd w:id="83"/>
      <w:bookmarkStart w:id="84" w:name="_Toc184310342"/>
      <w:bookmarkEnd w:id="84"/>
      <w:bookmarkStart w:id="85" w:name="_Toc184310333"/>
      <w:bookmarkEnd w:id="85"/>
      <w:bookmarkStart w:id="86" w:name="_Toc184308084"/>
      <w:bookmarkEnd w:id="86"/>
      <w:bookmarkStart w:id="87" w:name="_Toc184314413"/>
      <w:bookmarkEnd w:id="87"/>
      <w:bookmarkStart w:id="88" w:name="_Toc184313278"/>
      <w:bookmarkEnd w:id="88"/>
      <w:bookmarkStart w:id="89" w:name="_Toc184314460"/>
      <w:bookmarkEnd w:id="89"/>
      <w:bookmarkStart w:id="90" w:name="_Toc184308036"/>
      <w:bookmarkEnd w:id="90"/>
      <w:bookmarkStart w:id="91" w:name="_Toc184313262"/>
      <w:bookmarkEnd w:id="91"/>
      <w:bookmarkStart w:id="92" w:name="_Toc184310304"/>
      <w:bookmarkEnd w:id="92"/>
      <w:bookmarkStart w:id="93" w:name="_Toc184310284"/>
      <w:bookmarkEnd w:id="93"/>
      <w:bookmarkStart w:id="94" w:name="_Toc184312106"/>
      <w:bookmarkEnd w:id="94"/>
      <w:bookmarkStart w:id="95" w:name="_Toc184310298"/>
      <w:bookmarkEnd w:id="95"/>
      <w:bookmarkStart w:id="96" w:name="_Toc184313266"/>
      <w:bookmarkEnd w:id="96"/>
      <w:bookmarkStart w:id="97" w:name="_Toc184314479"/>
      <w:bookmarkEnd w:id="97"/>
      <w:bookmarkStart w:id="98" w:name="_Toc184310330"/>
      <w:bookmarkEnd w:id="98"/>
      <w:bookmarkStart w:id="99" w:name="_Toc184314436"/>
      <w:bookmarkEnd w:id="99"/>
      <w:bookmarkStart w:id="100" w:name="_Toc184314457"/>
      <w:bookmarkEnd w:id="100"/>
      <w:bookmarkStart w:id="101" w:name="_Toc184310286"/>
      <w:bookmarkEnd w:id="101"/>
      <w:bookmarkStart w:id="102" w:name="_Toc184314448"/>
      <w:bookmarkEnd w:id="102"/>
      <w:bookmarkStart w:id="103" w:name="_Toc184312098"/>
      <w:bookmarkEnd w:id="103"/>
      <w:bookmarkStart w:id="104" w:name="_Toc184308050"/>
      <w:bookmarkEnd w:id="104"/>
      <w:bookmarkStart w:id="105" w:name="_Toc184312080"/>
      <w:bookmarkEnd w:id="105"/>
      <w:bookmarkStart w:id="106" w:name="_Toc184313306"/>
      <w:bookmarkEnd w:id="106"/>
      <w:bookmarkStart w:id="107" w:name="_Toc184308101"/>
      <w:bookmarkEnd w:id="107"/>
      <w:bookmarkStart w:id="108" w:name="_Toc184314455"/>
      <w:bookmarkEnd w:id="108"/>
      <w:bookmarkStart w:id="109" w:name="_Toc184313273"/>
      <w:bookmarkEnd w:id="109"/>
      <w:bookmarkStart w:id="110" w:name="_Toc184313277"/>
      <w:bookmarkEnd w:id="110"/>
      <w:bookmarkStart w:id="111" w:name="_Toc184310295"/>
      <w:bookmarkEnd w:id="111"/>
      <w:bookmarkStart w:id="112" w:name="_Toc184312138"/>
      <w:bookmarkEnd w:id="112"/>
      <w:bookmarkStart w:id="113" w:name="_Toc184308103"/>
      <w:bookmarkEnd w:id="113"/>
      <w:bookmarkStart w:id="114" w:name="_Toc184313300"/>
      <w:bookmarkEnd w:id="114"/>
      <w:bookmarkStart w:id="115" w:name="_Toc184310291"/>
      <w:bookmarkEnd w:id="115"/>
      <w:bookmarkStart w:id="116" w:name="_Toc184312139"/>
      <w:bookmarkEnd w:id="116"/>
      <w:bookmarkStart w:id="117" w:name="_Toc184313242"/>
      <w:bookmarkEnd w:id="117"/>
      <w:bookmarkStart w:id="118" w:name="_Toc184308045"/>
      <w:bookmarkEnd w:id="118"/>
      <w:bookmarkStart w:id="119" w:name="_Toc184308100"/>
      <w:bookmarkEnd w:id="119"/>
      <w:bookmarkStart w:id="120" w:name="_Toc184310327"/>
      <w:bookmarkEnd w:id="120"/>
      <w:bookmarkStart w:id="121" w:name="_Toc184308037"/>
      <w:bookmarkEnd w:id="121"/>
      <w:bookmarkStart w:id="122" w:name="_Toc184308069"/>
      <w:bookmarkEnd w:id="122"/>
      <w:bookmarkStart w:id="123" w:name="_Toc184313295"/>
      <w:bookmarkEnd w:id="123"/>
      <w:bookmarkStart w:id="124" w:name="_Toc184313263"/>
      <w:bookmarkEnd w:id="124"/>
      <w:bookmarkStart w:id="125" w:name="_Toc184312103"/>
      <w:bookmarkEnd w:id="125"/>
      <w:bookmarkStart w:id="126" w:name="_Toc184310339"/>
      <w:bookmarkEnd w:id="126"/>
      <w:bookmarkStart w:id="127" w:name="_Toc184314468"/>
      <w:bookmarkEnd w:id="127"/>
      <w:bookmarkStart w:id="128" w:name="_Toc184308098"/>
      <w:bookmarkEnd w:id="128"/>
      <w:bookmarkStart w:id="129" w:name="_Toc184313309"/>
      <w:bookmarkEnd w:id="129"/>
      <w:bookmarkStart w:id="130" w:name="_Toc184308058"/>
      <w:bookmarkEnd w:id="130"/>
      <w:bookmarkStart w:id="131" w:name="_Toc184308074"/>
      <w:bookmarkEnd w:id="131"/>
      <w:bookmarkStart w:id="132" w:name="_Toc184313260"/>
      <w:bookmarkEnd w:id="132"/>
      <w:bookmarkStart w:id="133" w:name="_Toc184313290"/>
      <w:bookmarkEnd w:id="133"/>
      <w:bookmarkStart w:id="134" w:name="_Toc184308051"/>
      <w:bookmarkEnd w:id="134"/>
      <w:bookmarkStart w:id="135" w:name="_Toc184314450"/>
      <w:bookmarkEnd w:id="135"/>
      <w:bookmarkStart w:id="136" w:name="_Toc184314429"/>
      <w:bookmarkEnd w:id="136"/>
      <w:bookmarkStart w:id="137" w:name="_Toc184310275"/>
      <w:bookmarkEnd w:id="137"/>
      <w:bookmarkStart w:id="138" w:name="_Toc184314467"/>
      <w:bookmarkEnd w:id="138"/>
      <w:bookmarkStart w:id="139" w:name="_Toc184308067"/>
      <w:bookmarkEnd w:id="139"/>
      <w:bookmarkStart w:id="140" w:name="_Toc184312122"/>
      <w:bookmarkEnd w:id="140"/>
      <w:bookmarkStart w:id="141" w:name="_Toc184310337"/>
      <w:bookmarkEnd w:id="141"/>
      <w:bookmarkStart w:id="142" w:name="_Toc184312115"/>
      <w:bookmarkEnd w:id="142"/>
      <w:bookmarkStart w:id="143" w:name="_Toc184308085"/>
      <w:bookmarkEnd w:id="143"/>
      <w:bookmarkStart w:id="144" w:name="_Toc184312077"/>
      <w:bookmarkEnd w:id="144"/>
      <w:bookmarkStart w:id="145" w:name="_Toc184314423"/>
      <w:bookmarkEnd w:id="145"/>
      <w:bookmarkStart w:id="146" w:name="_Toc184312108"/>
      <w:bookmarkEnd w:id="146"/>
      <w:bookmarkStart w:id="147" w:name="_Toc184312075"/>
      <w:bookmarkEnd w:id="147"/>
      <w:bookmarkStart w:id="148" w:name="_Toc184313254"/>
      <w:bookmarkEnd w:id="148"/>
      <w:bookmarkStart w:id="149" w:name="_Toc184312082"/>
      <w:bookmarkEnd w:id="149"/>
      <w:bookmarkStart w:id="150" w:name="_Toc184312130"/>
      <w:bookmarkEnd w:id="150"/>
      <w:bookmarkStart w:id="151" w:name="_Toc184308049"/>
      <w:bookmarkEnd w:id="151"/>
      <w:bookmarkStart w:id="152" w:name="_Toc184310301"/>
      <w:bookmarkEnd w:id="152"/>
      <w:bookmarkStart w:id="153" w:name="_Toc184312076"/>
      <w:bookmarkEnd w:id="153"/>
      <w:bookmarkStart w:id="154" w:name="_Toc184308039"/>
      <w:bookmarkEnd w:id="154"/>
      <w:bookmarkStart w:id="155" w:name="_Toc184313288"/>
      <w:bookmarkEnd w:id="155"/>
      <w:bookmarkStart w:id="156" w:name="_Toc184308095"/>
      <w:bookmarkEnd w:id="156"/>
      <w:bookmarkStart w:id="157" w:name="_Toc184308055"/>
      <w:bookmarkEnd w:id="157"/>
      <w:bookmarkStart w:id="158" w:name="_Toc184314458"/>
      <w:bookmarkEnd w:id="158"/>
      <w:bookmarkStart w:id="159" w:name="_Toc184314444"/>
      <w:bookmarkEnd w:id="159"/>
      <w:bookmarkStart w:id="160" w:name="_Toc184314422"/>
      <w:bookmarkEnd w:id="160"/>
      <w:bookmarkStart w:id="161" w:name="_Toc184310300"/>
      <w:bookmarkEnd w:id="161"/>
      <w:bookmarkStart w:id="162" w:name="_Toc184313265"/>
      <w:bookmarkEnd w:id="162"/>
      <w:bookmarkStart w:id="163" w:name="_Toc184314466"/>
      <w:bookmarkEnd w:id="163"/>
      <w:bookmarkStart w:id="164" w:name="_Toc184310338"/>
      <w:bookmarkEnd w:id="164"/>
      <w:bookmarkStart w:id="165" w:name="_Toc184314470"/>
      <w:bookmarkEnd w:id="165"/>
      <w:bookmarkStart w:id="166" w:name="_Toc184312129"/>
      <w:bookmarkEnd w:id="166"/>
      <w:bookmarkStart w:id="167" w:name="_Toc184312073"/>
      <w:bookmarkEnd w:id="167"/>
      <w:bookmarkStart w:id="168" w:name="_Toc184310274"/>
      <w:bookmarkEnd w:id="168"/>
      <w:bookmarkStart w:id="169" w:name="_Toc184308056"/>
      <w:bookmarkEnd w:id="169"/>
      <w:bookmarkStart w:id="170" w:name="_Toc184308089"/>
      <w:bookmarkEnd w:id="170"/>
      <w:bookmarkStart w:id="171" w:name="_Toc184314442"/>
      <w:bookmarkEnd w:id="171"/>
      <w:bookmarkStart w:id="172" w:name="_Toc184313286"/>
      <w:bookmarkEnd w:id="172"/>
      <w:bookmarkStart w:id="173" w:name="_Toc184312119"/>
      <w:bookmarkEnd w:id="173"/>
      <w:bookmarkStart w:id="174" w:name="_Toc184308104"/>
      <w:bookmarkEnd w:id="174"/>
      <w:bookmarkStart w:id="175" w:name="_Toc184310272"/>
      <w:bookmarkEnd w:id="175"/>
      <w:bookmarkStart w:id="176" w:name="_Toc184310281"/>
      <w:bookmarkEnd w:id="176"/>
      <w:bookmarkStart w:id="177" w:name="_Toc184308046"/>
      <w:bookmarkEnd w:id="177"/>
      <w:bookmarkStart w:id="178" w:name="_Toc184312132"/>
      <w:bookmarkEnd w:id="178"/>
      <w:bookmarkStart w:id="179" w:name="_Toc184312136"/>
      <w:bookmarkEnd w:id="179"/>
      <w:bookmarkStart w:id="180" w:name="_Toc184313261"/>
      <w:bookmarkEnd w:id="180"/>
      <w:bookmarkStart w:id="181" w:name="_Toc184314473"/>
      <w:bookmarkEnd w:id="181"/>
      <w:bookmarkStart w:id="182" w:name="_Toc184308082"/>
      <w:bookmarkEnd w:id="182"/>
      <w:bookmarkStart w:id="183" w:name="_Toc184310279"/>
      <w:bookmarkEnd w:id="183"/>
      <w:bookmarkStart w:id="184" w:name="_Toc184308070"/>
      <w:bookmarkEnd w:id="184"/>
      <w:bookmarkStart w:id="185" w:name="_Toc184314474"/>
      <w:bookmarkEnd w:id="185"/>
      <w:bookmarkStart w:id="186" w:name="_Toc184308063"/>
      <w:bookmarkEnd w:id="186"/>
      <w:bookmarkStart w:id="187" w:name="_Toc184312116"/>
      <w:bookmarkEnd w:id="187"/>
      <w:bookmarkStart w:id="188" w:name="_Toc184314461"/>
      <w:bookmarkEnd w:id="188"/>
      <w:bookmarkStart w:id="189" w:name="_Toc184308038"/>
      <w:bookmarkEnd w:id="189"/>
      <w:bookmarkStart w:id="190" w:name="_Toc184310323"/>
      <w:bookmarkEnd w:id="190"/>
      <w:bookmarkStart w:id="191" w:name="_Toc184314481"/>
      <w:bookmarkEnd w:id="191"/>
      <w:bookmarkStart w:id="192" w:name="_Toc184310277"/>
      <w:bookmarkEnd w:id="192"/>
      <w:bookmarkStart w:id="193" w:name="_Toc184308094"/>
      <w:bookmarkEnd w:id="193"/>
      <w:bookmarkStart w:id="194" w:name="_Toc184312112"/>
      <w:bookmarkEnd w:id="194"/>
      <w:bookmarkStart w:id="195" w:name="_Toc184314415"/>
      <w:bookmarkEnd w:id="195"/>
      <w:bookmarkStart w:id="196" w:name="_Toc184313283"/>
      <w:bookmarkEnd w:id="196"/>
      <w:bookmarkStart w:id="197" w:name="_Toc184312104"/>
      <w:bookmarkEnd w:id="197"/>
      <w:bookmarkStart w:id="198" w:name="_Toc184312085"/>
      <w:bookmarkEnd w:id="198"/>
      <w:bookmarkStart w:id="199" w:name="_Toc184312109"/>
      <w:bookmarkEnd w:id="199"/>
      <w:bookmarkStart w:id="200" w:name="_Toc184314472"/>
      <w:bookmarkEnd w:id="200"/>
      <w:bookmarkStart w:id="201" w:name="_Toc184314480"/>
      <w:bookmarkEnd w:id="201"/>
      <w:bookmarkStart w:id="202" w:name="_Toc184313244"/>
      <w:bookmarkEnd w:id="202"/>
      <w:bookmarkStart w:id="203" w:name="_Toc184313297"/>
      <w:bookmarkEnd w:id="203"/>
      <w:bookmarkStart w:id="204" w:name="_Toc184310309"/>
      <w:bookmarkEnd w:id="204"/>
      <w:bookmarkStart w:id="205" w:name="_Toc184313307"/>
      <w:bookmarkEnd w:id="205"/>
      <w:bookmarkStart w:id="206" w:name="_Toc184314454"/>
      <w:bookmarkEnd w:id="206"/>
      <w:bookmarkStart w:id="207" w:name="_Toc184308040"/>
      <w:bookmarkEnd w:id="207"/>
      <w:bookmarkStart w:id="208" w:name="_Toc184313281"/>
      <w:bookmarkEnd w:id="208"/>
      <w:bookmarkStart w:id="209" w:name="_Toc184310316"/>
      <w:bookmarkEnd w:id="209"/>
      <w:bookmarkStart w:id="210" w:name="_Toc184312094"/>
      <w:bookmarkEnd w:id="210"/>
      <w:bookmarkStart w:id="211" w:name="_Toc184312102"/>
      <w:bookmarkEnd w:id="211"/>
      <w:bookmarkStart w:id="212" w:name="_Toc184308088"/>
      <w:bookmarkEnd w:id="212"/>
      <w:bookmarkStart w:id="213" w:name="_Toc184312120"/>
      <w:bookmarkEnd w:id="213"/>
      <w:bookmarkStart w:id="214" w:name="_Toc184313239"/>
      <w:bookmarkEnd w:id="214"/>
      <w:bookmarkStart w:id="215" w:name="_Toc184308041"/>
      <w:bookmarkEnd w:id="215"/>
      <w:bookmarkStart w:id="216" w:name="_Toc184312090"/>
      <w:bookmarkEnd w:id="216"/>
      <w:bookmarkStart w:id="217" w:name="_Toc184314410"/>
      <w:bookmarkEnd w:id="217"/>
      <w:bookmarkStart w:id="218" w:name="_Toc184312092"/>
      <w:bookmarkEnd w:id="218"/>
      <w:bookmarkStart w:id="219" w:name="_Toc184310344"/>
      <w:bookmarkEnd w:id="219"/>
      <w:bookmarkStart w:id="220" w:name="_Toc184310321"/>
      <w:bookmarkEnd w:id="220"/>
      <w:bookmarkStart w:id="221" w:name="_Toc184314463"/>
      <w:bookmarkEnd w:id="221"/>
      <w:bookmarkStart w:id="222" w:name="_Toc184310317"/>
      <w:bookmarkEnd w:id="222"/>
      <w:bookmarkStart w:id="223" w:name="_Toc184313271"/>
      <w:bookmarkEnd w:id="223"/>
      <w:bookmarkStart w:id="224" w:name="_Toc184312137"/>
      <w:bookmarkEnd w:id="224"/>
      <w:bookmarkStart w:id="225" w:name="_Toc184313249"/>
      <w:bookmarkEnd w:id="225"/>
      <w:bookmarkStart w:id="226" w:name="_Toc184314478"/>
      <w:bookmarkEnd w:id="226"/>
      <w:bookmarkStart w:id="227" w:name="_Toc184308079"/>
      <w:bookmarkEnd w:id="227"/>
      <w:bookmarkStart w:id="228" w:name="_Toc184310285"/>
      <w:bookmarkEnd w:id="228"/>
      <w:bookmarkStart w:id="229" w:name="_Toc184313296"/>
      <w:bookmarkEnd w:id="229"/>
      <w:bookmarkStart w:id="230" w:name="_Toc184314434"/>
      <w:bookmarkEnd w:id="230"/>
      <w:bookmarkStart w:id="231" w:name="_Toc184310294"/>
      <w:bookmarkEnd w:id="231"/>
      <w:bookmarkStart w:id="232" w:name="_Toc184314441"/>
      <w:bookmarkEnd w:id="232"/>
      <w:bookmarkStart w:id="233" w:name="_Toc184314445"/>
      <w:bookmarkEnd w:id="233"/>
      <w:bookmarkStart w:id="234" w:name="_Toc184313245"/>
      <w:bookmarkEnd w:id="234"/>
      <w:bookmarkStart w:id="235" w:name="_Toc184312121"/>
      <w:bookmarkEnd w:id="235"/>
      <w:bookmarkStart w:id="236" w:name="_Toc184310307"/>
      <w:bookmarkEnd w:id="236"/>
      <w:bookmarkStart w:id="237" w:name="_Toc184312069"/>
      <w:bookmarkEnd w:id="237"/>
      <w:bookmarkStart w:id="238" w:name="_Toc184308108"/>
      <w:bookmarkEnd w:id="238"/>
      <w:bookmarkStart w:id="239" w:name="_Toc184310331"/>
      <w:bookmarkEnd w:id="239"/>
      <w:bookmarkStart w:id="240" w:name="_Toc184313310"/>
      <w:bookmarkEnd w:id="240"/>
      <w:bookmarkStart w:id="241" w:name="_Toc184310332"/>
      <w:bookmarkEnd w:id="241"/>
      <w:bookmarkStart w:id="242" w:name="_Toc184312096"/>
      <w:bookmarkEnd w:id="242"/>
      <w:bookmarkStart w:id="243" w:name="_Toc184313257"/>
      <w:bookmarkEnd w:id="243"/>
      <w:bookmarkStart w:id="244" w:name="_Toc184310303"/>
      <w:bookmarkEnd w:id="244"/>
      <w:bookmarkStart w:id="245" w:name="_Toc184308064"/>
      <w:bookmarkEnd w:id="245"/>
      <w:bookmarkStart w:id="246" w:name="_Toc184314431"/>
      <w:bookmarkEnd w:id="246"/>
      <w:bookmarkStart w:id="247" w:name="_Toc184314477"/>
      <w:bookmarkEnd w:id="247"/>
      <w:bookmarkStart w:id="248" w:name="_Toc184312081"/>
      <w:bookmarkEnd w:id="248"/>
      <w:bookmarkStart w:id="249" w:name="_Toc184313308"/>
      <w:bookmarkEnd w:id="249"/>
      <w:bookmarkStart w:id="250" w:name="_Toc184314421"/>
      <w:bookmarkEnd w:id="250"/>
      <w:bookmarkStart w:id="251" w:name="_Toc184314437"/>
      <w:bookmarkEnd w:id="251"/>
      <w:bookmarkStart w:id="252" w:name="_Toc184314462"/>
      <w:bookmarkEnd w:id="252"/>
      <w:bookmarkStart w:id="253" w:name="_Toc184313299"/>
      <w:bookmarkEnd w:id="253"/>
      <w:bookmarkStart w:id="254" w:name="_Toc184308077"/>
      <w:bookmarkEnd w:id="254"/>
      <w:bookmarkStart w:id="255" w:name="_Toc184314412"/>
      <w:bookmarkEnd w:id="255"/>
      <w:bookmarkStart w:id="256" w:name="_Toc184310278"/>
      <w:bookmarkEnd w:id="256"/>
      <w:bookmarkStart w:id="257" w:name="_Toc184314418"/>
      <w:bookmarkEnd w:id="257"/>
      <w:bookmarkStart w:id="258" w:name="_Toc184313285"/>
      <w:bookmarkEnd w:id="258"/>
      <w:bookmarkStart w:id="259" w:name="_Toc184314469"/>
      <w:bookmarkEnd w:id="259"/>
      <w:bookmarkStart w:id="260" w:name="_Toc184310289"/>
      <w:bookmarkEnd w:id="260"/>
      <w:bookmarkStart w:id="261" w:name="_Toc184310329"/>
      <w:bookmarkEnd w:id="261"/>
      <w:bookmarkStart w:id="262" w:name="_Toc184310326"/>
      <w:bookmarkEnd w:id="262"/>
      <w:bookmarkStart w:id="263" w:name="_Toc184310341"/>
      <w:bookmarkEnd w:id="263"/>
      <w:bookmarkStart w:id="264" w:name="_Toc184313269"/>
      <w:bookmarkEnd w:id="264"/>
      <w:bookmarkStart w:id="265" w:name="_Toc184312128"/>
      <w:bookmarkEnd w:id="265"/>
      <w:bookmarkStart w:id="266" w:name="_Toc184310319"/>
      <w:bookmarkEnd w:id="266"/>
      <w:bookmarkStart w:id="267" w:name="_Toc184310324"/>
      <w:bookmarkEnd w:id="267"/>
      <w:bookmarkStart w:id="268" w:name="_Toc184312093"/>
      <w:bookmarkEnd w:id="268"/>
      <w:bookmarkStart w:id="269" w:name="_Toc184313301"/>
      <w:bookmarkEnd w:id="269"/>
      <w:bookmarkStart w:id="270" w:name="_Toc184310288"/>
      <w:bookmarkEnd w:id="270"/>
      <w:bookmarkStart w:id="271" w:name="_Toc184308087"/>
      <w:bookmarkEnd w:id="271"/>
      <w:bookmarkStart w:id="272" w:name="_Toc184308047"/>
      <w:bookmarkEnd w:id="272"/>
      <w:bookmarkStart w:id="273" w:name="_Toc184314416"/>
      <w:bookmarkEnd w:id="273"/>
      <w:bookmarkStart w:id="274" w:name="_Toc184310276"/>
      <w:bookmarkEnd w:id="274"/>
      <w:bookmarkStart w:id="275" w:name="_Toc184314428"/>
      <w:bookmarkEnd w:id="275"/>
      <w:bookmarkStart w:id="276" w:name="_Toc184313238"/>
      <w:bookmarkEnd w:id="276"/>
      <w:bookmarkStart w:id="277" w:name="_Toc184312134"/>
      <w:bookmarkEnd w:id="277"/>
      <w:bookmarkStart w:id="278" w:name="_Toc184310273"/>
      <w:bookmarkEnd w:id="278"/>
      <w:bookmarkStart w:id="279" w:name="_Toc184308093"/>
      <w:bookmarkEnd w:id="279"/>
      <w:bookmarkStart w:id="280" w:name="_Toc184312078"/>
      <w:bookmarkEnd w:id="280"/>
      <w:bookmarkStart w:id="281" w:name="_Toc184313256"/>
      <w:bookmarkEnd w:id="281"/>
      <w:bookmarkStart w:id="282" w:name="_Toc184312084"/>
      <w:bookmarkEnd w:id="282"/>
      <w:bookmarkStart w:id="283" w:name="_Toc184308090"/>
      <w:bookmarkEnd w:id="283"/>
      <w:bookmarkStart w:id="284" w:name="_Toc184312089"/>
      <w:bookmarkEnd w:id="284"/>
      <w:bookmarkStart w:id="285" w:name="_Toc184312070"/>
      <w:bookmarkEnd w:id="285"/>
      <w:bookmarkStart w:id="286" w:name="_Toc184310343"/>
      <w:bookmarkEnd w:id="286"/>
      <w:bookmarkStart w:id="287" w:name="_Toc184313274"/>
      <w:bookmarkEnd w:id="287"/>
      <w:bookmarkStart w:id="288" w:name="_Toc184308107"/>
      <w:bookmarkEnd w:id="288"/>
      <w:bookmarkStart w:id="289" w:name="_Toc184312067"/>
      <w:bookmarkEnd w:id="289"/>
      <w:bookmarkStart w:id="290" w:name="_Toc184308102"/>
      <w:bookmarkEnd w:id="290"/>
      <w:bookmarkStart w:id="291" w:name="_Toc184314424"/>
      <w:bookmarkEnd w:id="291"/>
      <w:bookmarkStart w:id="292" w:name="_Toc184313292"/>
      <w:bookmarkEnd w:id="292"/>
      <w:bookmarkStart w:id="293" w:name="_Toc184310340"/>
      <w:bookmarkEnd w:id="293"/>
      <w:bookmarkStart w:id="294" w:name="_Toc184313304"/>
      <w:bookmarkEnd w:id="294"/>
      <w:bookmarkStart w:id="295" w:name="_Toc184308044"/>
      <w:bookmarkEnd w:id="295"/>
      <w:bookmarkStart w:id="296" w:name="_Toc184313275"/>
      <w:bookmarkEnd w:id="296"/>
      <w:bookmarkStart w:id="297" w:name="_Toc184308061"/>
      <w:bookmarkEnd w:id="297"/>
      <w:bookmarkStart w:id="298" w:name="_Toc184312074"/>
      <w:bookmarkEnd w:id="298"/>
      <w:bookmarkStart w:id="299" w:name="_Toc184312095"/>
      <w:bookmarkEnd w:id="299"/>
      <w:bookmarkStart w:id="300" w:name="_Toc184313240"/>
      <w:bookmarkEnd w:id="300"/>
      <w:bookmarkStart w:id="301" w:name="_Toc184314475"/>
      <w:bookmarkEnd w:id="301"/>
      <w:bookmarkStart w:id="302" w:name="_Toc184310305"/>
      <w:bookmarkEnd w:id="302"/>
      <w:bookmarkStart w:id="303" w:name="_Toc184310297"/>
      <w:bookmarkEnd w:id="303"/>
      <w:bookmarkStart w:id="304" w:name="_Toc184310290"/>
      <w:bookmarkEnd w:id="304"/>
      <w:bookmarkStart w:id="305" w:name="_Toc184312083"/>
      <w:bookmarkEnd w:id="305"/>
      <w:bookmarkStart w:id="306" w:name="_Toc184312105"/>
      <w:bookmarkEnd w:id="306"/>
      <w:bookmarkStart w:id="307" w:name="_Toc184310315"/>
      <w:bookmarkEnd w:id="307"/>
      <w:bookmarkStart w:id="308" w:name="_Toc184313241"/>
      <w:bookmarkEnd w:id="308"/>
      <w:bookmarkStart w:id="309" w:name="_Toc184314427"/>
      <w:bookmarkEnd w:id="309"/>
      <w:bookmarkStart w:id="310" w:name="_Toc184308065"/>
      <w:bookmarkEnd w:id="310"/>
      <w:bookmarkStart w:id="311" w:name="_Toc184308099"/>
      <w:bookmarkEnd w:id="311"/>
      <w:bookmarkStart w:id="312" w:name="_Toc184312110"/>
      <w:bookmarkEnd w:id="312"/>
      <w:bookmarkStart w:id="313" w:name="_Toc184312072"/>
      <w:bookmarkEnd w:id="313"/>
      <w:bookmarkStart w:id="314" w:name="_Toc184312100"/>
      <w:bookmarkEnd w:id="314"/>
      <w:bookmarkStart w:id="315" w:name="_Toc184314482"/>
      <w:bookmarkEnd w:id="315"/>
      <w:bookmarkStart w:id="316" w:name="_Toc184312101"/>
      <w:bookmarkEnd w:id="316"/>
      <w:bookmarkStart w:id="317" w:name="_Toc184314446"/>
      <w:bookmarkEnd w:id="317"/>
      <w:bookmarkStart w:id="318" w:name="_Toc184308097"/>
      <w:bookmarkEnd w:id="318"/>
      <w:bookmarkStart w:id="319" w:name="_Toc184313291"/>
      <w:bookmarkEnd w:id="319"/>
      <w:bookmarkStart w:id="320" w:name="_Toc184312117"/>
      <w:bookmarkEnd w:id="320"/>
      <w:bookmarkStart w:id="321" w:name="_Toc184312099"/>
      <w:bookmarkEnd w:id="321"/>
      <w:bookmarkStart w:id="322" w:name="_Toc184310308"/>
      <w:bookmarkEnd w:id="322"/>
      <w:bookmarkStart w:id="323" w:name="_Toc184312125"/>
      <w:bookmarkEnd w:id="323"/>
      <w:bookmarkStart w:id="324" w:name="_Toc184313282"/>
      <w:bookmarkEnd w:id="324"/>
      <w:bookmarkStart w:id="325" w:name="_Toc184312113"/>
      <w:bookmarkEnd w:id="325"/>
      <w:bookmarkStart w:id="326" w:name="_Toc184314451"/>
      <w:bookmarkEnd w:id="326"/>
      <w:bookmarkStart w:id="327" w:name="_Toc184310314"/>
      <w:bookmarkEnd w:id="327"/>
      <w:bookmarkStart w:id="328" w:name="_Toc184313243"/>
      <w:bookmarkEnd w:id="328"/>
      <w:bookmarkStart w:id="329" w:name="_Toc184313246"/>
      <w:bookmarkEnd w:id="329"/>
      <w:bookmarkStart w:id="330" w:name="_Toc184308096"/>
      <w:bookmarkEnd w:id="330"/>
      <w:bookmarkStart w:id="331" w:name="_Toc184313279"/>
      <w:bookmarkEnd w:id="331"/>
      <w:bookmarkStart w:id="332" w:name="_Toc184313248"/>
      <w:bookmarkEnd w:id="332"/>
      <w:bookmarkStart w:id="333" w:name="_Toc184314465"/>
      <w:bookmarkEnd w:id="333"/>
      <w:bookmarkStart w:id="334" w:name="_Toc184310318"/>
      <w:bookmarkEnd w:id="334"/>
      <w:bookmarkStart w:id="335" w:name="_Toc184313253"/>
      <w:bookmarkEnd w:id="335"/>
      <w:bookmarkStart w:id="336" w:name="_Toc184308086"/>
      <w:bookmarkEnd w:id="336"/>
      <w:bookmarkStart w:id="337" w:name="_Toc184310334"/>
      <w:bookmarkEnd w:id="337"/>
      <w:bookmarkStart w:id="338" w:name="_Toc184308042"/>
      <w:bookmarkEnd w:id="338"/>
      <w:bookmarkStart w:id="339" w:name="_Toc184310311"/>
      <w:bookmarkEnd w:id="339"/>
      <w:bookmarkStart w:id="340" w:name="_Toc184308091"/>
      <w:bookmarkEnd w:id="340"/>
      <w:bookmarkStart w:id="341" w:name="_Toc184310293"/>
      <w:bookmarkEnd w:id="341"/>
      <w:bookmarkStart w:id="342" w:name="_Toc184313293"/>
      <w:bookmarkEnd w:id="342"/>
      <w:bookmarkStart w:id="343" w:name="_Toc184310310"/>
      <w:bookmarkEnd w:id="343"/>
      <w:bookmarkStart w:id="344" w:name="_Toc184308052"/>
      <w:bookmarkEnd w:id="344"/>
      <w:bookmarkStart w:id="345" w:name="_Toc184312071"/>
      <w:bookmarkEnd w:id="345"/>
      <w:bookmarkStart w:id="346" w:name="_Toc184313272"/>
      <w:bookmarkEnd w:id="346"/>
      <w:bookmarkStart w:id="347" w:name="_Toc184312086"/>
      <w:bookmarkEnd w:id="347"/>
      <w:bookmarkStart w:id="348" w:name="_Toc184313298"/>
      <w:bookmarkEnd w:id="348"/>
      <w:bookmarkStart w:id="349" w:name="_Toc184310287"/>
      <w:bookmarkEnd w:id="349"/>
      <w:bookmarkStart w:id="350" w:name="_Toc184310322"/>
      <w:bookmarkEnd w:id="350"/>
      <w:bookmarkStart w:id="351" w:name="_Toc184313303"/>
      <w:bookmarkEnd w:id="351"/>
      <w:bookmarkStart w:id="352" w:name="_Toc184308092"/>
      <w:bookmarkEnd w:id="352"/>
      <w:bookmarkStart w:id="353" w:name="_Toc184310306"/>
      <w:bookmarkEnd w:id="353"/>
      <w:bookmarkStart w:id="354" w:name="_Toc184310336"/>
      <w:bookmarkEnd w:id="354"/>
      <w:bookmarkStart w:id="355" w:name="_Toc184308060"/>
      <w:bookmarkEnd w:id="355"/>
      <w:bookmarkStart w:id="356" w:name="_Toc184314426"/>
      <w:bookmarkEnd w:id="356"/>
      <w:bookmarkStart w:id="357" w:name="_Toc184313268"/>
      <w:bookmarkEnd w:id="357"/>
      <w:bookmarkStart w:id="358" w:name="_Toc184313259"/>
      <w:bookmarkEnd w:id="358"/>
      <w:bookmarkStart w:id="359" w:name="_Toc184314430"/>
      <w:bookmarkEnd w:id="359"/>
      <w:bookmarkStart w:id="360" w:name="_Toc184310302"/>
      <w:bookmarkEnd w:id="360"/>
      <w:bookmarkStart w:id="361" w:name="_Toc184313258"/>
      <w:bookmarkEnd w:id="361"/>
      <w:bookmarkStart w:id="362" w:name="_Toc184314443"/>
      <w:bookmarkEnd w:id="362"/>
      <w:bookmarkStart w:id="363" w:name="_Toc184308062"/>
      <w:bookmarkEnd w:id="363"/>
      <w:bookmarkStart w:id="364" w:name="_Toc184314419"/>
      <w:bookmarkEnd w:id="364"/>
      <w:bookmarkStart w:id="365" w:name="_Toc184308071"/>
      <w:bookmarkEnd w:id="365"/>
      <w:bookmarkStart w:id="366" w:name="_Toc184314438"/>
      <w:bookmarkEnd w:id="366"/>
      <w:bookmarkStart w:id="367" w:name="_Toc184312079"/>
      <w:bookmarkEnd w:id="367"/>
      <w:bookmarkStart w:id="368" w:name="_Toc184313276"/>
      <w:bookmarkEnd w:id="368"/>
      <w:bookmarkStart w:id="369" w:name="_Toc184308059"/>
      <w:bookmarkEnd w:id="369"/>
      <w:bookmarkStart w:id="370" w:name="_Toc184308066"/>
      <w:bookmarkEnd w:id="370"/>
      <w:bookmarkStart w:id="371" w:name="_Toc184312135"/>
      <w:bookmarkEnd w:id="371"/>
      <w:bookmarkStart w:id="372" w:name="_Toc184313294"/>
      <w:bookmarkEnd w:id="372"/>
      <w:bookmarkStart w:id="373" w:name="_Toc184308105"/>
      <w:bookmarkEnd w:id="373"/>
      <w:bookmarkStart w:id="374" w:name="_Toc184314452"/>
      <w:bookmarkEnd w:id="374"/>
      <w:bookmarkStart w:id="375" w:name="_Toc184312107"/>
      <w:bookmarkEnd w:id="375"/>
      <w:bookmarkStart w:id="376" w:name="_Toc184314447"/>
      <w:bookmarkEnd w:id="376"/>
      <w:bookmarkStart w:id="377" w:name="_Toc184312126"/>
      <w:bookmarkEnd w:id="377"/>
      <w:bookmarkStart w:id="378" w:name="_Toc184313267"/>
      <w:bookmarkEnd w:id="378"/>
      <w:bookmarkStart w:id="379" w:name="_Toc184308075"/>
      <w:bookmarkEnd w:id="379"/>
      <w:bookmarkStart w:id="380" w:name="_Toc184312114"/>
      <w:bookmarkEnd w:id="380"/>
      <w:bookmarkStart w:id="381" w:name="_Toc184308073"/>
      <w:bookmarkEnd w:id="381"/>
      <w:bookmarkStart w:id="382" w:name="_Toc184314435"/>
      <w:bookmarkEnd w:id="382"/>
      <w:bookmarkStart w:id="383" w:name="_Toc184308081"/>
      <w:bookmarkEnd w:id="383"/>
      <w:bookmarkStart w:id="384" w:name="_Toc184312111"/>
      <w:bookmarkEnd w:id="384"/>
      <w:bookmarkStart w:id="385" w:name="_Toc184314456"/>
      <w:bookmarkEnd w:id="385"/>
      <w:bookmarkStart w:id="386" w:name="_Toc184314449"/>
      <w:bookmarkEnd w:id="386"/>
      <w:bookmarkStart w:id="387" w:name="_Toc184313289"/>
      <w:bookmarkEnd w:id="387"/>
      <w:bookmarkStart w:id="388" w:name="_Toc184313251"/>
      <w:bookmarkEnd w:id="388"/>
      <w:bookmarkStart w:id="389" w:name="_Toc184310296"/>
      <w:bookmarkEnd w:id="389"/>
      <w:bookmarkStart w:id="390" w:name="_Toc184313264"/>
      <w:bookmarkEnd w:id="390"/>
      <w:bookmarkStart w:id="391" w:name="_Toc184313305"/>
      <w:bookmarkEnd w:id="391"/>
      <w:bookmarkStart w:id="392" w:name="_Toc184312097"/>
      <w:bookmarkEnd w:id="392"/>
      <w:bookmarkStart w:id="393" w:name="_Toc184313287"/>
      <w:bookmarkEnd w:id="393"/>
      <w:r>
        <w:rPr>
          <w:rFonts w:hint="eastAsia" w:ascii="宋体" w:hAnsi="宋体" w:cs="宋体"/>
          <w:b/>
          <w:color w:val="auto"/>
          <w:sz w:val="36"/>
          <w:szCs w:val="36"/>
          <w:highlight w:val="none"/>
        </w:rPr>
        <w:t>评标办法</w:t>
      </w:r>
    </w:p>
    <w:p>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7015"/>
        <w:gridCol w:w="757"/>
        <w:gridCol w:w="819"/>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widowControl w:val="0"/>
              <w:jc w:val="center"/>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序号</w:t>
            </w:r>
          </w:p>
        </w:tc>
        <w:tc>
          <w:tcPr>
            <w:tcW w:w="0" w:type="auto"/>
            <w:vAlign w:val="center"/>
          </w:tcPr>
          <w:p>
            <w:pPr>
              <w:pStyle w:val="2"/>
              <w:widowControl w:val="0"/>
              <w:jc w:val="center"/>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评审标准</w:t>
            </w:r>
          </w:p>
        </w:tc>
        <w:tc>
          <w:tcPr>
            <w:tcW w:w="0" w:type="auto"/>
            <w:vAlign w:val="center"/>
          </w:tcPr>
          <w:p>
            <w:pPr>
              <w:pStyle w:val="2"/>
              <w:widowControl w:val="0"/>
              <w:jc w:val="center"/>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权重</w:t>
            </w:r>
          </w:p>
        </w:tc>
        <w:tc>
          <w:tcPr>
            <w:tcW w:w="0" w:type="auto"/>
            <w:vAlign w:val="center"/>
          </w:tcPr>
          <w:p>
            <w:pPr>
              <w:pStyle w:val="2"/>
              <w:widowControl w:val="0"/>
              <w:jc w:val="center"/>
              <w:rPr>
                <w:rFonts w:hint="eastAsia" w:cs="宋体"/>
                <w:b w:val="0"/>
                <w:bCs w:val="0"/>
                <w:color w:val="auto"/>
                <w:szCs w:val="24"/>
                <w:highlight w:val="none"/>
                <w:vertAlign w:val="baseline"/>
              </w:rPr>
            </w:pPr>
            <w:r>
              <w:rPr>
                <w:rFonts w:hint="eastAsia" w:ascii="宋体" w:hAnsi="宋体" w:eastAsia="宋体" w:cs="宋体"/>
                <w:b w:val="0"/>
                <w:bCs w:val="0"/>
                <w:color w:val="auto"/>
                <w:kern w:val="0"/>
                <w:sz w:val="24"/>
                <w:szCs w:val="24"/>
                <w:highlight w:val="none"/>
                <w:lang w:bidi="ar"/>
              </w:rPr>
              <w:t>主观分/客观分属性</w:t>
            </w:r>
          </w:p>
        </w:tc>
        <w:tc>
          <w:tcPr>
            <w:tcW w:w="738" w:type="dxa"/>
            <w:vAlign w:val="center"/>
          </w:tcPr>
          <w:p>
            <w:pPr>
              <w:pStyle w:val="2"/>
              <w:widowControl w:val="0"/>
              <w:jc w:val="center"/>
              <w:rPr>
                <w:rFonts w:hint="eastAsia" w:ascii="宋体" w:hAnsi="宋体" w:eastAsia="宋体" w:cs="宋体"/>
                <w:b w:val="0"/>
                <w:bCs w:val="0"/>
                <w:color w:val="auto"/>
                <w:kern w:val="0"/>
                <w:sz w:val="24"/>
                <w:szCs w:val="24"/>
                <w:highlight w:val="none"/>
                <w:lang w:bidi="ar"/>
              </w:rPr>
            </w:pPr>
            <w:r>
              <w:rPr>
                <w:rFonts w:hint="eastAsia" w:ascii="宋体" w:hAnsi="宋体" w:cs="宋体"/>
                <w:bCs/>
                <w:color w:val="auto"/>
                <w:szCs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w:t>
            </w:r>
          </w:p>
        </w:tc>
        <w:tc>
          <w:tcPr>
            <w:tcW w:w="0" w:type="auto"/>
            <w:vAlign w:val="center"/>
          </w:tcPr>
          <w:p>
            <w:pPr>
              <w:widowControl/>
              <w:jc w:val="left"/>
              <w:textAlignment w:val="center"/>
              <w:rPr>
                <w:rStyle w:val="129"/>
                <w:rFonts w:hint="eastAsia" w:ascii="宋体" w:hAnsi="宋体" w:eastAsia="宋体" w:cs="宋体"/>
                <w:b w:val="0"/>
                <w:bCs w:val="0"/>
                <w:color w:val="auto"/>
                <w:sz w:val="24"/>
                <w:szCs w:val="24"/>
                <w:highlight w:val="none"/>
                <w:lang w:bidi="ar"/>
              </w:rPr>
            </w:pPr>
            <w:r>
              <w:rPr>
                <w:rFonts w:hint="eastAsia" w:ascii="宋体" w:hAnsi="宋体" w:cs="宋体"/>
                <w:b w:val="0"/>
                <w:bCs w:val="0"/>
                <w:color w:val="auto"/>
                <w:sz w:val="24"/>
                <w:szCs w:val="24"/>
                <w:highlight w:val="none"/>
                <w:vertAlign w:val="baseline"/>
                <w:lang w:val="en-US" w:eastAsia="zh-CN"/>
              </w:rPr>
              <w:t>相关业绩：</w:t>
            </w:r>
            <w:r>
              <w:rPr>
                <w:rStyle w:val="129"/>
                <w:rFonts w:hint="eastAsia" w:ascii="宋体" w:hAnsi="宋体" w:eastAsia="宋体" w:cs="宋体"/>
                <w:b w:val="0"/>
                <w:bCs w:val="0"/>
                <w:color w:val="auto"/>
                <w:sz w:val="24"/>
                <w:szCs w:val="24"/>
                <w:highlight w:val="none"/>
                <w:lang w:bidi="ar"/>
              </w:rPr>
              <w:t>供应商自202</w:t>
            </w:r>
            <w:r>
              <w:rPr>
                <w:rStyle w:val="129"/>
                <w:rFonts w:hint="eastAsia" w:ascii="宋体" w:hAnsi="宋体" w:cs="宋体"/>
                <w:b w:val="0"/>
                <w:bCs w:val="0"/>
                <w:color w:val="auto"/>
                <w:sz w:val="24"/>
                <w:szCs w:val="24"/>
                <w:highlight w:val="none"/>
                <w:lang w:val="en-US" w:eastAsia="zh-CN" w:bidi="ar"/>
              </w:rPr>
              <w:t>1</w:t>
            </w:r>
            <w:r>
              <w:rPr>
                <w:rStyle w:val="129"/>
                <w:rFonts w:hint="eastAsia" w:ascii="宋体" w:hAnsi="宋体" w:eastAsia="宋体" w:cs="宋体"/>
                <w:b w:val="0"/>
                <w:bCs w:val="0"/>
                <w:color w:val="auto"/>
                <w:sz w:val="24"/>
                <w:szCs w:val="24"/>
                <w:highlight w:val="none"/>
                <w:lang w:bidi="ar"/>
              </w:rPr>
              <w:t>年1月1日</w:t>
            </w:r>
            <w:r>
              <w:rPr>
                <w:rStyle w:val="129"/>
                <w:rFonts w:hint="eastAsia" w:ascii="宋体" w:hAnsi="宋体" w:eastAsia="宋体" w:cs="宋体"/>
                <w:b w:val="0"/>
                <w:bCs w:val="0"/>
                <w:color w:val="auto"/>
                <w:sz w:val="24"/>
                <w:szCs w:val="24"/>
                <w:highlight w:val="none"/>
                <w:lang w:val="en-US" w:eastAsia="zh-CN" w:bidi="ar"/>
              </w:rPr>
              <w:t>起</w:t>
            </w:r>
            <w:r>
              <w:rPr>
                <w:rStyle w:val="129"/>
                <w:rFonts w:hint="eastAsia" w:ascii="宋体" w:hAnsi="宋体" w:eastAsia="宋体" w:cs="宋体"/>
                <w:b w:val="0"/>
                <w:bCs w:val="0"/>
                <w:color w:val="auto"/>
                <w:sz w:val="24"/>
                <w:szCs w:val="24"/>
                <w:highlight w:val="none"/>
                <w:lang w:bidi="ar"/>
              </w:rPr>
              <w:t>至投标截止日（以合同签订时间为准）</w:t>
            </w:r>
            <w:r>
              <w:rPr>
                <w:rStyle w:val="129"/>
                <w:rFonts w:hint="eastAsia" w:ascii="宋体" w:hAnsi="宋体" w:eastAsia="宋体" w:cs="宋体"/>
                <w:b w:val="0"/>
                <w:bCs w:val="0"/>
                <w:color w:val="auto"/>
                <w:sz w:val="24"/>
                <w:szCs w:val="24"/>
                <w:highlight w:val="none"/>
                <w:lang w:eastAsia="zh-CN" w:bidi="ar"/>
              </w:rPr>
              <w:t>，</w:t>
            </w:r>
            <w:r>
              <w:rPr>
                <w:rStyle w:val="129"/>
                <w:rFonts w:hint="eastAsia" w:ascii="宋体" w:hAnsi="宋体" w:eastAsia="宋体" w:cs="宋体"/>
                <w:b w:val="0"/>
                <w:bCs w:val="0"/>
                <w:color w:val="auto"/>
                <w:sz w:val="24"/>
                <w:szCs w:val="24"/>
                <w:highlight w:val="none"/>
                <w:lang w:bidi="ar"/>
              </w:rPr>
              <w:t>承担过</w:t>
            </w:r>
            <w:r>
              <w:rPr>
                <w:rStyle w:val="129"/>
                <w:rFonts w:hint="eastAsia" w:ascii="宋体" w:hAnsi="宋体" w:eastAsia="宋体" w:cs="宋体"/>
                <w:b w:val="0"/>
                <w:bCs w:val="0"/>
                <w:color w:val="auto"/>
                <w:sz w:val="24"/>
                <w:szCs w:val="24"/>
                <w:highlight w:val="none"/>
                <w:lang w:val="en-US" w:eastAsia="zh-CN" w:bidi="ar"/>
              </w:rPr>
              <w:t>信息化运行维护项目</w:t>
            </w:r>
            <w:r>
              <w:rPr>
                <w:rStyle w:val="129"/>
                <w:rFonts w:hint="eastAsia" w:ascii="宋体" w:hAnsi="宋体" w:eastAsia="宋体" w:cs="宋体"/>
                <w:b w:val="0"/>
                <w:bCs w:val="0"/>
                <w:color w:val="auto"/>
                <w:sz w:val="24"/>
                <w:szCs w:val="24"/>
                <w:highlight w:val="none"/>
                <w:lang w:bidi="ar"/>
              </w:rPr>
              <w:t>的，每个案例得0.5分，最高得1分。</w:t>
            </w:r>
          </w:p>
          <w:p>
            <w:pPr>
              <w:pStyle w:val="2"/>
              <w:widowControl w:val="0"/>
              <w:jc w:val="left"/>
              <w:rPr>
                <w:rFonts w:hint="eastAsia" w:cs="宋体"/>
                <w:b w:val="0"/>
                <w:bCs w:val="0"/>
                <w:color w:val="auto"/>
                <w:szCs w:val="24"/>
                <w:highlight w:val="none"/>
                <w:vertAlign w:val="baseline"/>
              </w:rPr>
            </w:pPr>
            <w:r>
              <w:rPr>
                <w:rStyle w:val="129"/>
                <w:rFonts w:hint="eastAsia" w:ascii="宋体" w:hAnsi="宋体" w:eastAsia="宋体" w:cs="宋体"/>
                <w:b w:val="0"/>
                <w:bCs w:val="0"/>
                <w:color w:val="auto"/>
                <w:sz w:val="24"/>
                <w:szCs w:val="24"/>
                <w:highlight w:val="none"/>
                <w:lang w:bidi="ar"/>
              </w:rPr>
              <w:t>【证明材料：合同，如上述材料无法体现评审特征的，可补充业主证明材料，否则不予认可】</w:t>
            </w:r>
          </w:p>
        </w:tc>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0-1分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ascii="宋体" w:hAnsi="宋体" w:eastAsia="宋体" w:cs="宋体"/>
                <w:b w:val="0"/>
                <w:bCs w:val="0"/>
                <w:color w:val="auto"/>
                <w:kern w:val="0"/>
                <w:sz w:val="24"/>
                <w:szCs w:val="24"/>
                <w:highlight w:val="none"/>
                <w:lang w:bidi="ar"/>
              </w:rPr>
              <w:t>客观分</w:t>
            </w:r>
          </w:p>
        </w:tc>
        <w:tc>
          <w:tcPr>
            <w:tcW w:w="738" w:type="dxa"/>
            <w:vAlign w:val="center"/>
          </w:tcPr>
          <w:p>
            <w:pPr>
              <w:pStyle w:val="2"/>
              <w:widowControl w:val="0"/>
              <w:jc w:val="left"/>
              <w:rPr>
                <w:rFonts w:hint="eastAsia" w:ascii="宋体" w:hAnsi="宋体" w:eastAsia="宋体" w:cs="宋体"/>
                <w:b w:val="0"/>
                <w:bCs w:val="0"/>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2</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认证体系：</w:t>
            </w:r>
            <w:r>
              <w:rPr>
                <w:rFonts w:hint="eastAsia" w:ascii="宋体" w:hAnsi="宋体" w:eastAsia="宋体" w:cs="宋体"/>
                <w:b w:val="0"/>
                <w:bCs w:val="0"/>
                <w:i w:val="0"/>
                <w:iCs w:val="0"/>
                <w:color w:val="auto"/>
                <w:kern w:val="0"/>
                <w:sz w:val="24"/>
                <w:szCs w:val="24"/>
                <w:highlight w:val="none"/>
                <w:u w:val="none"/>
                <w:lang w:val="en-US" w:eastAsia="zh-CN" w:bidi="ar"/>
              </w:rPr>
              <w:t>供应商具有有效期内ISO9001（</w:t>
            </w:r>
            <w:r>
              <w:rPr>
                <w:rFonts w:hint="eastAsia" w:ascii="宋体" w:hAnsi="宋体" w:eastAsia="宋体" w:cs="宋体"/>
                <w:b w:val="0"/>
                <w:bCs w:val="0"/>
                <w:color w:val="auto"/>
                <w:sz w:val="24"/>
                <w:szCs w:val="24"/>
                <w:highlight w:val="none"/>
                <w:lang w:bidi="ar"/>
              </w:rPr>
              <w:t>质量管理体系认证证书</w:t>
            </w:r>
            <w:r>
              <w:rPr>
                <w:rFonts w:hint="eastAsia" w:ascii="宋体" w:hAnsi="宋体" w:eastAsia="宋体" w:cs="宋体"/>
                <w:b w:val="0"/>
                <w:bCs w:val="0"/>
                <w:i w:val="0"/>
                <w:iCs w:val="0"/>
                <w:color w:val="auto"/>
                <w:kern w:val="0"/>
                <w:sz w:val="24"/>
                <w:szCs w:val="24"/>
                <w:highlight w:val="none"/>
                <w:u w:val="none"/>
                <w:lang w:val="en-US" w:eastAsia="zh-CN" w:bidi="ar"/>
              </w:rPr>
              <w:t>）、ISO14001（环境管理体系认证证书）、ISO45001（职业健康安全管理体系认证证书）、ISO27001（信息安全管理体系认证证书）证书的，</w:t>
            </w:r>
            <w:r>
              <w:rPr>
                <w:rFonts w:hint="eastAsia" w:ascii="宋体" w:hAnsi="宋体" w:cs="宋体"/>
                <w:b w:val="0"/>
                <w:bCs w:val="0"/>
                <w:i w:val="0"/>
                <w:iCs w:val="0"/>
                <w:color w:val="auto"/>
                <w:kern w:val="0"/>
                <w:sz w:val="24"/>
                <w:szCs w:val="24"/>
                <w:highlight w:val="none"/>
                <w:u w:val="none"/>
                <w:lang w:val="en-US" w:eastAsia="zh-CN" w:bidi="ar"/>
              </w:rPr>
              <w:t>每个证书得1分，满分为4分。</w:t>
            </w:r>
          </w:p>
          <w:p>
            <w:pPr>
              <w:pStyle w:val="2"/>
              <w:widowControl w:val="0"/>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如为联合体，</w:t>
            </w:r>
            <w:r>
              <w:rPr>
                <w:rFonts w:hint="eastAsia" w:cs="宋体"/>
                <w:b w:val="0"/>
                <w:bCs w:val="0"/>
                <w:i w:val="0"/>
                <w:iCs w:val="0"/>
                <w:color w:val="auto"/>
                <w:kern w:val="0"/>
                <w:sz w:val="24"/>
                <w:szCs w:val="24"/>
                <w:highlight w:val="none"/>
                <w:u w:val="none"/>
                <w:lang w:val="en-US" w:eastAsia="zh-CN" w:bidi="ar"/>
              </w:rPr>
              <w:t>证书</w:t>
            </w:r>
            <w:r>
              <w:rPr>
                <w:rFonts w:hint="eastAsia" w:ascii="宋体" w:hAnsi="宋体" w:eastAsia="宋体" w:cs="宋体"/>
                <w:b w:val="0"/>
                <w:bCs w:val="0"/>
                <w:i w:val="0"/>
                <w:iCs w:val="0"/>
                <w:color w:val="auto"/>
                <w:kern w:val="0"/>
                <w:sz w:val="24"/>
                <w:szCs w:val="24"/>
                <w:highlight w:val="none"/>
                <w:u w:val="none"/>
                <w:lang w:val="en-US" w:eastAsia="zh-CN" w:bidi="ar"/>
              </w:rPr>
              <w:t>需</w:t>
            </w:r>
            <w:r>
              <w:rPr>
                <w:rFonts w:hint="eastAsia" w:cs="宋体"/>
                <w:b w:val="0"/>
                <w:bCs w:val="0"/>
                <w:i w:val="0"/>
                <w:iCs w:val="0"/>
                <w:color w:val="auto"/>
                <w:kern w:val="0"/>
                <w:sz w:val="24"/>
                <w:szCs w:val="24"/>
                <w:highlight w:val="none"/>
                <w:u w:val="none"/>
                <w:lang w:val="en-US" w:eastAsia="zh-CN" w:bidi="ar"/>
              </w:rPr>
              <w:t>由联合体牵头单位提供</w:t>
            </w:r>
            <w:r>
              <w:rPr>
                <w:rFonts w:hint="eastAsia" w:ascii="宋体" w:hAnsi="宋体" w:eastAsia="宋体" w:cs="宋体"/>
                <w:b w:val="0"/>
                <w:bCs w:val="0"/>
                <w:i w:val="0"/>
                <w:iCs w:val="0"/>
                <w:color w:val="auto"/>
                <w:kern w:val="0"/>
                <w:sz w:val="24"/>
                <w:szCs w:val="24"/>
                <w:highlight w:val="none"/>
                <w:u w:val="none"/>
                <w:lang w:val="en-US" w:eastAsia="zh-CN" w:bidi="ar"/>
              </w:rPr>
              <w:t>。</w:t>
            </w:r>
          </w:p>
          <w:p>
            <w:pPr>
              <w:pStyle w:val="2"/>
              <w:widowControl w:val="0"/>
              <w:jc w:val="left"/>
              <w:rPr>
                <w:rFonts w:hint="eastAsia" w:ascii="宋体" w:hAnsi="宋体" w:eastAsia="宋体" w:cs="宋体"/>
                <w:b w:val="0"/>
                <w:bCs w:val="0"/>
                <w:color w:val="auto"/>
                <w:sz w:val="24"/>
                <w:szCs w:val="24"/>
                <w:highlight w:val="none"/>
                <w:vertAlign w:val="baseline"/>
                <w:lang w:val="en-US" w:eastAsia="en-US" w:bidi="ar-SA"/>
              </w:rPr>
            </w:pPr>
            <w:r>
              <w:rPr>
                <w:rFonts w:hint="eastAsia" w:ascii="宋体" w:hAnsi="宋体" w:eastAsia="宋体" w:cs="宋体"/>
                <w:b w:val="0"/>
                <w:bCs w:val="0"/>
                <w:i w:val="0"/>
                <w:iCs w:val="0"/>
                <w:color w:val="auto"/>
                <w:kern w:val="0"/>
                <w:sz w:val="24"/>
                <w:szCs w:val="24"/>
                <w:highlight w:val="none"/>
                <w:u w:val="none"/>
                <w:lang w:val="en-US" w:eastAsia="zh-CN" w:bidi="ar"/>
              </w:rPr>
              <w:t>【证明材料：提供有效期内的以上证书复印件加盖公章，否则不得分】</w:t>
            </w:r>
          </w:p>
        </w:tc>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zh-CN" w:bidi="ar-SA"/>
              </w:rPr>
            </w:pPr>
            <w:r>
              <w:rPr>
                <w:rFonts w:hint="eastAsia" w:cs="宋体"/>
                <w:b w:val="0"/>
                <w:bCs w:val="0"/>
                <w:color w:val="auto"/>
                <w:szCs w:val="24"/>
                <w:highlight w:val="none"/>
                <w:vertAlign w:val="baseline"/>
                <w:lang w:val="en-US" w:eastAsia="zh-CN"/>
              </w:rPr>
              <w:t>0-4分</w:t>
            </w:r>
          </w:p>
        </w:tc>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en-US" w:bidi="ar-SA"/>
              </w:rPr>
            </w:pPr>
            <w:r>
              <w:rPr>
                <w:rFonts w:hint="eastAsia" w:ascii="宋体" w:hAnsi="宋体" w:eastAsia="宋体" w:cs="宋体"/>
                <w:b w:val="0"/>
                <w:bCs w:val="0"/>
                <w:color w:val="auto"/>
                <w:kern w:val="0"/>
                <w:sz w:val="24"/>
                <w:szCs w:val="24"/>
                <w:highlight w:val="none"/>
                <w:lang w:bidi="ar"/>
              </w:rPr>
              <w:t>客观分</w:t>
            </w:r>
          </w:p>
        </w:tc>
        <w:tc>
          <w:tcPr>
            <w:tcW w:w="738" w:type="dxa"/>
            <w:shd w:val="clear" w:color="auto" w:fill="auto"/>
            <w:vAlign w:val="center"/>
          </w:tcPr>
          <w:p>
            <w:pPr>
              <w:pStyle w:val="2"/>
              <w:widowControl w:val="0"/>
              <w:jc w:val="left"/>
              <w:rPr>
                <w:rFonts w:hint="eastAsia" w:ascii="宋体" w:hAnsi="宋体" w:eastAsia="宋体" w:cs="宋体"/>
                <w:b w:val="0"/>
                <w:bCs w:val="0"/>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3</w:t>
            </w:r>
          </w:p>
        </w:tc>
        <w:tc>
          <w:tcPr>
            <w:tcW w:w="0" w:type="auto"/>
            <w:shd w:val="clear" w:color="auto" w:fill="auto"/>
            <w:vAlign w:val="center"/>
          </w:tcPr>
          <w:p>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rPr>
              <w:t>项目负责人</w:t>
            </w:r>
            <w:r>
              <w:rPr>
                <w:rFonts w:hint="eastAsia" w:ascii="宋体" w:hAnsi="宋体" w:cs="宋体"/>
                <w:color w:val="auto"/>
                <w:kern w:val="0"/>
                <w:sz w:val="24"/>
                <w:szCs w:val="24"/>
                <w:highlight w:val="none"/>
                <w:lang w:eastAsia="zh-CN"/>
              </w:rPr>
              <w:t>：</w:t>
            </w:r>
            <w:r>
              <w:rPr>
                <w:rFonts w:hint="eastAsia" w:ascii="宋体" w:hAnsi="宋体" w:eastAsia="宋体" w:cs="宋体"/>
                <w:b w:val="0"/>
                <w:bCs w:val="0"/>
                <w:i w:val="0"/>
                <w:iCs w:val="0"/>
                <w:color w:val="auto"/>
                <w:kern w:val="0"/>
                <w:sz w:val="24"/>
                <w:szCs w:val="24"/>
                <w:highlight w:val="none"/>
                <w:u w:val="none"/>
                <w:lang w:val="en-US" w:eastAsia="zh-CN" w:bidi="ar"/>
              </w:rPr>
              <w:t>具</w:t>
            </w:r>
            <w:r>
              <w:rPr>
                <w:rFonts w:hint="eastAsia" w:ascii="宋体" w:hAnsi="宋体" w:cs="宋体"/>
                <w:b w:val="0"/>
                <w:bCs w:val="0"/>
                <w:i w:val="0"/>
                <w:iCs w:val="0"/>
                <w:color w:val="auto"/>
                <w:kern w:val="0"/>
                <w:sz w:val="24"/>
                <w:szCs w:val="24"/>
                <w:highlight w:val="none"/>
                <w:u w:val="none"/>
                <w:lang w:val="en-US" w:eastAsia="zh-CN" w:bidi="ar"/>
              </w:rPr>
              <w:t>有系统规划与管理师（高级）</w:t>
            </w:r>
            <w:r>
              <w:rPr>
                <w:rFonts w:hint="eastAsia" w:ascii="宋体" w:hAnsi="宋体" w:eastAsia="宋体" w:cs="宋体"/>
                <w:b w:val="0"/>
                <w:bCs w:val="0"/>
                <w:i w:val="0"/>
                <w:iCs w:val="0"/>
                <w:color w:val="auto"/>
                <w:kern w:val="0"/>
                <w:sz w:val="24"/>
                <w:szCs w:val="24"/>
                <w:highlight w:val="none"/>
                <w:u w:val="none"/>
                <w:lang w:val="en-US" w:eastAsia="zh-CN" w:bidi="ar"/>
              </w:rPr>
              <w:t>的，得</w:t>
            </w:r>
            <w:r>
              <w:rPr>
                <w:rFonts w:hint="eastAsia" w:ascii="宋体" w:hAnsi="宋体" w:cs="宋体"/>
                <w:b w:val="0"/>
                <w:bCs w:val="0"/>
                <w:i w:val="0"/>
                <w:iCs w:val="0"/>
                <w:color w:val="auto"/>
                <w:kern w:val="0"/>
                <w:sz w:val="24"/>
                <w:szCs w:val="24"/>
                <w:highlight w:val="none"/>
                <w:u w:val="none"/>
                <w:lang w:val="en-US" w:eastAsia="zh-CN" w:bidi="ar"/>
              </w:rPr>
              <w:t>2</w:t>
            </w:r>
            <w:r>
              <w:rPr>
                <w:rFonts w:hint="eastAsia" w:ascii="宋体" w:hAnsi="宋体" w:eastAsia="宋体" w:cs="宋体"/>
                <w:b w:val="0"/>
                <w:bCs w:val="0"/>
                <w:i w:val="0"/>
                <w:iCs w:val="0"/>
                <w:color w:val="auto"/>
                <w:kern w:val="0"/>
                <w:sz w:val="24"/>
                <w:szCs w:val="24"/>
                <w:highlight w:val="none"/>
                <w:u w:val="none"/>
                <w:lang w:val="en-US" w:eastAsia="zh-CN" w:bidi="ar"/>
              </w:rPr>
              <w:t>分，不具备不得分；</w:t>
            </w:r>
          </w:p>
          <w:p>
            <w:pPr>
              <w:pStyle w:val="2"/>
              <w:widowControl w:val="0"/>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如为联合体，项目</w:t>
            </w:r>
            <w:r>
              <w:rPr>
                <w:rFonts w:hint="eastAsia" w:cs="宋体"/>
                <w:b w:val="0"/>
                <w:bCs w:val="0"/>
                <w:i w:val="0"/>
                <w:iCs w:val="0"/>
                <w:color w:val="auto"/>
                <w:kern w:val="0"/>
                <w:sz w:val="24"/>
                <w:szCs w:val="24"/>
                <w:highlight w:val="none"/>
                <w:u w:val="none"/>
                <w:lang w:val="en-US" w:eastAsia="zh-CN" w:bidi="ar"/>
              </w:rPr>
              <w:t>负责人</w:t>
            </w:r>
            <w:r>
              <w:rPr>
                <w:rFonts w:hint="eastAsia" w:ascii="宋体" w:hAnsi="宋体" w:eastAsia="宋体" w:cs="宋体"/>
                <w:b w:val="0"/>
                <w:bCs w:val="0"/>
                <w:i w:val="0"/>
                <w:iCs w:val="0"/>
                <w:color w:val="auto"/>
                <w:kern w:val="0"/>
                <w:sz w:val="24"/>
                <w:szCs w:val="24"/>
                <w:highlight w:val="none"/>
                <w:u w:val="none"/>
                <w:lang w:val="en-US" w:eastAsia="zh-CN" w:bidi="ar"/>
              </w:rPr>
              <w:t>需为联合体牵头单位人员。</w:t>
            </w:r>
          </w:p>
          <w:p>
            <w:pPr>
              <w:pStyle w:val="2"/>
              <w:widowControl w:val="0"/>
              <w:jc w:val="left"/>
              <w:rPr>
                <w:rFonts w:hint="eastAsia" w:ascii="宋体" w:hAnsi="宋体" w:eastAsia="宋体" w:cs="宋体"/>
                <w:b w:val="0"/>
                <w:bCs w:val="0"/>
                <w:color w:val="auto"/>
                <w:sz w:val="24"/>
                <w:szCs w:val="24"/>
                <w:highlight w:val="none"/>
                <w:vertAlign w:val="baseline"/>
                <w:lang w:val="en-US" w:eastAsia="en-US" w:bidi="ar-SA"/>
              </w:rPr>
            </w:pPr>
            <w:r>
              <w:rPr>
                <w:rFonts w:hint="eastAsia" w:ascii="宋体" w:hAnsi="宋体" w:eastAsia="宋体" w:cs="宋体"/>
                <w:b w:val="0"/>
                <w:bCs w:val="0"/>
                <w:i w:val="0"/>
                <w:iCs w:val="0"/>
                <w:color w:val="auto"/>
                <w:kern w:val="0"/>
                <w:sz w:val="24"/>
                <w:szCs w:val="24"/>
                <w:highlight w:val="none"/>
                <w:u w:val="none"/>
                <w:lang w:val="en-US" w:eastAsia="zh-CN" w:bidi="ar"/>
              </w:rPr>
              <w:t>【证明材料：</w:t>
            </w:r>
            <w:r>
              <w:rPr>
                <w:rFonts w:hint="eastAsia"/>
                <w:b w:val="0"/>
                <w:bCs w:val="0"/>
                <w:color w:val="auto"/>
                <w:sz w:val="24"/>
                <w:szCs w:val="24"/>
                <w:highlight w:val="none"/>
                <w:lang w:val="en-US" w:eastAsia="zh-CN"/>
              </w:rPr>
              <w:t>须提供上述人员相关资格或职称证书复印件</w:t>
            </w:r>
            <w:r>
              <w:rPr>
                <w:b w:val="0"/>
                <w:bCs w:val="0"/>
                <w:color w:val="auto"/>
                <w:sz w:val="24"/>
                <w:szCs w:val="24"/>
                <w:highlight w:val="none"/>
              </w:rPr>
              <w:t>及近</w:t>
            </w:r>
            <w:r>
              <w:rPr>
                <w:rFonts w:hint="eastAsia"/>
                <w:b w:val="0"/>
                <w:bCs w:val="0"/>
                <w:color w:val="auto"/>
                <w:sz w:val="24"/>
                <w:szCs w:val="24"/>
                <w:highlight w:val="none"/>
                <w:lang w:val="en-US" w:eastAsia="zh-CN"/>
              </w:rPr>
              <w:t>3</w:t>
            </w:r>
            <w:r>
              <w:rPr>
                <w:b w:val="0"/>
                <w:bCs w:val="0"/>
                <w:color w:val="auto"/>
                <w:sz w:val="24"/>
                <w:szCs w:val="24"/>
                <w:highlight w:val="none"/>
              </w:rPr>
              <w:t>个月的社保</w:t>
            </w:r>
            <w:r>
              <w:rPr>
                <w:rFonts w:hint="eastAsia"/>
                <w:b w:val="0"/>
                <w:bCs w:val="0"/>
                <w:color w:val="auto"/>
                <w:sz w:val="24"/>
                <w:szCs w:val="24"/>
                <w:highlight w:val="none"/>
                <w:lang w:val="en-US" w:eastAsia="zh-CN"/>
              </w:rPr>
              <w:t>缴纳</w:t>
            </w:r>
            <w:r>
              <w:rPr>
                <w:b w:val="0"/>
                <w:bCs w:val="0"/>
                <w:color w:val="auto"/>
                <w:sz w:val="24"/>
                <w:szCs w:val="24"/>
                <w:highlight w:val="none"/>
              </w:rPr>
              <w:t>证明</w:t>
            </w:r>
            <w:r>
              <w:rPr>
                <w:rFonts w:hint="eastAsia"/>
                <w:b w:val="0"/>
                <w:bCs w:val="0"/>
                <w:color w:val="auto"/>
                <w:sz w:val="24"/>
                <w:szCs w:val="24"/>
                <w:highlight w:val="none"/>
                <w:lang w:val="en-US" w:eastAsia="zh-CN"/>
              </w:rPr>
              <w:t>，并加盖公章。</w:t>
            </w:r>
            <w:r>
              <w:rPr>
                <w:b w:val="0"/>
                <w:bCs w:val="0"/>
                <w:color w:val="auto"/>
                <w:sz w:val="24"/>
                <w:szCs w:val="24"/>
                <w:highlight w:val="none"/>
              </w:rPr>
              <w:t>人员证书不得重复</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zh-CN" w:bidi="ar-SA"/>
              </w:rPr>
            </w:pPr>
            <w:r>
              <w:rPr>
                <w:rFonts w:hint="eastAsia" w:cs="宋体"/>
                <w:b w:val="0"/>
                <w:bCs w:val="0"/>
                <w:color w:val="auto"/>
                <w:szCs w:val="24"/>
                <w:highlight w:val="none"/>
                <w:vertAlign w:val="baseline"/>
                <w:lang w:val="en-US" w:eastAsia="zh-CN"/>
              </w:rPr>
              <w:t>0-2分</w:t>
            </w:r>
          </w:p>
        </w:tc>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en-US" w:bidi="ar-SA"/>
              </w:rPr>
            </w:pPr>
            <w:r>
              <w:rPr>
                <w:rFonts w:hint="eastAsia" w:ascii="宋体" w:hAnsi="宋体" w:eastAsia="宋体" w:cs="宋体"/>
                <w:b w:val="0"/>
                <w:bCs w:val="0"/>
                <w:color w:val="auto"/>
                <w:kern w:val="0"/>
                <w:sz w:val="24"/>
                <w:szCs w:val="24"/>
                <w:highlight w:val="none"/>
                <w:lang w:bidi="ar"/>
              </w:rPr>
              <w:t>客观分</w:t>
            </w:r>
          </w:p>
        </w:tc>
        <w:tc>
          <w:tcPr>
            <w:tcW w:w="738" w:type="dxa"/>
            <w:shd w:val="clear" w:color="auto" w:fill="auto"/>
            <w:vAlign w:val="center"/>
          </w:tcPr>
          <w:p>
            <w:pPr>
              <w:pStyle w:val="2"/>
              <w:widowControl w:val="0"/>
              <w:jc w:val="left"/>
              <w:rPr>
                <w:rFonts w:hint="eastAsia" w:ascii="宋体" w:hAnsi="宋体" w:eastAsia="宋体" w:cs="宋体"/>
                <w:b w:val="0"/>
                <w:bCs w:val="0"/>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4</w:t>
            </w:r>
          </w:p>
        </w:tc>
        <w:tc>
          <w:tcPr>
            <w:tcW w:w="0" w:type="auto"/>
            <w:shd w:val="clear" w:color="auto" w:fill="auto"/>
            <w:vAlign w:val="center"/>
          </w:tcPr>
          <w:p>
            <w:pPr>
              <w:keepNext w:val="0"/>
              <w:keepLines w:val="0"/>
              <w:widowControl/>
              <w:numPr>
                <w:ilvl w:val="-1"/>
                <w:numId w:val="0"/>
              </w:numPr>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技术负责人</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同时具备</w:t>
            </w:r>
            <w:r>
              <w:rPr>
                <w:rFonts w:hint="eastAsia" w:ascii="宋体" w:hAnsi="宋体" w:eastAsia="宋体" w:cs="宋体"/>
                <w:b w:val="0"/>
                <w:bCs w:val="0"/>
                <w:color w:val="auto"/>
                <w:sz w:val="24"/>
                <w:szCs w:val="24"/>
                <w:highlight w:val="none"/>
                <w:lang w:bidi="ar"/>
              </w:rPr>
              <w:t>信息技术</w:t>
            </w:r>
            <w:r>
              <w:rPr>
                <w:rFonts w:hint="eastAsia" w:ascii="宋体" w:hAnsi="宋体" w:eastAsia="宋体" w:cs="宋体"/>
                <w:b w:val="0"/>
                <w:bCs w:val="0"/>
                <w:i w:val="0"/>
                <w:iCs w:val="0"/>
                <w:color w:val="auto"/>
                <w:kern w:val="0"/>
                <w:sz w:val="24"/>
                <w:szCs w:val="24"/>
                <w:highlight w:val="none"/>
                <w:u w:val="none"/>
                <w:lang w:val="en-US" w:eastAsia="zh-CN" w:bidi="ar"/>
              </w:rPr>
              <w:t>类高级及以上职称</w:t>
            </w:r>
            <w:r>
              <w:rPr>
                <w:rFonts w:hint="eastAsia" w:ascii="宋体" w:hAnsi="宋体" w:cs="宋体"/>
                <w:b w:val="0"/>
                <w:bCs w:val="0"/>
                <w:i w:val="0"/>
                <w:iCs w:val="0"/>
                <w:color w:val="auto"/>
                <w:kern w:val="0"/>
                <w:sz w:val="24"/>
                <w:szCs w:val="24"/>
                <w:highlight w:val="none"/>
                <w:u w:val="none"/>
                <w:lang w:val="en-US" w:eastAsia="zh-CN" w:bidi="ar"/>
              </w:rPr>
              <w:t>、</w:t>
            </w:r>
            <w:r>
              <w:rPr>
                <w:rFonts w:hint="eastAsia" w:ascii="宋体" w:hAnsi="宋体" w:eastAsia="宋体" w:cs="宋体"/>
                <w:b w:val="0"/>
                <w:bCs w:val="0"/>
                <w:i w:val="0"/>
                <w:iCs w:val="0"/>
                <w:color w:val="auto"/>
                <w:kern w:val="0"/>
                <w:sz w:val="24"/>
                <w:szCs w:val="24"/>
                <w:highlight w:val="none"/>
                <w:u w:val="none"/>
                <w:lang w:val="en-US" w:eastAsia="zh-CN" w:bidi="ar"/>
              </w:rPr>
              <w:t>网络工程师的，得</w:t>
            </w:r>
            <w:r>
              <w:rPr>
                <w:rFonts w:hint="eastAsia" w:ascii="宋体" w:hAnsi="宋体" w:cs="宋体"/>
                <w:b w:val="0"/>
                <w:bCs w:val="0"/>
                <w:i w:val="0"/>
                <w:iCs w:val="0"/>
                <w:color w:val="auto"/>
                <w:kern w:val="0"/>
                <w:sz w:val="24"/>
                <w:szCs w:val="24"/>
                <w:highlight w:val="none"/>
                <w:u w:val="none"/>
                <w:lang w:val="en-US" w:eastAsia="zh-CN" w:bidi="ar"/>
              </w:rPr>
              <w:t>3</w:t>
            </w:r>
            <w:r>
              <w:rPr>
                <w:rFonts w:hint="eastAsia" w:ascii="宋体" w:hAnsi="宋体" w:eastAsia="宋体" w:cs="宋体"/>
                <w:b w:val="0"/>
                <w:bCs w:val="0"/>
                <w:i w:val="0"/>
                <w:iCs w:val="0"/>
                <w:color w:val="auto"/>
                <w:kern w:val="0"/>
                <w:sz w:val="24"/>
                <w:szCs w:val="24"/>
                <w:highlight w:val="none"/>
                <w:u w:val="none"/>
                <w:lang w:val="en-US" w:eastAsia="zh-CN" w:bidi="ar"/>
              </w:rPr>
              <w:t>分，只具备1项不得分。</w:t>
            </w:r>
          </w:p>
          <w:p>
            <w:pPr>
              <w:pStyle w:val="2"/>
              <w:widowControl w:val="0"/>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如为联合体，技术负责人可为联合体组成单位人员。</w:t>
            </w:r>
          </w:p>
          <w:p>
            <w:pPr>
              <w:pStyle w:val="2"/>
              <w:widowControl w:val="0"/>
              <w:jc w:val="left"/>
              <w:rPr>
                <w:rFonts w:hint="eastAsia" w:ascii="宋体" w:hAnsi="宋体" w:eastAsia="宋体" w:cs="宋体"/>
                <w:b w:val="0"/>
                <w:bCs w:val="0"/>
                <w:color w:val="auto"/>
                <w:sz w:val="24"/>
                <w:szCs w:val="24"/>
                <w:highlight w:val="none"/>
                <w:vertAlign w:val="baseline"/>
                <w:lang w:val="en-US" w:eastAsia="en-US" w:bidi="ar-SA"/>
              </w:rPr>
            </w:pPr>
            <w:r>
              <w:rPr>
                <w:rFonts w:hint="eastAsia" w:ascii="宋体" w:hAnsi="宋体" w:eastAsia="宋体" w:cs="宋体"/>
                <w:b w:val="0"/>
                <w:bCs w:val="0"/>
                <w:i w:val="0"/>
                <w:iCs w:val="0"/>
                <w:color w:val="auto"/>
                <w:kern w:val="0"/>
                <w:sz w:val="24"/>
                <w:szCs w:val="24"/>
                <w:highlight w:val="none"/>
                <w:u w:val="none"/>
                <w:lang w:val="en-US" w:eastAsia="zh-CN" w:bidi="ar"/>
              </w:rPr>
              <w:t>【证明材料：</w:t>
            </w:r>
            <w:r>
              <w:rPr>
                <w:rFonts w:hint="eastAsia"/>
                <w:b w:val="0"/>
                <w:bCs w:val="0"/>
                <w:color w:val="auto"/>
                <w:sz w:val="24"/>
                <w:szCs w:val="24"/>
                <w:highlight w:val="none"/>
                <w:lang w:val="en-US" w:eastAsia="zh-CN"/>
              </w:rPr>
              <w:t>须提供上述人员相关资格或职称证书复印件</w:t>
            </w:r>
            <w:r>
              <w:rPr>
                <w:b w:val="0"/>
                <w:bCs w:val="0"/>
                <w:color w:val="auto"/>
                <w:sz w:val="24"/>
                <w:szCs w:val="24"/>
                <w:highlight w:val="none"/>
              </w:rPr>
              <w:t>及近</w:t>
            </w:r>
            <w:r>
              <w:rPr>
                <w:rFonts w:hint="eastAsia"/>
                <w:b w:val="0"/>
                <w:bCs w:val="0"/>
                <w:color w:val="auto"/>
                <w:sz w:val="24"/>
                <w:szCs w:val="24"/>
                <w:highlight w:val="none"/>
                <w:lang w:val="en-US" w:eastAsia="zh-CN"/>
              </w:rPr>
              <w:t>3</w:t>
            </w:r>
            <w:r>
              <w:rPr>
                <w:b w:val="0"/>
                <w:bCs w:val="0"/>
                <w:color w:val="auto"/>
                <w:sz w:val="24"/>
                <w:szCs w:val="24"/>
                <w:highlight w:val="none"/>
              </w:rPr>
              <w:t>个月的社保</w:t>
            </w:r>
            <w:r>
              <w:rPr>
                <w:rFonts w:hint="eastAsia"/>
                <w:b w:val="0"/>
                <w:bCs w:val="0"/>
                <w:color w:val="auto"/>
                <w:sz w:val="24"/>
                <w:szCs w:val="24"/>
                <w:highlight w:val="none"/>
                <w:lang w:val="en-US" w:eastAsia="zh-CN"/>
              </w:rPr>
              <w:t>缴纳</w:t>
            </w:r>
            <w:r>
              <w:rPr>
                <w:b w:val="0"/>
                <w:bCs w:val="0"/>
                <w:color w:val="auto"/>
                <w:sz w:val="24"/>
                <w:szCs w:val="24"/>
                <w:highlight w:val="none"/>
              </w:rPr>
              <w:t>证明</w:t>
            </w:r>
            <w:r>
              <w:rPr>
                <w:rFonts w:hint="eastAsia"/>
                <w:b w:val="0"/>
                <w:bCs w:val="0"/>
                <w:color w:val="auto"/>
                <w:sz w:val="24"/>
                <w:szCs w:val="24"/>
                <w:highlight w:val="none"/>
                <w:lang w:val="en-US" w:eastAsia="zh-CN"/>
              </w:rPr>
              <w:t>，并加盖公章。</w:t>
            </w:r>
            <w:r>
              <w:rPr>
                <w:b w:val="0"/>
                <w:bCs w:val="0"/>
                <w:color w:val="auto"/>
                <w:sz w:val="24"/>
                <w:szCs w:val="24"/>
                <w:highlight w:val="none"/>
              </w:rPr>
              <w:t>人员证书不得重复</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zh-CN" w:bidi="ar-SA"/>
              </w:rPr>
            </w:pPr>
            <w:r>
              <w:rPr>
                <w:rFonts w:hint="eastAsia" w:cs="宋体"/>
                <w:b w:val="0"/>
                <w:bCs w:val="0"/>
                <w:color w:val="auto"/>
                <w:sz w:val="24"/>
                <w:szCs w:val="24"/>
                <w:highlight w:val="none"/>
                <w:vertAlign w:val="baseline"/>
                <w:lang w:val="en-US" w:eastAsia="zh-CN" w:bidi="ar-SA"/>
              </w:rPr>
              <w:t>0-3分</w:t>
            </w:r>
          </w:p>
        </w:tc>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en-US" w:bidi="ar-SA"/>
              </w:rPr>
            </w:pPr>
            <w:r>
              <w:rPr>
                <w:rFonts w:hint="eastAsia" w:ascii="宋体" w:hAnsi="宋体" w:eastAsia="宋体" w:cs="宋体"/>
                <w:b w:val="0"/>
                <w:bCs w:val="0"/>
                <w:color w:val="auto"/>
                <w:kern w:val="0"/>
                <w:sz w:val="24"/>
                <w:szCs w:val="24"/>
                <w:highlight w:val="none"/>
                <w:lang w:bidi="ar"/>
              </w:rPr>
              <w:t>客观分</w:t>
            </w:r>
          </w:p>
        </w:tc>
        <w:tc>
          <w:tcPr>
            <w:tcW w:w="738" w:type="dxa"/>
            <w:shd w:val="clear" w:color="auto" w:fill="auto"/>
            <w:vAlign w:val="center"/>
          </w:tcPr>
          <w:p>
            <w:pPr>
              <w:pStyle w:val="2"/>
              <w:widowControl w:val="0"/>
              <w:jc w:val="left"/>
              <w:rPr>
                <w:rFonts w:hint="eastAsia" w:ascii="宋体" w:hAnsi="宋体" w:eastAsia="宋体" w:cs="宋体"/>
                <w:b w:val="0"/>
                <w:bCs w:val="0"/>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5</w:t>
            </w:r>
          </w:p>
        </w:tc>
        <w:tc>
          <w:tcPr>
            <w:tcW w:w="0" w:type="auto"/>
            <w:vAlign w:val="center"/>
          </w:tcPr>
          <w:p>
            <w:pPr>
              <w:keepNext w:val="0"/>
              <w:keepLines w:val="0"/>
              <w:widowControl/>
              <w:numPr>
                <w:ilvl w:val="-1"/>
                <w:numId w:val="0"/>
              </w:numPr>
              <w:suppressLineNumbers w:val="0"/>
              <w:jc w:val="left"/>
              <w:textAlignment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团队情况：根据团队人员数量、人员分工和人员证书进行评分,其中团队成员（除项目</w:t>
            </w:r>
            <w:r>
              <w:rPr>
                <w:rFonts w:hint="eastAsia" w:ascii="宋体" w:hAnsi="宋体" w:cs="宋体"/>
                <w:b w:val="0"/>
                <w:bCs w:val="0"/>
                <w:i w:val="0"/>
                <w:iCs w:val="0"/>
                <w:color w:val="auto"/>
                <w:kern w:val="0"/>
                <w:sz w:val="24"/>
                <w:szCs w:val="24"/>
                <w:highlight w:val="none"/>
                <w:u w:val="none"/>
                <w:lang w:val="en-US" w:eastAsia="zh-CN" w:bidi="ar"/>
              </w:rPr>
              <w:t>负责人</w:t>
            </w:r>
            <w:r>
              <w:rPr>
                <w:rFonts w:hint="eastAsia" w:ascii="宋体" w:hAnsi="宋体" w:eastAsia="宋体" w:cs="宋体"/>
                <w:b w:val="0"/>
                <w:bCs w:val="0"/>
                <w:i w:val="0"/>
                <w:iCs w:val="0"/>
                <w:color w:val="auto"/>
                <w:kern w:val="0"/>
                <w:sz w:val="24"/>
                <w:szCs w:val="24"/>
                <w:highlight w:val="none"/>
                <w:u w:val="none"/>
                <w:lang w:val="en-US" w:eastAsia="zh-CN" w:bidi="ar"/>
              </w:rPr>
              <w:t>和技术负责人外）中有</w:t>
            </w:r>
            <w:r>
              <w:rPr>
                <w:rFonts w:hint="eastAsia" w:ascii="宋体" w:hAnsi="宋体" w:cs="宋体"/>
                <w:b w:val="0"/>
                <w:bCs w:val="0"/>
                <w:i w:val="0"/>
                <w:iCs w:val="0"/>
                <w:color w:val="auto"/>
                <w:kern w:val="0"/>
                <w:sz w:val="24"/>
                <w:szCs w:val="24"/>
                <w:highlight w:val="none"/>
                <w:u w:val="none"/>
                <w:lang w:val="en-US" w:eastAsia="zh-CN" w:bidi="ar"/>
              </w:rPr>
              <w:t>信息技术类高级及以上职称</w:t>
            </w:r>
            <w:r>
              <w:rPr>
                <w:rFonts w:hint="eastAsia" w:ascii="宋体" w:hAnsi="宋体" w:eastAsia="宋体" w:cs="宋体"/>
                <w:b w:val="0"/>
                <w:bCs w:val="0"/>
                <w:color w:val="auto"/>
                <w:sz w:val="24"/>
                <w:szCs w:val="24"/>
                <w:highlight w:val="none"/>
                <w:u w:val="none"/>
                <w:lang w:val="en-US" w:eastAsia="zh-CN" w:bidi="ar"/>
              </w:rPr>
              <w:t>、</w:t>
            </w:r>
            <w:r>
              <w:rPr>
                <w:rFonts w:hint="eastAsia" w:ascii="宋体" w:hAnsi="宋体" w:cs="宋体"/>
                <w:b w:val="0"/>
                <w:bCs w:val="0"/>
                <w:color w:val="auto"/>
                <w:sz w:val="24"/>
                <w:szCs w:val="24"/>
                <w:highlight w:val="none"/>
                <w:u w:val="none"/>
                <w:lang w:val="en-US" w:eastAsia="zh-CN" w:bidi="ar"/>
              </w:rPr>
              <w:t>信息系统项目管理师（高级）、中级通信工程师、网络工程师</w:t>
            </w:r>
            <w:r>
              <w:rPr>
                <w:rFonts w:hint="eastAsia" w:ascii="宋体" w:hAnsi="宋体" w:eastAsia="宋体" w:cs="宋体"/>
                <w:b w:val="0"/>
                <w:bCs w:val="0"/>
                <w:color w:val="auto"/>
                <w:sz w:val="24"/>
                <w:szCs w:val="24"/>
                <w:highlight w:val="none"/>
                <w:u w:val="none"/>
                <w:lang w:val="en-US" w:eastAsia="zh-CN" w:bidi="ar"/>
              </w:rPr>
              <w:t>的</w:t>
            </w:r>
            <w:r>
              <w:rPr>
                <w:rFonts w:hint="eastAsia" w:ascii="宋体" w:hAnsi="宋体" w:eastAsia="宋体" w:cs="宋体"/>
                <w:b w:val="0"/>
                <w:bCs w:val="0"/>
                <w:color w:val="auto"/>
                <w:sz w:val="24"/>
                <w:szCs w:val="24"/>
                <w:highlight w:val="none"/>
                <w:u w:val="none"/>
                <w:lang w:eastAsia="zh-CN" w:bidi="ar"/>
              </w:rPr>
              <w:t>，</w:t>
            </w:r>
            <w:r>
              <w:rPr>
                <w:rFonts w:hint="eastAsia" w:ascii="宋体" w:hAnsi="宋体" w:eastAsia="宋体" w:cs="宋体"/>
                <w:b w:val="0"/>
                <w:bCs w:val="0"/>
                <w:color w:val="auto"/>
                <w:sz w:val="24"/>
                <w:szCs w:val="24"/>
                <w:highlight w:val="none"/>
                <w:u w:val="none"/>
                <w:lang w:val="en-US" w:eastAsia="zh-CN" w:bidi="ar"/>
              </w:rPr>
              <w:t>每有一项得</w:t>
            </w:r>
            <w:r>
              <w:rPr>
                <w:rFonts w:hint="eastAsia" w:ascii="宋体" w:hAnsi="宋体" w:cs="宋体"/>
                <w:b w:val="0"/>
                <w:bCs w:val="0"/>
                <w:color w:val="auto"/>
                <w:sz w:val="24"/>
                <w:szCs w:val="24"/>
                <w:highlight w:val="none"/>
                <w:u w:val="none"/>
                <w:lang w:val="en-US" w:eastAsia="zh-CN" w:bidi="ar"/>
              </w:rPr>
              <w:t>1</w:t>
            </w:r>
            <w:r>
              <w:rPr>
                <w:rFonts w:hint="eastAsia" w:ascii="宋体" w:hAnsi="宋体" w:eastAsia="宋体" w:cs="宋体"/>
                <w:b w:val="0"/>
                <w:bCs w:val="0"/>
                <w:color w:val="auto"/>
                <w:sz w:val="24"/>
                <w:szCs w:val="24"/>
                <w:highlight w:val="none"/>
                <w:u w:val="none"/>
                <w:lang w:val="en-US" w:eastAsia="zh-CN" w:bidi="ar"/>
              </w:rPr>
              <w:t>分，同一证书、同一人员不得重复计分。</w:t>
            </w:r>
            <w:r>
              <w:rPr>
                <w:rFonts w:hint="eastAsia" w:ascii="宋体" w:hAnsi="宋体" w:eastAsia="宋体" w:cs="宋体"/>
                <w:b w:val="0"/>
                <w:bCs w:val="0"/>
                <w:i w:val="0"/>
                <w:iCs w:val="0"/>
                <w:color w:val="auto"/>
                <w:kern w:val="0"/>
                <w:sz w:val="24"/>
                <w:szCs w:val="24"/>
                <w:highlight w:val="none"/>
                <w:u w:val="none"/>
                <w:lang w:val="en-US" w:eastAsia="zh-CN" w:bidi="ar"/>
              </w:rPr>
              <w:t>本项最高得</w:t>
            </w:r>
            <w:r>
              <w:rPr>
                <w:rFonts w:hint="eastAsia" w:ascii="宋体" w:hAnsi="宋体" w:cs="宋体"/>
                <w:b w:val="0"/>
                <w:bCs w:val="0"/>
                <w:i w:val="0"/>
                <w:iCs w:val="0"/>
                <w:color w:val="auto"/>
                <w:kern w:val="0"/>
                <w:sz w:val="24"/>
                <w:szCs w:val="24"/>
                <w:highlight w:val="none"/>
                <w:u w:val="none"/>
                <w:lang w:val="en-US" w:eastAsia="zh-CN" w:bidi="ar"/>
              </w:rPr>
              <w:t>5</w:t>
            </w:r>
            <w:r>
              <w:rPr>
                <w:rFonts w:hint="eastAsia" w:ascii="宋体" w:hAnsi="宋体" w:eastAsia="宋体" w:cs="宋体"/>
                <w:b w:val="0"/>
                <w:bCs w:val="0"/>
                <w:i w:val="0"/>
                <w:iCs w:val="0"/>
                <w:color w:val="auto"/>
                <w:kern w:val="0"/>
                <w:sz w:val="24"/>
                <w:szCs w:val="24"/>
                <w:highlight w:val="none"/>
                <w:u w:val="none"/>
                <w:lang w:val="en-US" w:eastAsia="zh-CN" w:bidi="ar"/>
              </w:rPr>
              <w:t>分。</w:t>
            </w:r>
          </w:p>
          <w:p>
            <w:pPr>
              <w:pStyle w:val="2"/>
              <w:widowControl w:val="0"/>
              <w:jc w:val="left"/>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如为联合体，团队成员可为联合体组成单位人员。</w:t>
            </w:r>
          </w:p>
          <w:p>
            <w:pPr>
              <w:pStyle w:val="2"/>
              <w:widowControl w:val="0"/>
              <w:jc w:val="left"/>
              <w:rPr>
                <w:rFonts w:hint="eastAsia" w:cs="宋体"/>
                <w:b w:val="0"/>
                <w:bCs w:val="0"/>
                <w:color w:val="auto"/>
                <w:szCs w:val="24"/>
                <w:highlight w:val="none"/>
                <w:vertAlign w:val="baseline"/>
              </w:rPr>
            </w:pPr>
            <w:r>
              <w:rPr>
                <w:rFonts w:hint="eastAsia" w:ascii="宋体" w:hAnsi="宋体" w:eastAsia="宋体" w:cs="宋体"/>
                <w:b w:val="0"/>
                <w:bCs w:val="0"/>
                <w:i w:val="0"/>
                <w:iCs w:val="0"/>
                <w:color w:val="auto"/>
                <w:kern w:val="0"/>
                <w:sz w:val="24"/>
                <w:szCs w:val="24"/>
                <w:highlight w:val="none"/>
                <w:u w:val="none"/>
                <w:lang w:val="en-US" w:eastAsia="zh-CN" w:bidi="ar"/>
              </w:rPr>
              <w:t>【证明材料：</w:t>
            </w:r>
            <w:r>
              <w:rPr>
                <w:rFonts w:hint="eastAsia"/>
                <w:b w:val="0"/>
                <w:bCs w:val="0"/>
                <w:color w:val="auto"/>
                <w:sz w:val="24"/>
                <w:szCs w:val="24"/>
                <w:highlight w:val="none"/>
                <w:lang w:val="en-US" w:eastAsia="zh-CN"/>
              </w:rPr>
              <w:t>须提供上述人员相关资格或职称证书复印件</w:t>
            </w:r>
            <w:r>
              <w:rPr>
                <w:b w:val="0"/>
                <w:bCs w:val="0"/>
                <w:color w:val="auto"/>
                <w:sz w:val="24"/>
                <w:szCs w:val="24"/>
                <w:highlight w:val="none"/>
              </w:rPr>
              <w:t>及近</w:t>
            </w:r>
            <w:r>
              <w:rPr>
                <w:rFonts w:hint="eastAsia"/>
                <w:b w:val="0"/>
                <w:bCs w:val="0"/>
                <w:color w:val="auto"/>
                <w:sz w:val="24"/>
                <w:szCs w:val="24"/>
                <w:highlight w:val="none"/>
                <w:lang w:val="en-US" w:eastAsia="zh-CN"/>
              </w:rPr>
              <w:t>3</w:t>
            </w:r>
            <w:r>
              <w:rPr>
                <w:b w:val="0"/>
                <w:bCs w:val="0"/>
                <w:color w:val="auto"/>
                <w:sz w:val="24"/>
                <w:szCs w:val="24"/>
                <w:highlight w:val="none"/>
              </w:rPr>
              <w:t>个月的社保</w:t>
            </w:r>
            <w:r>
              <w:rPr>
                <w:rFonts w:hint="eastAsia"/>
                <w:b w:val="0"/>
                <w:bCs w:val="0"/>
                <w:color w:val="auto"/>
                <w:sz w:val="24"/>
                <w:szCs w:val="24"/>
                <w:highlight w:val="none"/>
                <w:lang w:val="en-US" w:eastAsia="zh-CN"/>
              </w:rPr>
              <w:t>缴纳</w:t>
            </w:r>
            <w:r>
              <w:rPr>
                <w:b w:val="0"/>
                <w:bCs w:val="0"/>
                <w:color w:val="auto"/>
                <w:sz w:val="24"/>
                <w:szCs w:val="24"/>
                <w:highlight w:val="none"/>
              </w:rPr>
              <w:t>证明</w:t>
            </w:r>
            <w:r>
              <w:rPr>
                <w:rFonts w:hint="eastAsia"/>
                <w:b w:val="0"/>
                <w:bCs w:val="0"/>
                <w:color w:val="auto"/>
                <w:sz w:val="24"/>
                <w:szCs w:val="24"/>
                <w:highlight w:val="none"/>
                <w:lang w:val="en-US" w:eastAsia="zh-CN"/>
              </w:rPr>
              <w:t>，并加盖公章。</w:t>
            </w:r>
            <w:r>
              <w:rPr>
                <w:b w:val="0"/>
                <w:bCs w:val="0"/>
                <w:color w:val="auto"/>
                <w:sz w:val="24"/>
                <w:szCs w:val="24"/>
                <w:highlight w:val="none"/>
              </w:rPr>
              <w:t>人员证书不得重复</w:t>
            </w:r>
            <w:r>
              <w:rPr>
                <w:rFonts w:hint="eastAsia" w:ascii="宋体" w:hAnsi="宋体" w:eastAsia="宋体" w:cs="宋体"/>
                <w:b w:val="0"/>
                <w:bCs w:val="0"/>
                <w:i w:val="0"/>
                <w:iCs w:val="0"/>
                <w:color w:val="auto"/>
                <w:kern w:val="0"/>
                <w:sz w:val="24"/>
                <w:szCs w:val="24"/>
                <w:highlight w:val="none"/>
                <w:u w:val="none"/>
                <w:lang w:val="en-US" w:eastAsia="zh-CN" w:bidi="ar"/>
              </w:rPr>
              <w:t>】</w:t>
            </w:r>
          </w:p>
        </w:tc>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0-5分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ascii="宋体" w:hAnsi="宋体" w:eastAsia="宋体" w:cs="宋体"/>
                <w:b w:val="0"/>
                <w:bCs w:val="0"/>
                <w:color w:val="auto"/>
                <w:kern w:val="0"/>
                <w:sz w:val="24"/>
                <w:szCs w:val="24"/>
                <w:highlight w:val="none"/>
                <w:lang w:bidi="ar"/>
              </w:rPr>
              <w:t>客观分</w:t>
            </w:r>
          </w:p>
        </w:tc>
        <w:tc>
          <w:tcPr>
            <w:tcW w:w="738" w:type="dxa"/>
            <w:vAlign w:val="center"/>
          </w:tcPr>
          <w:p>
            <w:pPr>
              <w:pStyle w:val="2"/>
              <w:widowControl w:val="0"/>
              <w:jc w:val="left"/>
              <w:rPr>
                <w:rFonts w:hint="eastAsia" w:ascii="宋体" w:hAnsi="宋体" w:eastAsia="宋体" w:cs="宋体"/>
                <w:b w:val="0"/>
                <w:bCs w:val="0"/>
                <w:color w:val="auto"/>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6</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项目理解：根据供应商提供的针对本项目采用的运行理念、管理模式、作业重点、难点及相应的对应措施进行综合评分。</w:t>
            </w:r>
            <w:r>
              <w:rPr>
                <w:rFonts w:hint="eastAsia" w:ascii="宋体" w:hAnsi="宋体" w:eastAsia="宋体" w:cs="宋体"/>
                <w:b w:val="0"/>
                <w:bCs w:val="0"/>
                <w:color w:val="auto"/>
                <w:kern w:val="0"/>
                <w:sz w:val="24"/>
                <w:highlight w:val="none"/>
                <w:lang w:bidi="ar"/>
              </w:rPr>
              <w:t>方案详尽、准确、针对性强且合理可行的，得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7</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机具配置：</w:t>
            </w:r>
            <w:r>
              <w:rPr>
                <w:rFonts w:hint="eastAsia" w:ascii="宋体" w:hAnsi="宋体" w:eastAsia="宋体" w:cs="宋体"/>
                <w:b w:val="0"/>
                <w:bCs w:val="0"/>
                <w:color w:val="auto"/>
                <w:kern w:val="0"/>
                <w:sz w:val="24"/>
                <w:highlight w:val="none"/>
                <w:lang w:val="en-US" w:eastAsia="zh-CN" w:bidi="ar"/>
              </w:rPr>
              <w:t>根据供应商提供的机具（备用仪器、车辆、专用工具、备品备件等）的投入、配置情况进行综合评分。</w:t>
            </w:r>
            <w:r>
              <w:rPr>
                <w:rFonts w:hint="eastAsia" w:ascii="宋体" w:hAnsi="宋体" w:eastAsia="宋体" w:cs="宋体"/>
                <w:b w:val="0"/>
                <w:bCs w:val="0"/>
                <w:color w:val="auto"/>
                <w:kern w:val="0"/>
                <w:sz w:val="24"/>
                <w:highlight w:val="none"/>
                <w:lang w:bidi="ar"/>
              </w:rPr>
              <w:t>方案详尽、准确、针对性强且合理可行的，得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8</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视频监控系统熟悉程度：</w:t>
            </w:r>
            <w:r>
              <w:rPr>
                <w:rFonts w:hint="eastAsia" w:ascii="宋体" w:hAnsi="宋体" w:eastAsia="宋体" w:cs="宋体"/>
                <w:b w:val="0"/>
                <w:bCs w:val="0"/>
                <w:color w:val="auto"/>
                <w:kern w:val="0"/>
                <w:sz w:val="24"/>
                <w:highlight w:val="none"/>
                <w:lang w:val="en-US" w:eastAsia="zh-CN" w:bidi="ar"/>
              </w:rPr>
              <w:t>根据供应商对类似项目的视频监控系统熟悉程度进行综合评分。熟悉且符合实际情况的</w:t>
            </w:r>
            <w:r>
              <w:rPr>
                <w:rFonts w:hint="eastAsia" w:ascii="宋体" w:hAnsi="宋体" w:eastAsia="宋体" w:cs="宋体"/>
                <w:b w:val="0"/>
                <w:bCs w:val="0"/>
                <w:color w:val="auto"/>
                <w:kern w:val="0"/>
                <w:sz w:val="24"/>
                <w:highlight w:val="none"/>
                <w:lang w:bidi="ar"/>
              </w:rPr>
              <w:t>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9</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视频监控专网熟悉程度：</w:t>
            </w:r>
            <w:r>
              <w:rPr>
                <w:rFonts w:hint="eastAsia" w:ascii="宋体" w:hAnsi="宋体" w:eastAsia="宋体" w:cs="宋体"/>
                <w:b w:val="0"/>
                <w:bCs w:val="0"/>
                <w:color w:val="auto"/>
                <w:kern w:val="0"/>
                <w:sz w:val="24"/>
                <w:highlight w:val="none"/>
                <w:lang w:val="en-US" w:eastAsia="zh-CN" w:bidi="ar"/>
              </w:rPr>
              <w:t>根据供应商对类似项目的视频监控专网的熟悉程度进行综合评分。熟悉且符合实际情况的</w:t>
            </w:r>
            <w:r>
              <w:rPr>
                <w:rFonts w:hint="eastAsia" w:ascii="宋体" w:hAnsi="宋体" w:eastAsia="宋体" w:cs="宋体"/>
                <w:b w:val="0"/>
                <w:bCs w:val="0"/>
                <w:color w:val="auto"/>
                <w:kern w:val="0"/>
                <w:sz w:val="24"/>
                <w:highlight w:val="none"/>
                <w:lang w:bidi="ar"/>
              </w:rPr>
              <w:t>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10</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监控运维及迁移方案：</w:t>
            </w:r>
            <w:r>
              <w:rPr>
                <w:rFonts w:hint="eastAsia" w:ascii="宋体" w:hAnsi="宋体" w:eastAsia="宋体" w:cs="宋体"/>
                <w:b w:val="0"/>
                <w:bCs w:val="0"/>
                <w:color w:val="auto"/>
                <w:kern w:val="0"/>
                <w:sz w:val="24"/>
                <w:highlight w:val="none"/>
                <w:lang w:val="en-US" w:eastAsia="zh-CN" w:bidi="ar"/>
              </w:rPr>
              <w:t>根据供应商提供的视频监控运维及迁移服务方案的详实性、完备性进行综合评分。</w:t>
            </w:r>
            <w:r>
              <w:rPr>
                <w:rFonts w:hint="eastAsia" w:ascii="宋体" w:hAnsi="宋体" w:eastAsia="宋体" w:cs="宋体"/>
                <w:b w:val="0"/>
                <w:bCs w:val="0"/>
                <w:color w:val="auto"/>
                <w:kern w:val="0"/>
                <w:sz w:val="24"/>
                <w:highlight w:val="none"/>
                <w:lang w:bidi="ar"/>
              </w:rPr>
              <w:t>方案</w:t>
            </w:r>
            <w:r>
              <w:rPr>
                <w:rFonts w:hint="eastAsia" w:ascii="宋体" w:hAnsi="宋体" w:eastAsia="宋体" w:cs="宋体"/>
                <w:b w:val="0"/>
                <w:bCs w:val="0"/>
                <w:color w:val="auto"/>
                <w:kern w:val="0"/>
                <w:sz w:val="24"/>
                <w:highlight w:val="none"/>
                <w:lang w:val="en-US" w:eastAsia="zh-CN" w:bidi="ar"/>
              </w:rPr>
              <w:t>详实、完备</w:t>
            </w:r>
            <w:r>
              <w:rPr>
                <w:rFonts w:hint="eastAsia" w:ascii="宋体" w:hAnsi="宋体" w:eastAsia="宋体" w:cs="宋体"/>
                <w:b w:val="0"/>
                <w:bCs w:val="0"/>
                <w:color w:val="auto"/>
                <w:kern w:val="0"/>
                <w:sz w:val="24"/>
                <w:highlight w:val="none"/>
                <w:lang w:bidi="ar"/>
              </w:rPr>
              <w:t>、针对性强且合理可行的得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11</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平台接入方案：</w:t>
            </w:r>
            <w:r>
              <w:rPr>
                <w:rFonts w:hint="eastAsia" w:ascii="宋体" w:hAnsi="宋体" w:eastAsia="宋体" w:cs="宋体"/>
                <w:b w:val="0"/>
                <w:bCs w:val="0"/>
                <w:color w:val="auto"/>
                <w:kern w:val="0"/>
                <w:sz w:val="24"/>
                <w:highlight w:val="none"/>
                <w:lang w:val="en-US" w:eastAsia="zh-CN" w:bidi="ar"/>
              </w:rPr>
              <w:t>根据供应商提供的对接入平台的视频监控接入技术方案的可行性进行综合评分。</w:t>
            </w:r>
            <w:r>
              <w:rPr>
                <w:rFonts w:hint="eastAsia" w:ascii="宋体" w:hAnsi="宋体" w:eastAsia="宋体" w:cs="宋体"/>
                <w:b w:val="0"/>
                <w:bCs w:val="0"/>
                <w:color w:val="auto"/>
                <w:kern w:val="0"/>
                <w:sz w:val="24"/>
                <w:highlight w:val="none"/>
                <w:lang w:bidi="ar"/>
              </w:rPr>
              <w:t>方案详尽、准确、针对性强且合理可行的，得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12</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线路运维方案：</w:t>
            </w:r>
            <w:r>
              <w:rPr>
                <w:rFonts w:hint="eastAsia" w:ascii="宋体" w:hAnsi="宋体" w:eastAsia="宋体" w:cs="宋体"/>
                <w:b w:val="0"/>
                <w:bCs w:val="0"/>
                <w:color w:val="auto"/>
                <w:kern w:val="0"/>
                <w:sz w:val="24"/>
                <w:highlight w:val="none"/>
                <w:lang w:val="en-US" w:eastAsia="zh-CN" w:bidi="ar"/>
              </w:rPr>
              <w:t>根据供应商提供的对网络线路的运维服务方案的详实性、完备性进行综合评分。</w:t>
            </w:r>
            <w:r>
              <w:rPr>
                <w:rFonts w:hint="eastAsia" w:ascii="宋体" w:hAnsi="宋体" w:eastAsia="宋体" w:cs="宋体"/>
                <w:b w:val="0"/>
                <w:bCs w:val="0"/>
                <w:color w:val="auto"/>
                <w:kern w:val="0"/>
                <w:sz w:val="24"/>
                <w:highlight w:val="none"/>
                <w:lang w:bidi="ar"/>
              </w:rPr>
              <w:t>方案</w:t>
            </w:r>
            <w:r>
              <w:rPr>
                <w:rFonts w:hint="eastAsia" w:ascii="宋体" w:hAnsi="宋体" w:eastAsia="宋体" w:cs="宋体"/>
                <w:b w:val="0"/>
                <w:bCs w:val="0"/>
                <w:color w:val="auto"/>
                <w:kern w:val="0"/>
                <w:sz w:val="24"/>
                <w:highlight w:val="none"/>
                <w:lang w:val="en-US" w:eastAsia="zh-CN" w:bidi="ar"/>
              </w:rPr>
              <w:t>详实、完备</w:t>
            </w:r>
            <w:r>
              <w:rPr>
                <w:rFonts w:hint="eastAsia" w:ascii="宋体" w:hAnsi="宋体" w:eastAsia="宋体" w:cs="宋体"/>
                <w:b w:val="0"/>
                <w:bCs w:val="0"/>
                <w:color w:val="auto"/>
                <w:kern w:val="0"/>
                <w:sz w:val="24"/>
                <w:highlight w:val="none"/>
                <w:lang w:bidi="ar"/>
              </w:rPr>
              <w:t>、针对性强且合理可行的，得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13</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应急响应方案：</w:t>
            </w:r>
            <w:r>
              <w:rPr>
                <w:rFonts w:hint="eastAsia" w:ascii="宋体" w:hAnsi="宋体" w:eastAsia="宋体" w:cs="宋体"/>
                <w:b w:val="0"/>
                <w:bCs w:val="0"/>
                <w:color w:val="auto"/>
                <w:kern w:val="0"/>
                <w:sz w:val="24"/>
                <w:highlight w:val="none"/>
                <w:lang w:val="en-US" w:eastAsia="zh-CN" w:bidi="ar"/>
              </w:rPr>
              <w:t>根据供应商提供的对应急突发事情的响应及处理方案进行综合评分。</w:t>
            </w:r>
            <w:r>
              <w:rPr>
                <w:rFonts w:hint="eastAsia" w:ascii="宋体" w:hAnsi="宋体" w:eastAsia="宋体" w:cs="宋体"/>
                <w:b w:val="0"/>
                <w:bCs w:val="0"/>
                <w:color w:val="auto"/>
                <w:kern w:val="0"/>
                <w:sz w:val="24"/>
                <w:highlight w:val="none"/>
                <w:lang w:bidi="ar"/>
              </w:rPr>
              <w:t>方案详尽、准确、针对性强且合理可行的，得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jc w:val="left"/>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14</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质控措施：</w:t>
            </w:r>
            <w:r>
              <w:rPr>
                <w:rFonts w:hint="eastAsia" w:ascii="宋体" w:hAnsi="宋体" w:eastAsia="宋体" w:cs="宋体"/>
                <w:b w:val="0"/>
                <w:bCs w:val="0"/>
                <w:color w:val="auto"/>
                <w:kern w:val="0"/>
                <w:sz w:val="24"/>
                <w:highlight w:val="none"/>
                <w:lang w:val="en-US" w:eastAsia="zh-CN" w:bidi="ar"/>
              </w:rPr>
              <w:t>根据供应商提供的质控管理措施进行综合评分。措施</w:t>
            </w:r>
            <w:r>
              <w:rPr>
                <w:rFonts w:hint="eastAsia" w:ascii="宋体" w:hAnsi="宋体" w:eastAsia="宋体" w:cs="宋体"/>
                <w:b w:val="0"/>
                <w:bCs w:val="0"/>
                <w:color w:val="auto"/>
                <w:kern w:val="0"/>
                <w:sz w:val="24"/>
                <w:highlight w:val="none"/>
                <w:lang w:bidi="ar"/>
              </w:rPr>
              <w:t>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jc w:val="left"/>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15</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网络安全保障方案：</w:t>
            </w:r>
            <w:r>
              <w:rPr>
                <w:rFonts w:hint="eastAsia" w:ascii="宋体" w:hAnsi="宋体" w:eastAsia="宋体" w:cs="宋体"/>
                <w:b w:val="0"/>
                <w:bCs w:val="0"/>
                <w:color w:val="auto"/>
                <w:kern w:val="0"/>
                <w:sz w:val="24"/>
                <w:highlight w:val="none"/>
                <w:lang w:val="en-US" w:eastAsia="zh-CN" w:bidi="ar"/>
              </w:rPr>
              <w:t>根据供应商提供的网络安全保障方案进行综合评分。</w:t>
            </w:r>
            <w:r>
              <w:rPr>
                <w:rFonts w:hint="eastAsia" w:ascii="宋体" w:hAnsi="宋体" w:eastAsia="宋体" w:cs="宋体"/>
                <w:b w:val="0"/>
                <w:bCs w:val="0"/>
                <w:color w:val="auto"/>
                <w:kern w:val="0"/>
                <w:sz w:val="24"/>
                <w:highlight w:val="none"/>
                <w:lang w:bidi="ar"/>
              </w:rPr>
              <w:t>方案详尽、准确、针对性强且合理可行的，得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16</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档案管理和安全生产作业措施：</w:t>
            </w:r>
            <w:r>
              <w:rPr>
                <w:rFonts w:hint="eastAsia" w:ascii="宋体" w:hAnsi="宋体" w:eastAsia="宋体" w:cs="宋体"/>
                <w:b w:val="0"/>
                <w:bCs w:val="0"/>
                <w:color w:val="auto"/>
                <w:kern w:val="0"/>
                <w:sz w:val="24"/>
                <w:highlight w:val="none"/>
                <w:lang w:val="en-US" w:eastAsia="zh-CN" w:bidi="ar"/>
              </w:rPr>
              <w:t>根据供应商提供的档案管理和安全生产作业措施进行综合评分。措施</w:t>
            </w:r>
            <w:r>
              <w:rPr>
                <w:rFonts w:hint="eastAsia" w:ascii="宋体" w:hAnsi="宋体" w:eastAsia="宋体" w:cs="宋体"/>
                <w:b w:val="0"/>
                <w:bCs w:val="0"/>
                <w:color w:val="auto"/>
                <w:kern w:val="0"/>
                <w:sz w:val="24"/>
                <w:highlight w:val="none"/>
                <w:lang w:bidi="ar"/>
              </w:rPr>
              <w:t>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jc w:val="left"/>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17</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进度安排：</w:t>
            </w:r>
            <w:r>
              <w:rPr>
                <w:rFonts w:hint="eastAsia" w:ascii="宋体" w:hAnsi="宋体" w:eastAsia="宋体" w:cs="宋体"/>
                <w:b w:val="0"/>
                <w:bCs w:val="0"/>
                <w:color w:val="auto"/>
                <w:kern w:val="0"/>
                <w:sz w:val="24"/>
                <w:highlight w:val="none"/>
                <w:lang w:val="en-US" w:eastAsia="zh-CN" w:bidi="ar"/>
              </w:rPr>
              <w:t>根据供应商的进度安排是否合理、</w:t>
            </w:r>
            <w:r>
              <w:rPr>
                <w:rFonts w:hint="eastAsia" w:ascii="宋体" w:hAnsi="宋体" w:eastAsia="宋体" w:cs="宋体"/>
                <w:b w:val="0"/>
                <w:bCs w:val="0"/>
                <w:color w:val="auto"/>
                <w:kern w:val="0"/>
                <w:sz w:val="24"/>
                <w:highlight w:val="none"/>
                <w:lang w:bidi="ar"/>
              </w:rPr>
              <w:t>应对变化措施有效</w:t>
            </w:r>
            <w:r>
              <w:rPr>
                <w:rFonts w:hint="eastAsia" w:ascii="宋体" w:hAnsi="宋体" w:eastAsia="宋体" w:cs="宋体"/>
                <w:b w:val="0"/>
                <w:bCs w:val="0"/>
                <w:color w:val="auto"/>
                <w:kern w:val="0"/>
                <w:sz w:val="24"/>
                <w:highlight w:val="none"/>
                <w:lang w:val="en-US" w:eastAsia="zh-CN" w:bidi="ar"/>
              </w:rPr>
              <w:t>是否有效，是否符合本项目要求进行综合评分。安排合理、</w:t>
            </w:r>
            <w:r>
              <w:rPr>
                <w:rFonts w:hint="eastAsia" w:ascii="宋体" w:hAnsi="宋体" w:eastAsia="宋体" w:cs="宋体"/>
                <w:b w:val="0"/>
                <w:bCs w:val="0"/>
                <w:color w:val="auto"/>
                <w:kern w:val="0"/>
                <w:sz w:val="24"/>
                <w:highlight w:val="none"/>
                <w:lang w:bidi="ar"/>
              </w:rPr>
              <w:t>可行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符合招标文件要求</w:t>
            </w:r>
            <w:r>
              <w:rPr>
                <w:rFonts w:hint="eastAsia" w:ascii="宋体" w:hAnsi="宋体" w:eastAsia="宋体" w:cs="宋体"/>
                <w:b w:val="0"/>
                <w:bCs w:val="0"/>
                <w:color w:val="auto"/>
                <w:kern w:val="0"/>
                <w:sz w:val="24"/>
                <w:highlight w:val="none"/>
                <w:lang w:bidi="ar"/>
              </w:rPr>
              <w:t>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18</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培训方案：</w:t>
            </w:r>
            <w:r>
              <w:rPr>
                <w:rFonts w:hint="eastAsia" w:ascii="宋体" w:hAnsi="宋体" w:eastAsia="宋体" w:cs="宋体"/>
                <w:b w:val="0"/>
                <w:bCs w:val="0"/>
                <w:color w:val="auto"/>
                <w:kern w:val="0"/>
                <w:sz w:val="24"/>
                <w:highlight w:val="none"/>
                <w:lang w:val="en-US" w:eastAsia="zh-CN" w:bidi="ar"/>
              </w:rPr>
              <w:t>根据供应商提供的项目培训方案进行综合评分。</w:t>
            </w:r>
            <w:r>
              <w:rPr>
                <w:rFonts w:hint="eastAsia" w:ascii="宋体" w:hAnsi="宋体" w:eastAsia="宋体" w:cs="宋体"/>
                <w:b w:val="0"/>
                <w:bCs w:val="0"/>
                <w:color w:val="auto"/>
                <w:kern w:val="0"/>
                <w:sz w:val="24"/>
                <w:highlight w:val="none"/>
                <w:lang w:bidi="ar"/>
              </w:rPr>
              <w:t>方案详尽、准确、针对性强且合理可行的，得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jc w:val="left"/>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19</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质量保证措施：</w:t>
            </w:r>
            <w:r>
              <w:rPr>
                <w:rFonts w:hint="eastAsia" w:ascii="宋体" w:hAnsi="宋体" w:eastAsia="宋体" w:cs="宋体"/>
                <w:b w:val="0"/>
                <w:bCs w:val="0"/>
                <w:color w:val="auto"/>
                <w:kern w:val="0"/>
                <w:sz w:val="24"/>
                <w:highlight w:val="none"/>
                <w:lang w:val="en-US" w:eastAsia="zh-CN" w:bidi="ar"/>
              </w:rPr>
              <w:t>根据供应商提供的服务质量保证措施进行综合评分。措施</w:t>
            </w:r>
            <w:r>
              <w:rPr>
                <w:rFonts w:hint="eastAsia" w:ascii="宋体" w:hAnsi="宋体" w:eastAsia="宋体" w:cs="宋体"/>
                <w:b w:val="0"/>
                <w:bCs w:val="0"/>
                <w:color w:val="auto"/>
                <w:kern w:val="0"/>
                <w:sz w:val="24"/>
                <w:highlight w:val="none"/>
                <w:lang w:bidi="ar"/>
              </w:rPr>
              <w:t>合理可行的，得</w:t>
            </w:r>
            <w:r>
              <w:rPr>
                <w:rFonts w:hint="eastAsia" w:ascii="宋体" w:hAnsi="宋体" w:eastAsia="宋体" w:cs="宋体"/>
                <w:b w:val="0"/>
                <w:bCs w:val="0"/>
                <w:color w:val="auto"/>
                <w:kern w:val="0"/>
                <w:sz w:val="24"/>
                <w:highlight w:val="none"/>
                <w:lang w:val="en-US" w:eastAsia="zh-CN" w:bidi="ar"/>
              </w:rPr>
              <w:t>4-</w:t>
            </w:r>
            <w:r>
              <w:rPr>
                <w:rFonts w:hint="eastAsia" w:ascii="宋体" w:hAnsi="宋体" w:eastAsia="宋体" w:cs="宋体"/>
                <w:b w:val="0"/>
                <w:bCs w:val="0"/>
                <w:color w:val="auto"/>
                <w:kern w:val="0"/>
                <w:sz w:val="24"/>
                <w:highlight w:val="none"/>
                <w:lang w:bidi="ar"/>
              </w:rPr>
              <w:t>5分；</w:t>
            </w:r>
            <w:r>
              <w:rPr>
                <w:rFonts w:hint="eastAsia" w:ascii="宋体" w:hAnsi="宋体" w:eastAsia="宋体" w:cs="宋体"/>
                <w:b w:val="0"/>
                <w:bCs w:val="0"/>
                <w:color w:val="auto"/>
                <w:kern w:val="0"/>
                <w:sz w:val="24"/>
                <w:highlight w:val="none"/>
                <w:lang w:val="en-US" w:eastAsia="zh-CN" w:bidi="ar"/>
              </w:rPr>
              <w:t>较好的得2-3.9</w:t>
            </w:r>
            <w:r>
              <w:rPr>
                <w:rFonts w:hint="eastAsia" w:ascii="宋体" w:hAnsi="宋体" w:eastAsia="宋体" w:cs="宋体"/>
                <w:b w:val="0"/>
                <w:bCs w:val="0"/>
                <w:color w:val="auto"/>
                <w:kern w:val="0"/>
                <w:sz w:val="24"/>
                <w:highlight w:val="none"/>
                <w:lang w:bidi="ar"/>
              </w:rPr>
              <w:t>分</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一般的得0.1-1.9分</w:t>
            </w:r>
            <w:r>
              <w:rPr>
                <w:rFonts w:hint="eastAsia" w:ascii="宋体" w:hAnsi="宋体" w:eastAsia="宋体" w:cs="宋体"/>
                <w:b w:val="0"/>
                <w:bCs w:val="0"/>
                <w:color w:val="auto"/>
                <w:kern w:val="0"/>
                <w:sz w:val="24"/>
                <w:highlight w:val="none"/>
                <w:lang w:bidi="ar"/>
              </w:rPr>
              <w:t>；不符合或内容未提供的不得分。</w:t>
            </w:r>
          </w:p>
        </w:tc>
        <w:tc>
          <w:tcPr>
            <w:tcW w:w="0" w:type="auto"/>
            <w:shd w:val="clear" w:color="auto" w:fill="auto"/>
            <w:vAlign w:val="center"/>
          </w:tcPr>
          <w:p>
            <w:pPr>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0-</w:t>
            </w:r>
            <w:r>
              <w:rPr>
                <w:rFonts w:hint="eastAsia" w:ascii="宋体" w:hAnsi="宋体" w:eastAsia="宋体" w:cs="宋体"/>
                <w:b w:val="0"/>
                <w:bCs w:val="0"/>
                <w:i w:val="0"/>
                <w:iCs w:val="0"/>
                <w:color w:val="auto"/>
                <w:kern w:val="0"/>
                <w:sz w:val="24"/>
                <w:szCs w:val="24"/>
                <w:highlight w:val="none"/>
                <w:u w:val="none"/>
                <w:lang w:val="en-US" w:eastAsia="zh-CN" w:bidi="ar"/>
              </w:rPr>
              <w:t>5</w:t>
            </w:r>
            <w:r>
              <w:rPr>
                <w:rFonts w:hint="eastAsia" w:ascii="宋体" w:hAnsi="宋体" w:cs="宋体"/>
                <w:b w:val="0"/>
                <w:bCs w:val="0"/>
                <w:i w:val="0"/>
                <w:iCs w:val="0"/>
                <w:color w:val="auto"/>
                <w:kern w:val="0"/>
                <w:sz w:val="24"/>
                <w:szCs w:val="24"/>
                <w:highlight w:val="none"/>
                <w:u w:val="none"/>
                <w:lang w:val="en-US" w:eastAsia="zh-CN" w:bidi="ar"/>
              </w:rPr>
              <w:t>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pStyle w:val="2"/>
              <w:widowControl w:val="0"/>
              <w:jc w:val="left"/>
              <w:rPr>
                <w:rFonts w:hint="eastAsia" w:ascii="宋体" w:hAnsi="宋体" w:eastAsia="宋体" w:cs="宋体"/>
                <w:b w:val="0"/>
                <w:bCs w:val="0"/>
                <w:color w:val="auto"/>
                <w:sz w:val="24"/>
                <w:szCs w:val="24"/>
                <w:highlight w:val="none"/>
                <w:vertAlign w:val="baseline"/>
                <w:lang w:val="en-US" w:eastAsia="zh-CN" w:bidi="ar-SA"/>
              </w:rPr>
            </w:pPr>
            <w:r>
              <w:rPr>
                <w:rFonts w:hint="eastAsia" w:cs="宋体"/>
                <w:b w:val="0"/>
                <w:bCs w:val="0"/>
                <w:color w:val="auto"/>
                <w:szCs w:val="24"/>
                <w:highlight w:val="none"/>
                <w:vertAlign w:val="baseline"/>
                <w:lang w:val="en-US" w:eastAsia="zh-CN"/>
              </w:rPr>
              <w:t>20</w:t>
            </w:r>
          </w:p>
        </w:tc>
        <w:tc>
          <w:tcPr>
            <w:tcW w:w="0" w:type="auto"/>
            <w:shd w:val="clear" w:color="auto" w:fill="auto"/>
            <w:vAlign w:val="center"/>
          </w:tcPr>
          <w:p>
            <w:pPr>
              <w:widowControl/>
              <w:jc w:val="left"/>
              <w:textAlignment w:val="auto"/>
              <w:rPr>
                <w:rFonts w:hint="eastAsia" w:ascii="宋体" w:hAnsi="宋体" w:eastAsia="宋体" w:cs="宋体"/>
                <w:b w:val="0"/>
                <w:bCs w:val="0"/>
                <w:color w:val="auto"/>
                <w:kern w:val="0"/>
                <w:sz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合理化建议：</w:t>
            </w:r>
            <w:r>
              <w:rPr>
                <w:rFonts w:hint="eastAsia" w:ascii="宋体" w:hAnsi="宋体" w:eastAsia="宋体" w:cs="宋体"/>
                <w:color w:val="auto"/>
                <w:kern w:val="0"/>
                <w:sz w:val="24"/>
                <w:szCs w:val="24"/>
                <w:highlight w:val="none"/>
                <w:lang w:val="en-US" w:eastAsia="zh-CN" w:bidi="ar"/>
              </w:rPr>
              <w:t>针对本项目特点，提出合理化建议。提出有益于项目实施的合理化建议3条以上的得4分；提出2条的得2分；提出1条的得1分；没有的不得分。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0-4分</w:t>
            </w:r>
          </w:p>
        </w:tc>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21</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sz w:val="24"/>
                <w:szCs w:val="24"/>
                <w:highlight w:val="none"/>
                <w:vertAlign w:val="baseline"/>
                <w:lang w:val="en-US" w:eastAsia="zh-CN"/>
              </w:rPr>
              <w:t>优惠条件：</w:t>
            </w:r>
            <w:r>
              <w:rPr>
                <w:rFonts w:hint="eastAsia" w:ascii="宋体" w:hAnsi="宋体" w:eastAsia="宋体" w:cs="宋体"/>
                <w:b w:val="0"/>
                <w:bCs w:val="0"/>
                <w:color w:val="auto"/>
                <w:kern w:val="0"/>
                <w:sz w:val="24"/>
                <w:highlight w:val="none"/>
                <w:lang w:val="en-US" w:eastAsia="zh-CN" w:bidi="ar"/>
              </w:rPr>
              <w:t>根据供应商提供的扩容服务、增值服务等优惠及承诺情况进行评分。每提供1条优惠条件或承诺得1分，内容未提供的不得分。</w:t>
            </w:r>
          </w:p>
        </w:tc>
        <w:tc>
          <w:tcPr>
            <w:tcW w:w="0" w:type="auto"/>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cs="宋体"/>
                <w:b w:val="0"/>
                <w:bCs w:val="0"/>
                <w:i w:val="0"/>
                <w:iCs w:val="0"/>
                <w:color w:val="auto"/>
                <w:kern w:val="0"/>
                <w:sz w:val="24"/>
                <w:szCs w:val="24"/>
                <w:highlight w:val="none"/>
                <w:u w:val="none"/>
                <w:lang w:val="en-US" w:eastAsia="zh-CN" w:bidi="ar"/>
              </w:rPr>
              <w:t>0-1分</w:t>
            </w:r>
          </w:p>
        </w:tc>
        <w:tc>
          <w:tcPr>
            <w:tcW w:w="0" w:type="auto"/>
            <w:vAlign w:val="center"/>
          </w:tcPr>
          <w:p>
            <w:pPr>
              <w:pStyle w:val="2"/>
              <w:widowControl w:val="0"/>
              <w:jc w:val="left"/>
              <w:rPr>
                <w:rFonts w:hint="eastAsia" w:cs="宋体"/>
                <w:b w:val="0"/>
                <w:bCs w:val="0"/>
                <w:color w:val="auto"/>
                <w:szCs w:val="24"/>
                <w:highlight w:val="none"/>
                <w:vertAlign w:val="baseline"/>
              </w:rPr>
            </w:pPr>
            <w:r>
              <w:rPr>
                <w:rFonts w:hint="eastAsia" w:cs="宋体"/>
                <w:b w:val="0"/>
                <w:bCs w:val="0"/>
                <w:color w:val="auto"/>
                <w:szCs w:val="24"/>
                <w:highlight w:val="none"/>
                <w:vertAlign w:val="baseline"/>
                <w:lang w:val="en-US" w:eastAsia="zh-CN"/>
              </w:rPr>
              <w:t>主观分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widowControl w:val="0"/>
              <w:jc w:val="left"/>
              <w:rPr>
                <w:rFonts w:hint="eastAsia"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22</w:t>
            </w:r>
          </w:p>
        </w:tc>
        <w:tc>
          <w:tcPr>
            <w:tcW w:w="0" w:type="auto"/>
            <w:shd w:val="clear" w:color="auto" w:fill="auto"/>
            <w:vAlign w:val="center"/>
          </w:tcPr>
          <w:p>
            <w:pPr>
              <w:widowControl/>
              <w:jc w:val="left"/>
              <w:textAlignment w:val="top"/>
              <w:rPr>
                <w:rFonts w:hint="eastAsia" w:ascii="宋体" w:hAnsi="宋体" w:eastAsia="宋体" w:cs="宋体"/>
                <w:b w:val="0"/>
                <w:bCs w:val="0"/>
                <w:color w:val="auto"/>
                <w:kern w:val="0"/>
                <w:sz w:val="24"/>
                <w:highlight w:val="none"/>
                <w:lang w:bidi="ar"/>
              </w:rPr>
            </w:pPr>
            <w:r>
              <w:rPr>
                <w:rFonts w:hint="eastAsia" w:ascii="宋体" w:hAnsi="宋体" w:eastAsia="宋体" w:cs="宋体"/>
                <w:color w:val="auto"/>
                <w:sz w:val="24"/>
                <w:szCs w:val="24"/>
                <w:highlight w:val="none"/>
              </w:rPr>
              <w:t>报价得分</w:t>
            </w:r>
            <w:r>
              <w:rPr>
                <w:rFonts w:hint="eastAsia" w:ascii="宋体" w:hAnsi="宋体" w:cs="宋体"/>
                <w:b w:val="0"/>
                <w:bCs w:val="0"/>
                <w:color w:val="auto"/>
                <w:sz w:val="24"/>
                <w:szCs w:val="24"/>
                <w:highlight w:val="none"/>
                <w:vertAlign w:val="baseline"/>
                <w:lang w:val="en-US" w:eastAsia="zh-CN"/>
              </w:rPr>
              <w:t>：</w:t>
            </w:r>
          </w:p>
          <w:p>
            <w:pPr>
              <w:widowControl/>
              <w:jc w:val="left"/>
              <w:textAlignment w:val="top"/>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有效投标报价的最低价作为评标基准价，其最低报价为满分；按［投标报价得分=（评标基准价/投标报价）*</w:t>
            </w:r>
            <w:r>
              <w:rPr>
                <w:rFonts w:hint="eastAsia" w:ascii="宋体" w:hAnsi="宋体" w:eastAsia="宋体" w:cs="宋体"/>
                <w:b w:val="0"/>
                <w:bCs w:val="0"/>
                <w:color w:val="auto"/>
                <w:kern w:val="0"/>
                <w:sz w:val="24"/>
                <w:highlight w:val="none"/>
                <w:lang w:eastAsia="zh-CN" w:bidi="ar"/>
              </w:rPr>
              <w:t>1</w:t>
            </w:r>
            <w:r>
              <w:rPr>
                <w:rFonts w:hint="eastAsia" w:ascii="宋体" w:hAnsi="宋体" w:eastAsia="宋体" w:cs="宋体"/>
                <w:b w:val="0"/>
                <w:bCs w:val="0"/>
                <w:color w:val="auto"/>
                <w:kern w:val="0"/>
                <w:sz w:val="24"/>
                <w:highlight w:val="none"/>
                <w:lang w:val="en-US" w:eastAsia="zh-CN" w:bidi="ar"/>
              </w:rPr>
              <w:t>0</w:t>
            </w:r>
            <w:r>
              <w:rPr>
                <w:rFonts w:hint="eastAsia" w:ascii="宋体" w:hAnsi="宋体" w:eastAsia="宋体" w:cs="宋体"/>
                <w:b w:val="0"/>
                <w:bCs w:val="0"/>
                <w:color w:val="auto"/>
                <w:kern w:val="0"/>
                <w:sz w:val="24"/>
                <w:highlight w:val="none"/>
                <w:lang w:bidi="ar"/>
              </w:rPr>
              <w:t>］的计算公式计算。</w:t>
            </w:r>
          </w:p>
          <w:p>
            <w:pPr>
              <w:widowControl/>
              <w:jc w:val="left"/>
              <w:textAlignment w:val="top"/>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highlight w:val="none"/>
                <w:lang w:bidi="ar"/>
              </w:rPr>
              <w:t>评标过程中，不得去掉报价中的最高报价和最低报价。</w:t>
            </w:r>
          </w:p>
        </w:tc>
        <w:tc>
          <w:tcPr>
            <w:tcW w:w="0" w:type="auto"/>
            <w:shd w:val="clear" w:color="auto" w:fill="auto"/>
            <w:vAlign w:val="center"/>
          </w:tcPr>
          <w:p>
            <w:pPr>
              <w:widowControl/>
              <w:jc w:val="left"/>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highlight w:val="none"/>
                <w:lang w:val="en-US" w:eastAsia="zh-CN" w:bidi="ar"/>
              </w:rPr>
              <w:t>0-</w:t>
            </w:r>
            <w:r>
              <w:rPr>
                <w:rFonts w:hint="eastAsia" w:ascii="宋体" w:hAnsi="宋体" w:eastAsia="宋体" w:cs="宋体"/>
                <w:b w:val="0"/>
                <w:bCs w:val="0"/>
                <w:color w:val="auto"/>
                <w:kern w:val="0"/>
                <w:sz w:val="24"/>
                <w:highlight w:val="none"/>
                <w:lang w:bidi="ar"/>
              </w:rPr>
              <w:t>10</w:t>
            </w:r>
            <w:r>
              <w:rPr>
                <w:rFonts w:hint="eastAsia" w:ascii="宋体" w:hAnsi="宋体" w:eastAsia="宋体" w:cs="宋体"/>
                <w:b w:val="0"/>
                <w:bCs w:val="0"/>
                <w:color w:val="auto"/>
                <w:kern w:val="0"/>
                <w:sz w:val="24"/>
                <w:highlight w:val="none"/>
                <w:lang w:val="en-US" w:eastAsia="zh-CN" w:bidi="ar"/>
              </w:rPr>
              <w:t>分</w:t>
            </w:r>
          </w:p>
        </w:tc>
        <w:tc>
          <w:tcPr>
            <w:tcW w:w="0" w:type="auto"/>
            <w:vAlign w:val="center"/>
          </w:tcPr>
          <w:p>
            <w:pPr>
              <w:pStyle w:val="2"/>
              <w:widowControl w:val="0"/>
              <w:jc w:val="left"/>
              <w:rPr>
                <w:rFonts w:hint="eastAsia" w:eastAsia="宋体" w:cs="宋体"/>
                <w:b w:val="0"/>
                <w:bCs w:val="0"/>
                <w:color w:val="auto"/>
                <w:szCs w:val="24"/>
                <w:highlight w:val="none"/>
                <w:vertAlign w:val="baseline"/>
                <w:lang w:val="en-US" w:eastAsia="zh-CN"/>
              </w:rPr>
            </w:pPr>
            <w:r>
              <w:rPr>
                <w:rFonts w:hint="eastAsia" w:cs="宋体"/>
                <w:b w:val="0"/>
                <w:bCs w:val="0"/>
                <w:color w:val="auto"/>
                <w:szCs w:val="24"/>
                <w:highlight w:val="none"/>
                <w:vertAlign w:val="baseline"/>
                <w:lang w:val="en-US" w:eastAsia="zh-CN"/>
              </w:rPr>
              <w:t>客观分</w:t>
            </w:r>
          </w:p>
        </w:tc>
        <w:tc>
          <w:tcPr>
            <w:tcW w:w="738" w:type="dxa"/>
            <w:vAlign w:val="center"/>
          </w:tcPr>
          <w:p>
            <w:pPr>
              <w:pStyle w:val="2"/>
              <w:widowControl w:val="0"/>
              <w:jc w:val="left"/>
              <w:rPr>
                <w:rFonts w:hint="eastAsia" w:cs="宋体"/>
                <w:b w:val="0"/>
                <w:bCs w:val="0"/>
                <w:color w:val="auto"/>
                <w:szCs w:val="24"/>
                <w:highlight w:val="none"/>
                <w:vertAlign w:val="baseline"/>
                <w:lang w:val="en-US" w:eastAsia="zh-CN"/>
              </w:rPr>
            </w:pPr>
          </w:p>
        </w:tc>
      </w:tr>
    </w:tbl>
    <w:p>
      <w:pPr>
        <w:pStyle w:val="2"/>
        <w:rPr>
          <w:rFonts w:hint="eastAsia"/>
          <w:color w:val="auto"/>
          <w:highlight w:val="none"/>
        </w:rPr>
      </w:pPr>
    </w:p>
    <w:p>
      <w:pPr>
        <w:snapToGrid w:val="0"/>
        <w:spacing w:line="360" w:lineRule="auto"/>
        <w:ind w:firstLine="200" w:firstLineChars="100"/>
        <w:rPr>
          <w:color w:val="auto"/>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pStyle w:val="4"/>
        <w:tabs>
          <w:tab w:val="left" w:pos="720"/>
          <w:tab w:val="clear" w:pos="432"/>
        </w:tabs>
        <w:rPr>
          <w:color w:val="auto"/>
          <w:highlight w:val="none"/>
        </w:rPr>
      </w:pPr>
      <w:r>
        <w:rPr>
          <w:color w:val="auto"/>
          <w:highlight w:val="none"/>
        </w:rPr>
        <w:t>评标组织</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评标工作由评标委员会负责。</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评标委员会成员为</w:t>
      </w:r>
      <w:r>
        <w:rPr>
          <w:rFonts w:hint="eastAsia" w:ascii="宋体" w:hAnsi="宋体" w:eastAsia="宋体" w:cs="宋体"/>
          <w:color w:val="auto"/>
          <w:kern w:val="0"/>
          <w:sz w:val="24"/>
          <w:highlight w:val="none"/>
          <w:lang w:eastAsia="zh-CN"/>
        </w:rPr>
        <w:t>五</w:t>
      </w:r>
      <w:r>
        <w:rPr>
          <w:rFonts w:hint="eastAsia" w:ascii="宋体" w:hAnsi="宋体" w:eastAsia="宋体" w:cs="宋体"/>
          <w:color w:val="auto"/>
          <w:kern w:val="0"/>
          <w:sz w:val="24"/>
          <w:highlight w:val="none"/>
        </w:rPr>
        <w:t>人，由采购人代表和有关技术、经济等方面的专家组成。其中</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技术、经济等方面的专家不得少于成员总数的三分之二。评标专家从省级财政部门设立的政府采购评审专家库中，通过随机方式抽取。</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变更、重新组建评标委员会的情况予以书面记录，并随采购文件一并存档。</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对投标文件进行审查、评估和比较。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pPr>
        <w:adjustRightInd/>
        <w:spacing w:line="360" w:lineRule="auto"/>
        <w:ind w:firstLine="470" w:firstLineChars="19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询标期间，投标供应商所留联系方式无法联系上、在规定的时限内投标供应商不予答复的，由评标委员会决定是否继续评审。 </w:t>
      </w:r>
    </w:p>
    <w:p>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各成员每人一份评分表，进行独自打分并签名。在统计得分时，如发现某一单项评分超过评分细则规定的分值范围，则该张评分表无效。投标人商务技术部分的得分为评标委员会各成员的有效评分的算术平均值。</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3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pStyle w:val="13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3.4.4</w:t>
      </w:r>
      <w:r>
        <w:rPr>
          <w:rFonts w:hint="eastAsia" w:ascii="宋体" w:hAnsi="宋体" w:cs="宋体"/>
          <w:b/>
          <w:bCs/>
          <w:color w:val="auto"/>
          <w:kern w:val="0"/>
          <w:szCs w:val="24"/>
          <w:highlight w:val="none"/>
        </w:rPr>
        <w:t>出现下列情形之一的，评审委员会应当启动异常低价投标审查程序：</w:t>
      </w:r>
    </w:p>
    <w:p>
      <w:pPr>
        <w:pStyle w:val="13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（1）投标报价低于全部通过符合性审查供应商投标报价平均值50%的，即投标报价＜全部通过符合性审查供应商投标报价平均值×50%；</w:t>
      </w:r>
    </w:p>
    <w:p>
      <w:pPr>
        <w:pStyle w:val="13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（2）投标报价低于通过符合性审查的次低报价供应商投标报价50%的，即投标报价＜通过符合性审查的次低报价供应商投标报价×50%；</w:t>
      </w:r>
    </w:p>
    <w:p>
      <w:pPr>
        <w:pStyle w:val="13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（3）投标报价低于采购项目最高限价45%的，即投标报价＜采购项目最高限价×45%；</w:t>
      </w:r>
    </w:p>
    <w:p>
      <w:pPr>
        <w:pStyle w:val="138"/>
        <w:spacing w:before="0"/>
        <w:ind w:firstLine="480"/>
        <w:rPr>
          <w:rFonts w:hint="eastAsia" w:ascii="宋体" w:hAnsi="宋体" w:cs="宋体"/>
          <w:color w:val="auto"/>
          <w:kern w:val="0"/>
          <w:szCs w:val="24"/>
          <w:highlight w:val="none"/>
          <w:lang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eastAsia="zh-CN"/>
        </w:rPr>
        <w:t>4</w:t>
      </w:r>
      <w:r>
        <w:rPr>
          <w:rFonts w:hint="eastAsia" w:ascii="宋体" w:hAnsi="宋体" w:cs="宋体"/>
          <w:color w:val="auto"/>
          <w:kern w:val="0"/>
          <w:szCs w:val="24"/>
          <w:highlight w:val="none"/>
        </w:rPr>
        <w:t>）评审委员会基于专业判断，认为供应商报价过低，有可能影响产品质量或者不能诚信履约的其他情形。</w:t>
      </w:r>
    </w:p>
    <w:p>
      <w:pPr>
        <w:pStyle w:val="13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5）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eastAsia="zh-CN"/>
        </w:rPr>
        <w:t>6</w:t>
      </w:r>
      <w:r>
        <w:rPr>
          <w:rFonts w:hint="eastAsia" w:ascii="宋体" w:hAnsi="宋体" w:cs="宋体"/>
          <w:color w:val="auto"/>
          <w:kern w:val="0"/>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w:t>
      </w:r>
      <w:r>
        <w:rPr>
          <w:rFonts w:hint="eastAsia" w:ascii="仿宋" w:hAnsi="仿宋" w:cs="仿宋"/>
          <w:color w:val="auto"/>
          <w:kern w:val="0"/>
          <w:highlight w:val="none"/>
        </w:rPr>
        <w:t>对于未预留份额专门面向中小企业的政府采购货物或服务项目，以及预留份额政府采购货物或服务项目中的非预留部分标项，对小型和微型企业的投标报价给予</w:t>
      </w:r>
      <w:r>
        <w:rPr>
          <w:rFonts w:hint="eastAsia" w:ascii="仿宋" w:hAnsi="仿宋" w:cs="仿宋"/>
          <w:b/>
          <w:bCs/>
          <w:color w:val="auto"/>
          <w:kern w:val="0"/>
          <w:highlight w:val="none"/>
        </w:rPr>
        <w:t>10%</w:t>
      </w:r>
      <w:r>
        <w:rPr>
          <w:rFonts w:hint="eastAsia" w:ascii="仿宋" w:hAnsi="仿宋" w:cs="仿宋"/>
          <w:color w:val="auto"/>
          <w:kern w:val="0"/>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w:t>
      </w:r>
      <w:r>
        <w:rPr>
          <w:rFonts w:hint="eastAsia" w:ascii="仿宋" w:hAnsi="仿宋" w:cs="仿宋"/>
          <w:color w:val="auto"/>
          <w:kern w:val="0"/>
          <w:highlight w:val="none"/>
          <w:lang w:eastAsia="zh-CN"/>
        </w:rPr>
        <w:t>40%</w:t>
      </w:r>
      <w:r>
        <w:rPr>
          <w:rFonts w:hint="eastAsia" w:ascii="仿宋" w:hAnsi="仿宋" w:cs="仿宋"/>
          <w:color w:val="auto"/>
          <w:kern w:val="0"/>
          <w:highlight w:val="none"/>
        </w:rPr>
        <w:t>以上的，对联合体或者大中型企业的报价给予</w:t>
      </w:r>
      <w:r>
        <w:rPr>
          <w:rFonts w:hint="eastAsia" w:ascii="仿宋" w:hAnsi="仿宋" w:cs="仿宋"/>
          <w:b/>
          <w:bCs/>
          <w:color w:val="auto"/>
          <w:kern w:val="0"/>
          <w:highlight w:val="none"/>
        </w:rPr>
        <w:t>4%</w:t>
      </w:r>
      <w:r>
        <w:rPr>
          <w:rFonts w:hint="eastAsia" w:ascii="仿宋" w:hAnsi="仿宋" w:cs="仿宋"/>
          <w:color w:val="auto"/>
          <w:kern w:val="0"/>
          <w:highlight w:val="none"/>
        </w:rPr>
        <w:t>的扣除，用扣除后的价格参加评审。组成联合体或者接受分包的小微企业与联合体内其他企业、分包企业之间存在直接控股、管理关系的，不享受价格扣除优惠政策。</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3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pPr>
        <w:spacing w:line="360" w:lineRule="auto"/>
        <w:ind w:firstLine="480" w:firstLineChars="200"/>
        <w:rPr>
          <w:rFonts w:hint="eastAsia" w:ascii="宋体" w:hAnsi="宋体" w:cs="宋体"/>
          <w:color w:val="auto"/>
          <w:kern w:val="0"/>
          <w:sz w:val="24"/>
          <w:highlight w:val="none"/>
          <w:lang w:val="en-US"/>
        </w:rPr>
      </w:pPr>
      <w:r>
        <w:rPr>
          <w:rFonts w:hint="eastAsia" w:ascii="宋体" w:hAnsi="宋体" w:cs="宋体"/>
          <w:color w:val="auto"/>
          <w:kern w:val="0"/>
          <w:sz w:val="24"/>
          <w:highlight w:val="none"/>
          <w:lang w:val="en-US"/>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en-US"/>
        </w:rPr>
        <w:t xml:space="preserve"> 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6"/>
        <w:snapToGrid w:val="0"/>
        <w:spacing w:line="360" w:lineRule="auto"/>
        <w:rPr>
          <w:rFonts w:cs="宋体"/>
          <w:color w:val="auto"/>
          <w:highlight w:val="none"/>
        </w:rPr>
      </w:pPr>
      <w:r>
        <w:rPr>
          <w:rFonts w:hint="eastAsia" w:cs="宋体"/>
          <w:color w:val="auto"/>
          <w:highlight w:val="none"/>
        </w:rPr>
        <w:t>5.4因重大变故，采购任务取消的。</w:t>
      </w:r>
    </w:p>
    <w:p>
      <w:pPr>
        <w:pStyle w:val="26"/>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6"/>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15"/>
    <w:p>
      <w:pPr>
        <w:spacing w:line="360" w:lineRule="auto"/>
        <w:ind w:left="720" w:leftChars="343" w:firstLine="1084" w:firstLineChars="300"/>
        <w:outlineLvl w:val="0"/>
        <w:rPr>
          <w:rFonts w:hint="eastAsia" w:ascii="宋体" w:hAnsi="宋体" w:cs="宋体"/>
          <w:b/>
          <w:color w:val="auto"/>
          <w:sz w:val="36"/>
          <w:szCs w:val="36"/>
          <w:highlight w:val="none"/>
        </w:rPr>
      </w:pPr>
      <w:bookmarkStart w:id="394" w:name="第五部分"/>
      <w:bookmarkStart w:id="395" w:name="_Toc86217003"/>
    </w:p>
    <w:p>
      <w:pPr>
        <w:spacing w:line="240" w:lineRule="auto"/>
        <w:ind w:left="0" w:leftChars="0" w:firstLine="0" w:firstLineChars="0"/>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  ___________</w:t>
      </w:r>
    </w:p>
    <w:tbl>
      <w:tblPr>
        <w:tblStyle w:val="63"/>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c>
          <w:tcPr>
            <w:tcW w:w="360" w:type="dxa"/>
          </w:tcPr>
          <w:p>
            <w:pPr>
              <w:autoSpaceDE/>
              <w:autoSpaceDN/>
              <w:adjustRightInd/>
              <w:spacing w:line="360" w:lineRule="auto"/>
              <w:ind w:right="11" w:firstLine="560" w:firstLineChars="200"/>
              <w:textAlignment w:val="auto"/>
              <w:rPr>
                <w:color w:val="auto"/>
                <w:kern w:val="2"/>
                <w:sz w:val="28"/>
                <w:highlight w:val="none"/>
              </w:rPr>
            </w:pPr>
          </w:p>
        </w:tc>
      </w:tr>
    </w:tbl>
    <w:p>
      <w:pPr>
        <w:autoSpaceDE/>
        <w:autoSpaceDN/>
        <w:adjustRightInd/>
        <w:spacing w:before="100" w:beforeAutospacing="1" w:after="100" w:afterAutospacing="1" w:line="300" w:lineRule="auto"/>
        <w:textAlignment w:val="auto"/>
        <w:rPr>
          <w:rFonts w:hint="eastAsia" w:eastAsia="黑体"/>
          <w:color w:val="auto"/>
          <w:kern w:val="2"/>
          <w:sz w:val="44"/>
          <w:highlight w:val="none"/>
          <w:lang w:eastAsia="zh-CN"/>
        </w:rPr>
      </w:pPr>
    </w:p>
    <w:p>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pPr>
        <w:autoSpaceDE/>
        <w:autoSpaceDN/>
        <w:adjustRightInd/>
        <w:spacing w:line="240" w:lineRule="atLeast"/>
        <w:textAlignment w:val="auto"/>
        <w:rPr>
          <w:color w:val="auto"/>
          <w:spacing w:val="-4"/>
          <w:kern w:val="2"/>
          <w:sz w:val="30"/>
          <w:highlight w:val="none"/>
        </w:rPr>
      </w:pPr>
    </w:p>
    <w:p>
      <w:pPr>
        <w:pStyle w:val="2"/>
        <w:rPr>
          <w:color w:val="auto"/>
          <w:highlight w:val="none"/>
        </w:rPr>
      </w:pPr>
    </w:p>
    <w:p>
      <w:pPr>
        <w:autoSpaceDE/>
        <w:autoSpaceDN/>
        <w:adjustRightInd/>
        <w:spacing w:line="240" w:lineRule="atLeast"/>
        <w:textAlignment w:val="auto"/>
        <w:rPr>
          <w:color w:val="auto"/>
          <w:spacing w:val="-4"/>
          <w:kern w:val="2"/>
          <w:sz w:val="30"/>
          <w:highlight w:val="none"/>
        </w:rPr>
      </w:pPr>
    </w:p>
    <w:p>
      <w:pPr>
        <w:autoSpaceDE/>
        <w:autoSpaceDN/>
        <w:adjustRightInd/>
        <w:spacing w:line="240" w:lineRule="atLeast"/>
        <w:textAlignment w:val="auto"/>
        <w:rPr>
          <w:color w:val="auto"/>
          <w:spacing w:val="-4"/>
          <w:kern w:val="2"/>
          <w:sz w:val="30"/>
          <w:highlight w:val="none"/>
        </w:rPr>
      </w:pPr>
    </w:p>
    <w:p>
      <w:pPr>
        <w:autoSpaceDE/>
        <w:autoSpaceDN/>
        <w:adjustRightInd/>
        <w:spacing w:line="240" w:lineRule="atLeast"/>
        <w:textAlignment w:val="auto"/>
        <w:rPr>
          <w:color w:val="auto"/>
          <w:spacing w:val="-4"/>
          <w:kern w:val="2"/>
          <w:sz w:val="30"/>
          <w:highlight w:val="none"/>
        </w:rPr>
      </w:pPr>
    </w:p>
    <w:p>
      <w:pPr>
        <w:autoSpaceDE/>
        <w:autoSpaceDN/>
        <w:adjustRightInd/>
        <w:spacing w:line="240" w:lineRule="atLeast"/>
        <w:textAlignment w:val="auto"/>
        <w:rPr>
          <w:color w:val="auto"/>
          <w:spacing w:val="-4"/>
          <w:kern w:val="2"/>
          <w:sz w:val="30"/>
          <w:highlight w:val="none"/>
        </w:rPr>
      </w:pPr>
    </w:p>
    <w:p>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28"/>
          <w:szCs w:val="28"/>
          <w:highlight w:val="non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rPr>
        <w:t>钱塘江流域中心监控更新及维护项目</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pPr>
        <w:autoSpaceDE/>
        <w:autoSpaceDN/>
        <w:adjustRightInd/>
        <w:spacing w:line="240" w:lineRule="atLeast"/>
        <w:textAlignment w:val="auto"/>
        <w:rPr>
          <w:color w:val="auto"/>
          <w:spacing w:val="30"/>
          <w:kern w:val="2"/>
          <w:sz w:val="30"/>
          <w:highlight w:val="none"/>
        </w:rPr>
      </w:pPr>
    </w:p>
    <w:p>
      <w:pPr>
        <w:autoSpaceDE/>
        <w:autoSpaceDN/>
        <w:adjustRightInd/>
        <w:spacing w:line="240" w:lineRule="atLeast"/>
        <w:textAlignment w:val="auto"/>
        <w:rPr>
          <w:color w:val="auto"/>
          <w:spacing w:val="-4"/>
          <w:kern w:val="2"/>
          <w:sz w:val="30"/>
          <w:highlight w:val="none"/>
          <w:u w:val="single"/>
        </w:rPr>
      </w:pPr>
      <w:r>
        <w:rPr>
          <w:color w:val="auto"/>
          <w:spacing w:val="30"/>
          <w:kern w:val="2"/>
          <w:sz w:val="30"/>
          <w:highlight w:val="none"/>
        </w:rPr>
        <w:t>委托方</w:t>
      </w:r>
      <w:r>
        <w:rPr>
          <w:color w:val="auto"/>
          <w:kern w:val="2"/>
          <w:sz w:val="30"/>
          <w:highlight w:val="none"/>
        </w:rPr>
        <w:t>：</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rFonts w:hint="eastAsia"/>
          <w:color w:val="auto"/>
          <w:kern w:val="2"/>
          <w:sz w:val="28"/>
          <w:szCs w:val="28"/>
          <w:highlight w:val="none"/>
          <w:u w:val="single"/>
        </w:rPr>
        <w:t>浙江省</w:t>
      </w:r>
      <w:r>
        <w:rPr>
          <w:rFonts w:hint="eastAsia"/>
          <w:color w:val="auto"/>
          <w:kern w:val="2"/>
          <w:sz w:val="28"/>
          <w:szCs w:val="28"/>
          <w:highlight w:val="none"/>
          <w:u w:val="single"/>
          <w:lang w:val="en-US" w:eastAsia="zh-CN"/>
        </w:rPr>
        <w:t>钱塘江流域</w:t>
      </w:r>
      <w:r>
        <w:rPr>
          <w:rFonts w:hint="eastAsia"/>
          <w:color w:val="auto"/>
          <w:kern w:val="2"/>
          <w:sz w:val="28"/>
          <w:szCs w:val="28"/>
          <w:highlight w:val="none"/>
          <w:u w:val="single"/>
        </w:rPr>
        <w:t>中心</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pPr>
        <w:autoSpaceDE/>
        <w:autoSpaceDN/>
        <w:adjustRightInd/>
        <w:spacing w:line="240" w:lineRule="atLeast"/>
        <w:textAlignment w:val="auto"/>
        <w:rPr>
          <w:color w:val="auto"/>
          <w:kern w:val="2"/>
          <w:sz w:val="28"/>
          <w:highlight w:val="none"/>
        </w:rPr>
      </w:pPr>
      <w:r>
        <w:rPr>
          <w:color w:val="auto"/>
          <w:kern w:val="2"/>
          <w:sz w:val="28"/>
          <w:highlight w:val="none"/>
        </w:rPr>
        <w:t xml:space="preserve"> (甲方)</w:t>
      </w:r>
    </w:p>
    <w:p>
      <w:pPr>
        <w:autoSpaceDE/>
        <w:autoSpaceDN/>
        <w:adjustRightInd/>
        <w:spacing w:line="240" w:lineRule="atLeast"/>
        <w:ind w:firstLine="707" w:firstLineChars="208"/>
        <w:textAlignment w:val="auto"/>
        <w:rPr>
          <w:color w:val="auto"/>
          <w:spacing w:val="30"/>
          <w:kern w:val="2"/>
          <w:sz w:val="28"/>
          <w:highlight w:val="none"/>
        </w:rPr>
      </w:pPr>
    </w:p>
    <w:p>
      <w:pPr>
        <w:autoSpaceDE/>
        <w:autoSpaceDN/>
        <w:adjustRightInd/>
        <w:spacing w:line="240" w:lineRule="atLeast"/>
        <w:ind w:right="17"/>
        <w:textAlignment w:val="auto"/>
        <w:rPr>
          <w:color w:val="auto"/>
          <w:kern w:val="2"/>
          <w:sz w:val="28"/>
          <w:szCs w:val="24"/>
          <w:highlight w:val="none"/>
          <w:u w:val="single"/>
        </w:rPr>
      </w:pPr>
      <w:r>
        <w:rPr>
          <w:color w:val="auto"/>
          <w:spacing w:val="30"/>
          <w:kern w:val="2"/>
          <w:sz w:val="30"/>
          <w:highlight w:val="none"/>
        </w:rPr>
        <w:t>服务方</w:t>
      </w:r>
      <w:r>
        <w:rPr>
          <w:color w:val="auto"/>
          <w:spacing w:val="30"/>
          <w:kern w:val="2"/>
          <w:sz w:val="28"/>
          <w:highlight w:val="none"/>
        </w:rPr>
        <w:t>：</w:t>
      </w:r>
      <w:r>
        <w:rPr>
          <w:color w:val="auto"/>
          <w:spacing w:val="30"/>
          <w:kern w:val="2"/>
          <w:sz w:val="28"/>
          <w:highlight w:val="none"/>
          <w:u w:val="single"/>
        </w:rPr>
        <w:t xml:space="preserve">         </w:t>
      </w:r>
      <w:r>
        <w:rPr>
          <w:color w:val="auto"/>
          <w:kern w:val="2"/>
          <w:sz w:val="28"/>
          <w:szCs w:val="24"/>
          <w:highlight w:val="none"/>
          <w:u w:val="single"/>
        </w:rPr>
        <w:t xml:space="preserve">                                          </w:t>
      </w:r>
    </w:p>
    <w:p>
      <w:pPr>
        <w:autoSpaceDE/>
        <w:autoSpaceDN/>
        <w:adjustRightInd/>
        <w:spacing w:line="240" w:lineRule="atLeast"/>
        <w:ind w:right="17"/>
        <w:textAlignment w:val="auto"/>
        <w:rPr>
          <w:color w:val="auto"/>
          <w:kern w:val="2"/>
          <w:sz w:val="30"/>
          <w:highlight w:val="none"/>
        </w:rPr>
      </w:pPr>
      <w:r>
        <w:rPr>
          <w:color w:val="auto"/>
          <w:kern w:val="2"/>
          <w:sz w:val="30"/>
          <w:highlight w:val="none"/>
        </w:rPr>
        <w:t xml:space="preserve"> (乙方)</w:t>
      </w:r>
    </w:p>
    <w:p>
      <w:pPr>
        <w:autoSpaceDE/>
        <w:autoSpaceDN/>
        <w:adjustRightInd/>
        <w:snapToGrid w:val="0"/>
        <w:spacing w:line="240" w:lineRule="atLeast"/>
        <w:ind w:firstLine="1110" w:firstLineChars="370"/>
        <w:textAlignment w:val="auto"/>
        <w:rPr>
          <w:color w:val="auto"/>
          <w:kern w:val="2"/>
          <w:sz w:val="30"/>
          <w:highlight w:val="none"/>
        </w:rPr>
      </w:pPr>
    </w:p>
    <w:p>
      <w:pPr>
        <w:autoSpaceDE/>
        <w:autoSpaceDN/>
        <w:adjustRightInd/>
        <w:snapToGrid w:val="0"/>
        <w:spacing w:line="240" w:lineRule="atLeast"/>
        <w:textAlignment w:val="auto"/>
        <w:rPr>
          <w:color w:val="auto"/>
          <w:kern w:val="2"/>
          <w:sz w:val="30"/>
          <w:highlight w:val="none"/>
        </w:rPr>
      </w:pPr>
      <w:r>
        <w:rPr>
          <w:color w:val="auto"/>
          <w:kern w:val="2"/>
          <w:sz w:val="30"/>
          <w:highlight w:val="none"/>
        </w:rPr>
        <w:t>鉴证方：</w:t>
      </w:r>
      <w:r>
        <w:rPr>
          <w:color w:val="auto"/>
          <w:spacing w:val="30"/>
          <w:kern w:val="2"/>
          <w:sz w:val="28"/>
          <w:highlight w:val="none"/>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rFonts w:hint="eastAsia"/>
          <w:color w:val="auto"/>
          <w:spacing w:val="30"/>
          <w:kern w:val="2"/>
          <w:sz w:val="28"/>
          <w:highlight w:val="none"/>
          <w:u w:val="single"/>
          <w:lang w:val="en-US" w:eastAsia="zh-CN"/>
        </w:rPr>
        <w:t xml:space="preserve"> </w:t>
      </w:r>
      <w:r>
        <w:rPr>
          <w:rFonts w:hint="eastAsia"/>
          <w:color w:val="auto"/>
          <w:kern w:val="2"/>
          <w:sz w:val="28"/>
          <w:szCs w:val="24"/>
          <w:highlight w:val="none"/>
          <w:u w:val="single"/>
        </w:rPr>
        <w:t>浙江中际工程项目管理有限公司</w:t>
      </w:r>
      <w:r>
        <w:rPr>
          <w:color w:val="auto"/>
          <w:kern w:val="2"/>
          <w:sz w:val="28"/>
          <w:szCs w:val="24"/>
          <w:highlight w:val="none"/>
          <w:u w:val="single"/>
        </w:rPr>
        <w:t xml:space="preserve">   </w:t>
      </w:r>
      <w:r>
        <w:rPr>
          <w:rFonts w:hint="eastAsia"/>
          <w:color w:val="auto"/>
          <w:kern w:val="2"/>
          <w:sz w:val="28"/>
          <w:szCs w:val="24"/>
          <w:highlight w:val="none"/>
          <w:u w:val="single"/>
          <w:lang w:val="en-US" w:eastAsia="zh-CN"/>
        </w:rPr>
        <w:t xml:space="preserve"> </w:t>
      </w:r>
      <w:r>
        <w:rPr>
          <w:color w:val="auto"/>
          <w:kern w:val="2"/>
          <w:sz w:val="28"/>
          <w:szCs w:val="24"/>
          <w:highlight w:val="none"/>
          <w:u w:val="single"/>
        </w:rPr>
        <w:t xml:space="preserve">           </w:t>
      </w:r>
    </w:p>
    <w:p>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pPr>
        <w:autoSpaceDE/>
        <w:autoSpaceDN/>
        <w:adjustRightInd/>
        <w:snapToGrid w:val="0"/>
        <w:spacing w:line="360" w:lineRule="auto"/>
        <w:ind w:firstLine="900" w:firstLineChars="300"/>
        <w:textAlignment w:val="auto"/>
        <w:rPr>
          <w:color w:val="auto"/>
          <w:kern w:val="2"/>
          <w:sz w:val="30"/>
          <w:highlight w:val="none"/>
        </w:rPr>
      </w:pPr>
    </w:p>
    <w:p>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pPr>
        <w:tabs>
          <w:tab w:val="left" w:pos="386"/>
        </w:tabs>
        <w:autoSpaceDE/>
        <w:autoSpaceDN/>
        <w:snapToGrid w:val="0"/>
        <w:spacing w:line="360" w:lineRule="auto"/>
        <w:ind w:firstLine="420" w:firstLineChars="200"/>
        <w:rPr>
          <w:color w:val="auto"/>
          <w:highlight w:val="none"/>
        </w:rPr>
      </w:pPr>
      <w:r>
        <w:rPr>
          <w:rFonts w:hint="eastAsia"/>
          <w:color w:val="auto"/>
          <w:highlight w:val="none"/>
        </w:rPr>
        <w:t>一、“合同登记编号”的填写方法：</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合同登记编号为十四位，左起第一、二位为公历年代号，第三、四位为省、自治区、直辖市编码，第五、六位为地、市编码,第七、八位为合同登记点编号，第九至十四位为合同登记序号，以上编码不足位的补零。各地区编码按GB2260-84规定填写（合同登记序号各地区自行决定）。</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二、技术咨询合同是指当事人一方为另一方就特定技术项目提供可行性论证、技术预测、专题技术调查、分析评价报告所订立的合同。</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三、计划内项目应填写国务院部委、省、自治区、直辖市、计划单列市、地、市（县）级计划,不属于上述计划的项目此栏划（/）表示。</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四、技术情报和资料的保密：</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包括当事人各方情报和资料保密义务的内容、期限和泄漏技术秘密应承担的责任。</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双方可以约定，本合同变更、解除、终止，本条款均有效。</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五、其他：</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合同如果是通过中介机构介绍签订的，应将中介合同作为本合同的附件。</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六、委托代理人在签订定本合同书时，应出具委托证书。</w:t>
      </w:r>
    </w:p>
    <w:p>
      <w:pPr>
        <w:autoSpaceDE/>
        <w:autoSpaceDN/>
        <w:snapToGrid w:val="0"/>
        <w:spacing w:line="360" w:lineRule="auto"/>
        <w:ind w:right="-252" w:rightChars="-120" w:firstLine="420" w:firstLineChars="200"/>
        <w:rPr>
          <w:color w:val="auto"/>
          <w:highlight w:val="none"/>
        </w:rPr>
      </w:pPr>
      <w:r>
        <w:rPr>
          <w:rFonts w:hint="eastAsia"/>
          <w:color w:val="auto"/>
          <w:highlight w:val="none"/>
        </w:rPr>
        <w:t>七、本合同书中，凡是当事人约定无需填写的条款，在该条款填写的空白处划(/)表示</w:t>
      </w:r>
      <w:r>
        <w:rPr>
          <w:color w:val="auto"/>
          <w:highlight w:val="none"/>
        </w:rPr>
        <w:t>。</w:t>
      </w:r>
    </w:p>
    <w:p>
      <w:pPr>
        <w:widowControl/>
        <w:autoSpaceDE/>
        <w:autoSpaceDN/>
        <w:adjustRightInd/>
        <w:jc w:val="right"/>
        <w:textAlignment w:val="auto"/>
        <w:rPr>
          <w:color w:val="auto"/>
          <w:highlight w:val="none"/>
        </w:rPr>
      </w:pPr>
      <w:r>
        <w:rPr>
          <w:color w:val="auto"/>
          <w:highlight w:val="none"/>
        </w:rPr>
        <w:br w:type="page"/>
      </w:r>
    </w:p>
    <w:tbl>
      <w:tblPr>
        <w:tblStyle w:val="63"/>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3923" w:hRule="atLeast"/>
        </w:trPr>
        <w:tc>
          <w:tcPr>
            <w:tcW w:w="9242" w:type="dxa"/>
            <w:tcBorders>
              <w:bottom w:val="single" w:color="auto" w:sz="6" w:space="0"/>
            </w:tcBorders>
          </w:tcPr>
          <w:p>
            <w:pPr>
              <w:snapToGrid w:val="0"/>
              <w:spacing w:line="360" w:lineRule="auto"/>
              <w:ind w:firstLine="525" w:firstLineChars="25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eastAsia="zh-CN"/>
              </w:rPr>
              <w:t>钱塘江流域中心监控更新及维护项目</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pPr>
              <w:numPr>
                <w:ilvl w:val="0"/>
                <w:numId w:val="8"/>
              </w:numPr>
              <w:autoSpaceDE/>
              <w:autoSpaceDN/>
              <w:spacing w:line="336" w:lineRule="auto"/>
              <w:ind w:firstLine="420" w:firstLineChars="200"/>
              <w:textAlignment w:val="auto"/>
              <w:rPr>
                <w:rFonts w:eastAsia="黑体"/>
                <w:color w:val="auto"/>
                <w:highlight w:val="none"/>
              </w:rPr>
            </w:pPr>
            <w:r>
              <w:rPr>
                <w:rFonts w:eastAsia="黑体"/>
                <w:color w:val="auto"/>
                <w:highlight w:val="none"/>
              </w:rPr>
              <w:t>项目主要内容：</w:t>
            </w:r>
          </w:p>
          <w:p>
            <w:pPr>
              <w:snapToGrid w:val="0"/>
              <w:spacing w:line="360" w:lineRule="auto"/>
              <w:ind w:firstLine="525" w:firstLineChars="250"/>
              <w:rPr>
                <w:rFonts w:hint="default" w:eastAsia="宋体"/>
                <w:color w:val="auto"/>
                <w:highlight w:val="none"/>
                <w:lang w:val="en-US" w:eastAsia="zh-CN"/>
              </w:rPr>
            </w:pPr>
            <w:r>
              <w:rPr>
                <w:rFonts w:hint="default" w:eastAsia="宋体"/>
                <w:color w:val="auto"/>
                <w:highlight w:val="none"/>
                <w:lang w:eastAsia="zh-CN"/>
              </w:rPr>
              <w:t>（</w:t>
            </w:r>
            <w:r>
              <w:rPr>
                <w:rFonts w:hint="default" w:eastAsia="宋体"/>
                <w:color w:val="auto"/>
                <w:highlight w:val="none"/>
                <w:lang w:val="en-US" w:eastAsia="zh-CN"/>
              </w:rPr>
              <w:t>一</w:t>
            </w:r>
            <w:r>
              <w:rPr>
                <w:rFonts w:hint="default" w:eastAsia="宋体"/>
                <w:color w:val="auto"/>
                <w:highlight w:val="none"/>
                <w:lang w:eastAsia="zh-CN"/>
              </w:rPr>
              <w:t>）</w:t>
            </w:r>
            <w:r>
              <w:rPr>
                <w:rFonts w:hint="default" w:eastAsia="宋体"/>
                <w:color w:val="auto"/>
                <w:highlight w:val="none"/>
                <w:lang w:val="en-US" w:eastAsia="zh-CN"/>
              </w:rPr>
              <w:t>服务内容</w:t>
            </w:r>
          </w:p>
          <w:p>
            <w:pPr>
              <w:snapToGrid w:val="0"/>
              <w:spacing w:line="360" w:lineRule="auto"/>
              <w:ind w:firstLine="525" w:firstLineChars="250"/>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lang w:val="en-US" w:eastAsia="zh-CN"/>
              </w:rPr>
              <w:t>乙方</w:t>
            </w:r>
            <w:r>
              <w:rPr>
                <w:rFonts w:hint="default" w:ascii="Times New Roman" w:hAnsi="Times New Roman" w:cs="Times New Roman"/>
                <w:color w:val="auto"/>
                <w:kern w:val="2"/>
                <w:sz w:val="21"/>
                <w:highlight w:val="none"/>
              </w:rPr>
              <w:t>提供浙江省钱塘江流域中心在钱塘江</w:t>
            </w:r>
            <w:r>
              <w:rPr>
                <w:rFonts w:hint="default" w:ascii="Times New Roman" w:hAnsi="Times New Roman" w:cs="Times New Roman"/>
                <w:color w:val="auto"/>
                <w:kern w:val="2"/>
                <w:sz w:val="21"/>
                <w:highlight w:val="none"/>
                <w:lang w:val="en-US" w:eastAsia="zh-CN"/>
              </w:rPr>
              <w:t>流域210个</w:t>
            </w:r>
            <w:r>
              <w:rPr>
                <w:rFonts w:hint="default" w:ascii="Times New Roman" w:hAnsi="Times New Roman" w:cs="Times New Roman"/>
                <w:color w:val="auto"/>
                <w:kern w:val="2"/>
                <w:sz w:val="21"/>
                <w:highlight w:val="none"/>
              </w:rPr>
              <w:t>视频监控站点</w:t>
            </w:r>
            <w:r>
              <w:rPr>
                <w:rFonts w:hint="default" w:ascii="Times New Roman" w:hAnsi="Times New Roman" w:cs="Times New Roman"/>
                <w:color w:val="auto"/>
                <w:kern w:val="2"/>
                <w:sz w:val="21"/>
                <w:highlight w:val="none"/>
                <w:lang w:val="en-US" w:eastAsia="zh-CN"/>
              </w:rPr>
              <w:t>运维及迁移</w:t>
            </w:r>
            <w:r>
              <w:rPr>
                <w:rFonts w:hint="default" w:ascii="Times New Roman" w:hAnsi="Times New Roman" w:cs="Times New Roman"/>
                <w:color w:val="auto"/>
                <w:kern w:val="2"/>
                <w:sz w:val="21"/>
                <w:highlight w:val="none"/>
              </w:rPr>
              <w:t>服务，</w:t>
            </w:r>
            <w:r>
              <w:rPr>
                <w:rFonts w:hint="eastAsia" w:cs="Times New Roman"/>
                <w:color w:val="auto"/>
                <w:kern w:val="2"/>
                <w:sz w:val="21"/>
                <w:highlight w:val="none"/>
                <w:lang w:val="en-US" w:eastAsia="zh-CN"/>
              </w:rPr>
              <w:t>1</w:t>
            </w:r>
            <w:r>
              <w:rPr>
                <w:rFonts w:hint="default" w:ascii="Times New Roman" w:hAnsi="Times New Roman" w:cs="Times New Roman"/>
                <w:color w:val="auto"/>
                <w:kern w:val="2"/>
                <w:sz w:val="21"/>
                <w:highlight w:val="none"/>
                <w:lang w:val="en-US" w:eastAsia="zh-CN"/>
              </w:rPr>
              <w:t>条专线新建、33条</w:t>
            </w:r>
            <w:r>
              <w:rPr>
                <w:rFonts w:hint="default" w:ascii="Times New Roman" w:hAnsi="Times New Roman" w:cs="Times New Roman"/>
                <w:color w:val="auto"/>
                <w:kern w:val="2"/>
                <w:sz w:val="21"/>
                <w:highlight w:val="none"/>
              </w:rPr>
              <w:t>视频监控专网</w:t>
            </w:r>
            <w:r>
              <w:rPr>
                <w:rFonts w:hint="default" w:ascii="Times New Roman" w:hAnsi="Times New Roman" w:cs="Times New Roman"/>
                <w:color w:val="auto"/>
                <w:kern w:val="2"/>
                <w:sz w:val="21"/>
                <w:highlight w:val="none"/>
                <w:lang w:val="en-US" w:eastAsia="zh-CN"/>
              </w:rPr>
              <w:t>续租服务、4张卫星卡续租服务</w:t>
            </w:r>
            <w:r>
              <w:rPr>
                <w:rFonts w:hint="default" w:ascii="Times New Roman" w:hAnsi="Times New Roman" w:cs="Times New Roman"/>
                <w:color w:val="auto"/>
                <w:kern w:val="2"/>
                <w:sz w:val="21"/>
                <w:highlight w:val="none"/>
                <w:lang w:eastAsia="zh-CN"/>
              </w:rPr>
              <w:t>，</w:t>
            </w:r>
            <w:r>
              <w:rPr>
                <w:rFonts w:hint="default" w:ascii="Times New Roman" w:hAnsi="Times New Roman" w:cs="Times New Roman"/>
                <w:color w:val="auto"/>
                <w:kern w:val="2"/>
                <w:sz w:val="21"/>
                <w:highlight w:val="none"/>
                <w:lang w:val="en-US" w:eastAsia="zh-CN"/>
              </w:rPr>
              <w:t>以及3套设备用于应急服务</w:t>
            </w:r>
            <w:r>
              <w:rPr>
                <w:rFonts w:hint="default" w:ascii="Times New Roman" w:hAnsi="Times New Roman" w:cs="Times New Roman"/>
                <w:color w:val="auto"/>
                <w:kern w:val="2"/>
                <w:sz w:val="21"/>
                <w:highlight w:val="none"/>
              </w:rPr>
              <w:t>。</w:t>
            </w:r>
          </w:p>
          <w:p>
            <w:pPr>
              <w:pStyle w:val="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更新维护服务汇总表</w:t>
            </w:r>
          </w:p>
          <w:tbl>
            <w:tblPr>
              <w:tblStyle w:val="63"/>
              <w:tblpPr w:leftFromText="180" w:rightFromText="180" w:vertAnchor="text" w:horzAnchor="page" w:tblpX="453" w:tblpY="145"/>
              <w:tblOverlap w:val="never"/>
              <w:tblW w:w="861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600"/>
              <w:gridCol w:w="1053"/>
              <w:gridCol w:w="52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73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项目</w:t>
                  </w:r>
                </w:p>
              </w:tc>
              <w:tc>
                <w:tcPr>
                  <w:tcW w:w="10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工程量</w:t>
                  </w:r>
                </w:p>
              </w:tc>
              <w:tc>
                <w:tcPr>
                  <w:tcW w:w="523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主要内容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2" w:hRule="atLeast"/>
              </w:trPr>
              <w:tc>
                <w:tcPr>
                  <w:tcW w:w="73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视频监控运维点位</w:t>
                  </w:r>
                  <w:r>
                    <w:rPr>
                      <w:rFonts w:hint="eastAsia" w:ascii="宋体" w:hAnsi="宋体" w:cs="宋体"/>
                      <w:i w:val="0"/>
                      <w:iCs w:val="0"/>
                      <w:color w:val="auto"/>
                      <w:sz w:val="21"/>
                      <w:szCs w:val="21"/>
                      <w:highlight w:val="none"/>
                      <w:u w:val="none"/>
                      <w:lang w:val="en-US" w:eastAsia="zh-CN"/>
                    </w:rPr>
                    <w:t>及迁移</w:t>
                  </w:r>
                </w:p>
              </w:tc>
              <w:tc>
                <w:tcPr>
                  <w:tcW w:w="10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val="en-US" w:eastAsia="zh-CN"/>
                    </w:rPr>
                    <w:t>0点</w:t>
                  </w:r>
                </w:p>
              </w:tc>
              <w:tc>
                <w:tcPr>
                  <w:tcW w:w="5232" w:type="dxa"/>
                  <w:tcBorders>
                    <w:tl2br w:val="nil"/>
                    <w:tr2bl w:val="nil"/>
                  </w:tcBorders>
                  <w:noWrap w:val="0"/>
                  <w:vAlign w:val="center"/>
                </w:tcPr>
                <w:p>
                  <w:pPr>
                    <w:keepNext w:val="0"/>
                    <w:keepLines w:val="0"/>
                    <w:widowControl/>
                    <w:numPr>
                      <w:ilvl w:val="0"/>
                      <w:numId w:val="0"/>
                    </w:numPr>
                    <w:suppressLineNumbers w:val="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1.对210个已建</w:t>
                  </w:r>
                  <w:r>
                    <w:rPr>
                      <w:rFonts w:hint="eastAsia" w:ascii="宋体" w:hAnsi="宋体" w:eastAsia="宋体" w:cs="宋体"/>
                      <w:i w:val="0"/>
                      <w:iCs w:val="0"/>
                      <w:color w:val="auto"/>
                      <w:sz w:val="21"/>
                      <w:szCs w:val="21"/>
                      <w:highlight w:val="none"/>
                      <w:u w:val="none"/>
                      <w:lang w:val="en-US" w:eastAsia="zh-CN"/>
                    </w:rPr>
                    <w:t>视频监控点位</w:t>
                  </w:r>
                  <w:r>
                    <w:rPr>
                      <w:rFonts w:hint="eastAsia" w:ascii="宋体" w:hAnsi="宋体" w:cs="宋体"/>
                      <w:i w:val="0"/>
                      <w:iCs w:val="0"/>
                      <w:color w:val="auto"/>
                      <w:sz w:val="21"/>
                      <w:szCs w:val="21"/>
                      <w:highlight w:val="none"/>
                      <w:u w:val="none"/>
                      <w:lang w:val="en-US" w:eastAsia="zh-CN"/>
                    </w:rPr>
                    <w:t>提供</w:t>
                  </w:r>
                  <w:r>
                    <w:rPr>
                      <w:rFonts w:hint="eastAsia" w:ascii="宋体" w:hAnsi="宋体" w:eastAsia="宋体" w:cs="宋体"/>
                      <w:i w:val="0"/>
                      <w:iCs w:val="0"/>
                      <w:color w:val="auto"/>
                      <w:sz w:val="21"/>
                      <w:szCs w:val="21"/>
                      <w:highlight w:val="none"/>
                      <w:u w:val="none"/>
                      <w:lang w:val="en-US" w:eastAsia="zh-CN"/>
                    </w:rPr>
                    <w:t>运维，包括网络及设备</w:t>
                  </w:r>
                  <w:r>
                    <w:rPr>
                      <w:rFonts w:hint="eastAsia" w:ascii="宋体" w:hAnsi="宋体" w:cs="宋体"/>
                      <w:i w:val="0"/>
                      <w:iCs w:val="0"/>
                      <w:color w:val="auto"/>
                      <w:sz w:val="21"/>
                      <w:szCs w:val="21"/>
                      <w:highlight w:val="none"/>
                      <w:u w:val="none"/>
                      <w:lang w:val="en-US" w:eastAsia="zh-CN"/>
                    </w:rPr>
                    <w:t>。</w:t>
                  </w:r>
                </w:p>
                <w:p>
                  <w:pPr>
                    <w:keepNext w:val="0"/>
                    <w:keepLines w:val="0"/>
                    <w:widowControl/>
                    <w:numPr>
                      <w:ilvl w:val="0"/>
                      <w:numId w:val="0"/>
                    </w:numPr>
                    <w:suppressLineNumbers w:val="0"/>
                    <w:jc w:val="left"/>
                    <w:textAlignment w:val="center"/>
                    <w:rPr>
                      <w:rFonts w:hint="eastAsia" w:ascii="宋体" w:hAnsi="宋体" w:cs="宋体"/>
                      <w:color w:val="auto"/>
                      <w:szCs w:val="21"/>
                      <w:highlight w:val="none"/>
                    </w:rPr>
                  </w:pPr>
                  <w:r>
                    <w:rPr>
                      <w:rFonts w:hint="eastAsia" w:ascii="宋体" w:hAnsi="宋体" w:cs="宋体"/>
                      <w:i w:val="0"/>
                      <w:iCs w:val="0"/>
                      <w:color w:val="auto"/>
                      <w:sz w:val="21"/>
                      <w:szCs w:val="21"/>
                      <w:highlight w:val="none"/>
                      <w:u w:val="none"/>
                      <w:lang w:val="en-US" w:eastAsia="zh-CN"/>
                    </w:rPr>
                    <w:t>2.34个点位（编号59-91,208）根据用户要求时间和地点提供迁移服务，包括原设备拆除与重新选址安装调试。</w:t>
                  </w:r>
                </w:p>
                <w:p>
                  <w:pPr>
                    <w:pStyle w:val="2"/>
                    <w:numPr>
                      <w:ilvl w:val="-1"/>
                      <w:numId w:val="0"/>
                    </w:numPr>
                    <w:rPr>
                      <w:rFonts w:hint="eastAsia" w:cs="宋体"/>
                      <w:color w:val="auto"/>
                      <w:sz w:val="21"/>
                      <w:szCs w:val="21"/>
                      <w:highlight w:val="none"/>
                      <w:lang w:val="en-US" w:eastAsia="zh-CN"/>
                    </w:rPr>
                  </w:pPr>
                  <w:r>
                    <w:rPr>
                      <w:rFonts w:hint="eastAsia" w:cs="宋体"/>
                      <w:color w:val="auto"/>
                      <w:sz w:val="21"/>
                      <w:szCs w:val="21"/>
                      <w:highlight w:val="none"/>
                      <w:lang w:val="en-US" w:eastAsia="zh-CN"/>
                    </w:rPr>
                    <w:t>视频监控详细清单见附表1-视频监控详细清单（210点位）。</w:t>
                  </w:r>
                </w:p>
                <w:p>
                  <w:pPr>
                    <w:pStyle w:val="2"/>
                    <w:numPr>
                      <w:ilvl w:val="-1"/>
                      <w:numId w:val="0"/>
                    </w:numPr>
                    <w:rPr>
                      <w:rFonts w:hint="eastAsia" w:cs="宋体"/>
                      <w:color w:val="auto"/>
                      <w:sz w:val="21"/>
                      <w:szCs w:val="21"/>
                      <w:highlight w:val="none"/>
                      <w:lang w:val="en-US" w:eastAsia="zh-CN"/>
                    </w:rPr>
                  </w:pPr>
                  <w:r>
                    <w:rPr>
                      <w:rFonts w:hint="eastAsia" w:cs="宋体"/>
                      <w:color w:val="auto"/>
                      <w:sz w:val="21"/>
                      <w:szCs w:val="21"/>
                      <w:highlight w:val="none"/>
                      <w:lang w:val="en-US" w:eastAsia="zh-CN"/>
                    </w:rPr>
                    <w:t>关键设备技术参数见附表3-关键设备技术参数。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51" w:hRule="atLeast"/>
              </w:trPr>
              <w:tc>
                <w:tcPr>
                  <w:tcW w:w="732"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6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网络线路</w:t>
                  </w:r>
                </w:p>
              </w:tc>
              <w:tc>
                <w:tcPr>
                  <w:tcW w:w="1053"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34条</w:t>
                  </w:r>
                </w:p>
              </w:tc>
              <w:tc>
                <w:tcPr>
                  <w:tcW w:w="5232" w:type="dxa"/>
                  <w:tcBorders>
                    <w:tl2br w:val="nil"/>
                    <w:tr2bl w:val="nil"/>
                  </w:tcBorders>
                  <w:noWrap/>
                  <w:vAlign w:val="center"/>
                </w:tcPr>
                <w:p>
                  <w:pPr>
                    <w:pStyle w:val="2"/>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1.续租原供应商500M VPN专线1条，连接视频云平台</w:t>
                  </w:r>
                  <w:r>
                    <w:rPr>
                      <w:rFonts w:hint="eastAsia" w:cs="宋体"/>
                      <w:i w:val="0"/>
                      <w:iCs w:val="0"/>
                      <w:color w:val="auto"/>
                      <w:kern w:val="0"/>
                      <w:sz w:val="21"/>
                      <w:szCs w:val="21"/>
                      <w:highlight w:val="none"/>
                      <w:u w:val="none"/>
                      <w:lang w:val="en-US" w:eastAsia="zh-CN" w:bidi="ar"/>
                    </w:rPr>
                    <w:t>。</w:t>
                  </w:r>
                </w:p>
                <w:p>
                  <w:pPr>
                    <w:pStyle w:val="2"/>
                    <w:jc w:val="left"/>
                    <w:rPr>
                      <w:rFonts w:hint="eastAsia" w:ascii="宋体" w:hAnsi="宋体" w:eastAsia="宋体" w:cs="宋体"/>
                      <w:i w:val="0"/>
                      <w:iCs w:val="0"/>
                      <w:color w:val="auto"/>
                      <w:kern w:val="0"/>
                      <w:sz w:val="21"/>
                      <w:szCs w:val="21"/>
                      <w:highlight w:val="none"/>
                      <w:u w:val="none"/>
                      <w:lang w:val="en-US" w:eastAsia="zh-CN" w:bidi="ar"/>
                    </w:rPr>
                  </w:pPr>
                  <w:r>
                    <w:rPr>
                      <w:rFonts w:hint="eastAsia" w:cs="宋体"/>
                      <w:color w:val="auto"/>
                      <w:sz w:val="21"/>
                      <w:szCs w:val="21"/>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续租原供应商</w:t>
                  </w:r>
                  <w:r>
                    <w:rPr>
                      <w:rFonts w:hint="eastAsia" w:cs="宋体"/>
                      <w:i w:val="0"/>
                      <w:iCs w:val="0"/>
                      <w:color w:val="auto"/>
                      <w:kern w:val="0"/>
                      <w:sz w:val="21"/>
                      <w:szCs w:val="21"/>
                      <w:highlight w:val="none"/>
                      <w:u w:val="none"/>
                      <w:lang w:val="en-US" w:eastAsia="zh-CN" w:bidi="ar"/>
                    </w:rPr>
                    <w:t>100M VPN</w:t>
                  </w:r>
                  <w:r>
                    <w:rPr>
                      <w:rFonts w:hint="eastAsia" w:ascii="宋体" w:hAnsi="宋体" w:eastAsia="宋体" w:cs="宋体"/>
                      <w:i w:val="0"/>
                      <w:iCs w:val="0"/>
                      <w:color w:val="auto"/>
                      <w:kern w:val="0"/>
                      <w:sz w:val="21"/>
                      <w:szCs w:val="21"/>
                      <w:highlight w:val="none"/>
                      <w:u w:val="none"/>
                      <w:lang w:val="en-US" w:eastAsia="zh-CN" w:bidi="ar"/>
                    </w:rPr>
                    <w:t>专线1条，连接水利部视频监控系统</w:t>
                  </w:r>
                  <w:r>
                    <w:rPr>
                      <w:rFonts w:hint="eastAsia" w:eastAsia="宋体" w:cs="宋体"/>
                      <w:i w:val="0"/>
                      <w:iCs w:val="0"/>
                      <w:color w:val="auto"/>
                      <w:kern w:val="0"/>
                      <w:sz w:val="21"/>
                      <w:szCs w:val="21"/>
                      <w:highlight w:val="none"/>
                      <w:u w:val="none"/>
                      <w:lang w:val="en-US" w:eastAsia="zh-CN" w:bidi="ar"/>
                    </w:rPr>
                    <w:t>；</w:t>
                  </w:r>
                  <w:r>
                    <w:rPr>
                      <w:rFonts w:hint="eastAsia" w:cs="宋体"/>
                      <w:i w:val="0"/>
                      <w:iCs w:val="0"/>
                      <w:color w:val="auto"/>
                      <w:kern w:val="0"/>
                      <w:sz w:val="21"/>
                      <w:szCs w:val="21"/>
                      <w:highlight w:val="none"/>
                      <w:u w:val="none"/>
                      <w:lang w:val="en-US" w:eastAsia="zh-CN" w:bidi="ar"/>
                    </w:rPr>
                    <w:t>100</w:t>
                  </w:r>
                  <w:r>
                    <w:rPr>
                      <w:rFonts w:hint="eastAsia" w:ascii="宋体" w:hAnsi="宋体" w:eastAsia="宋体" w:cs="宋体"/>
                      <w:i w:val="0"/>
                      <w:iCs w:val="0"/>
                      <w:color w:val="auto"/>
                      <w:kern w:val="0"/>
                      <w:sz w:val="21"/>
                      <w:szCs w:val="21"/>
                      <w:highlight w:val="none"/>
                      <w:u w:val="none"/>
                      <w:lang w:val="en-US" w:eastAsia="zh-CN" w:bidi="ar"/>
                    </w:rPr>
                    <w:t>M VPN专线1条，连接中心</w:t>
                  </w:r>
                  <w:r>
                    <w:rPr>
                      <w:rFonts w:hint="eastAsia" w:cs="宋体"/>
                      <w:i w:val="0"/>
                      <w:iCs w:val="0"/>
                      <w:color w:val="auto"/>
                      <w:kern w:val="0"/>
                      <w:sz w:val="21"/>
                      <w:szCs w:val="21"/>
                      <w:highlight w:val="none"/>
                      <w:u w:val="none"/>
                      <w:lang w:val="en-US" w:eastAsia="zh-CN" w:bidi="ar"/>
                    </w:rPr>
                    <w:t>西排办公点</w:t>
                  </w:r>
                  <w:r>
                    <w:rPr>
                      <w:rFonts w:hint="eastAsia" w:ascii="宋体" w:hAnsi="宋体" w:eastAsia="宋体" w:cs="宋体"/>
                      <w:i w:val="0"/>
                      <w:iCs w:val="0"/>
                      <w:color w:val="auto"/>
                      <w:kern w:val="0"/>
                      <w:sz w:val="21"/>
                      <w:szCs w:val="21"/>
                      <w:highlight w:val="none"/>
                      <w:u w:val="none"/>
                      <w:lang w:val="en-US" w:eastAsia="zh-CN" w:bidi="ar"/>
                    </w:rPr>
                    <w:t>；续租原供应商100M 长途专线</w:t>
                  </w:r>
                  <w:r>
                    <w:rPr>
                      <w:rFonts w:hint="eastAsia"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条</w:t>
                  </w:r>
                  <w:r>
                    <w:rPr>
                      <w:rFonts w:hint="eastAsia" w:cs="宋体"/>
                      <w:i w:val="0"/>
                      <w:iCs w:val="0"/>
                      <w:color w:val="auto"/>
                      <w:kern w:val="0"/>
                      <w:sz w:val="21"/>
                      <w:szCs w:val="21"/>
                      <w:highlight w:val="none"/>
                      <w:u w:val="none"/>
                      <w:lang w:val="en-US" w:eastAsia="zh-CN" w:bidi="ar"/>
                    </w:rPr>
                    <w:t>。</w:t>
                  </w:r>
                </w:p>
                <w:p>
                  <w:pPr>
                    <w:pStyle w:val="2"/>
                    <w:jc w:val="left"/>
                    <w:rPr>
                      <w:rFonts w:hint="eastAsia"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3.新建200M VPN 专线1条，连接杭州汇聚中心和中心，用于网络割接，租用时间约8个月。</w:t>
                  </w:r>
                </w:p>
                <w:p>
                  <w:pPr>
                    <w:pStyle w:val="2"/>
                    <w:jc w:val="left"/>
                    <w:rPr>
                      <w:rFonts w:hint="eastAsia" w:eastAsia="宋体" w:cs="宋体"/>
                      <w:i w:val="0"/>
                      <w:iCs w:val="0"/>
                      <w:color w:val="auto"/>
                      <w:kern w:val="0"/>
                      <w:sz w:val="21"/>
                      <w:szCs w:val="21"/>
                      <w:highlight w:val="none"/>
                      <w:u w:val="none"/>
                      <w:lang w:val="en-US" w:eastAsia="zh-CN" w:bidi="ar"/>
                    </w:rPr>
                  </w:pPr>
                  <w:r>
                    <w:rPr>
                      <w:rFonts w:hint="eastAsia" w:eastAsia="宋体" w:cs="宋体"/>
                      <w:i w:val="0"/>
                      <w:iCs w:val="0"/>
                      <w:color w:val="auto"/>
                      <w:kern w:val="0"/>
                      <w:sz w:val="21"/>
                      <w:szCs w:val="21"/>
                      <w:highlight w:val="none"/>
                      <w:u w:val="none"/>
                      <w:lang w:val="en-US" w:eastAsia="zh-CN" w:bidi="ar"/>
                    </w:rPr>
                    <w:t>5.</w:t>
                  </w:r>
                  <w:r>
                    <w:rPr>
                      <w:rFonts w:hint="eastAsia" w:cs="宋体"/>
                      <w:i w:val="0"/>
                      <w:iCs w:val="0"/>
                      <w:color w:val="auto"/>
                      <w:kern w:val="0"/>
                      <w:sz w:val="21"/>
                      <w:szCs w:val="21"/>
                      <w:highlight w:val="none"/>
                      <w:u w:val="none"/>
                      <w:lang w:val="en-US" w:eastAsia="zh-CN" w:bidi="ar"/>
                    </w:rPr>
                    <w:t>续租20M VPN专线25条，连接涌潮观测设备。</w:t>
                  </w:r>
                </w:p>
                <w:p>
                  <w:pPr>
                    <w:pStyle w:val="2"/>
                    <w:jc w:val="left"/>
                    <w:rPr>
                      <w:rFonts w:hint="eastAsia"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6.</w:t>
                  </w:r>
                  <w:r>
                    <w:rPr>
                      <w:rFonts w:hint="eastAsia" w:eastAsia="宋体" w:cs="宋体"/>
                      <w:i w:val="0"/>
                      <w:iCs w:val="0"/>
                      <w:color w:val="auto"/>
                      <w:kern w:val="0"/>
                      <w:sz w:val="21"/>
                      <w:szCs w:val="21"/>
                      <w:highlight w:val="none"/>
                      <w:u w:val="none"/>
                      <w:lang w:val="en-US" w:eastAsia="zh-CN" w:bidi="ar"/>
                    </w:rPr>
                    <w:t>续租4张卫星通信卡。</w:t>
                  </w:r>
                </w:p>
                <w:p>
                  <w:pPr>
                    <w:pStyle w:val="2"/>
                    <w:jc w:val="left"/>
                    <w:rPr>
                      <w:rFonts w:hint="eastAsia" w:eastAsia="宋体" w:cs="宋体"/>
                      <w:i w:val="0"/>
                      <w:iCs w:val="0"/>
                      <w:color w:val="auto"/>
                      <w:kern w:val="0"/>
                      <w:sz w:val="21"/>
                      <w:szCs w:val="21"/>
                      <w:highlight w:val="none"/>
                      <w:u w:val="none"/>
                      <w:lang w:val="en-US" w:eastAsia="zh-CN" w:bidi="ar"/>
                    </w:rPr>
                  </w:pPr>
                  <w:r>
                    <w:rPr>
                      <w:rFonts w:hint="eastAsia" w:cs="宋体"/>
                      <w:color w:val="auto"/>
                      <w:sz w:val="21"/>
                      <w:szCs w:val="21"/>
                      <w:highlight w:val="none"/>
                      <w:lang w:val="en-US" w:eastAsia="zh-CN"/>
                    </w:rPr>
                    <w:t>专网线路清单见附表2-专网线路清单（34条）。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73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60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应急服务</w:t>
                  </w:r>
                </w:p>
              </w:tc>
              <w:tc>
                <w:tcPr>
                  <w:tcW w:w="10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3套</w:t>
                  </w:r>
                </w:p>
              </w:tc>
              <w:tc>
                <w:tcPr>
                  <w:tcW w:w="5232" w:type="dxa"/>
                  <w:tcBorders>
                    <w:tl2br w:val="nil"/>
                    <w:tr2bl w:val="nil"/>
                  </w:tcBorders>
                  <w:shd w:val="clear" w:color="auto" w:fill="auto"/>
                  <w:noWrap/>
                  <w:vAlign w:val="center"/>
                </w:tcPr>
                <w:p>
                  <w:pPr>
                    <w:pStyle w:val="2"/>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配备</w:t>
                  </w:r>
                  <w:r>
                    <w:rPr>
                      <w:rFonts w:hint="eastAsia" w:cs="宋体"/>
                      <w:color w:val="auto"/>
                      <w:sz w:val="21"/>
                      <w:szCs w:val="21"/>
                      <w:highlight w:val="none"/>
                      <w:lang w:val="en-US" w:eastAsia="zh-CN"/>
                    </w:rPr>
                    <w:t>黑光级</w:t>
                  </w:r>
                  <w:r>
                    <w:rPr>
                      <w:rFonts w:hint="eastAsia" w:ascii="宋体" w:hAnsi="宋体" w:eastAsia="宋体" w:cs="宋体"/>
                      <w:color w:val="auto"/>
                      <w:sz w:val="21"/>
                      <w:szCs w:val="21"/>
                      <w:highlight w:val="none"/>
                    </w:rPr>
                    <w:t>数字高清摄像机和数字高清解码器及电源线、网线、PVC管等辅材</w:t>
                  </w:r>
                  <w:r>
                    <w:rPr>
                      <w:rFonts w:hint="eastAsia" w:ascii="宋体" w:hAnsi="宋体" w:eastAsia="宋体" w:cs="宋体"/>
                      <w:color w:val="auto"/>
                      <w:sz w:val="21"/>
                      <w:szCs w:val="21"/>
                      <w:highlight w:val="none"/>
                      <w:lang w:val="en-US" w:eastAsia="zh-CN"/>
                    </w:rPr>
                    <w:t>3套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用于应急期间</w:t>
                  </w:r>
                  <w:r>
                    <w:rPr>
                      <w:rFonts w:hint="eastAsia" w:cs="宋体"/>
                      <w:color w:val="auto"/>
                      <w:sz w:val="21"/>
                      <w:szCs w:val="21"/>
                      <w:highlight w:val="none"/>
                      <w:lang w:val="en-US" w:eastAsia="zh-CN"/>
                    </w:rPr>
                    <w:t>临时</w:t>
                  </w:r>
                  <w:r>
                    <w:rPr>
                      <w:rFonts w:hint="eastAsia" w:ascii="宋体" w:hAnsi="宋体" w:eastAsia="宋体" w:cs="宋体"/>
                      <w:color w:val="auto"/>
                      <w:sz w:val="21"/>
                      <w:szCs w:val="21"/>
                      <w:highlight w:val="none"/>
                      <w:lang w:val="en-US" w:eastAsia="zh-CN"/>
                    </w:rPr>
                    <w:t>增设监控。</w:t>
                  </w:r>
                </w:p>
              </w:tc>
            </w:tr>
          </w:tbl>
          <w:p>
            <w:pPr>
              <w:numPr>
                <w:ilvl w:val="0"/>
                <w:numId w:val="9"/>
              </w:numPr>
              <w:autoSpaceDE/>
              <w:autoSpaceDN/>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技术要求</w:t>
            </w:r>
          </w:p>
          <w:p>
            <w:pPr>
              <w:numPr>
                <w:ilvl w:val="0"/>
                <w:numId w:val="10"/>
              </w:numPr>
              <w:spacing w:line="360" w:lineRule="auto"/>
              <w:ind w:left="0" w:firstLine="422" w:firstLineChars="200"/>
              <w:contextualSpacing/>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视频监控运维要求：</w:t>
            </w: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运维内容包含</w:t>
            </w:r>
            <w:r>
              <w:rPr>
                <w:rFonts w:hint="eastAsia" w:ascii="宋体" w:hAnsi="宋体" w:cs="宋体"/>
                <w:color w:val="auto"/>
                <w:sz w:val="21"/>
                <w:szCs w:val="21"/>
                <w:highlight w:val="none"/>
              </w:rPr>
              <w:t>所有视频监控</w:t>
            </w:r>
            <w:r>
              <w:rPr>
                <w:rFonts w:hint="eastAsia" w:ascii="宋体" w:hAnsi="宋体" w:cs="宋体"/>
                <w:color w:val="auto"/>
                <w:sz w:val="21"/>
                <w:szCs w:val="21"/>
                <w:highlight w:val="none"/>
                <w:lang w:val="en-US" w:eastAsia="zh-CN"/>
              </w:rPr>
              <w:t>设施设备</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监控杆土建设施、</w:t>
            </w:r>
            <w:r>
              <w:rPr>
                <w:rFonts w:hint="eastAsia" w:ascii="宋体" w:hAnsi="宋体" w:cs="宋体"/>
                <w:color w:val="auto"/>
                <w:sz w:val="21"/>
                <w:szCs w:val="21"/>
                <w:highlight w:val="none"/>
              </w:rPr>
              <w:t>供电系统、综合布线系统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系统硬件设备故障维修、配件或设备更换、每月通讯服务链路巡检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视频通信专网服务</w:t>
            </w:r>
            <w:r>
              <w:rPr>
                <w:rFonts w:hint="eastAsia" w:ascii="宋体" w:hAnsi="宋体" w:cs="宋体"/>
                <w:color w:val="auto"/>
                <w:sz w:val="21"/>
                <w:szCs w:val="21"/>
                <w:highlight w:val="none"/>
                <w:lang w:val="en-US" w:eastAsia="zh-CN"/>
              </w:rPr>
              <w:t>等，费用</w:t>
            </w:r>
            <w:r>
              <w:rPr>
                <w:rFonts w:hint="eastAsia" w:ascii="宋体" w:hAnsi="宋体" w:cs="宋体"/>
                <w:color w:val="auto"/>
                <w:sz w:val="21"/>
                <w:szCs w:val="21"/>
                <w:highlight w:val="none"/>
              </w:rPr>
              <w:t>全部由</w:t>
            </w:r>
            <w:r>
              <w:rPr>
                <w:rFonts w:hint="eastAsia" w:ascii="宋体" w:hAnsi="宋体" w:eastAsia="宋体" w:cs="宋体"/>
                <w:color w:val="auto"/>
                <w:sz w:val="21"/>
                <w:szCs w:val="21"/>
                <w:highlight w:val="none"/>
                <w:lang w:eastAsia="zh-CN"/>
              </w:rPr>
              <w:t>乙方</w:t>
            </w:r>
            <w:r>
              <w:rPr>
                <w:rFonts w:hint="eastAsia" w:ascii="宋体" w:hAnsi="宋体" w:cs="宋体"/>
                <w:color w:val="auto"/>
                <w:sz w:val="21"/>
                <w:szCs w:val="21"/>
                <w:highlight w:val="none"/>
              </w:rPr>
              <w:t>承担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需提供故障维修记录、更换记录、巡检记录</w:t>
            </w:r>
            <w:r>
              <w:rPr>
                <w:rFonts w:hint="eastAsia" w:ascii="宋体" w:hAnsi="宋体" w:cs="宋体"/>
                <w:color w:val="auto"/>
                <w:sz w:val="21"/>
                <w:szCs w:val="21"/>
                <w:highlight w:val="none"/>
              </w:rPr>
              <w:t>。</w:t>
            </w:r>
          </w:p>
          <w:p>
            <w:pPr>
              <w:numPr>
                <w:ilvl w:val="0"/>
                <w:numId w:val="10"/>
              </w:numPr>
              <w:spacing w:line="360" w:lineRule="auto"/>
              <w:ind w:left="0" w:firstLine="422" w:firstLineChars="200"/>
              <w:contextualSpacing/>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视频监控迁移要求：</w:t>
            </w:r>
            <w:r>
              <w:rPr>
                <w:rFonts w:hint="eastAsia" w:ascii="宋体" w:hAnsi="宋体" w:cs="宋体"/>
                <w:b w:val="0"/>
                <w:bCs w:val="0"/>
                <w:color w:val="auto"/>
                <w:sz w:val="21"/>
                <w:szCs w:val="21"/>
                <w:highlight w:val="none"/>
              </w:rPr>
              <w:t>本项目</w:t>
            </w:r>
            <w:r>
              <w:rPr>
                <w:rFonts w:hint="eastAsia" w:ascii="宋体" w:hAnsi="宋体" w:cs="宋体"/>
                <w:b w:val="0"/>
                <w:bCs w:val="0"/>
                <w:color w:val="auto"/>
                <w:sz w:val="21"/>
                <w:szCs w:val="21"/>
                <w:highlight w:val="none"/>
                <w:lang w:val="en-US" w:eastAsia="zh-CN"/>
              </w:rPr>
              <w:t>视频监控迁移包含设备拆除及安装两部分，拆除包含设备及</w:t>
            </w:r>
            <w:r>
              <w:rPr>
                <w:rFonts w:hint="eastAsia" w:ascii="宋体" w:hAnsi="宋体" w:cs="宋体"/>
                <w:color w:val="auto"/>
                <w:sz w:val="21"/>
                <w:szCs w:val="21"/>
                <w:highlight w:val="none"/>
              </w:rPr>
              <w:t>监控杆（若产权归甲方且甲方要求拆除）、设备护罩、标识标牌等</w:t>
            </w:r>
            <w:r>
              <w:rPr>
                <w:rFonts w:hint="eastAsia" w:ascii="宋体" w:hAnsi="宋体" w:cs="宋体"/>
                <w:b w:val="0"/>
                <w:bCs w:val="0"/>
                <w:color w:val="auto"/>
                <w:sz w:val="21"/>
                <w:szCs w:val="21"/>
                <w:highlight w:val="none"/>
                <w:lang w:val="en-US" w:eastAsia="zh-CN"/>
              </w:rPr>
              <w:t>相关配套设施，迁移时间地点</w:t>
            </w:r>
            <w:r>
              <w:rPr>
                <w:rFonts w:hint="eastAsia" w:ascii="宋体" w:hAnsi="宋体" w:cs="宋体"/>
                <w:b w:val="0"/>
                <w:bCs w:val="0"/>
                <w:color w:val="auto"/>
                <w:sz w:val="21"/>
                <w:szCs w:val="21"/>
                <w:highlight w:val="none"/>
              </w:rPr>
              <w:t>由成交供应商与甲方协商确定，甲方出具</w:t>
            </w:r>
            <w:r>
              <w:rPr>
                <w:rFonts w:hint="eastAsia" w:ascii="宋体" w:hAnsi="宋体" w:cs="宋体"/>
                <w:b w:val="0"/>
                <w:bCs w:val="0"/>
                <w:color w:val="auto"/>
                <w:sz w:val="21"/>
                <w:szCs w:val="21"/>
                <w:highlight w:val="none"/>
                <w:lang w:val="en-US" w:eastAsia="zh-CN"/>
              </w:rPr>
              <w:t>迁移</w:t>
            </w:r>
            <w:r>
              <w:rPr>
                <w:rFonts w:hint="eastAsia" w:ascii="宋体" w:hAnsi="宋体" w:cs="宋体"/>
                <w:b w:val="0"/>
                <w:bCs w:val="0"/>
                <w:color w:val="auto"/>
                <w:sz w:val="21"/>
                <w:szCs w:val="21"/>
                <w:highlight w:val="none"/>
              </w:rPr>
              <w:t>函</w:t>
            </w:r>
            <w:r>
              <w:rPr>
                <w:rFonts w:hint="eastAsia" w:ascii="宋体" w:hAnsi="宋体" w:cs="宋体"/>
                <w:b w:val="0"/>
                <w:bCs w:val="0"/>
                <w:color w:val="auto"/>
                <w:sz w:val="21"/>
                <w:szCs w:val="21"/>
                <w:highlight w:val="none"/>
                <w:lang w:val="en-US" w:eastAsia="zh-CN"/>
              </w:rPr>
              <w:t>后实施</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根据甲方指定地点，在拆除后1个月内，将</w:t>
            </w:r>
            <w:r>
              <w:rPr>
                <w:rFonts w:hint="eastAsia" w:ascii="宋体" w:hAnsi="宋体" w:cs="宋体"/>
                <w:color w:val="auto"/>
                <w:sz w:val="21"/>
                <w:szCs w:val="21"/>
                <w:highlight w:val="none"/>
              </w:rPr>
              <w:t>原站点的旧设备设施</w:t>
            </w:r>
            <w:r>
              <w:rPr>
                <w:rFonts w:hint="eastAsia" w:ascii="宋体" w:hAnsi="宋体" w:cs="宋体"/>
                <w:color w:val="auto"/>
                <w:sz w:val="21"/>
                <w:szCs w:val="21"/>
                <w:highlight w:val="none"/>
                <w:lang w:val="en-US" w:eastAsia="zh-CN"/>
              </w:rPr>
              <w:t>安装至指定地点，并确保视频接入浙江省水利视频监控云平台</w:t>
            </w:r>
            <w:r>
              <w:rPr>
                <w:rFonts w:hint="eastAsia" w:ascii="宋体" w:hAnsi="宋体" w:cs="宋体"/>
                <w:color w:val="auto"/>
                <w:sz w:val="21"/>
                <w:szCs w:val="21"/>
                <w:highlight w:val="none"/>
              </w:rPr>
              <w:t>。</w:t>
            </w:r>
            <w:r>
              <w:rPr>
                <w:rFonts w:hint="eastAsia" w:ascii="宋体" w:hAnsi="宋体" w:cs="宋体"/>
                <w:color w:val="auto"/>
                <w:szCs w:val="21"/>
                <w:highlight w:val="none"/>
              </w:rPr>
              <w:t>如有摄像头遮挡严重，无法符合甲方管理需求，</w:t>
            </w:r>
            <w:r>
              <w:rPr>
                <w:rFonts w:hint="eastAsia" w:ascii="宋体" w:hAnsi="宋体" w:eastAsia="宋体" w:cs="宋体"/>
                <w:color w:val="auto"/>
                <w:szCs w:val="21"/>
                <w:highlight w:val="none"/>
                <w:lang w:val="en-US" w:eastAsia="zh-CN"/>
              </w:rPr>
              <w:t>乙方</w:t>
            </w:r>
            <w:r>
              <w:rPr>
                <w:rFonts w:hint="eastAsia" w:ascii="宋体" w:hAnsi="宋体" w:cs="宋体"/>
                <w:color w:val="auto"/>
                <w:szCs w:val="21"/>
                <w:highlight w:val="none"/>
              </w:rPr>
              <w:t>根据甲方要求提供迁移服务。</w:t>
            </w:r>
          </w:p>
          <w:p>
            <w:pPr>
              <w:numPr>
                <w:ilvl w:val="0"/>
                <w:numId w:val="10"/>
              </w:numPr>
              <w:spacing w:line="360" w:lineRule="auto"/>
              <w:ind w:left="0" w:firstLine="422" w:firstLineChars="200"/>
              <w:contextualSpacing/>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驻场要求：</w:t>
            </w:r>
            <w:r>
              <w:rPr>
                <w:rFonts w:hint="eastAsia" w:ascii="宋体" w:hAnsi="宋体" w:cs="宋体"/>
                <w:color w:val="auto"/>
                <w:sz w:val="21"/>
                <w:szCs w:val="21"/>
                <w:highlight w:val="none"/>
                <w:lang w:val="en-US" w:eastAsia="zh-CN"/>
              </w:rPr>
              <w:t>本项目需配备1名驻场运维人员，负责点位接入、视频监控运维、故障排除、巡检及在线率保障的相关工作，需提供驻场人员记录。</w:t>
            </w:r>
          </w:p>
          <w:p>
            <w:pPr>
              <w:numPr>
                <w:ilvl w:val="0"/>
                <w:numId w:val="10"/>
              </w:numPr>
              <w:spacing w:line="360" w:lineRule="auto"/>
              <w:ind w:firstLine="42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视频存储：</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视频流</w:t>
            </w:r>
            <w:r>
              <w:rPr>
                <w:rFonts w:hint="eastAsia" w:ascii="宋体" w:hAnsi="宋体" w:eastAsia="宋体" w:cs="宋体"/>
                <w:color w:val="auto"/>
                <w:sz w:val="21"/>
                <w:szCs w:val="21"/>
                <w:highlight w:val="none"/>
                <w:lang w:val="en-US" w:eastAsia="zh-CN"/>
              </w:rPr>
              <w:t>需实现前端硬盘录像机存储，存储时间要求详见</w:t>
            </w:r>
            <w:r>
              <w:rPr>
                <w:rFonts w:hint="eastAsia" w:ascii="宋体" w:hAnsi="宋体" w:cs="宋体"/>
                <w:color w:val="auto"/>
                <w:sz w:val="21"/>
                <w:szCs w:val="21"/>
                <w:highlight w:val="none"/>
                <w:lang w:val="en-US" w:eastAsia="zh-CN"/>
              </w:rPr>
              <w:t>附表1-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视频监控详细清单（210点位）</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所有视频录像均要求在监控云平台可以调取、下载</w:t>
            </w:r>
            <w:r>
              <w:rPr>
                <w:rFonts w:hint="eastAsia" w:ascii="宋体" w:hAnsi="宋体" w:eastAsia="宋体" w:cs="宋体"/>
                <w:color w:val="auto"/>
                <w:sz w:val="21"/>
                <w:szCs w:val="21"/>
                <w:highlight w:val="none"/>
                <w:lang w:eastAsia="zh-CN"/>
              </w:rPr>
              <w:t>。</w:t>
            </w:r>
          </w:p>
          <w:p>
            <w:pPr>
              <w:numPr>
                <w:ilvl w:val="0"/>
                <w:numId w:val="10"/>
              </w:numPr>
              <w:spacing w:line="360" w:lineRule="auto"/>
              <w:ind w:firstLine="42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视频专网：</w:t>
            </w:r>
            <w:r>
              <w:rPr>
                <w:rFonts w:hint="eastAsia" w:ascii="宋体" w:hAnsi="宋体" w:eastAsia="宋体" w:cs="宋体"/>
                <w:color w:val="auto"/>
                <w:sz w:val="21"/>
                <w:szCs w:val="21"/>
                <w:highlight w:val="none"/>
                <w:lang w:val="en-US" w:eastAsia="zh-CN"/>
              </w:rPr>
              <w:t>甲方已构建了视频监控专网，乙方必须保证每个点位按照</w:t>
            </w:r>
            <w:r>
              <w:rPr>
                <w:rFonts w:hint="eastAsia" w:ascii="宋体" w:hAnsi="宋体" w:cs="宋体"/>
                <w:color w:val="auto"/>
                <w:sz w:val="21"/>
                <w:szCs w:val="21"/>
                <w:highlight w:val="none"/>
                <w:lang w:val="en-US" w:eastAsia="zh-CN"/>
              </w:rPr>
              <w:t>附表1-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视频监控详细清单（210点位）</w:t>
            </w:r>
            <w:r>
              <w:rPr>
                <w:rFonts w:hint="eastAsia" w:ascii="宋体" w:hAnsi="宋体" w:eastAsia="宋体" w:cs="宋体"/>
                <w:color w:val="auto"/>
                <w:sz w:val="21"/>
                <w:szCs w:val="21"/>
                <w:highlight w:val="none"/>
                <w:lang w:val="en-US" w:eastAsia="zh-CN"/>
              </w:rPr>
              <w:t>》的要求提供独占带宽专线，通过VPN接入专网。同时，乙方必须按照《专网线路清单（</w:t>
            </w:r>
            <w:r>
              <w:rPr>
                <w:rFonts w:hint="eastAsia" w:ascii="宋体" w:hAnsi="宋体" w:cs="宋体"/>
                <w:color w:val="auto"/>
                <w:sz w:val="21"/>
                <w:szCs w:val="21"/>
                <w:highlight w:val="none"/>
                <w:lang w:val="en-US" w:eastAsia="zh-CN"/>
              </w:rPr>
              <w:t>34条</w:t>
            </w:r>
            <w:r>
              <w:rPr>
                <w:rFonts w:hint="eastAsia" w:ascii="宋体" w:hAnsi="宋体" w:eastAsia="宋体" w:cs="宋体"/>
                <w:color w:val="auto"/>
                <w:sz w:val="21"/>
                <w:szCs w:val="21"/>
                <w:highlight w:val="none"/>
                <w:lang w:val="en-US" w:eastAsia="zh-CN"/>
              </w:rPr>
              <w:t>）》的要求，提供</w:t>
            </w:r>
            <w:r>
              <w:rPr>
                <w:rFonts w:hint="eastAsia" w:ascii="宋体" w:hAnsi="宋体" w:cs="宋体"/>
                <w:color w:val="auto"/>
                <w:sz w:val="21"/>
                <w:szCs w:val="21"/>
                <w:highlight w:val="none"/>
                <w:lang w:val="en-US" w:eastAsia="zh-CN"/>
              </w:rPr>
              <w:t>视频点位、</w:t>
            </w:r>
            <w:r>
              <w:rPr>
                <w:rFonts w:hint="eastAsia" w:ascii="宋体" w:hAnsi="宋体" w:eastAsia="宋体" w:cs="宋体"/>
                <w:color w:val="auto"/>
                <w:sz w:val="21"/>
                <w:szCs w:val="21"/>
                <w:highlight w:val="none"/>
                <w:lang w:val="en-US" w:eastAsia="zh-CN"/>
              </w:rPr>
              <w:t>流域中心至视频云平台、水利部及办公点的专网线路。</w:t>
            </w:r>
          </w:p>
          <w:p>
            <w:pPr>
              <w:pStyle w:val="2"/>
              <w:spacing w:line="360" w:lineRule="auto"/>
              <w:ind w:firstLine="420" w:firstLineChars="200"/>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后期需要配合甲方要求，配合调整视频监控网络架构,确保视频专网和办公专网独立运行。</w:t>
            </w:r>
          </w:p>
          <w:p>
            <w:pPr>
              <w:numPr>
                <w:ilvl w:val="0"/>
                <w:numId w:val="10"/>
              </w:numPr>
              <w:spacing w:line="360" w:lineRule="auto"/>
              <w:ind w:firstLine="422" w:firstLineChars="200"/>
              <w:contextualSpacing/>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管理要求：</w:t>
            </w:r>
            <w:r>
              <w:rPr>
                <w:rFonts w:hint="eastAsia" w:ascii="宋体" w:hAnsi="宋体" w:eastAsia="宋体" w:cs="宋体"/>
                <w:color w:val="auto"/>
                <w:sz w:val="21"/>
                <w:szCs w:val="21"/>
                <w:highlight w:val="none"/>
                <w:lang w:val="en-US" w:eastAsia="zh-CN"/>
              </w:rPr>
              <w:t>因甲方管理需要，</w:t>
            </w:r>
            <w:r>
              <w:rPr>
                <w:rFonts w:hint="eastAsia" w:ascii="宋体" w:hAnsi="宋体" w:eastAsia="宋体" w:cs="宋体"/>
                <w:color w:val="auto"/>
                <w:sz w:val="21"/>
                <w:szCs w:val="21"/>
                <w:highlight w:val="none"/>
              </w:rPr>
              <w:t>本期</w:t>
            </w:r>
            <w:r>
              <w:rPr>
                <w:rFonts w:hint="eastAsia" w:ascii="宋体" w:hAnsi="宋体" w:eastAsia="宋体" w:cs="宋体"/>
                <w:color w:val="auto"/>
                <w:sz w:val="21"/>
                <w:szCs w:val="21"/>
                <w:highlight w:val="none"/>
                <w:lang w:val="en-US" w:eastAsia="zh-CN"/>
              </w:rPr>
              <w:t>维护的监控点均需</w:t>
            </w:r>
            <w:r>
              <w:rPr>
                <w:rFonts w:hint="eastAsia" w:ascii="宋体" w:hAnsi="宋体" w:eastAsia="宋体" w:cs="宋体"/>
                <w:color w:val="auto"/>
                <w:sz w:val="21"/>
                <w:szCs w:val="21"/>
                <w:highlight w:val="none"/>
              </w:rPr>
              <w:t>接入</w:t>
            </w:r>
            <w:r>
              <w:rPr>
                <w:rFonts w:hint="eastAsia" w:ascii="宋体" w:hAnsi="宋体" w:eastAsia="宋体" w:cs="宋体"/>
                <w:color w:val="auto"/>
                <w:sz w:val="21"/>
                <w:szCs w:val="21"/>
                <w:highlight w:val="none"/>
                <w:lang w:val="en-US" w:eastAsia="zh-CN"/>
              </w:rPr>
              <w:t>甲方指定的视频管理平台，甲方将以接入该平台的视频画面作为服务质量考核依据，产生的所有费用均由乙方承担，需提供接入记录。</w:t>
            </w:r>
          </w:p>
          <w:p>
            <w:pPr>
              <w:numPr>
                <w:ilvl w:val="0"/>
                <w:numId w:val="10"/>
              </w:numPr>
              <w:spacing w:line="360" w:lineRule="auto"/>
              <w:ind w:firstLine="422" w:firstLineChars="200"/>
              <w:contextualSpacing/>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服务响应：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应在杭州、嘉兴、绍兴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衢州</w:t>
            </w:r>
            <w:r>
              <w:rPr>
                <w:rFonts w:hint="eastAsia" w:ascii="宋体" w:hAnsi="宋体" w:eastAsia="宋体" w:cs="宋体"/>
                <w:color w:val="auto"/>
                <w:sz w:val="21"/>
                <w:szCs w:val="21"/>
                <w:highlight w:val="none"/>
              </w:rPr>
              <w:t>等地建立完善的售后服务体系，拥有至少5人以上的专业服务团队，其中配备</w:t>
            </w:r>
            <w:r>
              <w:rPr>
                <w:rFonts w:hint="eastAsia" w:ascii="宋体" w:hAnsi="宋体" w:cs="宋体"/>
                <w:color w:val="auto"/>
                <w:sz w:val="21"/>
                <w:szCs w:val="21"/>
                <w:highlight w:val="none"/>
                <w:lang w:eastAsia="zh-CN"/>
              </w:rPr>
              <w:t>项目负责人</w:t>
            </w:r>
            <w:r>
              <w:rPr>
                <w:rFonts w:hint="eastAsia" w:ascii="宋体" w:hAnsi="宋体" w:eastAsia="宋体" w:cs="宋体"/>
                <w:color w:val="auto"/>
                <w:sz w:val="21"/>
                <w:szCs w:val="21"/>
                <w:highlight w:val="none"/>
              </w:rPr>
              <w:t>1名，</w:t>
            </w:r>
            <w:r>
              <w:rPr>
                <w:rFonts w:hint="eastAsia" w:ascii="宋体" w:hAnsi="宋体" w:eastAsia="宋体" w:cs="宋体"/>
                <w:color w:val="auto"/>
                <w:sz w:val="21"/>
                <w:szCs w:val="21"/>
                <w:highlight w:val="none"/>
                <w:lang w:val="en-US" w:eastAsia="zh-CN"/>
              </w:rPr>
              <w:t>各地</w:t>
            </w:r>
            <w:r>
              <w:rPr>
                <w:rFonts w:hint="eastAsia" w:ascii="宋体" w:hAnsi="宋体" w:eastAsia="宋体" w:cs="宋体"/>
                <w:color w:val="auto"/>
                <w:sz w:val="21"/>
                <w:szCs w:val="21"/>
                <w:highlight w:val="none"/>
              </w:rPr>
              <w:t>维护工程师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人。提供7*24小时的热线技术响应服务；收到故障信息后1小时内</w:t>
            </w:r>
            <w:r>
              <w:rPr>
                <w:rFonts w:hint="eastAsia" w:ascii="宋体" w:hAnsi="宋体" w:eastAsia="宋体" w:cs="宋体"/>
                <w:color w:val="auto"/>
                <w:sz w:val="21"/>
                <w:szCs w:val="21"/>
                <w:highlight w:val="none"/>
                <w:lang w:val="en-US" w:eastAsia="zh-CN"/>
              </w:rPr>
              <w:t>做出实质性</w:t>
            </w:r>
            <w:r>
              <w:rPr>
                <w:rFonts w:hint="eastAsia" w:ascii="宋体" w:hAnsi="宋体" w:eastAsia="宋体" w:cs="宋体"/>
                <w:color w:val="auto"/>
                <w:sz w:val="21"/>
                <w:szCs w:val="21"/>
                <w:highlight w:val="none"/>
              </w:rPr>
              <w:t>响应，12小时内排除故障，重大故障超出12小时未解决的需提供故障分析报告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进行设备备件更换，设备更换费用全部由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需提供服务响应记录</w:t>
            </w:r>
            <w:r>
              <w:rPr>
                <w:rFonts w:hint="eastAsia" w:ascii="宋体" w:hAnsi="宋体" w:eastAsia="宋体" w:cs="宋体"/>
                <w:color w:val="auto"/>
                <w:sz w:val="21"/>
                <w:szCs w:val="21"/>
                <w:highlight w:val="none"/>
              </w:rPr>
              <w:t>。</w:t>
            </w:r>
          </w:p>
          <w:p>
            <w:pPr>
              <w:numPr>
                <w:ilvl w:val="0"/>
                <w:numId w:val="10"/>
              </w:numPr>
              <w:spacing w:line="360" w:lineRule="auto"/>
              <w:ind w:firstLine="422" w:firstLineChars="200"/>
              <w:contextualSpacing/>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ar-SA"/>
              </w:rPr>
              <w:t>备件：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杭州应设有长期备件库，备件库内长期备有与水利工程沿线地区视频监控同一品牌型号的数字高清摄像机和数字高清解码器及电源线、网线、PVC管等辅材，更换的设备、部件参数指标不得劣于原设备、部件参数指标。</w:t>
            </w:r>
            <w:r>
              <w:rPr>
                <w:rFonts w:hint="eastAsia" w:ascii="宋体" w:hAnsi="宋体" w:eastAsia="宋体" w:cs="宋体"/>
                <w:color w:val="auto"/>
                <w:sz w:val="21"/>
                <w:szCs w:val="21"/>
                <w:highlight w:val="none"/>
                <w:lang w:val="en-US" w:eastAsia="zh-CN"/>
              </w:rPr>
              <w:t>同时，乙方应</w:t>
            </w:r>
            <w:r>
              <w:rPr>
                <w:rFonts w:hint="eastAsia" w:ascii="宋体" w:hAnsi="宋体" w:eastAsia="宋体" w:cs="宋体"/>
                <w:i w:val="0"/>
                <w:iCs w:val="0"/>
                <w:color w:val="auto"/>
                <w:sz w:val="21"/>
                <w:szCs w:val="21"/>
                <w:highlight w:val="none"/>
                <w:u w:val="none"/>
                <w:lang w:val="en-US" w:eastAsia="zh-CN"/>
              </w:rPr>
              <w:t>备货3套应急设备，以备应急期间安装调用，相关费用由乙方承担。</w:t>
            </w:r>
          </w:p>
          <w:p>
            <w:pPr>
              <w:numPr>
                <w:ilvl w:val="0"/>
                <w:numId w:val="10"/>
              </w:numPr>
              <w:spacing w:line="360" w:lineRule="auto"/>
              <w:ind w:firstLine="422" w:firstLineChars="200"/>
              <w:contextualSpacing/>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巡检服务：</w:t>
            </w:r>
            <w:r>
              <w:rPr>
                <w:rFonts w:hint="eastAsia" w:ascii="宋体" w:hAnsi="宋体" w:eastAsia="宋体" w:cs="宋体"/>
                <w:color w:val="auto"/>
                <w:sz w:val="21"/>
                <w:szCs w:val="21"/>
                <w:highlight w:val="none"/>
                <w:lang w:val="en-US" w:eastAsia="zh-CN"/>
              </w:rPr>
              <w:t>乙方</w:t>
            </w:r>
            <w:r>
              <w:rPr>
                <w:rFonts w:hint="eastAsia" w:ascii="宋体" w:hAnsi="宋体" w:cs="宋体"/>
                <w:color w:val="auto"/>
                <w:sz w:val="21"/>
                <w:szCs w:val="21"/>
                <w:highlight w:val="none"/>
                <w:lang w:val="en-US" w:eastAsia="zh-CN"/>
              </w:rPr>
              <w:t>应对设备、设施、系统进行定期</w:t>
            </w:r>
            <w:r>
              <w:rPr>
                <w:rFonts w:hint="eastAsia" w:ascii="宋体" w:hAnsi="宋体" w:cs="宋体"/>
                <w:color w:val="auto"/>
                <w:sz w:val="21"/>
                <w:szCs w:val="21"/>
                <w:highlight w:val="none"/>
              </w:rPr>
              <w:t>巡检检修、保养，消除系统隐患</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需提供巡检服务记录表</w:t>
            </w:r>
            <w:r>
              <w:rPr>
                <w:rFonts w:hint="eastAsia" w:ascii="宋体" w:hAnsi="宋体" w:cs="宋体"/>
                <w:color w:val="auto"/>
                <w:sz w:val="21"/>
                <w:szCs w:val="21"/>
                <w:highlight w:val="none"/>
              </w:rPr>
              <w:t>。</w:t>
            </w:r>
          </w:p>
          <w:p>
            <w:pPr>
              <w:widowControl/>
              <w:tabs>
                <w:tab w:val="left" w:pos="638"/>
              </w:tabs>
              <w:autoSpaceDE/>
              <w:autoSpaceDN/>
              <w:adjustRightInd/>
              <w:spacing w:line="360" w:lineRule="auto"/>
              <w:ind w:firstLine="422" w:firstLineChars="200"/>
              <w:contextualSpacing/>
              <w:jc w:val="center"/>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巡检服务内容</w:t>
            </w:r>
          </w:p>
          <w:tbl>
            <w:tblPr>
              <w:tblStyle w:val="6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39"/>
              <w:gridCol w:w="1235"/>
              <w:gridCol w:w="5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维护内容</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巡检</w:t>
                  </w:r>
                  <w:r>
                    <w:rPr>
                      <w:rFonts w:hint="eastAsia" w:ascii="宋体" w:hAnsi="宋体" w:cs="宋体"/>
                      <w:b/>
                      <w:bCs/>
                      <w:color w:val="auto"/>
                      <w:sz w:val="21"/>
                      <w:szCs w:val="21"/>
                      <w:highlight w:val="none"/>
                    </w:rPr>
                    <w:t>周期</w:t>
                  </w:r>
                </w:p>
              </w:tc>
              <w:tc>
                <w:tcPr>
                  <w:tcW w:w="5190" w:type="dxa"/>
                  <w:tcBorders>
                    <w:tl2br w:val="nil"/>
                    <w:tr2bl w:val="nil"/>
                  </w:tcBorders>
                  <w:noWrap w:val="0"/>
                  <w:vAlign w:val="center"/>
                </w:tcPr>
                <w:p>
                  <w:pPr>
                    <w:spacing w:line="360" w:lineRule="auto"/>
                    <w:ind w:firstLine="0" w:firstLineChars="0"/>
                    <w:contextualSpacing/>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维护要求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硬件设备</w:t>
                  </w:r>
                  <w:r>
                    <w:rPr>
                      <w:rFonts w:hint="eastAsia" w:ascii="宋体" w:hAnsi="宋体" w:cs="宋体"/>
                      <w:color w:val="auto"/>
                      <w:sz w:val="21"/>
                      <w:szCs w:val="21"/>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1次/月</w:t>
                  </w:r>
                </w:p>
              </w:tc>
              <w:tc>
                <w:tcPr>
                  <w:tcW w:w="5190" w:type="dxa"/>
                  <w:tcBorders>
                    <w:tl2br w:val="nil"/>
                    <w:tr2bl w:val="nil"/>
                  </w:tcBorders>
                  <w:noWrap w:val="0"/>
                  <w:vAlign w:val="center"/>
                </w:tcPr>
                <w:p>
                  <w:pPr>
                    <w:numPr>
                      <w:ilvl w:val="0"/>
                      <w:numId w:val="11"/>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清洁数字高清摄像机机体，检查镜头是否清晰、云台是否正常转动、护罩是否破损、设备是否正常通讯</w:t>
                  </w:r>
                </w:p>
                <w:p>
                  <w:pPr>
                    <w:numPr>
                      <w:ilvl w:val="0"/>
                      <w:numId w:val="11"/>
                    </w:numPr>
                    <w:autoSpaceDE/>
                    <w:autoSpaceDN/>
                    <w:adjustRightInd/>
                    <w:spacing w:line="360" w:lineRule="auto"/>
                    <w:ind w:left="0" w:firstLine="0" w:firstLineChars="0"/>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排查前端摄像头弱口令情况</w:t>
                  </w:r>
                </w:p>
                <w:p>
                  <w:pPr>
                    <w:numPr>
                      <w:ilvl w:val="0"/>
                      <w:numId w:val="11"/>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根据监控型号升级最新的固件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供电系统</w:t>
                  </w:r>
                  <w:r>
                    <w:rPr>
                      <w:rFonts w:hint="eastAsia" w:ascii="宋体" w:hAnsi="宋体" w:cs="宋体"/>
                      <w:color w:val="auto"/>
                      <w:sz w:val="21"/>
                      <w:szCs w:val="21"/>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1次/月</w:t>
                  </w:r>
                </w:p>
              </w:tc>
              <w:tc>
                <w:tcPr>
                  <w:tcW w:w="5190" w:type="dxa"/>
                  <w:tcBorders>
                    <w:tl2br w:val="nil"/>
                    <w:tr2bl w:val="nil"/>
                  </w:tcBorders>
                  <w:noWrap w:val="0"/>
                  <w:vAlign w:val="center"/>
                </w:tcPr>
                <w:p>
                  <w:pPr>
                    <w:numPr>
                      <w:ilvl w:val="0"/>
                      <w:numId w:val="12"/>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检查配电室到数字高清摄像机供电线路是否异常，重点检查线路接口防止短路情况</w:t>
                  </w:r>
                </w:p>
                <w:p>
                  <w:pPr>
                    <w:numPr>
                      <w:ilvl w:val="0"/>
                      <w:numId w:val="12"/>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检查UPS设备是否正常工作、UPS到数字高清摄像机供电线路是否异常，重点检查线路接口防止短路情况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综合布线系统</w:t>
                  </w:r>
                  <w:r>
                    <w:rPr>
                      <w:rFonts w:hint="eastAsia" w:ascii="宋体" w:hAnsi="宋体" w:cs="宋体"/>
                      <w:color w:val="auto"/>
                      <w:sz w:val="21"/>
                      <w:szCs w:val="21"/>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1次/月</w:t>
                  </w:r>
                </w:p>
              </w:tc>
              <w:tc>
                <w:tcPr>
                  <w:tcW w:w="5190" w:type="dxa"/>
                  <w:tcBorders>
                    <w:tl2br w:val="nil"/>
                    <w:tr2bl w:val="nil"/>
                  </w:tcBorders>
                  <w:noWrap w:val="0"/>
                  <w:vAlign w:val="center"/>
                </w:tcPr>
                <w:p>
                  <w:pPr>
                    <w:numPr>
                      <w:ilvl w:val="0"/>
                      <w:numId w:val="13"/>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检查防雷器是否异常</w:t>
                  </w:r>
                </w:p>
                <w:p>
                  <w:pPr>
                    <w:numPr>
                      <w:ilvl w:val="0"/>
                      <w:numId w:val="13"/>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检查是否由于河堤受损导致工程布线裸露，存在安全风险</w:t>
                  </w:r>
                </w:p>
                <w:p>
                  <w:pPr>
                    <w:numPr>
                      <w:ilvl w:val="0"/>
                      <w:numId w:val="13"/>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检查是否由于土壤松软导致立杆倾斜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15" w:hRule="atLeast"/>
                <w:jc w:val="center"/>
              </w:trPr>
              <w:tc>
                <w:tcPr>
                  <w:tcW w:w="687"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p>
              </w:tc>
              <w:tc>
                <w:tcPr>
                  <w:tcW w:w="1839" w:type="dxa"/>
                  <w:tcBorders>
                    <w:tl2br w:val="nil"/>
                    <w:tr2bl w:val="nil"/>
                  </w:tcBorders>
                  <w:noWrap w:val="0"/>
                  <w:vAlign w:val="center"/>
                </w:tcPr>
                <w:p>
                  <w:pPr>
                    <w:spacing w:line="360" w:lineRule="auto"/>
                    <w:ind w:firstLine="0" w:firstLineChars="0"/>
                    <w:contextualSpacing/>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通讯链路</w:t>
                  </w:r>
                  <w:r>
                    <w:rPr>
                      <w:rFonts w:hint="eastAsia" w:ascii="宋体" w:hAnsi="宋体" w:cs="宋体"/>
                      <w:color w:val="auto"/>
                      <w:sz w:val="21"/>
                      <w:szCs w:val="21"/>
                      <w:highlight w:val="none"/>
                      <w:lang w:val="en-US" w:eastAsia="zh-CN"/>
                    </w:rPr>
                    <w:t>巡检</w:t>
                  </w:r>
                </w:p>
              </w:tc>
              <w:tc>
                <w:tcPr>
                  <w:tcW w:w="1235" w:type="dxa"/>
                  <w:tcBorders>
                    <w:tl2br w:val="nil"/>
                    <w:tr2bl w:val="nil"/>
                  </w:tcBorders>
                  <w:noWrap w:val="0"/>
                  <w:vAlign w:val="center"/>
                </w:tcPr>
                <w:p>
                  <w:pPr>
                    <w:spacing w:line="360" w:lineRule="auto"/>
                    <w:ind w:firstLine="0" w:firstLineChars="0"/>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1次/月</w:t>
                  </w:r>
                </w:p>
              </w:tc>
              <w:tc>
                <w:tcPr>
                  <w:tcW w:w="5190" w:type="dxa"/>
                  <w:tcBorders>
                    <w:tl2br w:val="nil"/>
                    <w:tr2bl w:val="nil"/>
                  </w:tcBorders>
                  <w:noWrap w:val="0"/>
                  <w:vAlign w:val="center"/>
                </w:tcPr>
                <w:p>
                  <w:pPr>
                    <w:numPr>
                      <w:ilvl w:val="0"/>
                      <w:numId w:val="14"/>
                    </w:numPr>
                    <w:autoSpaceDE/>
                    <w:autoSpaceDN/>
                    <w:adjustRightInd/>
                    <w:spacing w:line="360" w:lineRule="auto"/>
                    <w:ind w:left="0" w:firstLine="0" w:firstLineChars="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网络设备检查，保证通讯畅通</w:t>
                  </w:r>
                </w:p>
              </w:tc>
            </w:tr>
          </w:tbl>
          <w:p>
            <w:pPr>
              <w:spacing w:line="360" w:lineRule="auto"/>
              <w:ind w:firstLine="422" w:firstLineChars="200"/>
              <w:contextualSpacing/>
              <w:rPr>
                <w:rFonts w:hint="eastAsia" w:ascii="宋体" w:hAnsi="宋体" w:cs="宋体"/>
                <w:b/>
                <w:bCs/>
                <w:color w:val="auto"/>
                <w:sz w:val="21"/>
                <w:szCs w:val="21"/>
                <w:highlight w:val="none"/>
                <w:lang w:eastAsia="zh-CN"/>
              </w:rPr>
            </w:pPr>
          </w:p>
          <w:p>
            <w:pPr>
              <w:numPr>
                <w:ilvl w:val="0"/>
                <w:numId w:val="10"/>
              </w:numPr>
              <w:spacing w:line="360" w:lineRule="auto"/>
              <w:ind w:firstLine="422" w:firstLineChars="20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视频监控标识服务：</w:t>
            </w:r>
            <w:r>
              <w:rPr>
                <w:rFonts w:hint="eastAsia" w:ascii="宋体" w:hAnsi="宋体" w:eastAsia="宋体" w:cs="宋体"/>
                <w:b w:val="0"/>
                <w:bCs w:val="0"/>
                <w:color w:val="auto"/>
                <w:sz w:val="21"/>
                <w:szCs w:val="21"/>
                <w:highlight w:val="none"/>
                <w:lang w:val="en-US" w:eastAsia="zh-CN"/>
              </w:rPr>
              <w:t>需要对原有的标识标牌进行维护，及时更新信息，对新增、变更点位增设标识标牌。标识牌需展示视频监控名称，编码，归属单位，运维联系人等。需提供</w:t>
            </w:r>
            <w:r>
              <w:rPr>
                <w:rFonts w:hint="eastAsia" w:ascii="宋体" w:hAnsi="宋体" w:cs="宋体"/>
                <w:b w:val="0"/>
                <w:bCs w:val="0"/>
                <w:color w:val="auto"/>
                <w:sz w:val="21"/>
                <w:szCs w:val="21"/>
                <w:highlight w:val="none"/>
                <w:lang w:val="en-US" w:eastAsia="zh-CN"/>
              </w:rPr>
              <w:t>新增及</w:t>
            </w:r>
            <w:r>
              <w:rPr>
                <w:rFonts w:hint="eastAsia" w:ascii="宋体" w:hAnsi="宋体" w:eastAsia="宋体" w:cs="宋体"/>
                <w:b w:val="0"/>
                <w:bCs w:val="0"/>
                <w:color w:val="auto"/>
                <w:sz w:val="21"/>
                <w:szCs w:val="21"/>
                <w:highlight w:val="none"/>
                <w:lang w:val="en-US" w:eastAsia="zh-CN"/>
              </w:rPr>
              <w:t>维护记录。</w:t>
            </w:r>
          </w:p>
          <w:p>
            <w:pPr>
              <w:numPr>
                <w:ilvl w:val="0"/>
                <w:numId w:val="10"/>
              </w:numPr>
              <w:spacing w:line="360" w:lineRule="auto"/>
              <w:ind w:firstLine="422" w:firstLineChars="200"/>
              <w:contextualSpacing/>
              <w:rPr>
                <w:rFonts w:hint="eastAsia" w:ascii="宋体" w:hAnsi="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视频监控基础信息整理：</w:t>
            </w:r>
            <w:r>
              <w:rPr>
                <w:rFonts w:hint="eastAsia" w:ascii="宋体" w:hAnsi="宋体" w:cs="宋体"/>
                <w:b w:val="0"/>
                <w:bCs w:val="0"/>
                <w:color w:val="auto"/>
                <w:sz w:val="21"/>
                <w:szCs w:val="21"/>
                <w:highlight w:val="none"/>
                <w:lang w:val="en-US" w:eastAsia="zh-CN"/>
              </w:rPr>
              <w:t>需要对视频监控原有点位进行基础信息维护，新增点位基础信息同步更新。基础信息包括且不限于点位名称，经纬度，所属工程，所属海塘桩号，IP地址，电路编码等，需提供基础信息清单。</w:t>
            </w:r>
          </w:p>
          <w:p>
            <w:pPr>
              <w:numPr>
                <w:ilvl w:val="0"/>
                <w:numId w:val="10"/>
              </w:numPr>
              <w:spacing w:line="360" w:lineRule="auto"/>
              <w:ind w:firstLine="422" w:firstLineChars="200"/>
              <w:contextualSpacing/>
              <w:rPr>
                <w:rFonts w:hint="eastAsia" w:ascii="宋体" w:hAnsi="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培训要求：</w:t>
            </w:r>
            <w:r>
              <w:rPr>
                <w:rFonts w:hint="eastAsia" w:ascii="宋体" w:hAnsi="宋体" w:eastAsia="宋体" w:cs="宋体"/>
                <w:b w:val="0"/>
                <w:bCs w:val="0"/>
                <w:color w:val="auto"/>
                <w:sz w:val="21"/>
                <w:szCs w:val="21"/>
                <w:highlight w:val="none"/>
                <w:lang w:val="en-US" w:eastAsia="zh-CN"/>
              </w:rPr>
              <w:t>运维单位每</w:t>
            </w:r>
            <w:r>
              <w:rPr>
                <w:rFonts w:hint="eastAsia" w:ascii="宋体" w:hAnsi="宋体" w:cs="宋体"/>
                <w:b w:val="0"/>
                <w:bCs w:val="0"/>
                <w:color w:val="auto"/>
                <w:sz w:val="21"/>
                <w:szCs w:val="21"/>
                <w:highlight w:val="none"/>
                <w:lang w:val="en-US" w:eastAsia="zh-CN"/>
              </w:rPr>
              <w:t>季开展一次内部网络安全宣教，需提供培训记录。</w:t>
            </w:r>
          </w:p>
          <w:p>
            <w:pPr>
              <w:numPr>
                <w:ilvl w:val="0"/>
                <w:numId w:val="10"/>
              </w:numPr>
              <w:spacing w:line="360" w:lineRule="auto"/>
              <w:ind w:firstLine="422" w:firstLineChars="200"/>
              <w:contextualSpacing/>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安全生产要求：</w:t>
            </w:r>
            <w:r>
              <w:rPr>
                <w:rFonts w:hint="eastAsia" w:ascii="宋体" w:hAnsi="宋体" w:cs="宋体"/>
                <w:b w:val="0"/>
                <w:bCs w:val="0"/>
                <w:color w:val="auto"/>
                <w:sz w:val="21"/>
                <w:szCs w:val="21"/>
                <w:highlight w:val="none"/>
                <w:lang w:val="en-US" w:eastAsia="zh-CN"/>
              </w:rPr>
              <w:t>运维人员须严格遵循用电安全、现场施工建设安全等安全生产要求，若因未履行相关要求或运维操作不规范导致安全事故及责任，均由乙方承担。</w:t>
            </w:r>
          </w:p>
          <w:p>
            <w:pPr>
              <w:numPr>
                <w:ilvl w:val="-1"/>
                <w:numId w:val="0"/>
              </w:numPr>
              <w:autoSpaceDE/>
              <w:autoSpaceDN/>
              <w:spacing w:line="336" w:lineRule="auto"/>
              <w:ind w:firstLine="210" w:firstLineChars="1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资料成果</w:t>
            </w:r>
          </w:p>
          <w:p>
            <w:pPr>
              <w:numPr>
                <w:ilvl w:val="0"/>
                <w:numId w:val="15"/>
              </w:numPr>
              <w:autoSpaceDE/>
              <w:autoSpaceDN/>
              <w:spacing w:line="360" w:lineRule="auto"/>
              <w:ind w:firstLine="422" w:firstLineChars="200"/>
              <w:contextualSpacing/>
              <w:textAlignment w:val="auto"/>
              <w:rPr>
                <w:rFonts w:hint="eastAsia" w:ascii="宋体" w:hAnsi="宋体" w:cs="宋体"/>
                <w:color w:val="auto"/>
                <w:szCs w:val="21"/>
                <w:highlight w:val="none"/>
              </w:rPr>
            </w:pPr>
            <w:r>
              <w:rPr>
                <w:rFonts w:hint="eastAsia" w:ascii="宋体" w:hAnsi="宋体" w:cs="宋体"/>
                <w:b/>
                <w:bCs/>
                <w:color w:val="auto"/>
                <w:szCs w:val="21"/>
                <w:highlight w:val="none"/>
              </w:rPr>
              <w:t>日常维护：</w:t>
            </w:r>
            <w:r>
              <w:rPr>
                <w:rFonts w:hint="eastAsia" w:ascii="宋体" w:hAnsi="宋体" w:cs="宋体"/>
                <w:color w:val="auto"/>
                <w:szCs w:val="21"/>
                <w:highlight w:val="none"/>
              </w:rPr>
              <w:t>《驻场人员考勤表》、《日常维护报告（每月）》、《巡检服务记录表（每月）》、《标识维护记录》（如有）、《故障维修记录》（如有）。</w:t>
            </w:r>
          </w:p>
          <w:p>
            <w:pPr>
              <w:numPr>
                <w:ilvl w:val="0"/>
                <w:numId w:val="15"/>
              </w:numPr>
              <w:autoSpaceDE/>
              <w:autoSpaceDN/>
              <w:spacing w:line="360" w:lineRule="auto"/>
              <w:ind w:firstLine="422" w:firstLineChars="200"/>
              <w:contextualSpacing/>
              <w:textAlignment w:val="auto"/>
              <w:rPr>
                <w:rFonts w:hint="eastAsia" w:ascii="宋体" w:hAnsi="宋体" w:cs="宋体"/>
                <w:color w:val="auto"/>
                <w:szCs w:val="21"/>
                <w:highlight w:val="none"/>
              </w:rPr>
            </w:pPr>
            <w:r>
              <w:rPr>
                <w:rFonts w:hint="eastAsia" w:ascii="宋体" w:hAnsi="宋体" w:cs="宋体"/>
                <w:b/>
                <w:bCs/>
                <w:color w:val="auto"/>
                <w:szCs w:val="21"/>
                <w:highlight w:val="none"/>
              </w:rPr>
              <w:t>设备更换：</w:t>
            </w:r>
            <w:r>
              <w:rPr>
                <w:rFonts w:hint="eastAsia" w:ascii="宋体" w:hAnsi="宋体" w:cs="宋体"/>
                <w:color w:val="auto"/>
                <w:szCs w:val="21"/>
                <w:highlight w:val="none"/>
              </w:rPr>
              <w:t>《迁移记录》、《更换记录》（如有）、《旧设备处置单》（如有）。</w:t>
            </w:r>
          </w:p>
          <w:p>
            <w:pPr>
              <w:numPr>
                <w:ilvl w:val="0"/>
                <w:numId w:val="15"/>
              </w:numPr>
              <w:autoSpaceDE/>
              <w:autoSpaceDN/>
              <w:spacing w:line="360" w:lineRule="auto"/>
              <w:ind w:firstLine="422" w:firstLineChars="200"/>
              <w:contextualSpacing/>
              <w:textAlignment w:val="auto"/>
              <w:rPr>
                <w:rFonts w:hint="eastAsia" w:ascii="宋体" w:hAnsi="宋体" w:cs="宋体"/>
                <w:color w:val="auto"/>
                <w:szCs w:val="21"/>
                <w:highlight w:val="none"/>
              </w:rPr>
            </w:pPr>
            <w:r>
              <w:rPr>
                <w:rFonts w:hint="eastAsia" w:ascii="宋体" w:hAnsi="宋体" w:cs="宋体"/>
                <w:b/>
                <w:bCs/>
                <w:color w:val="auto"/>
                <w:szCs w:val="21"/>
                <w:highlight w:val="none"/>
              </w:rPr>
              <w:t>服务响应：</w:t>
            </w:r>
            <w:r>
              <w:rPr>
                <w:rFonts w:hint="eastAsia" w:ascii="宋体" w:hAnsi="宋体" w:cs="宋体"/>
                <w:color w:val="auto"/>
                <w:szCs w:val="21"/>
                <w:highlight w:val="none"/>
              </w:rPr>
              <w:t>《服务响应记录》（如有）。</w:t>
            </w:r>
          </w:p>
          <w:p>
            <w:pPr>
              <w:numPr>
                <w:ilvl w:val="0"/>
                <w:numId w:val="15"/>
              </w:numPr>
              <w:autoSpaceDE/>
              <w:autoSpaceDN/>
              <w:spacing w:line="360" w:lineRule="auto"/>
              <w:ind w:firstLine="422" w:firstLineChars="200"/>
              <w:contextualSpacing/>
              <w:textAlignment w:val="auto"/>
              <w:rPr>
                <w:rFonts w:hint="eastAsia" w:ascii="宋体" w:hAnsi="宋体" w:cs="宋体"/>
                <w:color w:val="auto"/>
                <w:szCs w:val="21"/>
                <w:highlight w:val="none"/>
              </w:rPr>
            </w:pPr>
            <w:r>
              <w:rPr>
                <w:rFonts w:hint="eastAsia" w:ascii="宋体" w:hAnsi="宋体" w:cs="宋体"/>
                <w:b/>
                <w:bCs/>
                <w:color w:val="auto"/>
                <w:szCs w:val="21"/>
                <w:highlight w:val="none"/>
              </w:rPr>
              <w:t>网络安全：</w:t>
            </w:r>
            <w:r>
              <w:rPr>
                <w:rFonts w:hint="eastAsia" w:ascii="宋体" w:hAnsi="宋体" w:cs="宋体"/>
                <w:color w:val="auto"/>
                <w:szCs w:val="21"/>
                <w:highlight w:val="none"/>
              </w:rPr>
              <w:t>保密协议，网络和数据安全责任书，人员责任书和背景审查资料，整改报告（如有），《硬盘录像机清除记录留存单》（如有）。</w:t>
            </w:r>
          </w:p>
          <w:p>
            <w:pPr>
              <w:autoSpaceDE/>
              <w:autoSpaceDN/>
              <w:spacing w:line="336" w:lineRule="auto"/>
              <w:ind w:firstLine="422" w:firstLineChars="200"/>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rPr>
              <w:t>5.其他：</w:t>
            </w:r>
            <w:r>
              <w:rPr>
                <w:rFonts w:hint="eastAsia" w:ascii="宋体" w:hAnsi="宋体" w:cs="宋体"/>
                <w:color w:val="auto"/>
                <w:szCs w:val="21"/>
                <w:highlight w:val="none"/>
              </w:rPr>
              <w:t>《视频监控基础信息清单》、《网络安全培训记录》。</w:t>
            </w:r>
          </w:p>
          <w:p>
            <w:pPr>
              <w:pStyle w:val="24"/>
              <w:rPr>
                <w:color w:val="auto"/>
                <w:highlight w:val="none"/>
              </w:rPr>
            </w:pPr>
          </w:p>
          <w:p>
            <w:pPr>
              <w:autoSpaceDE/>
              <w:autoSpaceDN/>
              <w:spacing w:line="336" w:lineRule="auto"/>
              <w:ind w:firstLine="420" w:firstLineChars="200"/>
              <w:textAlignment w:val="auto"/>
              <w:rPr>
                <w:rFonts w:eastAsia="黑体"/>
                <w:color w:val="auto"/>
                <w:highlight w:val="none"/>
              </w:rPr>
            </w:pPr>
            <w:r>
              <w:rPr>
                <w:rFonts w:eastAsia="黑体"/>
                <w:color w:val="auto"/>
                <w:highlight w:val="none"/>
              </w:rPr>
              <w:t>二、履行期限、地点和方式：</w:t>
            </w:r>
          </w:p>
          <w:p>
            <w:pPr>
              <w:spacing w:line="360" w:lineRule="auto"/>
              <w:ind w:right="113" w:firstLine="420" w:firstLineChars="200"/>
              <w:rPr>
                <w:color w:val="auto"/>
                <w:highlight w:val="none"/>
              </w:rPr>
            </w:pPr>
            <w:r>
              <w:rPr>
                <w:color w:val="auto"/>
                <w:highlight w:val="none"/>
              </w:rPr>
              <w:t>本合同</w:t>
            </w:r>
            <w:r>
              <w:rPr>
                <w:rFonts w:hint="eastAsia"/>
                <w:color w:val="auto"/>
                <w:highlight w:val="none"/>
              </w:rPr>
              <w:t>自</w:t>
            </w:r>
            <w:r>
              <w:rPr>
                <w:rFonts w:hint="eastAsia"/>
                <w:color w:val="auto"/>
                <w:highlight w:val="none"/>
                <w:u w:val="single"/>
              </w:rPr>
              <w:t xml:space="preserve">   </w:t>
            </w:r>
            <w:r>
              <w:rPr>
                <w:color w:val="auto"/>
                <w:highlight w:val="none"/>
                <w:u w:val="single"/>
              </w:rPr>
              <w:t>年</w:t>
            </w:r>
            <w:r>
              <w:rPr>
                <w:rFonts w:hint="eastAsia"/>
                <w:color w:val="auto"/>
                <w:highlight w:val="none"/>
                <w:u w:val="single"/>
              </w:rPr>
              <w:t xml:space="preserve">   </w:t>
            </w:r>
            <w:r>
              <w:rPr>
                <w:color w:val="auto"/>
                <w:highlight w:val="none"/>
                <w:u w:val="single"/>
              </w:rPr>
              <w:t>月</w:t>
            </w:r>
            <w:r>
              <w:rPr>
                <w:rFonts w:hint="eastAsia"/>
                <w:color w:val="auto"/>
                <w:highlight w:val="none"/>
                <w:u w:val="single"/>
              </w:rPr>
              <w:t xml:space="preserve">  </w:t>
            </w:r>
            <w:r>
              <w:rPr>
                <w:color w:val="auto"/>
                <w:highlight w:val="none"/>
                <w:u w:val="single"/>
              </w:rPr>
              <w:t>日</w:t>
            </w:r>
            <w:r>
              <w:rPr>
                <w:rFonts w:hint="eastAsia"/>
                <w:color w:val="auto"/>
                <w:highlight w:val="none"/>
              </w:rPr>
              <w:t>起</w:t>
            </w:r>
            <w:r>
              <w:rPr>
                <w:color w:val="auto"/>
                <w:highlight w:val="none"/>
              </w:rPr>
              <w:t>至</w:t>
            </w:r>
            <w:r>
              <w:rPr>
                <w:rFonts w:hint="eastAsia"/>
                <w:color w:val="auto"/>
                <w:highlight w:val="none"/>
                <w:u w:val="single"/>
              </w:rPr>
              <w:t xml:space="preserve">   </w:t>
            </w:r>
            <w:r>
              <w:rPr>
                <w:color w:val="auto"/>
                <w:highlight w:val="none"/>
                <w:u w:val="single"/>
              </w:rPr>
              <w:t>年</w:t>
            </w:r>
            <w:r>
              <w:rPr>
                <w:rFonts w:hint="eastAsia"/>
                <w:color w:val="auto"/>
                <w:highlight w:val="none"/>
                <w:u w:val="single"/>
              </w:rPr>
              <w:t xml:space="preserve">   </w:t>
            </w:r>
            <w:r>
              <w:rPr>
                <w:color w:val="auto"/>
                <w:highlight w:val="none"/>
                <w:u w:val="single"/>
              </w:rPr>
              <w:t>月</w:t>
            </w:r>
            <w:r>
              <w:rPr>
                <w:rFonts w:hint="eastAsia"/>
                <w:color w:val="auto"/>
                <w:highlight w:val="none"/>
                <w:u w:val="single"/>
              </w:rPr>
              <w:t xml:space="preserve">  </w:t>
            </w:r>
            <w:r>
              <w:rPr>
                <w:color w:val="auto"/>
                <w:highlight w:val="none"/>
                <w:u w:val="single"/>
              </w:rPr>
              <w:t>日</w:t>
            </w:r>
            <w:r>
              <w:rPr>
                <w:color w:val="auto"/>
                <w:highlight w:val="none"/>
              </w:rPr>
              <w:t xml:space="preserve">在 </w:t>
            </w:r>
            <w:r>
              <w:rPr>
                <w:rFonts w:eastAsia="楷体_GB2312"/>
                <w:color w:val="auto"/>
                <w:szCs w:val="24"/>
                <w:highlight w:val="none"/>
              </w:rPr>
              <w:t xml:space="preserve"> </w:t>
            </w:r>
            <w:r>
              <w:rPr>
                <w:rFonts w:hint="eastAsia" w:asciiTheme="minorEastAsia" w:hAnsiTheme="minorEastAsia" w:eastAsiaTheme="minorEastAsia" w:cstheme="minorEastAsia"/>
                <w:color w:val="auto"/>
                <w:szCs w:val="24"/>
                <w:highlight w:val="none"/>
              </w:rPr>
              <w:t>杭州</w:t>
            </w:r>
            <w:r>
              <w:rPr>
                <w:rFonts w:eastAsia="楷体_GB2312"/>
                <w:color w:val="auto"/>
                <w:szCs w:val="24"/>
                <w:highlight w:val="none"/>
              </w:rPr>
              <w:t xml:space="preserve"> </w:t>
            </w:r>
            <w:r>
              <w:rPr>
                <w:color w:val="auto"/>
                <w:szCs w:val="24"/>
                <w:highlight w:val="none"/>
              </w:rPr>
              <w:t xml:space="preserve"> </w:t>
            </w:r>
            <w:r>
              <w:rPr>
                <w:color w:val="auto"/>
                <w:highlight w:val="none"/>
              </w:rPr>
              <w:t>市</w:t>
            </w:r>
            <w:r>
              <w:rPr>
                <w:rFonts w:eastAsia="仿宋_GB2312"/>
                <w:color w:val="auto"/>
                <w:highlight w:val="none"/>
              </w:rPr>
              <w:t xml:space="preserve"> </w:t>
            </w:r>
            <w:r>
              <w:rPr>
                <w:color w:val="auto"/>
                <w:highlight w:val="none"/>
              </w:rPr>
              <w:t>(地点)履行。</w:t>
            </w:r>
          </w:p>
          <w:p>
            <w:pPr>
              <w:autoSpaceDE/>
              <w:autoSpaceDN/>
              <w:spacing w:line="336" w:lineRule="auto"/>
              <w:ind w:firstLine="420" w:firstLineChars="200"/>
              <w:textAlignment w:val="auto"/>
              <w:rPr>
                <w:rFonts w:hint="eastAsia" w:eastAsia="宋体"/>
                <w:color w:val="auto"/>
                <w:szCs w:val="24"/>
                <w:highlight w:val="none"/>
                <w:lang w:val="en-US" w:eastAsia="zh-CN"/>
              </w:rPr>
            </w:pPr>
            <w:r>
              <w:rPr>
                <w:color w:val="auto"/>
                <w:szCs w:val="24"/>
                <w:highlight w:val="none"/>
              </w:rPr>
              <w:t>本合同的履行方式：</w:t>
            </w:r>
          </w:p>
          <w:p>
            <w:pPr>
              <w:pStyle w:val="2"/>
              <w:rPr>
                <w:rFonts w:hint="eastAsia"/>
                <w:color w:val="auto"/>
                <w:highlight w:val="none"/>
                <w:lang w:eastAsia="zh-CN"/>
              </w:rPr>
            </w:pPr>
          </w:p>
          <w:p>
            <w:pPr>
              <w:spacing w:line="480" w:lineRule="exact"/>
              <w:ind w:right="111" w:firstLine="420" w:firstLineChars="200"/>
              <w:rPr>
                <w:rFonts w:eastAsia="黑体"/>
                <w:color w:val="auto"/>
                <w:highlight w:val="none"/>
              </w:rPr>
            </w:pPr>
            <w:r>
              <w:rPr>
                <w:rFonts w:eastAsia="黑体"/>
                <w:color w:val="auto"/>
                <w:highlight w:val="none"/>
              </w:rPr>
              <w:t>三、委托方的协作事项：</w:t>
            </w:r>
          </w:p>
          <w:p>
            <w:pPr>
              <w:snapToGrid w:val="0"/>
              <w:spacing w:line="360" w:lineRule="auto"/>
              <w:ind w:right="227" w:firstLine="420" w:firstLineChars="200"/>
              <w:rPr>
                <w:color w:val="auto"/>
                <w:szCs w:val="24"/>
                <w:highlight w:val="none"/>
              </w:rPr>
            </w:pPr>
            <w:r>
              <w:rPr>
                <w:color w:val="auto"/>
                <w:szCs w:val="24"/>
                <w:highlight w:val="none"/>
              </w:rPr>
              <w:t xml:space="preserve">在合同生效后 </w:t>
            </w:r>
            <w:r>
              <w:rPr>
                <w:rFonts w:eastAsia="仿宋_GB2312"/>
                <w:color w:val="auto"/>
                <w:szCs w:val="24"/>
                <w:highlight w:val="none"/>
              </w:rPr>
              <w:t xml:space="preserve">      </w:t>
            </w:r>
            <w:r>
              <w:rPr>
                <w:rFonts w:eastAsia="楷体_GB2312"/>
                <w:b/>
                <w:color w:val="auto"/>
                <w:szCs w:val="24"/>
                <w:highlight w:val="none"/>
              </w:rPr>
              <w:t>根据各项工作计划时间</w:t>
            </w:r>
            <w:r>
              <w:rPr>
                <w:rFonts w:eastAsia="仿宋_GB2312"/>
                <w:color w:val="auto"/>
                <w:szCs w:val="24"/>
                <w:highlight w:val="none"/>
              </w:rPr>
              <w:t xml:space="preserve">     </w:t>
            </w:r>
            <w:r>
              <w:rPr>
                <w:color w:val="auto"/>
                <w:szCs w:val="24"/>
                <w:highlight w:val="none"/>
              </w:rPr>
              <w:t>（时间）内，委托方应向</w:t>
            </w:r>
            <w:r>
              <w:rPr>
                <w:rFonts w:hint="eastAsia"/>
                <w:color w:val="auto"/>
                <w:szCs w:val="24"/>
                <w:highlight w:val="none"/>
              </w:rPr>
              <w:t>服务</w:t>
            </w:r>
            <w:r>
              <w:rPr>
                <w:color w:val="auto"/>
                <w:szCs w:val="24"/>
                <w:highlight w:val="none"/>
              </w:rPr>
              <w:t>方提供下列资料和工作条件：</w:t>
            </w:r>
          </w:p>
          <w:p>
            <w:pPr>
              <w:snapToGrid w:val="0"/>
              <w:spacing w:line="360" w:lineRule="auto"/>
              <w:ind w:right="227" w:firstLine="420" w:firstLineChars="200"/>
              <w:rPr>
                <w:rFonts w:eastAsia="楷体_GB2312"/>
                <w:b/>
                <w:color w:val="auto"/>
                <w:szCs w:val="24"/>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pPr>
              <w:rPr>
                <w:color w:val="auto"/>
                <w:highlight w:val="none"/>
              </w:rPr>
            </w:pPr>
          </w:p>
          <w:p>
            <w:pPr>
              <w:spacing w:line="480" w:lineRule="exact"/>
              <w:ind w:right="111" w:firstLine="420" w:firstLineChars="200"/>
              <w:rPr>
                <w:rFonts w:eastAsia="黑体"/>
                <w:color w:val="auto"/>
                <w:highlight w:val="none"/>
              </w:rPr>
            </w:pPr>
            <w:r>
              <w:rPr>
                <w:rFonts w:eastAsia="黑体"/>
                <w:color w:val="auto"/>
                <w:highlight w:val="none"/>
              </w:rPr>
              <w:t>四、*技术情报和资料的保密：</w:t>
            </w:r>
          </w:p>
          <w:p>
            <w:pPr>
              <w:spacing w:line="480" w:lineRule="exact"/>
              <w:ind w:right="111" w:firstLine="420" w:firstLineChars="200"/>
              <w:rPr>
                <w:color w:val="auto"/>
                <w:szCs w:val="24"/>
                <w:highlight w:val="none"/>
              </w:rPr>
            </w:pPr>
            <w:r>
              <w:rPr>
                <w:rFonts w:hint="eastAsia"/>
                <w:color w:val="auto"/>
                <w:szCs w:val="24"/>
                <w:highlight w:val="none"/>
              </w:rPr>
              <w:t>服务方提供的技术成果和委托方提供的技术资料双方共享，但未经双方同意，不得擅自提供给与本项目无关的第三方。</w:t>
            </w:r>
          </w:p>
          <w:p>
            <w:pPr>
              <w:spacing w:line="480" w:lineRule="exact"/>
              <w:ind w:right="111" w:firstLine="420" w:firstLineChars="200"/>
              <w:rPr>
                <w:color w:val="auto"/>
                <w:szCs w:val="24"/>
                <w:highlight w:val="none"/>
              </w:rPr>
            </w:pPr>
            <w:r>
              <w:rPr>
                <w:rFonts w:hint="eastAsia"/>
                <w:color w:val="auto"/>
                <w:szCs w:val="24"/>
                <w:highlight w:val="none"/>
              </w:rPr>
              <w:t>本合同变更、解除及终止，本条款均有效。</w:t>
            </w:r>
          </w:p>
          <w:p>
            <w:pPr>
              <w:rPr>
                <w:color w:val="auto"/>
                <w:highlight w:val="none"/>
              </w:rPr>
            </w:pPr>
          </w:p>
          <w:p>
            <w:pPr>
              <w:spacing w:line="480" w:lineRule="exact"/>
              <w:ind w:right="111" w:firstLine="420" w:firstLineChars="200"/>
              <w:rPr>
                <w:rFonts w:eastAsia="黑体"/>
                <w:color w:val="auto"/>
                <w:highlight w:val="none"/>
              </w:rPr>
            </w:pPr>
            <w:r>
              <w:rPr>
                <w:rFonts w:eastAsia="黑体"/>
                <w:color w:val="auto"/>
                <w:highlight w:val="none"/>
              </w:rPr>
              <w:t>五、验收、评价方法：</w:t>
            </w:r>
          </w:p>
          <w:p>
            <w:pPr>
              <w:spacing w:line="360" w:lineRule="auto"/>
              <w:ind w:right="91" w:firstLine="420" w:firstLineChars="200"/>
              <w:rPr>
                <w:color w:val="auto"/>
                <w:szCs w:val="24"/>
                <w:highlight w:val="none"/>
              </w:rPr>
            </w:pPr>
            <w:r>
              <w:rPr>
                <w:color w:val="auto"/>
                <w:szCs w:val="24"/>
                <w:highlight w:val="none"/>
              </w:rPr>
              <w:t>本项目采用</w:t>
            </w:r>
            <w:r>
              <w:rPr>
                <w:color w:val="auto"/>
                <w:szCs w:val="24"/>
                <w:highlight w:val="none"/>
                <w:u w:val="single"/>
              </w:rPr>
              <w:t xml:space="preserve">  </w:t>
            </w:r>
            <w:r>
              <w:rPr>
                <w:rFonts w:hint="eastAsia"/>
                <w:color w:val="auto"/>
                <w:szCs w:val="24"/>
                <w:highlight w:val="none"/>
                <w:u w:val="single"/>
              </w:rPr>
              <w:t>（1）</w:t>
            </w:r>
            <w:r>
              <w:rPr>
                <w:rFonts w:eastAsia="仿宋_GB2312"/>
                <w:b/>
                <w:bCs/>
                <w:color w:val="auto"/>
                <w:spacing w:val="32"/>
                <w:szCs w:val="24"/>
                <w:highlight w:val="none"/>
                <w:u w:val="single"/>
              </w:rPr>
              <w:t xml:space="preserve"> </w:t>
            </w:r>
            <w:r>
              <w:rPr>
                <w:color w:val="auto"/>
                <w:szCs w:val="24"/>
                <w:highlight w:val="none"/>
              </w:rPr>
              <w:t>方式验收，</w:t>
            </w:r>
            <w:r>
              <w:rPr>
                <w:rFonts w:hint="eastAsia"/>
                <w:color w:val="auto"/>
                <w:szCs w:val="24"/>
                <w:highlight w:val="none"/>
              </w:rPr>
              <w:t>由</w:t>
            </w:r>
            <w:r>
              <w:rPr>
                <w:rFonts w:hint="eastAsia"/>
                <w:color w:val="auto"/>
                <w:szCs w:val="24"/>
                <w:highlight w:val="none"/>
                <w:u w:val="single"/>
              </w:rPr>
              <w:t xml:space="preserve"> 委托 </w:t>
            </w:r>
            <w:r>
              <w:rPr>
                <w:rFonts w:hint="eastAsia"/>
                <w:color w:val="auto"/>
                <w:szCs w:val="24"/>
                <w:highlight w:val="none"/>
              </w:rPr>
              <w:t>方出具技术咨询验收证明。</w:t>
            </w:r>
          </w:p>
          <w:p>
            <w:pPr>
              <w:spacing w:line="360" w:lineRule="auto"/>
              <w:ind w:right="91" w:firstLine="420" w:firstLineChars="200"/>
              <w:rPr>
                <w:color w:val="auto"/>
                <w:szCs w:val="24"/>
                <w:highlight w:val="none"/>
              </w:rPr>
            </w:pPr>
            <w:r>
              <w:rPr>
                <w:color w:val="auto"/>
                <w:szCs w:val="24"/>
                <w:highlight w:val="none"/>
              </w:rPr>
              <w:t>验收、评价方法：</w:t>
            </w:r>
          </w:p>
          <w:p>
            <w:pPr>
              <w:autoSpaceDE/>
              <w:autoSpaceDN/>
              <w:spacing w:before="120" w:line="360" w:lineRule="auto"/>
              <w:ind w:right="333" w:firstLine="422" w:firstLineChars="200"/>
              <w:rPr>
                <w:rFonts w:eastAsia="楷体_GB2312"/>
                <w:color w:val="auto"/>
                <w:spacing w:val="-6"/>
                <w:sz w:val="28"/>
                <w:szCs w:val="24"/>
                <w:highlight w:val="none"/>
              </w:rPr>
            </w:pPr>
            <w:r>
              <w:rPr>
                <w:rFonts w:eastAsia="楷体_GB2312"/>
                <w:b/>
                <w:bCs/>
                <w:color w:val="auto"/>
                <w:szCs w:val="24"/>
                <w:highlight w:val="none"/>
              </w:rPr>
              <w:t>（</w:t>
            </w:r>
            <w:r>
              <w:rPr>
                <w:rFonts w:eastAsia="楷体_GB2312"/>
                <w:b/>
                <w:color w:val="auto"/>
                <w:szCs w:val="24"/>
                <w:highlight w:val="none"/>
              </w:rPr>
              <w:t>1）专家评审；（2）委托方直接认可；（3）其他方式（双方约定）</w:t>
            </w:r>
          </w:p>
          <w:p>
            <w:pPr>
              <w:rPr>
                <w:color w:val="auto"/>
                <w:highlight w:val="none"/>
              </w:rPr>
            </w:pPr>
          </w:p>
          <w:p>
            <w:pPr>
              <w:spacing w:line="480" w:lineRule="exact"/>
              <w:ind w:right="111" w:firstLine="420" w:firstLineChars="200"/>
              <w:rPr>
                <w:rFonts w:eastAsia="黑体"/>
                <w:color w:val="auto"/>
                <w:highlight w:val="none"/>
              </w:rPr>
            </w:pPr>
            <w:r>
              <w:rPr>
                <w:rFonts w:hint="eastAsia" w:eastAsia="黑体"/>
                <w:color w:val="auto"/>
                <w:highlight w:val="none"/>
              </w:rPr>
              <w:t>六</w:t>
            </w:r>
            <w:r>
              <w:rPr>
                <w:rFonts w:eastAsia="黑体"/>
                <w:color w:val="auto"/>
                <w:highlight w:val="none"/>
              </w:rPr>
              <w:t>、报酬及其支付方式：</w:t>
            </w:r>
          </w:p>
          <w:p>
            <w:pPr>
              <w:spacing w:line="360" w:lineRule="auto"/>
              <w:ind w:left="120" w:right="92" w:firstLine="39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(一)本项目报酬(服务费或咨询费)</w:t>
            </w:r>
            <w:r>
              <w:rPr>
                <w:color w:val="auto"/>
                <w:szCs w:val="21"/>
                <w:highlight w:val="none"/>
              </w:rPr>
              <w:t>：</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360" w:lineRule="auto"/>
              <w:ind w:left="120" w:right="92" w:firstLine="39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服务方进行调查研究、分析论证、试验测定的经费为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方负担（此项经费如包含在服务费中则不再单列）</w:t>
            </w:r>
          </w:p>
          <w:p>
            <w:pPr>
              <w:spacing w:line="336" w:lineRule="auto"/>
              <w:ind w:left="120" w:right="92" w:firstLine="251"/>
              <w:rPr>
                <w:color w:val="auto"/>
                <w:szCs w:val="21"/>
                <w:highlight w:val="none"/>
              </w:rPr>
            </w:pPr>
            <w:r>
              <w:rPr>
                <w:color w:val="auto"/>
                <w:szCs w:val="21"/>
                <w:highlight w:val="none"/>
              </w:rPr>
              <w:t>（</w:t>
            </w:r>
            <w:r>
              <w:rPr>
                <w:rFonts w:hint="eastAsia"/>
                <w:color w:val="auto"/>
                <w:szCs w:val="21"/>
                <w:highlight w:val="none"/>
              </w:rPr>
              <w:t>二</w:t>
            </w:r>
            <w:r>
              <w:rPr>
                <w:color w:val="auto"/>
                <w:szCs w:val="21"/>
                <w:highlight w:val="none"/>
              </w:rPr>
              <w:t>）支付方式(采用以下第  ②  种方式)：</w:t>
            </w:r>
          </w:p>
          <w:p>
            <w:pPr>
              <w:spacing w:line="336" w:lineRule="auto"/>
              <w:ind w:right="92" w:firstLine="420" w:firstLineChars="200"/>
              <w:rPr>
                <w:rFonts w:eastAsia="仿宋_GB2312"/>
                <w:color w:val="auto"/>
                <w:szCs w:val="21"/>
                <w:highlight w:val="none"/>
              </w:rPr>
            </w:pPr>
            <w:r>
              <w:rPr>
                <w:color w:val="auto"/>
                <w:szCs w:val="21"/>
                <w:highlight w:val="none"/>
                <w:lang w:eastAsia="ja-JP"/>
              </w:rPr>
              <w:t>①</w:t>
            </w:r>
            <w:r>
              <w:rPr>
                <w:color w:val="auto"/>
                <w:szCs w:val="21"/>
                <w:highlight w:val="none"/>
              </w:rPr>
              <w:t xml:space="preserve">一次总付：      </w:t>
            </w:r>
            <w:r>
              <w:rPr>
                <w:rFonts w:eastAsia="仿宋_GB2312"/>
                <w:color w:val="auto"/>
                <w:szCs w:val="21"/>
                <w:highlight w:val="none"/>
              </w:rPr>
              <w:t xml:space="preserve">      </w:t>
            </w:r>
            <w:r>
              <w:rPr>
                <w:rFonts w:eastAsia="仿宋_GB2312"/>
                <w:bCs/>
                <w:color w:val="auto"/>
                <w:szCs w:val="21"/>
                <w:highlight w:val="none"/>
              </w:rPr>
              <w:t>元</w:t>
            </w:r>
            <w:r>
              <w:rPr>
                <w:color w:val="auto"/>
                <w:szCs w:val="21"/>
                <w:highlight w:val="none"/>
              </w:rPr>
              <w:t>，时间：</w:t>
            </w:r>
            <w:r>
              <w:rPr>
                <w:rFonts w:eastAsia="仿宋_GB2312"/>
                <w:color w:val="auto"/>
                <w:szCs w:val="21"/>
                <w:highlight w:val="none"/>
              </w:rPr>
              <w:t xml:space="preserve"> </w:t>
            </w:r>
          </w:p>
          <w:p>
            <w:pPr>
              <w:spacing w:line="360" w:lineRule="auto"/>
              <w:ind w:firstLine="420" w:firstLineChars="200"/>
              <w:rPr>
                <w:color w:val="auto"/>
                <w:szCs w:val="21"/>
                <w:highlight w:val="none"/>
              </w:rPr>
            </w:pPr>
            <w:r>
              <w:rPr>
                <w:color w:val="auto"/>
                <w:szCs w:val="21"/>
                <w:highlight w:val="none"/>
                <w:lang w:eastAsia="ja-JP"/>
              </w:rPr>
              <w:t>②</w:t>
            </w:r>
            <w:r>
              <w:rPr>
                <w:color w:val="auto"/>
                <w:szCs w:val="21"/>
                <w:highlight w:val="none"/>
              </w:rPr>
              <w:t>分期支付：</w:t>
            </w:r>
          </w:p>
          <w:p>
            <w:pPr>
              <w:numPr>
                <w:ilvl w:val="0"/>
                <w:numId w:val="16"/>
              </w:numPr>
              <w:spacing w:after="120"/>
              <w:ind w:firstLine="420" w:firstLineChars="200"/>
              <w:rPr>
                <w:color w:val="auto"/>
                <w:szCs w:val="21"/>
                <w:highlight w:val="none"/>
              </w:rPr>
            </w:pPr>
            <w:r>
              <w:rPr>
                <w:rFonts w:hint="eastAsia"/>
                <w:color w:val="auto"/>
                <w:szCs w:val="21"/>
                <w:highlight w:val="none"/>
              </w:rPr>
              <w:t>合同签订后，15个工作日内支付合同总价</w:t>
            </w:r>
            <w:r>
              <w:rPr>
                <w:rFonts w:hint="eastAsia"/>
                <w:color w:val="auto"/>
                <w:szCs w:val="21"/>
                <w:highlight w:val="none"/>
                <w:lang w:val="en-US" w:eastAsia="zh-CN"/>
              </w:rPr>
              <w:t>50</w:t>
            </w:r>
            <w:r>
              <w:rPr>
                <w:rFonts w:hint="eastAsia"/>
                <w:color w:val="auto"/>
                <w:szCs w:val="21"/>
                <w:highlight w:val="none"/>
              </w:rPr>
              <w:t>%金额，计</w:t>
            </w:r>
            <w:r>
              <w:rPr>
                <w:rFonts w:hint="eastAsia"/>
                <w:color w:val="auto"/>
                <w:szCs w:val="21"/>
                <w:highlight w:val="none"/>
                <w:u w:val="single"/>
              </w:rPr>
              <w:t xml:space="preserve">      </w:t>
            </w:r>
            <w:r>
              <w:rPr>
                <w:rFonts w:hint="eastAsia"/>
                <w:color w:val="auto"/>
                <w:szCs w:val="21"/>
                <w:highlight w:val="none"/>
              </w:rPr>
              <w:t>元整（￥</w:t>
            </w:r>
            <w:r>
              <w:rPr>
                <w:rFonts w:hint="eastAsia"/>
                <w:color w:val="auto"/>
                <w:szCs w:val="21"/>
                <w:highlight w:val="none"/>
                <w:u w:val="single"/>
              </w:rPr>
              <w:t xml:space="preserve">      </w:t>
            </w:r>
            <w:r>
              <w:rPr>
                <w:rFonts w:hint="eastAsia"/>
                <w:color w:val="auto"/>
                <w:szCs w:val="21"/>
                <w:highlight w:val="none"/>
              </w:rPr>
              <w:t>元），</w:t>
            </w:r>
            <w:r>
              <w:rPr>
                <w:rFonts w:hint="eastAsia"/>
                <w:color w:val="auto"/>
                <w:szCs w:val="21"/>
                <w:highlight w:val="none"/>
                <w:lang w:val="en-US" w:eastAsia="zh-CN"/>
              </w:rPr>
              <w:t>乙方</w:t>
            </w:r>
            <w:r>
              <w:rPr>
                <w:rFonts w:hint="eastAsia"/>
                <w:color w:val="auto"/>
                <w:szCs w:val="21"/>
                <w:highlight w:val="none"/>
              </w:rPr>
              <w:t>应在收到货款后及时结清“前期运维费”；</w:t>
            </w:r>
          </w:p>
          <w:p>
            <w:pPr>
              <w:numPr>
                <w:ilvl w:val="0"/>
                <w:numId w:val="16"/>
              </w:numPr>
              <w:spacing w:after="120"/>
              <w:ind w:firstLine="420" w:firstLineChars="200"/>
              <w:rPr>
                <w:color w:val="auto"/>
                <w:szCs w:val="21"/>
                <w:highlight w:val="none"/>
              </w:rPr>
            </w:pPr>
            <w:r>
              <w:rPr>
                <w:rFonts w:hint="eastAsia"/>
                <w:color w:val="auto"/>
                <w:szCs w:val="21"/>
                <w:highlight w:val="none"/>
              </w:rPr>
              <w:t>2026年</w:t>
            </w:r>
            <w:r>
              <w:rPr>
                <w:rFonts w:hint="eastAsia"/>
                <w:color w:val="auto"/>
                <w:szCs w:val="21"/>
                <w:highlight w:val="none"/>
                <w:lang w:val="en-US" w:eastAsia="zh-CN"/>
              </w:rPr>
              <w:t>7</w:t>
            </w:r>
            <w:r>
              <w:rPr>
                <w:rFonts w:hint="eastAsia"/>
                <w:color w:val="auto"/>
                <w:szCs w:val="21"/>
                <w:highlight w:val="none"/>
              </w:rPr>
              <w:t>月30日前，15个工作日内支付合同总价</w:t>
            </w:r>
            <w:r>
              <w:rPr>
                <w:rFonts w:hint="eastAsia"/>
                <w:color w:val="auto"/>
                <w:szCs w:val="21"/>
                <w:highlight w:val="none"/>
                <w:lang w:val="en-US" w:eastAsia="zh-CN"/>
              </w:rPr>
              <w:t>25</w:t>
            </w:r>
            <w:r>
              <w:rPr>
                <w:rFonts w:hint="eastAsia"/>
                <w:color w:val="auto"/>
                <w:szCs w:val="21"/>
                <w:highlight w:val="none"/>
              </w:rPr>
              <w:t>%金额，计</w:t>
            </w:r>
            <w:r>
              <w:rPr>
                <w:rFonts w:hint="eastAsia"/>
                <w:color w:val="auto"/>
                <w:szCs w:val="21"/>
                <w:highlight w:val="none"/>
                <w:u w:val="single"/>
              </w:rPr>
              <w:t xml:space="preserve">      </w:t>
            </w:r>
            <w:r>
              <w:rPr>
                <w:rFonts w:hint="eastAsia"/>
                <w:color w:val="auto"/>
                <w:szCs w:val="21"/>
                <w:highlight w:val="none"/>
              </w:rPr>
              <w:t>元整（￥</w:t>
            </w:r>
            <w:r>
              <w:rPr>
                <w:rFonts w:hint="eastAsia"/>
                <w:color w:val="auto"/>
                <w:szCs w:val="21"/>
                <w:highlight w:val="none"/>
                <w:u w:val="single"/>
              </w:rPr>
              <w:t xml:space="preserve">      </w:t>
            </w:r>
            <w:r>
              <w:rPr>
                <w:rFonts w:hint="eastAsia"/>
                <w:color w:val="auto"/>
                <w:szCs w:val="21"/>
                <w:highlight w:val="none"/>
              </w:rPr>
              <w:t>元）；</w:t>
            </w:r>
          </w:p>
          <w:p>
            <w:pPr>
              <w:numPr>
                <w:ilvl w:val="0"/>
                <w:numId w:val="16"/>
              </w:numPr>
              <w:spacing w:after="120"/>
              <w:ind w:firstLine="420" w:firstLineChars="200"/>
              <w:rPr>
                <w:color w:val="auto"/>
                <w:szCs w:val="21"/>
                <w:highlight w:val="none"/>
              </w:rPr>
            </w:pPr>
            <w:r>
              <w:rPr>
                <w:rFonts w:hint="eastAsia"/>
                <w:color w:val="auto"/>
                <w:szCs w:val="21"/>
                <w:highlight w:val="none"/>
              </w:rPr>
              <w:t>2026年9月30日前，15个工作日内支付合同总价2</w:t>
            </w:r>
            <w:r>
              <w:rPr>
                <w:rFonts w:hint="eastAsia"/>
                <w:color w:val="auto"/>
                <w:szCs w:val="21"/>
                <w:highlight w:val="none"/>
                <w:lang w:val="en-US" w:eastAsia="zh-CN"/>
              </w:rPr>
              <w:t>3</w:t>
            </w:r>
            <w:r>
              <w:rPr>
                <w:rFonts w:hint="eastAsia"/>
                <w:color w:val="auto"/>
                <w:szCs w:val="21"/>
                <w:highlight w:val="none"/>
              </w:rPr>
              <w:t>%金额，计</w:t>
            </w:r>
            <w:r>
              <w:rPr>
                <w:rFonts w:hint="eastAsia"/>
                <w:color w:val="auto"/>
                <w:szCs w:val="21"/>
                <w:highlight w:val="none"/>
                <w:u w:val="single"/>
              </w:rPr>
              <w:t xml:space="preserve">      </w:t>
            </w:r>
            <w:r>
              <w:rPr>
                <w:rFonts w:hint="eastAsia"/>
                <w:color w:val="auto"/>
                <w:szCs w:val="21"/>
                <w:highlight w:val="none"/>
              </w:rPr>
              <w:t>元整（￥</w:t>
            </w:r>
            <w:r>
              <w:rPr>
                <w:rFonts w:hint="eastAsia"/>
                <w:color w:val="auto"/>
                <w:szCs w:val="21"/>
                <w:highlight w:val="none"/>
                <w:u w:val="single"/>
              </w:rPr>
              <w:t xml:space="preserve">      </w:t>
            </w:r>
            <w:r>
              <w:rPr>
                <w:rFonts w:hint="eastAsia"/>
                <w:color w:val="auto"/>
                <w:szCs w:val="21"/>
                <w:highlight w:val="none"/>
              </w:rPr>
              <w:t>元）；</w:t>
            </w:r>
          </w:p>
          <w:p>
            <w:pPr>
              <w:adjustRightInd w:val="0"/>
              <w:snapToGrid w:val="0"/>
              <w:spacing w:line="360" w:lineRule="auto"/>
              <w:ind w:firstLine="420" w:firstLineChars="200"/>
              <w:rPr>
                <w:rFonts w:hint="eastAsia"/>
                <w:color w:val="auto"/>
                <w:szCs w:val="21"/>
                <w:highlight w:val="none"/>
              </w:rPr>
            </w:pPr>
            <w:r>
              <w:rPr>
                <w:rFonts w:hint="eastAsia"/>
                <w:color w:val="auto"/>
                <w:szCs w:val="21"/>
                <w:highlight w:val="none"/>
                <w:lang w:val="en-US" w:eastAsia="zh-CN"/>
              </w:rPr>
              <w:t>（4）2027年一季度</w:t>
            </w:r>
            <w:r>
              <w:rPr>
                <w:rFonts w:hint="eastAsia"/>
                <w:color w:val="auto"/>
                <w:szCs w:val="21"/>
                <w:highlight w:val="none"/>
              </w:rPr>
              <w:t>乙方提交相关资料成果并验收通过后，甲方15个工作日内支付合同余款</w:t>
            </w:r>
            <w:r>
              <w:rPr>
                <w:rFonts w:hint="eastAsia"/>
                <w:color w:val="auto"/>
                <w:szCs w:val="21"/>
                <w:highlight w:val="none"/>
                <w:lang w:val="en-US" w:eastAsia="zh-CN"/>
              </w:rPr>
              <w:t>2</w:t>
            </w:r>
            <w:r>
              <w:rPr>
                <w:rFonts w:hint="eastAsia"/>
                <w:color w:val="auto"/>
                <w:szCs w:val="21"/>
                <w:highlight w:val="none"/>
              </w:rPr>
              <w:t>%，计</w:t>
            </w:r>
            <w:r>
              <w:rPr>
                <w:rFonts w:hint="eastAsia"/>
                <w:color w:val="auto"/>
                <w:szCs w:val="21"/>
                <w:highlight w:val="none"/>
                <w:u w:val="single"/>
              </w:rPr>
              <w:t xml:space="preserve">      </w:t>
            </w:r>
            <w:r>
              <w:rPr>
                <w:rFonts w:hint="eastAsia"/>
                <w:color w:val="auto"/>
                <w:szCs w:val="21"/>
                <w:highlight w:val="none"/>
              </w:rPr>
              <w:t>元整（￥</w:t>
            </w:r>
            <w:r>
              <w:rPr>
                <w:rFonts w:hint="eastAsia"/>
                <w:color w:val="auto"/>
                <w:szCs w:val="21"/>
                <w:highlight w:val="none"/>
                <w:u w:val="single"/>
              </w:rPr>
              <w:t xml:space="preserve">      </w:t>
            </w:r>
            <w:r>
              <w:rPr>
                <w:rFonts w:hint="eastAsia"/>
                <w:color w:val="auto"/>
                <w:szCs w:val="21"/>
                <w:highlight w:val="none"/>
              </w:rPr>
              <w:t>元）。</w:t>
            </w:r>
          </w:p>
          <w:p>
            <w:pPr>
              <w:spacing w:after="120"/>
              <w:ind w:firstLine="420" w:firstLineChars="200"/>
              <w:rPr>
                <w:rFonts w:hint="eastAsia"/>
                <w:color w:val="auto"/>
                <w:szCs w:val="21"/>
                <w:highlight w:val="none"/>
              </w:rPr>
            </w:pPr>
            <w:r>
              <w:rPr>
                <w:rFonts w:hint="eastAsia"/>
                <w:color w:val="auto"/>
                <w:szCs w:val="21"/>
                <w:highlight w:val="none"/>
              </w:rPr>
              <w:t>注：合同余款应扣除服务缺陷扣款（如有）</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“前期运维费”：为保证采购人监控设备的正常运行，自202</w:t>
            </w: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年1月1日至本项目合同签订后正式进场运维日为止的运维工作，采购人已安排原运维单位组织实施。该时间段运维费用按中标价以下列公式计算后由中标人支付给原运维单位。前期运维费用=202</w:t>
            </w: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年1月1日至合同签订后正式进场运维日的天数/365×中标价×(1-税率)。</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乙方同意：按202</w:t>
            </w: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年项目“前期运维费”的结算方式，由新中标单位支付202</w:t>
            </w: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年1月1日至采购人202</w:t>
            </w: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年运维项目合同签订前时段的运维服务费用。</w:t>
            </w:r>
          </w:p>
          <w:p>
            <w:pPr>
              <w:ind w:right="92" w:firstLine="420" w:firstLineChars="200"/>
              <w:rPr>
                <w:color w:val="auto"/>
                <w:szCs w:val="21"/>
                <w:highlight w:val="none"/>
              </w:rPr>
            </w:pPr>
            <w:r>
              <w:rPr>
                <w:color w:val="auto"/>
                <w:szCs w:val="21"/>
                <w:highlight w:val="none"/>
                <w:lang w:eastAsia="ja-JP"/>
              </w:rPr>
              <w:t>③</w:t>
            </w:r>
            <w:r>
              <w:rPr>
                <w:color w:val="auto"/>
                <w:szCs w:val="21"/>
                <w:highlight w:val="none"/>
              </w:rPr>
              <w:t>其它方式：</w:t>
            </w:r>
            <w:r>
              <w:rPr>
                <w:rFonts w:hint="eastAsia"/>
                <w:color w:val="auto"/>
                <w:szCs w:val="21"/>
                <w:highlight w:val="none"/>
              </w:rPr>
              <w:t>/</w:t>
            </w:r>
            <w:r>
              <w:rPr>
                <w:color w:val="auto"/>
                <w:szCs w:val="21"/>
                <w:highlight w:val="none"/>
              </w:rPr>
              <w:t xml:space="preserve"> </w:t>
            </w:r>
            <w:r>
              <w:rPr>
                <w:color w:val="auto"/>
                <w:spacing w:val="20"/>
                <w:szCs w:val="21"/>
                <w:highlight w:val="none"/>
              </w:rPr>
              <w:t xml:space="preserve">      </w:t>
            </w:r>
            <w:r>
              <w:rPr>
                <w:color w:val="auto"/>
                <w:szCs w:val="21"/>
                <w:highlight w:val="none"/>
              </w:rPr>
              <w:t xml:space="preserve">   </w:t>
            </w:r>
            <w:r>
              <w:rPr>
                <w:rFonts w:ascii="Times New Roman" w:hAnsi="Times New Roman" w:eastAsia="宋体" w:cs="Times New Roman"/>
                <w:color w:val="auto"/>
                <w:szCs w:val="21"/>
                <w:highlight w:val="none"/>
              </w:rPr>
              <w:t xml:space="preserve"> 元，</w:t>
            </w:r>
            <w:r>
              <w:rPr>
                <w:color w:val="auto"/>
                <w:szCs w:val="21"/>
                <w:highlight w:val="none"/>
              </w:rPr>
              <w:t>时间：</w:t>
            </w:r>
          </w:p>
          <w:p>
            <w:pPr>
              <w:rPr>
                <w:color w:val="auto"/>
                <w:highlight w:val="none"/>
              </w:rPr>
            </w:pPr>
          </w:p>
          <w:p>
            <w:pPr>
              <w:spacing w:line="480" w:lineRule="exact"/>
              <w:ind w:right="111" w:firstLine="420" w:firstLineChars="200"/>
              <w:rPr>
                <w:rFonts w:eastAsia="黑体"/>
                <w:color w:val="auto"/>
                <w:highlight w:val="none"/>
              </w:rPr>
            </w:pPr>
            <w:r>
              <w:rPr>
                <w:rFonts w:hint="eastAsia" w:eastAsia="黑体"/>
                <w:color w:val="auto"/>
                <w:highlight w:val="none"/>
              </w:rPr>
              <w:t>七、服务缺陷扣款</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color w:val="auto"/>
                <w:szCs w:val="24"/>
                <w:highlight w:val="none"/>
              </w:rPr>
              <w:t>（1）</w:t>
            </w:r>
            <w:r>
              <w:rPr>
                <w:rFonts w:hint="eastAsia" w:asciiTheme="minorEastAsia" w:hAnsiTheme="minorEastAsia" w:eastAsiaTheme="minorEastAsia" w:cstheme="minorEastAsia"/>
                <w:color w:val="auto"/>
                <w:szCs w:val="21"/>
                <w:highlight w:val="none"/>
              </w:rPr>
              <w:t>服务缺陷扣款金额上限为合同金额的2%，扣款在最后一期付款前一次性完成，具体扣款款项如下，5项可累加：</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注：因不可抗力或者施工、用电等原因，提交报备审批流程并获得管理单位审批认可，对应时间段不计入在线率考核。</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1）“单点在线率”低于70%的，按月统计，扣除该月该点的流量费用（按照24年单点约240元/月折算）。</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点在线率”计算公式：每10分钟监测一次单个视频监控点的图像在线情况，计算单点每月在线数和每月应在线数的比值。图像在线情况以“浙江省水利视频监控云平台”监测的数据为准。非中标方原因造成的视频点长时间不在线，由供应商提出书面的服务质量缺陷豁免申请，该点可不计入服务质量考核，业主方可要求中标方免费迁移该点位。</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2）“日常在线率”低于95%的，按月统计，总体在线率每少1%扣除1000元。</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“日常在线率”计算公式：合同内所有监控点每月的单点在线率平均值。更新点未上线前，仅计入运维点单点在线率。</w:t>
            </w:r>
          </w:p>
          <w:p>
            <w:pPr>
              <w:adjustRightInd w:val="0"/>
              <w:snapToGrid w:val="0"/>
              <w:spacing w:line="360" w:lineRule="auto"/>
              <w:ind w:firstLine="44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3）签订合同起30天内，所有站点视频监控必须全部接入浙江省水利视频监控云平台，每超期1天，扣除4000元/天。</w:t>
            </w:r>
          </w:p>
          <w:p>
            <w:pPr>
              <w:numPr>
                <w:ilvl w:val="0"/>
                <w:numId w:val="0"/>
              </w:numPr>
              <w:adjustRightInd w:val="0"/>
              <w:snapToGrid w:val="0"/>
              <w:spacing w:line="360" w:lineRule="auto"/>
              <w:ind w:firstLine="420" w:firstLineChars="200"/>
              <w:rPr>
                <w:color w:val="auto"/>
                <w:szCs w:val="21"/>
                <w:highlight w:val="none"/>
              </w:rPr>
            </w:pPr>
            <w:r>
              <w:rPr>
                <w:rFonts w:hint="eastAsia"/>
                <w:color w:val="auto"/>
                <w:szCs w:val="24"/>
                <w:highlight w:val="none"/>
              </w:rPr>
              <w:t>（2）</w:t>
            </w:r>
            <w:r>
              <w:rPr>
                <w:rFonts w:hint="eastAsia" w:asciiTheme="minorEastAsia" w:hAnsiTheme="minorEastAsia" w:eastAsiaTheme="minorEastAsia" w:cstheme="minorEastAsia"/>
                <w:color w:val="auto"/>
                <w:szCs w:val="21"/>
                <w:highlight w:val="none"/>
              </w:rPr>
              <w:t>发生重大网络安全生产责任事故、重大违约、累计服务缺陷扣款超过合同总价的2%，或参与运维人员存在重大风险的，甲方有权终止合同，扣除合同金额2%的全部金额，并根据事故责任大小提出索赔。</w:t>
            </w:r>
          </w:p>
          <w:p>
            <w:pPr>
              <w:rPr>
                <w:color w:val="auto"/>
                <w:highlight w:val="none"/>
              </w:rPr>
            </w:pPr>
          </w:p>
          <w:p>
            <w:pPr>
              <w:spacing w:line="480" w:lineRule="exact"/>
              <w:ind w:right="111" w:firstLine="420" w:firstLineChars="200"/>
              <w:rPr>
                <w:rFonts w:eastAsia="黑体"/>
                <w:color w:val="auto"/>
                <w:highlight w:val="none"/>
              </w:rPr>
            </w:pPr>
            <w:r>
              <w:rPr>
                <w:rFonts w:hint="eastAsia" w:eastAsia="黑体"/>
                <w:color w:val="auto"/>
                <w:highlight w:val="none"/>
                <w:lang w:val="en-US" w:eastAsia="zh-CN"/>
              </w:rPr>
              <w:t>八</w:t>
            </w:r>
            <w:r>
              <w:rPr>
                <w:rFonts w:hint="eastAsia" w:eastAsia="黑体"/>
                <w:color w:val="auto"/>
                <w:highlight w:val="none"/>
              </w:rPr>
              <w:t>、网络安全及处罚条款</w:t>
            </w:r>
          </w:p>
          <w:p>
            <w:pPr>
              <w:spacing w:line="360" w:lineRule="auto"/>
              <w:ind w:firstLine="420" w:firstLineChars="200"/>
              <w:rPr>
                <w:color w:val="auto"/>
                <w:szCs w:val="24"/>
                <w:highlight w:val="none"/>
              </w:rPr>
            </w:pPr>
            <w:r>
              <w:rPr>
                <w:rFonts w:hint="eastAsia"/>
                <w:color w:val="auto"/>
                <w:szCs w:val="24"/>
                <w:highlight w:val="none"/>
              </w:rPr>
              <w:t>（1）网络和数据安全责任</w:t>
            </w:r>
          </w:p>
          <w:p>
            <w:pPr>
              <w:spacing w:line="360" w:lineRule="auto"/>
              <w:ind w:firstLine="420" w:firstLineChars="200"/>
              <w:rPr>
                <w:color w:val="auto"/>
                <w:szCs w:val="24"/>
                <w:highlight w:val="none"/>
              </w:rPr>
            </w:pPr>
            <w:r>
              <w:rPr>
                <w:rFonts w:hint="eastAsia"/>
                <w:color w:val="auto"/>
                <w:szCs w:val="24"/>
                <w:highlight w:val="none"/>
              </w:rPr>
              <w:t>1）国家、省等重要活动保障期间，乙方必须落实7*24小时值班制度，落实值班值守人员和应急处置力量。</w:t>
            </w:r>
          </w:p>
          <w:p>
            <w:pPr>
              <w:spacing w:line="360" w:lineRule="auto"/>
              <w:ind w:firstLine="420" w:firstLineChars="200"/>
              <w:rPr>
                <w:color w:val="auto"/>
                <w:szCs w:val="24"/>
                <w:highlight w:val="none"/>
              </w:rPr>
            </w:pPr>
            <w:r>
              <w:rPr>
                <w:rFonts w:hint="eastAsia"/>
                <w:color w:val="auto"/>
                <w:szCs w:val="24"/>
                <w:highlight w:val="none"/>
              </w:rPr>
              <w:t>2）合同签订时，甲方同时和乙方签订《浙江省信息技术供应链安全标准补充协议》，乙方必须提交</w:t>
            </w:r>
            <w:r>
              <w:rPr>
                <w:rFonts w:hint="eastAsia"/>
                <w:color w:val="auto"/>
                <w:szCs w:val="24"/>
                <w:highlight w:val="none"/>
                <w:lang w:eastAsia="zh-CN"/>
              </w:rPr>
              <w:t>《</w:t>
            </w:r>
            <w:r>
              <w:rPr>
                <w:rFonts w:hint="eastAsia"/>
                <w:color w:val="auto"/>
                <w:szCs w:val="24"/>
                <w:highlight w:val="none"/>
              </w:rPr>
              <w:t>信息技术供应链企业网络和数据安全责任书</w:t>
            </w:r>
            <w:r>
              <w:rPr>
                <w:rFonts w:hint="eastAsia"/>
                <w:color w:val="auto"/>
                <w:szCs w:val="24"/>
                <w:highlight w:val="none"/>
                <w:lang w:eastAsia="zh-CN"/>
              </w:rPr>
              <w:t>》</w:t>
            </w:r>
            <w:r>
              <w:rPr>
                <w:rFonts w:hint="eastAsia"/>
                <w:color w:val="auto"/>
                <w:szCs w:val="24"/>
                <w:highlight w:val="none"/>
              </w:rPr>
              <w:t>，参与项目的网络和数据安全责任人，并提交所有参与项目的人员网络安全和保密责任书和背景审查资料，包括但不限于《技术服务人员网络数据安全保密承诺书》《开发运维服务人员背景审查表》。</w:t>
            </w:r>
          </w:p>
          <w:p>
            <w:pPr>
              <w:spacing w:line="360" w:lineRule="auto"/>
              <w:ind w:firstLine="420" w:firstLineChars="200"/>
              <w:rPr>
                <w:color w:val="auto"/>
                <w:szCs w:val="24"/>
                <w:highlight w:val="none"/>
              </w:rPr>
            </w:pPr>
            <w:r>
              <w:rPr>
                <w:rFonts w:hint="eastAsia"/>
                <w:color w:val="auto"/>
                <w:szCs w:val="24"/>
                <w:highlight w:val="none"/>
                <w:lang w:val="en-US" w:eastAsia="zh-CN"/>
              </w:rPr>
              <w:t>3</w:t>
            </w:r>
            <w:r>
              <w:rPr>
                <w:rFonts w:hint="eastAsia"/>
                <w:color w:val="auto"/>
                <w:szCs w:val="24"/>
                <w:highlight w:val="none"/>
              </w:rPr>
              <w:t>）乙方每季开展一次内部网络安全宣教</w:t>
            </w:r>
            <w:r>
              <w:rPr>
                <w:rFonts w:hint="eastAsia"/>
                <w:color w:val="auto"/>
                <w:szCs w:val="24"/>
                <w:highlight w:val="none"/>
                <w:lang w:eastAsia="zh-CN"/>
              </w:rPr>
              <w:t>，</w:t>
            </w:r>
            <w:r>
              <w:rPr>
                <w:rFonts w:hint="eastAsia"/>
                <w:color w:val="auto"/>
                <w:szCs w:val="24"/>
                <w:highlight w:val="none"/>
              </w:rPr>
              <w:t>对参与本项目人员开展网络和数据安全知识、职业道德、保密和法律法规等方面培训，强化警示教育，不断增强参与本项目人员的职业操守和法律观念。</w:t>
            </w:r>
          </w:p>
          <w:p>
            <w:pPr>
              <w:spacing w:line="360" w:lineRule="auto"/>
              <w:ind w:firstLine="420" w:firstLineChars="200"/>
              <w:rPr>
                <w:color w:val="auto"/>
                <w:szCs w:val="24"/>
                <w:highlight w:val="none"/>
              </w:rPr>
            </w:pPr>
            <w:r>
              <w:rPr>
                <w:rFonts w:hint="eastAsia"/>
                <w:color w:val="auto"/>
                <w:szCs w:val="24"/>
                <w:highlight w:val="none"/>
                <w:lang w:val="en-US" w:eastAsia="zh-CN"/>
              </w:rPr>
              <w:t>4</w:t>
            </w:r>
            <w:r>
              <w:rPr>
                <w:rFonts w:hint="eastAsia"/>
                <w:color w:val="auto"/>
                <w:szCs w:val="24"/>
                <w:highlight w:val="none"/>
              </w:rPr>
              <w:t>）乙方应严格遵守网络安全和保密相关法律、法规和规章制度，履行网络安全和保密义务，自愿接受网络安全和保密审查。</w:t>
            </w:r>
          </w:p>
          <w:p>
            <w:pPr>
              <w:spacing w:line="360" w:lineRule="auto"/>
              <w:ind w:firstLine="420" w:firstLineChars="200"/>
              <w:rPr>
                <w:color w:val="auto"/>
                <w:szCs w:val="24"/>
                <w:highlight w:val="none"/>
              </w:rPr>
            </w:pPr>
            <w:r>
              <w:rPr>
                <w:rFonts w:hint="eastAsia"/>
                <w:color w:val="auto"/>
                <w:szCs w:val="24"/>
                <w:highlight w:val="none"/>
                <w:lang w:val="en-US" w:eastAsia="zh-CN"/>
              </w:rPr>
              <w:t>5</w:t>
            </w:r>
            <w:r>
              <w:rPr>
                <w:rFonts w:hint="eastAsia"/>
                <w:color w:val="auto"/>
                <w:szCs w:val="24"/>
                <w:highlight w:val="none"/>
              </w:rPr>
              <w:t>）乙方应制定并落实网络和数据安全管理制度，根据国家有关标准的要求，落实必要的管理和技术措施，能够防止数据的泄漏、损毁、丢失、篡改。</w:t>
            </w:r>
          </w:p>
          <w:p>
            <w:pPr>
              <w:spacing w:line="360" w:lineRule="auto"/>
              <w:ind w:firstLine="420" w:firstLineChars="200"/>
              <w:rPr>
                <w:color w:val="auto"/>
                <w:szCs w:val="24"/>
                <w:highlight w:val="none"/>
              </w:rPr>
            </w:pPr>
            <w:r>
              <w:rPr>
                <w:rFonts w:hint="eastAsia"/>
                <w:color w:val="auto"/>
                <w:szCs w:val="24"/>
                <w:highlight w:val="none"/>
              </w:rPr>
              <w:t>（2）处罚条款</w:t>
            </w:r>
          </w:p>
          <w:p>
            <w:pPr>
              <w:spacing w:line="360" w:lineRule="auto"/>
              <w:ind w:firstLine="420" w:firstLineChars="200"/>
              <w:rPr>
                <w:color w:val="auto"/>
                <w:szCs w:val="24"/>
                <w:highlight w:val="none"/>
              </w:rPr>
            </w:pPr>
            <w:r>
              <w:rPr>
                <w:rFonts w:hint="eastAsia"/>
                <w:color w:val="auto"/>
                <w:szCs w:val="24"/>
                <w:highlight w:val="none"/>
              </w:rPr>
              <w:t>1）乙方因未落实网络和数据安全责任要求或管理不到位引发网络（系统、设备）瘫痪、数据丢失泄露等，给甲方造成损失的，扣除合同总价2%作为处罚金。</w:t>
            </w:r>
          </w:p>
          <w:p>
            <w:pPr>
              <w:spacing w:line="360" w:lineRule="auto"/>
              <w:ind w:firstLine="420" w:firstLineChars="200"/>
              <w:rPr>
                <w:color w:val="auto"/>
                <w:szCs w:val="24"/>
                <w:highlight w:val="none"/>
              </w:rPr>
            </w:pPr>
            <w:r>
              <w:rPr>
                <w:rFonts w:hint="eastAsia"/>
                <w:color w:val="auto"/>
                <w:szCs w:val="24"/>
                <w:highlight w:val="none"/>
              </w:rPr>
              <w:t>2）因乙方不当操作行为，引发重大网络或数据安全事件的，甲方有权单方终止合同，剩余款项将不予支付。</w:t>
            </w:r>
          </w:p>
          <w:p>
            <w:pPr>
              <w:rPr>
                <w:color w:val="auto"/>
                <w:highlight w:val="none"/>
              </w:rPr>
            </w:pPr>
          </w:p>
          <w:p>
            <w:pPr>
              <w:spacing w:before="120"/>
              <w:ind w:right="92" w:firstLine="420" w:firstLineChars="200"/>
              <w:rPr>
                <w:rFonts w:eastAsia="黑体"/>
                <w:color w:val="auto"/>
                <w:highlight w:val="none"/>
              </w:rPr>
            </w:pPr>
            <w:r>
              <w:rPr>
                <w:rFonts w:hint="eastAsia" w:eastAsia="黑体"/>
                <w:color w:val="auto"/>
                <w:highlight w:val="none"/>
                <w:lang w:val="en-US" w:eastAsia="zh-CN"/>
              </w:rPr>
              <w:t>九</w:t>
            </w:r>
            <w:r>
              <w:rPr>
                <w:rFonts w:hint="eastAsia" w:eastAsia="黑体"/>
                <w:color w:val="auto"/>
                <w:highlight w:val="none"/>
              </w:rPr>
              <w:t>、违约金或者损失赔偿额的计算方法：</w:t>
            </w:r>
          </w:p>
          <w:p>
            <w:pPr>
              <w:spacing w:line="336" w:lineRule="auto"/>
              <w:ind w:left="120" w:right="92" w:firstLine="390"/>
              <w:rPr>
                <w:color w:val="auto"/>
                <w:szCs w:val="24"/>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pPr>
              <w:spacing w:line="360" w:lineRule="auto"/>
              <w:ind w:left="119" w:right="91" w:firstLine="390"/>
              <w:rPr>
                <w:color w:val="auto"/>
                <w:highlight w:val="none"/>
              </w:rPr>
            </w:pPr>
            <w:r>
              <w:rPr>
                <w:rFonts w:hint="eastAsia"/>
                <w:color w:val="auto"/>
                <w:highlight w:val="none"/>
              </w:rPr>
              <w:t>（一）</w:t>
            </w:r>
            <w:r>
              <w:rPr>
                <w:color w:val="auto"/>
                <w:highlight w:val="none"/>
              </w:rPr>
              <w:t>违反本合同第</w:t>
            </w:r>
            <w:r>
              <w:rPr>
                <w:rFonts w:eastAsia="楷体_GB2312"/>
                <w:b/>
                <w:bCs/>
                <w:color w:val="auto"/>
                <w:highlight w:val="none"/>
              </w:rPr>
              <w:t>一、二、四、</w:t>
            </w:r>
            <w:r>
              <w:rPr>
                <w:rFonts w:hint="eastAsia" w:eastAsia="楷体_GB2312"/>
                <w:b/>
                <w:bCs/>
                <w:color w:val="auto"/>
                <w:highlight w:val="none"/>
                <w:lang w:val="en-US" w:eastAsia="zh-CN"/>
              </w:rPr>
              <w:t>八</w:t>
            </w:r>
            <w:r>
              <w:rPr>
                <w:color w:val="auto"/>
                <w:highlight w:val="none"/>
              </w:rPr>
              <w:t>条约定，</w:t>
            </w:r>
            <w:r>
              <w:rPr>
                <w:rFonts w:hint="eastAsia" w:eastAsia="楷体_GB2312"/>
                <w:b/>
                <w:bCs/>
                <w:color w:val="auto"/>
                <w:highlight w:val="none"/>
              </w:rPr>
              <w:t>服务</w:t>
            </w:r>
            <w:r>
              <w:rPr>
                <w:rFonts w:eastAsia="楷体_GB2312"/>
                <w:b/>
                <w:bCs/>
                <w:color w:val="auto"/>
                <w:highlight w:val="none"/>
              </w:rPr>
              <w:t>方</w:t>
            </w:r>
            <w:r>
              <w:rPr>
                <w:color w:val="auto"/>
                <w:highlight w:val="none"/>
              </w:rPr>
              <w:t>应当承担违约责任，承担方式和违约金额如下：</w:t>
            </w:r>
          </w:p>
          <w:p>
            <w:pPr>
              <w:spacing w:line="360" w:lineRule="auto"/>
              <w:ind w:left="119" w:right="91" w:firstLine="390"/>
              <w:rPr>
                <w:rFonts w:eastAsia="楷体_GB2312"/>
                <w:b/>
                <w:bCs/>
                <w:color w:val="auto"/>
                <w:highlight w:val="none"/>
              </w:rPr>
            </w:pPr>
            <w:r>
              <w:rPr>
                <w:rFonts w:eastAsia="楷体_GB2312"/>
                <w:b/>
                <w:bCs/>
                <w:color w:val="auto"/>
                <w:highlight w:val="none"/>
              </w:rPr>
              <w:t>按有关法律规定赔偿，但其金额不得超过本合同总金额。</w:t>
            </w:r>
          </w:p>
          <w:p>
            <w:pPr>
              <w:spacing w:line="360" w:lineRule="auto"/>
              <w:ind w:left="119" w:right="91" w:firstLine="390"/>
              <w:rPr>
                <w:color w:val="auto"/>
                <w:highlight w:val="none"/>
              </w:rPr>
            </w:pPr>
            <w:r>
              <w:rPr>
                <w:rFonts w:hint="eastAsia"/>
                <w:color w:val="auto"/>
                <w:highlight w:val="none"/>
              </w:rPr>
              <w:t>（二）</w:t>
            </w:r>
            <w:r>
              <w:rPr>
                <w:color w:val="auto"/>
                <w:highlight w:val="none"/>
              </w:rPr>
              <w:t>违反本合同第</w:t>
            </w:r>
            <w:r>
              <w:rPr>
                <w:rFonts w:eastAsia="楷体_GB2312"/>
                <w:b/>
                <w:bCs/>
                <w:color w:val="auto"/>
                <w:highlight w:val="none"/>
              </w:rPr>
              <w:t>四、五、六</w:t>
            </w:r>
            <w:r>
              <w:rPr>
                <w:color w:val="auto"/>
                <w:highlight w:val="none"/>
              </w:rPr>
              <w:t>条约定，</w:t>
            </w:r>
            <w:r>
              <w:rPr>
                <w:rFonts w:eastAsia="楷体_GB2312"/>
                <w:b/>
                <w:bCs/>
                <w:color w:val="auto"/>
                <w:highlight w:val="none"/>
              </w:rPr>
              <w:t>委托方</w:t>
            </w:r>
            <w:r>
              <w:rPr>
                <w:color w:val="auto"/>
                <w:highlight w:val="none"/>
              </w:rPr>
              <w:t>应当承担违约责任，承担方式和违约金额如下：</w:t>
            </w:r>
          </w:p>
          <w:p>
            <w:pPr>
              <w:autoSpaceDE/>
              <w:autoSpaceDN/>
              <w:ind w:left="119" w:right="91" w:firstLine="314" w:firstLineChars="149"/>
              <w:rPr>
                <w:rFonts w:eastAsia="楷体_GB2312"/>
                <w:b/>
                <w:bCs/>
                <w:color w:val="auto"/>
                <w:highlight w:val="none"/>
              </w:rPr>
            </w:pPr>
            <w:r>
              <w:rPr>
                <w:rFonts w:eastAsia="楷体_GB2312"/>
                <w:b/>
                <w:bCs/>
                <w:color w:val="auto"/>
                <w:highlight w:val="none"/>
              </w:rPr>
              <w:t>按有关法律规定赔偿，但其金额不得超过本合同总金额。</w:t>
            </w:r>
          </w:p>
          <w:p>
            <w:pPr>
              <w:rPr>
                <w:color w:val="auto"/>
                <w:highlight w:val="none"/>
              </w:rPr>
            </w:pPr>
          </w:p>
          <w:p>
            <w:pPr>
              <w:spacing w:line="480" w:lineRule="exact"/>
              <w:ind w:right="111" w:firstLine="420" w:firstLineChars="200"/>
              <w:rPr>
                <w:rFonts w:eastAsia="黑体"/>
                <w:color w:val="auto"/>
                <w:highlight w:val="none"/>
              </w:rPr>
            </w:pPr>
            <w:r>
              <w:rPr>
                <w:rFonts w:hint="eastAsia" w:eastAsia="黑体"/>
                <w:color w:val="auto"/>
                <w:highlight w:val="none"/>
                <w:lang w:val="en-US" w:eastAsia="zh-CN"/>
              </w:rPr>
              <w:t>十</w:t>
            </w:r>
            <w:r>
              <w:rPr>
                <w:rFonts w:eastAsia="黑体"/>
                <w:color w:val="auto"/>
                <w:highlight w:val="none"/>
              </w:rPr>
              <w:t>、争议的解决办法：</w:t>
            </w:r>
          </w:p>
          <w:p>
            <w:pPr>
              <w:spacing w:line="336" w:lineRule="auto"/>
              <w:ind w:left="120" w:right="92" w:firstLine="390"/>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pPr>
              <w:spacing w:line="336" w:lineRule="auto"/>
              <w:ind w:left="120" w:right="92" w:firstLine="390"/>
              <w:rPr>
                <w:color w:val="auto"/>
                <w:szCs w:val="24"/>
                <w:highlight w:val="none"/>
              </w:rPr>
            </w:pPr>
            <w:r>
              <w:rPr>
                <w:color w:val="auto"/>
                <w:szCs w:val="24"/>
                <w:highlight w:val="none"/>
              </w:rPr>
              <w:t>当事人不愿协商、调解解决或者协商、调解不成的，双方商定采用以下第</w:t>
            </w:r>
            <w:r>
              <w:rPr>
                <w:rFonts w:hint="eastAsia"/>
                <w:color w:val="auto"/>
                <w:szCs w:val="24"/>
                <w:highlight w:val="none"/>
                <w:u w:val="single"/>
              </w:rPr>
              <w:t xml:space="preserve"> （一） </w:t>
            </w:r>
            <w:r>
              <w:rPr>
                <w:color w:val="auto"/>
                <w:szCs w:val="24"/>
                <w:highlight w:val="none"/>
              </w:rPr>
              <w:t>种方式解决。</w:t>
            </w:r>
          </w:p>
          <w:p>
            <w:pPr>
              <w:spacing w:line="336" w:lineRule="auto"/>
              <w:ind w:left="120" w:right="92" w:firstLine="390"/>
              <w:rPr>
                <w:color w:val="auto"/>
                <w:szCs w:val="24"/>
                <w:highlight w:val="none"/>
              </w:rPr>
            </w:pPr>
            <w:r>
              <w:rPr>
                <w:rFonts w:hint="eastAsia"/>
                <w:color w:val="auto"/>
                <w:szCs w:val="24"/>
                <w:highlight w:val="none"/>
              </w:rPr>
              <w:t>（一）</w:t>
            </w:r>
            <w:r>
              <w:rPr>
                <w:color w:val="auto"/>
                <w:szCs w:val="24"/>
                <w:highlight w:val="none"/>
              </w:rPr>
              <w:t>因本合同所发生的任何争议，申请</w:t>
            </w:r>
            <w:r>
              <w:rPr>
                <w:rFonts w:hint="eastAsia"/>
                <w:color w:val="auto"/>
                <w:szCs w:val="24"/>
                <w:highlight w:val="none"/>
                <w:u w:val="single"/>
              </w:rPr>
              <w:t xml:space="preserve">  杭州  </w:t>
            </w:r>
            <w:r>
              <w:rPr>
                <w:color w:val="auto"/>
                <w:szCs w:val="24"/>
                <w:highlight w:val="none"/>
              </w:rPr>
              <w:t>仲裁委员会仲裁；</w:t>
            </w:r>
          </w:p>
          <w:p>
            <w:pPr>
              <w:spacing w:line="336" w:lineRule="auto"/>
              <w:ind w:left="120" w:right="92" w:firstLine="390"/>
              <w:rPr>
                <w:color w:val="auto"/>
                <w:szCs w:val="24"/>
                <w:highlight w:val="none"/>
              </w:rPr>
            </w:pPr>
            <w:r>
              <w:rPr>
                <w:rFonts w:hint="eastAsia"/>
                <w:color w:val="auto"/>
                <w:szCs w:val="24"/>
                <w:highlight w:val="none"/>
              </w:rPr>
              <w:t>（二）</w:t>
            </w:r>
            <w:r>
              <w:rPr>
                <w:color w:val="auto"/>
                <w:szCs w:val="24"/>
                <w:highlight w:val="none"/>
              </w:rPr>
              <w:t>按司法程序解决。</w:t>
            </w:r>
          </w:p>
          <w:p>
            <w:pPr>
              <w:rPr>
                <w:color w:val="auto"/>
                <w:highlight w:val="none"/>
              </w:rPr>
            </w:pPr>
          </w:p>
          <w:p>
            <w:pPr>
              <w:spacing w:line="480" w:lineRule="exact"/>
              <w:ind w:right="111" w:firstLine="420" w:firstLineChars="200"/>
              <w:rPr>
                <w:rFonts w:eastAsia="黑体"/>
                <w:color w:val="auto"/>
                <w:highlight w:val="none"/>
              </w:rPr>
            </w:pPr>
            <w:r>
              <w:rPr>
                <w:rFonts w:hint="eastAsia" w:eastAsia="黑体"/>
                <w:color w:val="auto"/>
                <w:highlight w:val="none"/>
              </w:rPr>
              <w:t>十</w:t>
            </w:r>
            <w:r>
              <w:rPr>
                <w:rFonts w:hint="eastAsia" w:eastAsia="黑体"/>
                <w:color w:val="auto"/>
                <w:highlight w:val="none"/>
                <w:lang w:val="en-US" w:eastAsia="zh-CN"/>
              </w:rPr>
              <w:t>一</w:t>
            </w:r>
            <w:r>
              <w:rPr>
                <w:rFonts w:eastAsia="黑体"/>
                <w:color w:val="auto"/>
                <w:highlight w:val="none"/>
              </w:rPr>
              <w:t>、*其它(含中介方的权利、义务、服务费及其支付方式、定金、财产抵押及担保等上述条款未尽事宜)：</w:t>
            </w:r>
          </w:p>
          <w:p>
            <w:pPr>
              <w:adjustRightInd/>
              <w:spacing w:line="360" w:lineRule="auto"/>
              <w:ind w:firstLine="420" w:firstLineChars="200"/>
              <w:rPr>
                <w:color w:val="auto"/>
                <w:highlight w:val="none"/>
              </w:rPr>
            </w:pPr>
            <w:r>
              <w:rPr>
                <w:rFonts w:hint="eastAsia"/>
                <w:color w:val="auto"/>
                <w:highlight w:val="none"/>
              </w:rPr>
              <w:t>（一）</w:t>
            </w:r>
            <w:r>
              <w:rPr>
                <w:color w:val="auto"/>
                <w:highlight w:val="none"/>
              </w:rPr>
              <w:t>本合同正本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份，副本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份。委托方执正本</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份，副本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份。服务方执正本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份，副本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份。鉴证方执副本壹份。</w:t>
            </w:r>
          </w:p>
          <w:p>
            <w:pPr>
              <w:adjustRightInd/>
              <w:spacing w:line="360" w:lineRule="auto"/>
              <w:ind w:firstLine="420" w:firstLineChars="200"/>
              <w:rPr>
                <w:color w:val="auto"/>
                <w:highlight w:val="none"/>
              </w:rPr>
            </w:pPr>
            <w:r>
              <w:rPr>
                <w:rFonts w:hint="eastAsia"/>
                <w:color w:val="auto"/>
                <w:highlight w:val="none"/>
              </w:rPr>
              <w:t>（二）约定服务方在履约过程中，除不可抗力，投标文件中的项目责任人和项目组主要成员不予更换。</w:t>
            </w:r>
          </w:p>
        </w:tc>
      </w:tr>
    </w:tbl>
    <w:p>
      <w:pPr>
        <w:rPr>
          <w:color w:val="auto"/>
          <w:highlight w:val="none"/>
        </w:rPr>
      </w:pPr>
      <w:r>
        <w:rPr>
          <w:color w:val="auto"/>
          <w:highlight w:val="none"/>
        </w:rPr>
        <w:br w:type="page"/>
      </w:r>
    </w:p>
    <w:tbl>
      <w:tblPr>
        <w:tblStyle w:val="63"/>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680"/>
        <w:gridCol w:w="2352"/>
        <w:gridCol w:w="408"/>
        <w:gridCol w:w="187"/>
        <w:gridCol w:w="53"/>
        <w:gridCol w:w="960"/>
        <w:gridCol w:w="127"/>
        <w:gridCol w:w="36"/>
        <w:gridCol w:w="77"/>
        <w:gridCol w:w="2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48" w:type="dxa"/>
            <w:vMerge w:val="restart"/>
            <w:tcBorders>
              <w:bottom w:val="nil"/>
            </w:tcBorders>
            <w:vAlign w:val="center"/>
          </w:tcPr>
          <w:p>
            <w:pPr>
              <w:spacing w:before="120" w:beforeLines="50" w:after="120" w:afterLines="50"/>
              <w:jc w:val="center"/>
              <w:rPr>
                <w:color w:val="auto"/>
                <w:sz w:val="21"/>
                <w:highlight w:val="none"/>
              </w:rPr>
            </w:pPr>
          </w:p>
          <w:p>
            <w:pPr>
              <w:spacing w:before="120" w:beforeLines="50" w:after="120" w:afterLines="50"/>
              <w:jc w:val="center"/>
              <w:rPr>
                <w:color w:val="auto"/>
                <w:sz w:val="21"/>
                <w:highlight w:val="none"/>
              </w:rPr>
            </w:pPr>
            <w:r>
              <w:rPr>
                <w:color w:val="auto"/>
                <w:sz w:val="21"/>
                <w:highlight w:val="none"/>
              </w:rPr>
              <w:t>委</w:t>
            </w:r>
          </w:p>
          <w:p>
            <w:pPr>
              <w:spacing w:before="120" w:beforeLines="50" w:after="120" w:afterLines="50"/>
              <w:jc w:val="center"/>
              <w:rPr>
                <w:color w:val="auto"/>
                <w:sz w:val="21"/>
                <w:highlight w:val="none"/>
              </w:rPr>
            </w:pPr>
            <w:r>
              <w:rPr>
                <w:color w:val="auto"/>
                <w:sz w:val="21"/>
                <w:highlight w:val="none"/>
              </w:rPr>
              <w:t>托</w:t>
            </w:r>
          </w:p>
          <w:p>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pPr>
              <w:spacing w:before="120" w:beforeLines="50" w:after="120" w:afterLines="50"/>
              <w:jc w:val="center"/>
              <w:rPr>
                <w:color w:val="auto"/>
                <w:sz w:val="21"/>
                <w:highlight w:val="none"/>
              </w:rPr>
            </w:pPr>
            <w:r>
              <w:rPr>
                <w:color w:val="auto"/>
                <w:sz w:val="21"/>
                <w:highlight w:val="none"/>
              </w:rPr>
              <w:t>名称(或姓名)</w:t>
            </w:r>
          </w:p>
        </w:tc>
        <w:tc>
          <w:tcPr>
            <w:tcW w:w="6814" w:type="dxa"/>
            <w:gridSpan w:val="9"/>
            <w:vAlign w:val="center"/>
          </w:tcPr>
          <w:p>
            <w:pPr>
              <w:spacing w:before="120" w:beforeLines="50" w:after="120" w:afterLines="50"/>
              <w:jc w:val="center"/>
              <w:rPr>
                <w:color w:val="auto"/>
                <w:sz w:val="21"/>
                <w:highlight w:val="none"/>
              </w:rPr>
            </w:pPr>
            <w:r>
              <w:rPr>
                <w:rFonts w:hint="eastAsia"/>
                <w:color w:val="auto"/>
                <w:sz w:val="21"/>
                <w:highlight w:val="none"/>
                <w:lang w:val="en-US" w:eastAsia="zh-CN"/>
              </w:rPr>
              <w:t>浙江省钱塘江流域中心</w:t>
            </w:r>
            <w:r>
              <w:rPr>
                <w:color w:val="auto"/>
                <w:sz w:val="21"/>
                <w:highlight w:val="none"/>
              </w:rPr>
              <w:t xml:space="preserve">   (签章)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法定代表人</w:t>
            </w:r>
          </w:p>
        </w:tc>
        <w:tc>
          <w:tcPr>
            <w:tcW w:w="3000" w:type="dxa"/>
            <w:gridSpan w:val="4"/>
            <w:vAlign w:val="center"/>
          </w:tcPr>
          <w:p>
            <w:pPr>
              <w:spacing w:before="120" w:beforeLines="50" w:after="120" w:afterLines="50"/>
              <w:jc w:val="right"/>
              <w:rPr>
                <w:color w:val="auto"/>
                <w:sz w:val="21"/>
                <w:highlight w:val="none"/>
              </w:rPr>
            </w:pPr>
            <w:r>
              <w:rPr>
                <w:color w:val="auto"/>
                <w:sz w:val="21"/>
                <w:highlight w:val="none"/>
              </w:rPr>
              <w:t>(签章)</w:t>
            </w:r>
          </w:p>
        </w:tc>
        <w:tc>
          <w:tcPr>
            <w:tcW w:w="1200" w:type="dxa"/>
            <w:gridSpan w:val="4"/>
            <w:vAlign w:val="center"/>
          </w:tcPr>
          <w:p>
            <w:pPr>
              <w:spacing w:before="120" w:beforeLines="50" w:after="120" w:afterLines="50"/>
              <w:jc w:val="center"/>
              <w:rPr>
                <w:color w:val="auto"/>
                <w:sz w:val="21"/>
                <w:highlight w:val="none"/>
              </w:rPr>
            </w:pPr>
            <w:r>
              <w:rPr>
                <w:color w:val="auto"/>
                <w:sz w:val="21"/>
                <w:highlight w:val="none"/>
              </w:rPr>
              <w:t>委托代理人</w:t>
            </w:r>
          </w:p>
        </w:tc>
        <w:tc>
          <w:tcPr>
            <w:tcW w:w="2614" w:type="dxa"/>
            <w:vAlign w:val="center"/>
          </w:tcPr>
          <w:p>
            <w:pPr>
              <w:spacing w:before="120" w:beforeLines="50" w:after="120" w:afterLines="50"/>
              <w:jc w:val="right"/>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联  系  人</w:t>
            </w:r>
          </w:p>
        </w:tc>
        <w:tc>
          <w:tcPr>
            <w:tcW w:w="6814" w:type="dxa"/>
            <w:gridSpan w:val="9"/>
            <w:vAlign w:val="center"/>
          </w:tcPr>
          <w:p>
            <w:pPr>
              <w:spacing w:before="120" w:beforeLines="50" w:after="120" w:afterLines="50"/>
              <w:jc w:val="center"/>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住      所</w:t>
            </w:r>
          </w:p>
          <w:p>
            <w:pPr>
              <w:spacing w:before="120" w:beforeLines="50" w:after="120" w:afterLines="50"/>
              <w:jc w:val="center"/>
              <w:rPr>
                <w:color w:val="auto"/>
                <w:sz w:val="21"/>
                <w:highlight w:val="none"/>
              </w:rPr>
            </w:pPr>
            <w:r>
              <w:rPr>
                <w:color w:val="auto"/>
                <w:sz w:val="21"/>
                <w:highlight w:val="none"/>
              </w:rPr>
              <w:t>(通讯地址)</w:t>
            </w:r>
          </w:p>
        </w:tc>
        <w:tc>
          <w:tcPr>
            <w:tcW w:w="6814" w:type="dxa"/>
            <w:gridSpan w:val="9"/>
            <w:vAlign w:val="center"/>
          </w:tcPr>
          <w:p>
            <w:pPr>
              <w:spacing w:before="120" w:beforeLines="50" w:after="120" w:afterLines="50"/>
              <w:jc w:val="center"/>
              <w:rPr>
                <w:rFonts w:eastAsia="楷体_GB2312"/>
                <w:color w:val="auto"/>
                <w:sz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电      话</w:t>
            </w:r>
          </w:p>
        </w:tc>
        <w:tc>
          <w:tcPr>
            <w:tcW w:w="2760" w:type="dxa"/>
            <w:gridSpan w:val="2"/>
            <w:vAlign w:val="center"/>
          </w:tcPr>
          <w:p>
            <w:pPr>
              <w:autoSpaceDE/>
              <w:autoSpaceDN/>
              <w:spacing w:before="120" w:beforeLines="50" w:after="120" w:afterLines="50"/>
              <w:jc w:val="center"/>
              <w:rPr>
                <w:rFonts w:eastAsia="楷体_GB2312"/>
                <w:color w:val="auto"/>
                <w:highlight w:val="none"/>
              </w:rPr>
            </w:pPr>
          </w:p>
        </w:tc>
        <w:tc>
          <w:tcPr>
            <w:tcW w:w="1200" w:type="dxa"/>
            <w:gridSpan w:val="3"/>
            <w:vAlign w:val="center"/>
          </w:tcPr>
          <w:p>
            <w:pPr>
              <w:spacing w:before="120" w:beforeLines="50" w:after="120" w:afterLines="50"/>
              <w:jc w:val="center"/>
              <w:rPr>
                <w:color w:val="auto"/>
                <w:sz w:val="21"/>
                <w:highlight w:val="none"/>
              </w:rPr>
            </w:pPr>
            <w:r>
              <w:rPr>
                <w:color w:val="auto"/>
                <w:sz w:val="21"/>
                <w:highlight w:val="none"/>
              </w:rPr>
              <w:t>传 真</w:t>
            </w:r>
          </w:p>
        </w:tc>
        <w:tc>
          <w:tcPr>
            <w:tcW w:w="2854" w:type="dxa"/>
            <w:gridSpan w:val="4"/>
            <w:vAlign w:val="center"/>
          </w:tcPr>
          <w:p>
            <w:pPr>
              <w:spacing w:before="120" w:beforeLines="50" w:after="120" w:afterLines="50"/>
              <w:jc w:val="center"/>
              <w:rPr>
                <w:rFonts w:eastAsia="楷体_GB2312"/>
                <w:color w:val="auto"/>
                <w:sz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开 户 银 行</w:t>
            </w:r>
          </w:p>
        </w:tc>
        <w:tc>
          <w:tcPr>
            <w:tcW w:w="6814" w:type="dxa"/>
            <w:gridSpan w:val="9"/>
            <w:vAlign w:val="center"/>
          </w:tcPr>
          <w:p>
            <w:pPr>
              <w:spacing w:before="120" w:beforeLines="50" w:after="120" w:afterLines="50"/>
              <w:jc w:val="center"/>
              <w:rPr>
                <w:rFonts w:eastAsia="楷体_GB2312"/>
                <w:color w:val="auto"/>
                <w:sz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rFonts w:hint="eastAsia"/>
                <w:color w:val="auto"/>
                <w:sz w:val="21"/>
                <w:highlight w:val="none"/>
              </w:rPr>
              <w:t>账</w:t>
            </w:r>
            <w:r>
              <w:rPr>
                <w:color w:val="auto"/>
                <w:sz w:val="21"/>
                <w:highlight w:val="none"/>
              </w:rPr>
              <w:t xml:space="preserve">      号</w:t>
            </w:r>
          </w:p>
        </w:tc>
        <w:tc>
          <w:tcPr>
            <w:tcW w:w="2760" w:type="dxa"/>
            <w:gridSpan w:val="2"/>
            <w:vAlign w:val="center"/>
          </w:tcPr>
          <w:p>
            <w:pPr>
              <w:spacing w:before="120" w:beforeLines="50" w:after="120" w:afterLines="50"/>
              <w:jc w:val="center"/>
              <w:rPr>
                <w:rFonts w:eastAsia="楷体_GB2312"/>
                <w:color w:val="auto"/>
                <w:sz w:val="21"/>
                <w:highlight w:val="none"/>
              </w:rPr>
            </w:pPr>
          </w:p>
        </w:tc>
        <w:tc>
          <w:tcPr>
            <w:tcW w:w="1200" w:type="dxa"/>
            <w:gridSpan w:val="3"/>
            <w:vAlign w:val="center"/>
          </w:tcPr>
          <w:p>
            <w:pPr>
              <w:spacing w:before="120" w:beforeLines="50" w:after="120" w:afterLines="50"/>
              <w:jc w:val="center"/>
              <w:rPr>
                <w:color w:val="auto"/>
                <w:sz w:val="21"/>
                <w:highlight w:val="none"/>
              </w:rPr>
            </w:pPr>
            <w:r>
              <w:rPr>
                <w:color w:val="auto"/>
                <w:sz w:val="21"/>
                <w:highlight w:val="none"/>
              </w:rPr>
              <w:t>邮政编码</w:t>
            </w:r>
          </w:p>
        </w:tc>
        <w:tc>
          <w:tcPr>
            <w:tcW w:w="2854" w:type="dxa"/>
            <w:gridSpan w:val="4"/>
            <w:vAlign w:val="center"/>
          </w:tcPr>
          <w:p>
            <w:pPr>
              <w:spacing w:before="120" w:beforeLines="50" w:after="120" w:afterLines="50"/>
              <w:jc w:val="center"/>
              <w:rPr>
                <w:rFonts w:eastAsia="楷体_GB2312"/>
                <w:color w:val="auto"/>
                <w:sz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restart"/>
            <w:tcBorders>
              <w:bottom w:val="nil"/>
            </w:tcBorders>
            <w:vAlign w:val="center"/>
          </w:tcPr>
          <w:p>
            <w:pPr>
              <w:spacing w:before="120" w:beforeLines="50" w:after="120" w:afterLines="50"/>
              <w:jc w:val="center"/>
              <w:rPr>
                <w:color w:val="auto"/>
                <w:sz w:val="21"/>
                <w:highlight w:val="none"/>
              </w:rPr>
            </w:pPr>
          </w:p>
          <w:p>
            <w:pPr>
              <w:spacing w:before="120" w:beforeLines="50" w:after="120" w:afterLines="50"/>
              <w:jc w:val="center"/>
              <w:rPr>
                <w:color w:val="auto"/>
                <w:sz w:val="21"/>
                <w:highlight w:val="none"/>
              </w:rPr>
            </w:pPr>
            <w:r>
              <w:rPr>
                <w:color w:val="auto"/>
                <w:sz w:val="21"/>
                <w:highlight w:val="none"/>
              </w:rPr>
              <w:t>服</w:t>
            </w:r>
          </w:p>
          <w:p>
            <w:pPr>
              <w:spacing w:before="120" w:beforeLines="50" w:after="120" w:afterLines="50"/>
              <w:jc w:val="center"/>
              <w:rPr>
                <w:color w:val="auto"/>
                <w:sz w:val="21"/>
                <w:highlight w:val="none"/>
              </w:rPr>
            </w:pPr>
          </w:p>
          <w:p>
            <w:pPr>
              <w:spacing w:before="120" w:beforeLines="50" w:after="120" w:afterLines="50"/>
              <w:jc w:val="center"/>
              <w:rPr>
                <w:color w:val="auto"/>
                <w:sz w:val="21"/>
                <w:highlight w:val="none"/>
              </w:rPr>
            </w:pPr>
            <w:r>
              <w:rPr>
                <w:color w:val="auto"/>
                <w:sz w:val="21"/>
                <w:highlight w:val="none"/>
              </w:rPr>
              <w:t>务</w:t>
            </w:r>
          </w:p>
          <w:p>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pPr>
              <w:spacing w:before="120" w:beforeLines="50" w:after="120" w:afterLines="50"/>
              <w:jc w:val="center"/>
              <w:rPr>
                <w:color w:val="auto"/>
                <w:sz w:val="21"/>
                <w:highlight w:val="none"/>
              </w:rPr>
            </w:pPr>
            <w:r>
              <w:rPr>
                <w:color w:val="auto"/>
                <w:sz w:val="21"/>
                <w:highlight w:val="none"/>
              </w:rPr>
              <w:t>名称(或姓名)</w:t>
            </w:r>
          </w:p>
        </w:tc>
        <w:tc>
          <w:tcPr>
            <w:tcW w:w="6814" w:type="dxa"/>
            <w:gridSpan w:val="9"/>
            <w:vAlign w:val="center"/>
          </w:tcPr>
          <w:p>
            <w:pPr>
              <w:spacing w:before="120" w:beforeLines="50" w:after="120" w:afterLines="50"/>
              <w:jc w:val="center"/>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法定代表人</w:t>
            </w:r>
          </w:p>
        </w:tc>
        <w:tc>
          <w:tcPr>
            <w:tcW w:w="2760" w:type="dxa"/>
            <w:gridSpan w:val="2"/>
            <w:vAlign w:val="center"/>
          </w:tcPr>
          <w:p>
            <w:pPr>
              <w:tabs>
                <w:tab w:val="left" w:pos="1892"/>
              </w:tabs>
              <w:spacing w:before="120" w:beforeLines="50" w:after="120" w:afterLines="50"/>
              <w:jc w:val="right"/>
              <w:rPr>
                <w:color w:val="auto"/>
                <w:sz w:val="21"/>
                <w:highlight w:val="none"/>
              </w:rPr>
            </w:pPr>
            <w:r>
              <w:rPr>
                <w:color w:val="auto"/>
                <w:sz w:val="21"/>
                <w:highlight w:val="none"/>
              </w:rPr>
              <w:t>(签章)</w:t>
            </w:r>
          </w:p>
        </w:tc>
        <w:tc>
          <w:tcPr>
            <w:tcW w:w="1200" w:type="dxa"/>
            <w:gridSpan w:val="3"/>
            <w:vAlign w:val="center"/>
          </w:tcPr>
          <w:p>
            <w:pPr>
              <w:spacing w:before="120" w:beforeLines="50" w:after="120" w:afterLines="50"/>
              <w:jc w:val="center"/>
              <w:rPr>
                <w:color w:val="auto"/>
                <w:sz w:val="21"/>
                <w:highlight w:val="none"/>
              </w:rPr>
            </w:pPr>
            <w:r>
              <w:rPr>
                <w:color w:val="auto"/>
                <w:sz w:val="21"/>
                <w:highlight w:val="none"/>
              </w:rPr>
              <w:t>委托代理人</w:t>
            </w:r>
          </w:p>
        </w:tc>
        <w:tc>
          <w:tcPr>
            <w:tcW w:w="2854" w:type="dxa"/>
            <w:gridSpan w:val="4"/>
            <w:vAlign w:val="center"/>
          </w:tcPr>
          <w:p>
            <w:pPr>
              <w:spacing w:before="120" w:beforeLines="50" w:after="120" w:afterLines="50"/>
              <w:jc w:val="right"/>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联  系  人</w:t>
            </w:r>
          </w:p>
        </w:tc>
        <w:tc>
          <w:tcPr>
            <w:tcW w:w="6814" w:type="dxa"/>
            <w:gridSpan w:val="9"/>
            <w:vAlign w:val="center"/>
          </w:tcPr>
          <w:p>
            <w:pPr>
              <w:spacing w:before="120" w:beforeLines="50" w:after="120" w:afterLines="50"/>
              <w:ind w:left="-23" w:leftChars="-11" w:firstLine="840" w:firstLineChars="400"/>
              <w:jc w:val="center"/>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住      所</w:t>
            </w:r>
          </w:p>
          <w:p>
            <w:pPr>
              <w:spacing w:before="120" w:beforeLines="50" w:after="120" w:afterLines="50"/>
              <w:jc w:val="center"/>
              <w:rPr>
                <w:color w:val="auto"/>
                <w:sz w:val="21"/>
                <w:highlight w:val="none"/>
              </w:rPr>
            </w:pPr>
            <w:r>
              <w:rPr>
                <w:color w:val="auto"/>
                <w:sz w:val="21"/>
                <w:highlight w:val="none"/>
              </w:rPr>
              <w:t>(通讯地址)</w:t>
            </w:r>
          </w:p>
        </w:tc>
        <w:tc>
          <w:tcPr>
            <w:tcW w:w="6814" w:type="dxa"/>
            <w:gridSpan w:val="9"/>
            <w:vAlign w:val="center"/>
          </w:tcPr>
          <w:p>
            <w:pPr>
              <w:spacing w:before="120" w:beforeLines="50" w:after="120" w:afterLines="50"/>
              <w:jc w:val="center"/>
              <w:rPr>
                <w:rFonts w:eastAsia="楷体_GB2312"/>
                <w:color w:val="auto"/>
                <w:sz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电      话</w:t>
            </w:r>
          </w:p>
        </w:tc>
        <w:tc>
          <w:tcPr>
            <w:tcW w:w="2760" w:type="dxa"/>
            <w:gridSpan w:val="2"/>
            <w:vAlign w:val="center"/>
          </w:tcPr>
          <w:p>
            <w:pPr>
              <w:spacing w:before="120" w:beforeLines="50" w:after="120" w:afterLines="50"/>
              <w:jc w:val="center"/>
              <w:rPr>
                <w:rFonts w:eastAsia="楷体_GB2312"/>
                <w:color w:val="auto"/>
                <w:sz w:val="28"/>
                <w:highlight w:val="none"/>
              </w:rPr>
            </w:pPr>
          </w:p>
        </w:tc>
        <w:tc>
          <w:tcPr>
            <w:tcW w:w="1200" w:type="dxa"/>
            <w:gridSpan w:val="3"/>
            <w:vAlign w:val="center"/>
          </w:tcPr>
          <w:p>
            <w:pPr>
              <w:spacing w:before="120" w:beforeLines="50" w:after="120" w:afterLines="50"/>
              <w:jc w:val="center"/>
              <w:rPr>
                <w:color w:val="auto"/>
                <w:sz w:val="21"/>
                <w:highlight w:val="none"/>
              </w:rPr>
            </w:pPr>
            <w:r>
              <w:rPr>
                <w:color w:val="auto"/>
                <w:sz w:val="21"/>
                <w:highlight w:val="none"/>
              </w:rPr>
              <w:t>传 真</w:t>
            </w:r>
          </w:p>
        </w:tc>
        <w:tc>
          <w:tcPr>
            <w:tcW w:w="2854" w:type="dxa"/>
            <w:gridSpan w:val="4"/>
            <w:vAlign w:val="center"/>
          </w:tcPr>
          <w:p>
            <w:pPr>
              <w:spacing w:before="120" w:beforeLines="50" w:after="120" w:afterLines="50"/>
              <w:jc w:val="center"/>
              <w:rPr>
                <w:rFonts w:eastAsia="楷体_GB2312"/>
                <w:color w:val="auto"/>
                <w:sz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开 户 银 行</w:t>
            </w:r>
          </w:p>
        </w:tc>
        <w:tc>
          <w:tcPr>
            <w:tcW w:w="6814" w:type="dxa"/>
            <w:gridSpan w:val="9"/>
            <w:vAlign w:val="center"/>
          </w:tcPr>
          <w:p>
            <w:pPr>
              <w:spacing w:before="120" w:beforeLines="50" w:after="120" w:afterLines="50"/>
              <w:jc w:val="center"/>
              <w:rPr>
                <w:rFonts w:eastAsia="楷体_GB2312"/>
                <w:color w:val="auto"/>
                <w:sz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开 户 单 位</w:t>
            </w:r>
          </w:p>
        </w:tc>
        <w:tc>
          <w:tcPr>
            <w:tcW w:w="6814" w:type="dxa"/>
            <w:gridSpan w:val="9"/>
            <w:vAlign w:val="center"/>
          </w:tcPr>
          <w:p>
            <w:pPr>
              <w:spacing w:before="120" w:beforeLines="50" w:after="120" w:afterLines="50"/>
              <w:jc w:val="center"/>
              <w:rPr>
                <w:rFonts w:eastAsia="楷体_GB2312"/>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rFonts w:hint="eastAsia"/>
                <w:color w:val="auto"/>
                <w:sz w:val="21"/>
                <w:highlight w:val="none"/>
              </w:rPr>
              <w:t>账</w:t>
            </w:r>
            <w:r>
              <w:rPr>
                <w:color w:val="auto"/>
                <w:sz w:val="21"/>
                <w:highlight w:val="none"/>
              </w:rPr>
              <w:t xml:space="preserve">       号</w:t>
            </w:r>
          </w:p>
        </w:tc>
        <w:tc>
          <w:tcPr>
            <w:tcW w:w="3000" w:type="dxa"/>
            <w:gridSpan w:val="4"/>
            <w:vAlign w:val="center"/>
          </w:tcPr>
          <w:p>
            <w:pPr>
              <w:spacing w:before="120" w:beforeLines="50" w:after="120" w:afterLines="50"/>
              <w:jc w:val="center"/>
              <w:rPr>
                <w:rFonts w:eastAsia="楷体_GB2312"/>
                <w:color w:val="auto"/>
                <w:sz w:val="28"/>
                <w:szCs w:val="28"/>
                <w:highlight w:val="none"/>
              </w:rPr>
            </w:pPr>
          </w:p>
        </w:tc>
        <w:tc>
          <w:tcPr>
            <w:tcW w:w="1087" w:type="dxa"/>
            <w:gridSpan w:val="2"/>
            <w:vAlign w:val="center"/>
          </w:tcPr>
          <w:p>
            <w:pPr>
              <w:spacing w:before="120" w:beforeLines="50" w:after="120" w:afterLines="50"/>
              <w:jc w:val="center"/>
              <w:rPr>
                <w:color w:val="auto"/>
                <w:sz w:val="21"/>
                <w:highlight w:val="none"/>
              </w:rPr>
            </w:pPr>
            <w:r>
              <w:rPr>
                <w:color w:val="auto"/>
                <w:sz w:val="21"/>
                <w:highlight w:val="none"/>
              </w:rPr>
              <w:t>邮政编码</w:t>
            </w:r>
          </w:p>
        </w:tc>
        <w:tc>
          <w:tcPr>
            <w:tcW w:w="2727" w:type="dxa"/>
            <w:gridSpan w:val="3"/>
            <w:vAlign w:val="center"/>
          </w:tcPr>
          <w:p>
            <w:pPr>
              <w:spacing w:before="120" w:beforeLines="50" w:after="120" w:afterLines="50"/>
              <w:jc w:val="center"/>
              <w:rPr>
                <w:rFonts w:eastAsia="楷体_GB2312"/>
                <w:color w:val="auto"/>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restart"/>
            <w:tcBorders>
              <w:bottom w:val="nil"/>
            </w:tcBorders>
            <w:vAlign w:val="center"/>
          </w:tcPr>
          <w:p>
            <w:pPr>
              <w:spacing w:before="120" w:beforeLines="50" w:after="120" w:afterLines="50"/>
              <w:jc w:val="center"/>
              <w:rPr>
                <w:color w:val="auto"/>
                <w:sz w:val="21"/>
                <w:highlight w:val="none"/>
              </w:rPr>
            </w:pPr>
            <w:r>
              <w:rPr>
                <w:color w:val="auto"/>
                <w:sz w:val="21"/>
                <w:highlight w:val="none"/>
              </w:rPr>
              <w:t>鉴</w:t>
            </w:r>
          </w:p>
          <w:p>
            <w:pPr>
              <w:spacing w:before="120" w:beforeLines="50" w:after="120" w:afterLines="50"/>
              <w:jc w:val="center"/>
              <w:rPr>
                <w:color w:val="auto"/>
                <w:sz w:val="21"/>
                <w:highlight w:val="none"/>
              </w:rPr>
            </w:pPr>
            <w:r>
              <w:rPr>
                <w:color w:val="auto"/>
                <w:sz w:val="21"/>
                <w:highlight w:val="none"/>
              </w:rPr>
              <w:t>证</w:t>
            </w:r>
          </w:p>
          <w:p>
            <w:pPr>
              <w:spacing w:before="120" w:beforeLines="50" w:after="120" w:afterLines="50"/>
              <w:jc w:val="center"/>
              <w:rPr>
                <w:color w:val="auto"/>
                <w:sz w:val="21"/>
                <w:highlight w:val="none"/>
              </w:rPr>
            </w:pPr>
            <w:r>
              <w:rPr>
                <w:color w:val="auto"/>
                <w:sz w:val="21"/>
                <w:highlight w:val="none"/>
              </w:rPr>
              <w:t>方</w:t>
            </w:r>
          </w:p>
        </w:tc>
        <w:tc>
          <w:tcPr>
            <w:tcW w:w="1680" w:type="dxa"/>
            <w:vAlign w:val="center"/>
          </w:tcPr>
          <w:p>
            <w:pPr>
              <w:spacing w:before="120" w:beforeLines="50" w:after="120" w:afterLines="50"/>
              <w:jc w:val="center"/>
              <w:rPr>
                <w:color w:val="auto"/>
                <w:sz w:val="21"/>
                <w:highlight w:val="none"/>
              </w:rPr>
            </w:pPr>
            <w:r>
              <w:rPr>
                <w:color w:val="auto"/>
                <w:sz w:val="21"/>
                <w:highlight w:val="none"/>
              </w:rPr>
              <w:t>单 位 名 称</w:t>
            </w:r>
          </w:p>
        </w:tc>
        <w:tc>
          <w:tcPr>
            <w:tcW w:w="6814" w:type="dxa"/>
            <w:gridSpan w:val="9"/>
            <w:vAlign w:val="center"/>
          </w:tcPr>
          <w:p>
            <w:pPr>
              <w:spacing w:before="120" w:beforeLines="50" w:after="120" w:afterLines="50"/>
              <w:ind w:left="-23" w:leftChars="-11" w:right="105" w:firstLine="27" w:firstLineChars="13"/>
              <w:jc w:val="center"/>
              <w:rPr>
                <w:color w:val="auto"/>
                <w:sz w:val="21"/>
                <w:highlight w:val="none"/>
              </w:rPr>
            </w:pPr>
            <w:r>
              <w:rPr>
                <w:rFonts w:hint="eastAsia"/>
                <w:color w:val="auto"/>
                <w:sz w:val="21"/>
                <w:highlight w:val="none"/>
              </w:rPr>
              <w:t>浙江中际工程项目管理有限公司</w:t>
            </w:r>
            <w:r>
              <w:rPr>
                <w:color w:val="auto"/>
                <w:sz w:val="21"/>
                <w:highlight w:val="none"/>
              </w:rPr>
              <w:t xml:space="preserve"> (签章)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法定代表人</w:t>
            </w:r>
          </w:p>
        </w:tc>
        <w:tc>
          <w:tcPr>
            <w:tcW w:w="2352" w:type="dxa"/>
            <w:vAlign w:val="center"/>
          </w:tcPr>
          <w:p>
            <w:pPr>
              <w:spacing w:before="120" w:beforeLines="50" w:after="120" w:afterLines="50"/>
              <w:jc w:val="right"/>
              <w:rPr>
                <w:color w:val="auto"/>
                <w:sz w:val="21"/>
                <w:highlight w:val="none"/>
              </w:rPr>
            </w:pPr>
            <w:r>
              <w:rPr>
                <w:color w:val="auto"/>
                <w:sz w:val="21"/>
                <w:highlight w:val="none"/>
              </w:rPr>
              <w:t>(签章)</w:t>
            </w:r>
          </w:p>
        </w:tc>
        <w:tc>
          <w:tcPr>
            <w:tcW w:w="1735" w:type="dxa"/>
            <w:gridSpan w:val="5"/>
            <w:vAlign w:val="center"/>
          </w:tcPr>
          <w:p>
            <w:pPr>
              <w:spacing w:before="120" w:beforeLines="50" w:after="120" w:afterLines="50"/>
              <w:jc w:val="center"/>
              <w:rPr>
                <w:color w:val="auto"/>
                <w:sz w:val="21"/>
                <w:highlight w:val="none"/>
              </w:rPr>
            </w:pPr>
            <w:r>
              <w:rPr>
                <w:color w:val="auto"/>
                <w:sz w:val="21"/>
                <w:highlight w:val="none"/>
              </w:rPr>
              <w:t>委托代理人</w:t>
            </w:r>
          </w:p>
        </w:tc>
        <w:tc>
          <w:tcPr>
            <w:tcW w:w="2727" w:type="dxa"/>
            <w:gridSpan w:val="3"/>
            <w:vAlign w:val="center"/>
          </w:tcPr>
          <w:p>
            <w:pPr>
              <w:spacing w:before="120" w:beforeLines="50" w:after="120" w:afterLines="50"/>
              <w:jc w:val="right"/>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联  系  人</w:t>
            </w:r>
          </w:p>
        </w:tc>
        <w:tc>
          <w:tcPr>
            <w:tcW w:w="6814" w:type="dxa"/>
            <w:gridSpan w:val="9"/>
            <w:vAlign w:val="center"/>
          </w:tcPr>
          <w:p>
            <w:pPr>
              <w:spacing w:before="120" w:beforeLines="50" w:after="120" w:afterLines="50"/>
              <w:jc w:val="center"/>
              <w:rPr>
                <w:color w:val="auto"/>
                <w:sz w:val="21"/>
                <w:highlight w:val="none"/>
              </w:rPr>
            </w:pPr>
            <w:r>
              <w:rPr>
                <w:color w:val="auto"/>
                <w:sz w:val="21"/>
                <w:highlight w:val="none"/>
              </w:rPr>
              <w:t>(签章)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电      话</w:t>
            </w:r>
          </w:p>
        </w:tc>
        <w:tc>
          <w:tcPr>
            <w:tcW w:w="2947" w:type="dxa"/>
            <w:gridSpan w:val="3"/>
            <w:vAlign w:val="center"/>
          </w:tcPr>
          <w:p>
            <w:pPr>
              <w:spacing w:before="120" w:beforeLines="50" w:after="120" w:afterLines="50"/>
              <w:jc w:val="center"/>
              <w:rPr>
                <w:color w:val="auto"/>
                <w:sz w:val="21"/>
                <w:highlight w:val="none"/>
              </w:rPr>
            </w:pPr>
          </w:p>
        </w:tc>
        <w:tc>
          <w:tcPr>
            <w:tcW w:w="1176" w:type="dxa"/>
            <w:gridSpan w:val="4"/>
            <w:vAlign w:val="center"/>
          </w:tcPr>
          <w:p>
            <w:pPr>
              <w:spacing w:before="120" w:beforeLines="50" w:after="120" w:afterLines="50"/>
              <w:jc w:val="center"/>
              <w:rPr>
                <w:color w:val="auto"/>
                <w:sz w:val="21"/>
                <w:highlight w:val="none"/>
              </w:rPr>
            </w:pPr>
            <w:r>
              <w:rPr>
                <w:color w:val="auto"/>
                <w:sz w:val="21"/>
                <w:highlight w:val="none"/>
              </w:rPr>
              <w:t>传 真</w:t>
            </w:r>
          </w:p>
        </w:tc>
        <w:tc>
          <w:tcPr>
            <w:tcW w:w="2691" w:type="dxa"/>
            <w:gridSpan w:val="2"/>
            <w:vAlign w:val="center"/>
          </w:tcPr>
          <w:p>
            <w:pPr>
              <w:spacing w:before="120" w:beforeLines="50" w:after="120" w:afterLines="50"/>
              <w:jc w:val="center"/>
              <w:rPr>
                <w:color w:val="auto"/>
                <w:sz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nil"/>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color w:val="auto"/>
                <w:sz w:val="21"/>
                <w:highlight w:val="none"/>
              </w:rPr>
              <w:t>开 户 银 行</w:t>
            </w:r>
          </w:p>
        </w:tc>
        <w:tc>
          <w:tcPr>
            <w:tcW w:w="6814" w:type="dxa"/>
            <w:gridSpan w:val="9"/>
            <w:vAlign w:val="center"/>
          </w:tcPr>
          <w:p>
            <w:pPr>
              <w:spacing w:before="120" w:beforeLines="50" w:after="120" w:afterLines="50"/>
              <w:jc w:val="center"/>
              <w:rPr>
                <w:color w:val="auto"/>
                <w:sz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48" w:type="dxa"/>
            <w:vMerge w:val="continue"/>
            <w:tcBorders>
              <w:top w:val="nil"/>
              <w:bottom w:val="single" w:color="auto" w:sz="4" w:space="0"/>
            </w:tcBorders>
            <w:vAlign w:val="center"/>
          </w:tcPr>
          <w:p>
            <w:pPr>
              <w:spacing w:before="120" w:beforeLines="50" w:after="120" w:afterLines="50"/>
              <w:jc w:val="center"/>
              <w:rPr>
                <w:color w:val="auto"/>
                <w:sz w:val="21"/>
                <w:highlight w:val="none"/>
              </w:rPr>
            </w:pPr>
          </w:p>
        </w:tc>
        <w:tc>
          <w:tcPr>
            <w:tcW w:w="1680" w:type="dxa"/>
            <w:vAlign w:val="center"/>
          </w:tcPr>
          <w:p>
            <w:pPr>
              <w:spacing w:before="120" w:beforeLines="50" w:after="120" w:afterLines="50"/>
              <w:jc w:val="center"/>
              <w:rPr>
                <w:color w:val="auto"/>
                <w:sz w:val="21"/>
                <w:highlight w:val="none"/>
              </w:rPr>
            </w:pPr>
            <w:r>
              <w:rPr>
                <w:rFonts w:hint="eastAsia"/>
                <w:color w:val="auto"/>
                <w:sz w:val="21"/>
                <w:highlight w:val="none"/>
              </w:rPr>
              <w:t>账</w:t>
            </w:r>
            <w:r>
              <w:rPr>
                <w:color w:val="auto"/>
                <w:sz w:val="21"/>
                <w:highlight w:val="none"/>
              </w:rPr>
              <w:t xml:space="preserve">      号</w:t>
            </w:r>
          </w:p>
        </w:tc>
        <w:tc>
          <w:tcPr>
            <w:tcW w:w="2947" w:type="dxa"/>
            <w:gridSpan w:val="3"/>
            <w:vAlign w:val="center"/>
          </w:tcPr>
          <w:p>
            <w:pPr>
              <w:spacing w:before="120" w:beforeLines="50" w:after="120" w:afterLines="50"/>
              <w:jc w:val="center"/>
              <w:rPr>
                <w:color w:val="auto"/>
                <w:sz w:val="21"/>
                <w:highlight w:val="none"/>
              </w:rPr>
            </w:pPr>
          </w:p>
        </w:tc>
        <w:tc>
          <w:tcPr>
            <w:tcW w:w="1176" w:type="dxa"/>
            <w:gridSpan w:val="4"/>
            <w:vAlign w:val="center"/>
          </w:tcPr>
          <w:p>
            <w:pPr>
              <w:spacing w:before="120" w:beforeLines="50" w:after="120" w:afterLines="50"/>
              <w:jc w:val="center"/>
              <w:rPr>
                <w:color w:val="auto"/>
                <w:sz w:val="21"/>
                <w:highlight w:val="none"/>
              </w:rPr>
            </w:pPr>
            <w:r>
              <w:rPr>
                <w:color w:val="auto"/>
                <w:sz w:val="21"/>
                <w:highlight w:val="none"/>
              </w:rPr>
              <w:t>邮政编码</w:t>
            </w:r>
          </w:p>
        </w:tc>
        <w:tc>
          <w:tcPr>
            <w:tcW w:w="2691" w:type="dxa"/>
            <w:gridSpan w:val="2"/>
            <w:vAlign w:val="center"/>
          </w:tcPr>
          <w:p>
            <w:pPr>
              <w:spacing w:before="120" w:beforeLines="50" w:after="120" w:afterLines="50"/>
              <w:jc w:val="center"/>
              <w:rPr>
                <w:color w:val="auto"/>
                <w:sz w:val="21"/>
                <w:highlight w:val="none"/>
              </w:rPr>
            </w:pPr>
          </w:p>
        </w:tc>
      </w:tr>
    </w:tbl>
    <w:p>
      <w:pPr>
        <w:spacing w:line="500" w:lineRule="exact"/>
        <w:ind w:firstLine="5040" w:firstLineChars="2400"/>
        <w:rPr>
          <w:color w:val="auto"/>
          <w:highlight w:val="none"/>
        </w:rPr>
      </w:pPr>
    </w:p>
    <w:p>
      <w:pPr>
        <w:spacing w:before="120" w:beforeLines="50"/>
        <w:ind w:right="11"/>
        <w:jc w:val="center"/>
        <w:rPr>
          <w:rFonts w:eastAsia="黑体"/>
          <w:color w:val="auto"/>
          <w:sz w:val="44"/>
          <w:highlight w:val="none"/>
          <w:u w:val="single"/>
        </w:rPr>
      </w:pPr>
    </w:p>
    <w:p>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jc w:val="center"/>
        <w:rPr>
          <w:rFonts w:eastAsia="黑体"/>
          <w:color w:val="auto"/>
          <w:spacing w:val="122"/>
          <w:sz w:val="32"/>
          <w:highlight w:val="none"/>
          <w:u w:val="single"/>
        </w:rPr>
      </w:pPr>
    </w:p>
    <w:p>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pPr>
                              <w:rPr>
                                <w:sz w:val="28"/>
                              </w:rPr>
                            </w:pPr>
                            <w:r>
                              <w:rPr>
                                <w:rFonts w:hint="eastAsia"/>
                                <w:sz w:val="28"/>
                              </w:rPr>
                              <w:t>登记机关审查登记栏：</w:t>
                            </w:r>
                          </w:p>
                          <w:p>
                            <w:pPr>
                              <w:rPr>
                                <w:sz w:val="28"/>
                              </w:rPr>
                            </w:pPr>
                          </w:p>
                          <w:p>
                            <w:pPr>
                              <w:rPr>
                                <w:sz w:val="28"/>
                              </w:rPr>
                            </w:pPr>
                          </w:p>
                          <w:p>
                            <w:pPr>
                              <w:ind w:firstLine="3920" w:firstLineChars="1400"/>
                              <w:rPr>
                                <w:sz w:val="28"/>
                              </w:rPr>
                            </w:pPr>
                            <w:r>
                              <w:rPr>
                                <w:rFonts w:hint="eastAsia"/>
                                <w:sz w:val="28"/>
                              </w:rPr>
                              <w:t>技术合同登记机关（专用章）</w:t>
                            </w:r>
                          </w:p>
                          <w:p>
                            <w:pPr>
                              <w:ind w:firstLine="1120" w:firstLineChars="400"/>
                              <w:rPr>
                                <w:sz w:val="28"/>
                              </w:rPr>
                            </w:pPr>
                          </w:p>
                          <w:p>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66432;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F/IldT8CAABfBAAADgAAAAAAAAABACAAAAAkAQAA&#10;ZHJzL2Uyb0RvYy54bWxQSwUGAAAAAAYABgBZAQAA1QUAAAAA&#10;">
                <v:fill on="f" focussize="0,0"/>
                <v:stroke color="#000000" miterlimit="8" joinstyle="miter"/>
                <v:imagedata o:title=""/>
                <o:lock v:ext="edit" aspectratio="f"/>
                <v:textbox>
                  <w:txbxContent>
                    <w:p>
                      <w:pPr>
                        <w:rPr>
                          <w:sz w:val="28"/>
                        </w:rPr>
                      </w:pPr>
                      <w:r>
                        <w:rPr>
                          <w:rFonts w:hint="eastAsia"/>
                          <w:sz w:val="28"/>
                        </w:rPr>
                        <w:t>登记机关审查登记栏：</w:t>
                      </w:r>
                    </w:p>
                    <w:p>
                      <w:pPr>
                        <w:rPr>
                          <w:sz w:val="28"/>
                        </w:rPr>
                      </w:pPr>
                    </w:p>
                    <w:p>
                      <w:pPr>
                        <w:rPr>
                          <w:sz w:val="28"/>
                        </w:rPr>
                      </w:pPr>
                    </w:p>
                    <w:p>
                      <w:pPr>
                        <w:ind w:firstLine="3920" w:firstLineChars="1400"/>
                        <w:rPr>
                          <w:sz w:val="28"/>
                        </w:rPr>
                      </w:pPr>
                      <w:r>
                        <w:rPr>
                          <w:rFonts w:hint="eastAsia"/>
                          <w:sz w:val="28"/>
                        </w:rPr>
                        <w:t>技术合同登记机关（专用章）</w:t>
                      </w:r>
                    </w:p>
                    <w:p>
                      <w:pPr>
                        <w:ind w:firstLine="1120" w:firstLineChars="400"/>
                        <w:rPr>
                          <w:sz w:val="28"/>
                        </w:rPr>
                      </w:pPr>
                    </w:p>
                    <w:p>
                      <w:pPr>
                        <w:ind w:firstLine="1680" w:firstLineChars="600"/>
                        <w:rPr>
                          <w:rFonts w:ascii="黑体" w:eastAsia="黑体"/>
                          <w:sz w:val="28"/>
                        </w:rPr>
                      </w:pPr>
                      <w:r>
                        <w:rPr>
                          <w:rFonts w:hint="eastAsia"/>
                          <w:sz w:val="28"/>
                        </w:rPr>
                        <w:t>经办人：        （签章）    20   年   月   日</w:t>
                      </w:r>
                    </w:p>
                  </w:txbxContent>
                </v:textbox>
              </v:shape>
            </w:pict>
          </mc:Fallback>
        </mc:AlternateContent>
      </w:r>
    </w:p>
    <w:p>
      <w:pPr>
        <w:ind w:right="11"/>
        <w:rPr>
          <w:color w:val="auto"/>
          <w:highlight w:val="none"/>
        </w:rPr>
      </w:pPr>
    </w:p>
    <w:p>
      <w:pPr>
        <w:ind w:right="11"/>
        <w:rPr>
          <w:color w:val="auto"/>
          <w:highlight w:val="none"/>
        </w:rPr>
      </w:pPr>
    </w:p>
    <w:p>
      <w:pPr>
        <w:ind w:right="11"/>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3930"/>
        </w:tabs>
        <w:rPr>
          <w:color w:val="auto"/>
          <w:highlight w:val="none"/>
        </w:rPr>
      </w:pPr>
      <w:r>
        <w:rPr>
          <w:color w:val="auto"/>
          <w:highlight w:val="none"/>
        </w:rPr>
        <w:tab/>
      </w:r>
    </w:p>
    <w:p>
      <w:pPr>
        <w:spacing w:line="500" w:lineRule="exact"/>
        <w:ind w:firstLine="5040" w:firstLineChars="2400"/>
        <w:rPr>
          <w:color w:val="auto"/>
          <w:highlight w:val="none"/>
        </w:rPr>
      </w:pPr>
    </w:p>
    <w:p>
      <w:pPr>
        <w:jc w:val="center"/>
        <w:rPr>
          <w:color w:val="auto"/>
          <w:highlight w:val="none"/>
        </w:rPr>
      </w:pPr>
    </w:p>
    <w:p>
      <w:pPr>
        <w:jc w:val="center"/>
        <w:rPr>
          <w:color w:val="auto"/>
          <w:highlight w:val="none"/>
        </w:rPr>
      </w:pPr>
    </w:p>
    <w:p>
      <w:pPr>
        <w:ind w:right="11"/>
        <w:rPr>
          <w:color w:val="auto"/>
          <w:highlight w:val="none"/>
        </w:rPr>
      </w:pPr>
    </w:p>
    <w:p>
      <w:pPr>
        <w:spacing w:line="300" w:lineRule="auto"/>
        <w:rPr>
          <w:color w:val="auto"/>
          <w:highlight w:val="none"/>
        </w:rPr>
      </w:pPr>
    </w:p>
    <w:p>
      <w:pPr>
        <w:pStyle w:val="2"/>
        <w:rPr>
          <w:rFonts w:hint="eastAsia"/>
          <w:color w:val="auto"/>
          <w:highlight w:val="none"/>
          <w:lang w:eastAsia="zh-CN"/>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ascii="仿宋" w:hAnsi="仿宋" w:eastAsia="仿宋"/>
          <w:color w:val="auto"/>
          <w:highlight w:val="none"/>
        </w:rPr>
      </w:pPr>
      <w:r>
        <w:rPr>
          <w:rFonts w:ascii="仿宋" w:hAnsi="仿宋" w:eastAsia="仿宋"/>
          <w:color w:val="auto"/>
          <w:highlight w:val="none"/>
        </w:rPr>
        <w:t xml:space="preserve"> </w:t>
      </w:r>
    </w:p>
    <w:p>
      <w:pPr>
        <w:widowControl/>
        <w:adjustRightInd/>
        <w:jc w:val="left"/>
        <w:rPr>
          <w:rFonts w:hint="eastAsia" w:ascii="黑体" w:hAnsi="黑体" w:eastAsia="黑体"/>
          <w:color w:val="auto"/>
          <w:sz w:val="32"/>
          <w:szCs w:val="32"/>
          <w:highlight w:val="none"/>
        </w:rPr>
      </w:pPr>
      <w:r>
        <w:rPr>
          <w:rFonts w:ascii="黑体" w:hAnsi="黑体" w:eastAsia="黑体"/>
          <w:color w:val="auto"/>
          <w:sz w:val="32"/>
          <w:szCs w:val="32"/>
          <w:highlight w:val="none"/>
        </w:rPr>
        <w:br w:type="page"/>
      </w:r>
    </w:p>
    <w:p>
      <w:pPr>
        <w:widowControl/>
        <w:adjustRightInd/>
        <w:jc w:val="center"/>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4"/>
      <w:r>
        <w:rPr>
          <w:rFonts w:hint="eastAsia" w:ascii="宋体" w:hAnsi="宋体" w:cs="宋体"/>
          <w:b/>
          <w:color w:val="auto"/>
          <w:sz w:val="36"/>
          <w:szCs w:val="20"/>
          <w:highlight w:val="none"/>
        </w:rPr>
        <w:t xml:space="preserve"> </w:t>
      </w:r>
      <w:bookmarkEnd w:id="395"/>
      <w:r>
        <w:rPr>
          <w:rFonts w:hint="eastAsia" w:ascii="宋体" w:hAnsi="宋体" w:cs="宋体"/>
          <w:b/>
          <w:color w:val="auto"/>
          <w:sz w:val="36"/>
          <w:szCs w:val="20"/>
          <w:highlight w:val="none"/>
        </w:rPr>
        <w:t>应提交的有关格式范例</w:t>
      </w:r>
    </w:p>
    <w:p>
      <w:pPr>
        <w:spacing w:line="360" w:lineRule="auto"/>
        <w:jc w:val="center"/>
        <w:outlineLvl w:val="0"/>
        <w:rPr>
          <w:rFonts w:hint="eastAsia" w:ascii="宋体" w:hAnsi="宋体" w:cs="宋体"/>
          <w:b/>
          <w:color w:val="auto"/>
          <w:kern w:val="0"/>
          <w:sz w:val="36"/>
          <w:szCs w:val="36"/>
          <w:highlight w:val="none"/>
        </w:rPr>
      </w:pP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hint="eastAsia" w:ascii="宋体" w:hAnsi="宋体" w:cs="宋体"/>
          <w:b/>
          <w:color w:val="auto"/>
          <w:kern w:val="0"/>
          <w:sz w:val="36"/>
          <w:szCs w:val="36"/>
          <w:highlight w:val="none"/>
        </w:rPr>
      </w:pP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rPr>
          <w:rFonts w:hint="eastAsia" w:ascii="宋体" w:hAnsi="宋体" w:cs="宋体"/>
          <w:color w:val="auto"/>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hint="eastAsia" w:ascii="宋体" w:hAnsi="宋体" w:cs="宋体"/>
          <w:color w:val="auto"/>
          <w:sz w:val="24"/>
          <w:highlight w:val="none"/>
        </w:rPr>
      </w:pPr>
    </w:p>
    <w:p>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hint="eastAsia" w:ascii="宋体" w:hAnsi="宋体" w:cs="宋体"/>
          <w:b/>
          <w:color w:val="auto"/>
          <w:kern w:val="0"/>
          <w:sz w:val="32"/>
          <w:szCs w:val="32"/>
          <w:highlight w:val="none"/>
        </w:rPr>
      </w:pPr>
    </w:p>
    <w:p>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hint="eastAsia" w:ascii="宋体" w:hAnsi="宋体" w:cs="宋体"/>
          <w:color w:val="auto"/>
          <w:highlight w:val="none"/>
        </w:rPr>
      </w:pPr>
    </w:p>
    <w:p>
      <w:pPr>
        <w:widowControl/>
        <w:adjustRightInd/>
        <w:jc w:val="left"/>
        <w:rPr>
          <w:rFonts w:hint="eastAsia"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outlineLvl w:val="0"/>
        <w:rPr>
          <w:rFonts w:hint="eastAsia" w:ascii="宋体" w:hAnsi="宋体" w:cs="宋体"/>
          <w:b/>
          <w:color w:val="auto"/>
          <w:kern w:val="0"/>
          <w:sz w:val="24"/>
          <w:highlight w:val="none"/>
        </w:rPr>
      </w:pPr>
    </w:p>
    <w:p>
      <w:pPr>
        <w:spacing w:line="360" w:lineRule="auto"/>
        <w:jc w:val="center"/>
        <w:outlineLvl w:val="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snapToGrid w:val="0"/>
        <w:spacing w:line="360" w:lineRule="auto"/>
        <w:jc w:val="center"/>
        <w:rPr>
          <w:rFonts w:hint="eastAsia" w:ascii="宋体" w:hAnsi="宋体" w:cs="宋体"/>
          <w:b/>
          <w:color w:val="auto"/>
          <w:kern w:val="0"/>
          <w:sz w:val="32"/>
          <w:szCs w:val="32"/>
          <w:highlight w:val="none"/>
          <w:lang w:val="zh-CN"/>
        </w:rPr>
      </w:pPr>
    </w:p>
    <w:p>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outlineLvl w:val="0"/>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396" w:name="_Hlk101257010"/>
      <w:r>
        <w:rPr>
          <w:rFonts w:hint="eastAsia" w:ascii="宋体" w:hAnsi="宋体" w:cs="宋体"/>
          <w:color w:val="auto"/>
          <w:sz w:val="24"/>
          <w:highlight w:val="none"/>
        </w:rPr>
        <w:t>（如果有)</w:t>
      </w:r>
      <w:bookmarkEnd w:id="396"/>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5、对</w:t>
      </w:r>
      <w:r>
        <w:rPr>
          <w:rFonts w:hint="eastAsia" w:ascii="宋体" w:hAnsi="宋体" w:cs="宋体"/>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hint="eastAsia" w:ascii="宋体" w:hAnsi="宋体" w:cs="宋体"/>
          <w:color w:val="auto"/>
          <w:kern w:val="0"/>
          <w:sz w:val="24"/>
          <w:highlight w:val="none"/>
          <w:u w:val="singl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hint="eastAsia" w:ascii="宋体" w:hAnsi="宋体" w:cs="宋体"/>
          <w:b/>
          <w:color w:val="auto"/>
          <w:kern w:val="0"/>
          <w:sz w:val="32"/>
          <w:szCs w:val="32"/>
          <w:highlight w:val="none"/>
        </w:rPr>
      </w:pPr>
    </w:p>
    <w:p>
      <w:pPr>
        <w:snapToGrid w:val="0"/>
        <w:spacing w:line="360" w:lineRule="auto"/>
        <w:rPr>
          <w:rFonts w:hint="eastAsia" w:ascii="宋体" w:hAnsi="宋体" w:cs="宋体"/>
          <w:color w:val="auto"/>
          <w:sz w:val="24"/>
          <w:highlight w:val="none"/>
        </w:rPr>
      </w:pPr>
    </w:p>
    <w:p>
      <w:pP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en-US"/>
        </w:rPr>
      </w:pPr>
    </w:p>
    <w:p>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hint="eastAsia"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hint="eastAsia" w:ascii="宋体" w:hAnsi="宋体" w:cs="宋体"/>
          <w:color w:val="auto"/>
          <w:sz w:val="24"/>
          <w:highlight w:val="none"/>
        </w:rPr>
      </w:pP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hint="eastAsia" w:ascii="宋体" w:hAnsi="宋体" w:cs="宋体"/>
          <w:b/>
          <w:color w:val="auto"/>
          <w:kern w:val="0"/>
          <w:sz w:val="32"/>
          <w:szCs w:val="32"/>
          <w:highlight w:val="none"/>
        </w:rPr>
      </w:pPr>
    </w:p>
    <w:p>
      <w:pPr>
        <w:rPr>
          <w:rFonts w:hint="eastAsia" w:ascii="宋体" w:hAnsi="宋体" w:cs="宋体"/>
          <w:color w:val="auto"/>
          <w:highlight w:val="none"/>
        </w:rPr>
      </w:pP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utoSpaceDE w:val="0"/>
        <w:autoSpaceDN w:val="0"/>
        <w:spacing w:line="360" w:lineRule="auto"/>
        <w:jc w:val="center"/>
        <w:rPr>
          <w:rFonts w:hint="eastAsia" w:ascii="宋体" w:hAnsi="宋体" w:cs="宋体"/>
          <w:b/>
          <w:color w:val="auto"/>
          <w:kern w:val="0"/>
          <w:sz w:val="32"/>
          <w:szCs w:val="32"/>
          <w:highlight w:val="none"/>
          <w:lang w:val="zh-CN"/>
        </w:rPr>
      </w:pPr>
    </w:p>
    <w:p>
      <w:pPr>
        <w:pStyle w:val="968"/>
        <w:rPr>
          <w:rFonts w:hint="eastAsia" w:cs="宋体"/>
          <w:b/>
          <w:color w:val="auto"/>
          <w:kern w:val="0"/>
          <w:sz w:val="32"/>
          <w:szCs w:val="32"/>
          <w:highlight w:val="none"/>
          <w:lang w:val="zh-CN"/>
        </w:rPr>
      </w:pPr>
    </w:p>
    <w:p>
      <w:pPr>
        <w:pStyle w:val="968"/>
        <w:rPr>
          <w:rFonts w:hint="eastAsia"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155"/>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55"/>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pPr>
              <w:pStyle w:val="155"/>
              <w:adjustRightInd w:val="0"/>
              <w:spacing w:line="360" w:lineRule="auto"/>
              <w:rPr>
                <w:rFonts w:hint="eastAsia" w:hAnsi="宋体" w:cs="宋体"/>
                <w:bCs/>
                <w:color w:val="auto"/>
                <w:sz w:val="24"/>
                <w:highlight w:val="none"/>
              </w:rPr>
            </w:pPr>
          </w:p>
        </w:tc>
      </w:tr>
    </w:tbl>
    <w:p>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snapToGrid w:val="0"/>
        <w:spacing w:line="360" w:lineRule="auto"/>
        <w:ind w:right="480"/>
        <w:rPr>
          <w:rFonts w:hint="eastAsia" w:ascii="宋体" w:hAnsi="宋体" w:cs="宋体"/>
          <w:b/>
          <w:color w:val="auto"/>
          <w:kern w:val="0"/>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hint="eastAsia" w:ascii="宋体" w:hAnsi="宋体" w:cs="宋体"/>
          <w:color w:val="auto"/>
          <w:kern w:val="0"/>
          <w:sz w:val="24"/>
          <w:highlight w:val="none"/>
        </w:rPr>
      </w:pP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见投标文件</w:t>
            </w:r>
          </w:p>
          <w:p>
            <w:pPr>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99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hint="eastAsia"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991" w:type="dxa"/>
          </w:tcPr>
          <w:p>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pPr>
              <w:rPr>
                <w:rFonts w:hint="eastAsia"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991" w:type="dxa"/>
          </w:tcPr>
          <w:p>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pPr>
              <w:rPr>
                <w:rFonts w:hint="eastAsia" w:ascii="宋体" w:hAnsi="宋体" w:cs="宋体"/>
                <w:color w:val="auto"/>
                <w:sz w:val="24"/>
                <w:highlight w:val="none"/>
              </w:rPr>
            </w:pPr>
          </w:p>
        </w:tc>
        <w:tc>
          <w:tcPr>
            <w:tcW w:w="1418" w:type="dxa"/>
          </w:tcPr>
          <w:p>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hint="eastAsia" w:ascii="宋体" w:hAnsi="宋体" w:cs="宋体"/>
                <w:color w:val="auto"/>
                <w:sz w:val="24"/>
                <w:highlight w:val="none"/>
              </w:rPr>
            </w:pPr>
            <w:r>
              <w:rPr>
                <w:rFonts w:hint="eastAsia" w:ascii="宋体" w:hAnsi="宋体" w:cs="宋体"/>
                <w:color w:val="auto"/>
                <w:kern w:val="0"/>
                <w:sz w:val="24"/>
                <w:highlight w:val="none"/>
              </w:rPr>
              <w:t>……</w:t>
            </w:r>
          </w:p>
        </w:tc>
        <w:tc>
          <w:tcPr>
            <w:tcW w:w="4991" w:type="dxa"/>
          </w:tcPr>
          <w:p>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pPr>
              <w:rPr>
                <w:rFonts w:hint="eastAsia" w:ascii="宋体" w:hAnsi="宋体" w:cs="宋体"/>
                <w:color w:val="auto"/>
                <w:sz w:val="24"/>
                <w:highlight w:val="none"/>
              </w:rPr>
            </w:pPr>
          </w:p>
        </w:tc>
        <w:tc>
          <w:tcPr>
            <w:tcW w:w="1418" w:type="dxa"/>
          </w:tcPr>
          <w:p>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2、招标文件中实质性要求必须明确响应。</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pPr>
              <w:snapToGrid w:val="0"/>
              <w:spacing w:line="360" w:lineRule="auto"/>
              <w:jc w:val="center"/>
              <w:rPr>
                <w:rFonts w:hint="eastAsia" w:ascii="宋体" w:hAnsi="宋体" w:cs="宋体"/>
                <w:bCs/>
                <w:color w:val="auto"/>
                <w:sz w:val="24"/>
                <w:highlight w:val="none"/>
              </w:rPr>
            </w:pPr>
          </w:p>
        </w:tc>
        <w:tc>
          <w:tcPr>
            <w:tcW w:w="3046" w:type="dxa"/>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pPr>
              <w:snapToGrid w:val="0"/>
              <w:spacing w:line="360" w:lineRule="auto"/>
              <w:jc w:val="center"/>
              <w:rPr>
                <w:rFonts w:hint="eastAsia" w:ascii="宋体" w:hAnsi="宋体" w:cs="宋体"/>
                <w:bCs/>
                <w:color w:val="auto"/>
                <w:sz w:val="24"/>
                <w:highlight w:val="none"/>
              </w:rPr>
            </w:pPr>
          </w:p>
        </w:tc>
        <w:tc>
          <w:tcPr>
            <w:tcW w:w="3046" w:type="dxa"/>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Cs/>
                <w:color w:val="auto"/>
                <w:sz w:val="24"/>
                <w:highlight w:val="none"/>
              </w:rPr>
            </w:pPr>
          </w:p>
        </w:tc>
        <w:tc>
          <w:tcPr>
            <w:tcW w:w="3046" w:type="dxa"/>
          </w:tcPr>
          <w:p>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pPr>
        <w:pStyle w:val="87"/>
        <w:rPr>
          <w:rFonts w:hint="eastAsia"/>
          <w:color w:val="auto"/>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jc w:val="center"/>
        <w:rPr>
          <w:rFonts w:hint="eastAsia" w:ascii="宋体" w:hAnsi="宋体" w:cs="宋体"/>
          <w:b/>
          <w:color w:val="auto"/>
          <w:kern w:val="0"/>
          <w:sz w:val="32"/>
          <w:szCs w:val="32"/>
          <w:highlight w:val="none"/>
        </w:rPr>
      </w:pPr>
    </w:p>
    <w:p>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1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99"/>
        <w:gridCol w:w="1353"/>
        <w:gridCol w:w="1406"/>
        <w:gridCol w:w="2001"/>
        <w:gridCol w:w="878"/>
        <w:gridCol w:w="14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96"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399"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1353"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范围</w:t>
            </w:r>
          </w:p>
        </w:tc>
        <w:tc>
          <w:tcPr>
            <w:tcW w:w="1406"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001"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878"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c>
          <w:tcPr>
            <w:tcW w:w="1442" w:type="dxa"/>
            <w:tcBorders>
              <w:tl2br w:val="nil"/>
              <w:tr2bl w:val="nil"/>
            </w:tcBorders>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6" w:type="dxa"/>
            <w:tcBorders>
              <w:tl2br w:val="nil"/>
              <w:tr2bl w:val="nil"/>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39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353"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406"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2001" w:type="dxa"/>
            <w:tcBorders>
              <w:tl2br w:val="nil"/>
              <w:tr2bl w:val="nil"/>
            </w:tcBorders>
            <w:vAlign w:val="center"/>
          </w:tcPr>
          <w:p>
            <w:pPr>
              <w:spacing w:line="360" w:lineRule="auto"/>
              <w:jc w:val="center"/>
              <w:rPr>
                <w:rFonts w:hint="eastAsia" w:ascii="宋体" w:hAnsi="宋体" w:cs="宋体"/>
                <w:color w:val="auto"/>
                <w:sz w:val="24"/>
                <w:highlight w:val="none"/>
              </w:rPr>
            </w:pPr>
          </w:p>
        </w:tc>
        <w:tc>
          <w:tcPr>
            <w:tcW w:w="878" w:type="dxa"/>
            <w:tcBorders>
              <w:tl2br w:val="nil"/>
              <w:tr2bl w:val="nil"/>
            </w:tcBorders>
            <w:vAlign w:val="center"/>
          </w:tcPr>
          <w:p>
            <w:pPr>
              <w:spacing w:line="360" w:lineRule="auto"/>
              <w:jc w:val="center"/>
              <w:rPr>
                <w:rFonts w:hint="eastAsia" w:ascii="宋体" w:hAnsi="宋体" w:cs="宋体"/>
                <w:color w:val="auto"/>
                <w:sz w:val="24"/>
                <w:highlight w:val="none"/>
              </w:rPr>
            </w:pPr>
          </w:p>
        </w:tc>
        <w:tc>
          <w:tcPr>
            <w:tcW w:w="1442" w:type="dxa"/>
            <w:tcBorders>
              <w:tl2br w:val="nil"/>
              <w:tr2bl w:val="nil"/>
            </w:tcBorders>
            <w:vAlign w:val="center"/>
          </w:tcPr>
          <w:p>
            <w:pPr>
              <w:spacing w:line="360" w:lineRule="auto"/>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6" w:type="dxa"/>
            <w:tcBorders>
              <w:tl2br w:val="nil"/>
              <w:tr2bl w:val="nil"/>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39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353"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406"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2001" w:type="dxa"/>
            <w:tcBorders>
              <w:tl2br w:val="nil"/>
              <w:tr2bl w:val="nil"/>
            </w:tcBorders>
            <w:vAlign w:val="center"/>
          </w:tcPr>
          <w:p>
            <w:pPr>
              <w:spacing w:line="360" w:lineRule="auto"/>
              <w:jc w:val="center"/>
              <w:rPr>
                <w:rFonts w:hint="eastAsia" w:ascii="宋体" w:hAnsi="宋体" w:cs="宋体"/>
                <w:color w:val="auto"/>
                <w:sz w:val="24"/>
                <w:highlight w:val="none"/>
              </w:rPr>
            </w:pPr>
          </w:p>
        </w:tc>
        <w:tc>
          <w:tcPr>
            <w:tcW w:w="878" w:type="dxa"/>
            <w:tcBorders>
              <w:tl2br w:val="nil"/>
              <w:tr2bl w:val="nil"/>
            </w:tcBorders>
            <w:vAlign w:val="center"/>
          </w:tcPr>
          <w:p>
            <w:pPr>
              <w:spacing w:line="360" w:lineRule="auto"/>
              <w:jc w:val="center"/>
              <w:rPr>
                <w:rFonts w:hint="eastAsia" w:ascii="宋体" w:hAnsi="宋体" w:cs="宋体"/>
                <w:color w:val="auto"/>
                <w:sz w:val="24"/>
                <w:highlight w:val="none"/>
              </w:rPr>
            </w:pPr>
          </w:p>
        </w:tc>
        <w:tc>
          <w:tcPr>
            <w:tcW w:w="1442" w:type="dxa"/>
            <w:tcBorders>
              <w:tl2br w:val="nil"/>
              <w:tr2bl w:val="nil"/>
            </w:tcBorders>
            <w:vAlign w:val="center"/>
          </w:tcPr>
          <w:p>
            <w:pPr>
              <w:spacing w:line="360" w:lineRule="auto"/>
              <w:jc w:val="center"/>
              <w:rPr>
                <w:rFonts w:hint="eastAsia"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96" w:type="dxa"/>
            <w:tcBorders>
              <w:tl2br w:val="nil"/>
              <w:tr2bl w:val="nil"/>
            </w:tcBorders>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399"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353"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1406" w:type="dxa"/>
            <w:tcBorders>
              <w:tl2br w:val="nil"/>
              <w:tr2bl w:val="nil"/>
            </w:tcBorders>
            <w:vAlign w:val="center"/>
          </w:tcPr>
          <w:p>
            <w:pPr>
              <w:snapToGrid w:val="0"/>
              <w:spacing w:line="360" w:lineRule="auto"/>
              <w:jc w:val="center"/>
              <w:rPr>
                <w:rFonts w:hint="eastAsia" w:ascii="宋体" w:hAnsi="宋体" w:cs="宋体"/>
                <w:color w:val="auto"/>
                <w:sz w:val="24"/>
                <w:highlight w:val="none"/>
              </w:rPr>
            </w:pPr>
          </w:p>
        </w:tc>
        <w:tc>
          <w:tcPr>
            <w:tcW w:w="2001" w:type="dxa"/>
            <w:tcBorders>
              <w:tl2br w:val="nil"/>
              <w:tr2bl w:val="nil"/>
            </w:tcBorders>
            <w:vAlign w:val="center"/>
          </w:tcPr>
          <w:p>
            <w:pPr>
              <w:spacing w:line="360" w:lineRule="auto"/>
              <w:jc w:val="center"/>
              <w:rPr>
                <w:rFonts w:hint="eastAsia" w:ascii="宋体" w:hAnsi="宋体" w:cs="宋体"/>
                <w:color w:val="auto"/>
                <w:sz w:val="24"/>
                <w:highlight w:val="none"/>
              </w:rPr>
            </w:pPr>
          </w:p>
        </w:tc>
        <w:tc>
          <w:tcPr>
            <w:tcW w:w="878" w:type="dxa"/>
            <w:tcBorders>
              <w:tl2br w:val="nil"/>
              <w:tr2bl w:val="nil"/>
            </w:tcBorders>
            <w:vAlign w:val="center"/>
          </w:tcPr>
          <w:p>
            <w:pPr>
              <w:spacing w:line="360" w:lineRule="auto"/>
              <w:jc w:val="center"/>
              <w:rPr>
                <w:rFonts w:hint="eastAsia" w:ascii="宋体" w:hAnsi="宋体" w:cs="宋体"/>
                <w:color w:val="auto"/>
                <w:sz w:val="24"/>
                <w:highlight w:val="none"/>
              </w:rPr>
            </w:pPr>
          </w:p>
        </w:tc>
        <w:tc>
          <w:tcPr>
            <w:tcW w:w="1442" w:type="dxa"/>
            <w:tcBorders>
              <w:tl2br w:val="nil"/>
              <w:tr2bl w:val="nil"/>
            </w:tcBorders>
            <w:vAlign w:val="center"/>
          </w:tcPr>
          <w:p>
            <w:pPr>
              <w:spacing w:line="360" w:lineRule="auto"/>
              <w:jc w:val="center"/>
              <w:rPr>
                <w:rFonts w:hint="eastAsia" w:ascii="宋体" w:hAnsi="宋体" w:cs="宋体"/>
                <w:color w:val="auto"/>
                <w:sz w:val="24"/>
                <w:highlight w:val="none"/>
              </w:rPr>
            </w:pPr>
          </w:p>
        </w:tc>
      </w:tr>
    </w:tbl>
    <w:p>
      <w:pPr>
        <w:spacing w:line="360" w:lineRule="auto"/>
        <w:ind w:right="420"/>
        <w:rPr>
          <w:rFonts w:hint="eastAsia" w:ascii="宋体" w:hAnsi="宋体" w:cs="宋体"/>
          <w:color w:val="auto"/>
          <w:sz w:val="24"/>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679" w:type="dxa"/>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pPr>
              <w:jc w:val="center"/>
              <w:rPr>
                <w:rFonts w:hint="eastAsia" w:ascii="宋体" w:hAnsi="宋体" w:cs="宋体"/>
                <w:b/>
                <w:color w:val="auto"/>
                <w:kern w:val="0"/>
                <w:sz w:val="32"/>
                <w:szCs w:val="32"/>
                <w:highlight w:val="none"/>
              </w:rPr>
            </w:pPr>
          </w:p>
        </w:tc>
        <w:tc>
          <w:tcPr>
            <w:tcW w:w="3062" w:type="dxa"/>
          </w:tcPr>
          <w:p>
            <w:pPr>
              <w:jc w:val="center"/>
              <w:rPr>
                <w:rFonts w:hint="eastAsia" w:ascii="宋体" w:hAnsi="宋体" w:cs="宋体"/>
                <w:b/>
                <w:color w:val="auto"/>
                <w:kern w:val="0"/>
                <w:sz w:val="32"/>
                <w:szCs w:val="32"/>
                <w:highlight w:val="none"/>
              </w:rPr>
            </w:pPr>
          </w:p>
        </w:tc>
        <w:tc>
          <w:tcPr>
            <w:tcW w:w="1679" w:type="dxa"/>
          </w:tcPr>
          <w:p>
            <w:pPr>
              <w:jc w:val="center"/>
              <w:rPr>
                <w:rFonts w:hint="eastAsia"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pPr>
              <w:jc w:val="center"/>
              <w:rPr>
                <w:rFonts w:hint="eastAsia" w:ascii="宋体" w:hAnsi="宋体" w:cs="宋体"/>
                <w:b/>
                <w:color w:val="auto"/>
                <w:kern w:val="0"/>
                <w:sz w:val="32"/>
                <w:szCs w:val="32"/>
                <w:highlight w:val="none"/>
              </w:rPr>
            </w:pPr>
          </w:p>
        </w:tc>
        <w:tc>
          <w:tcPr>
            <w:tcW w:w="3062" w:type="dxa"/>
          </w:tcPr>
          <w:p>
            <w:pPr>
              <w:jc w:val="center"/>
              <w:rPr>
                <w:rFonts w:hint="eastAsia" w:ascii="宋体" w:hAnsi="宋体" w:cs="宋体"/>
                <w:b/>
                <w:color w:val="auto"/>
                <w:kern w:val="0"/>
                <w:sz w:val="32"/>
                <w:szCs w:val="32"/>
                <w:highlight w:val="none"/>
              </w:rPr>
            </w:pPr>
          </w:p>
        </w:tc>
        <w:tc>
          <w:tcPr>
            <w:tcW w:w="1679" w:type="dxa"/>
          </w:tcPr>
          <w:p>
            <w:pPr>
              <w:jc w:val="center"/>
              <w:rPr>
                <w:rFonts w:hint="eastAsia"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pPr>
              <w:jc w:val="center"/>
              <w:rPr>
                <w:rFonts w:hint="eastAsia" w:ascii="宋体" w:hAnsi="宋体" w:cs="宋体"/>
                <w:b/>
                <w:color w:val="auto"/>
                <w:kern w:val="0"/>
                <w:sz w:val="32"/>
                <w:szCs w:val="32"/>
                <w:highlight w:val="none"/>
              </w:rPr>
            </w:pPr>
          </w:p>
        </w:tc>
        <w:tc>
          <w:tcPr>
            <w:tcW w:w="3062" w:type="dxa"/>
          </w:tcPr>
          <w:p>
            <w:pPr>
              <w:jc w:val="center"/>
              <w:rPr>
                <w:rFonts w:hint="eastAsia" w:ascii="宋体" w:hAnsi="宋体" w:cs="宋体"/>
                <w:b/>
                <w:color w:val="auto"/>
                <w:kern w:val="0"/>
                <w:sz w:val="32"/>
                <w:szCs w:val="32"/>
                <w:highlight w:val="none"/>
              </w:rPr>
            </w:pPr>
          </w:p>
        </w:tc>
        <w:tc>
          <w:tcPr>
            <w:tcW w:w="1679" w:type="dxa"/>
          </w:tcPr>
          <w:p>
            <w:pPr>
              <w:jc w:val="center"/>
              <w:rPr>
                <w:rFonts w:hint="eastAsia" w:ascii="宋体" w:hAnsi="宋体" w:cs="宋体"/>
                <w:b/>
                <w:color w:val="auto"/>
                <w:kern w:val="0"/>
                <w:sz w:val="32"/>
                <w:szCs w:val="32"/>
                <w:highlight w:val="none"/>
              </w:rPr>
            </w:pPr>
          </w:p>
        </w:tc>
      </w:tr>
    </w:tbl>
    <w:p>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jc w:val="center"/>
        <w:rPr>
          <w:rFonts w:hint="eastAsia" w:ascii="宋体" w:hAnsi="宋体" w:cs="宋体"/>
          <w:b/>
          <w:color w:val="auto"/>
          <w:kern w:val="0"/>
          <w:sz w:val="32"/>
          <w:szCs w:val="32"/>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pPr>
        <w:ind w:firstLine="1911" w:firstLineChars="595"/>
        <w:rPr>
          <w:rFonts w:hint="eastAsia" w:ascii="宋体" w:hAnsi="宋体" w:cs="宋体"/>
          <w:b/>
          <w:bCs/>
          <w:color w:val="auto"/>
          <w:sz w:val="32"/>
          <w:szCs w:val="32"/>
          <w:highlight w:val="none"/>
        </w:rPr>
      </w:pPr>
    </w:p>
    <w:p>
      <w:pPr>
        <w:ind w:firstLine="1911" w:firstLineChars="595"/>
        <w:rPr>
          <w:rFonts w:hint="eastAsia" w:ascii="宋体" w:hAnsi="宋体" w:cs="宋体"/>
          <w:b/>
          <w:bCs/>
          <w:color w:val="auto"/>
          <w:sz w:val="32"/>
          <w:szCs w:val="32"/>
          <w:highlight w:val="none"/>
        </w:rPr>
      </w:pPr>
    </w:p>
    <w:p>
      <w:pPr>
        <w:ind w:firstLine="1911" w:firstLineChars="595"/>
        <w:rPr>
          <w:rFonts w:hint="eastAsia" w:ascii="宋体" w:hAnsi="宋体" w:cs="宋体"/>
          <w:b/>
          <w:bCs/>
          <w:color w:val="auto"/>
          <w:sz w:val="32"/>
          <w:szCs w:val="32"/>
          <w:highlight w:val="none"/>
        </w:rPr>
      </w:pPr>
    </w:p>
    <w:p>
      <w:pPr>
        <w:widowControl/>
        <w:adjustRightInd/>
        <w:jc w:val="left"/>
        <w:rPr>
          <w:rFonts w:hint="eastAsia"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hint="eastAsia" w:ascii="宋体" w:hAnsi="宋体" w:cs="宋体"/>
          <w:color w:val="auto"/>
          <w:sz w:val="24"/>
          <w:highlight w:val="none"/>
        </w:rPr>
      </w:pP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hint="eastAsia" w:ascii="宋体" w:hAnsi="宋体" w:cs="宋体"/>
          <w:color w:val="auto"/>
          <w:kern w:val="0"/>
          <w:sz w:val="24"/>
          <w:highlight w:val="none"/>
          <w:lang w:val="zh-CN"/>
        </w:rPr>
      </w:pPr>
    </w:p>
    <w:p>
      <w:pPr>
        <w:autoSpaceDE w:val="0"/>
        <w:autoSpaceDN w:val="0"/>
        <w:spacing w:line="360" w:lineRule="auto"/>
        <w:ind w:left="2"/>
        <w:jc w:val="left"/>
        <w:rPr>
          <w:rFonts w:hint="eastAsia" w:ascii="宋体" w:hAnsi="宋体" w:cs="宋体"/>
          <w:color w:val="auto"/>
          <w:kern w:val="0"/>
          <w:sz w:val="24"/>
          <w:highlight w:val="none"/>
          <w:lang w:val="zh-CN"/>
        </w:rPr>
      </w:pPr>
    </w:p>
    <w:p>
      <w:pPr>
        <w:autoSpaceDE w:val="0"/>
        <w:autoSpaceDN w:val="0"/>
        <w:spacing w:line="360" w:lineRule="auto"/>
        <w:ind w:left="2"/>
        <w:jc w:val="left"/>
        <w:rPr>
          <w:rFonts w:hint="eastAsia"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hint="eastAsia" w:ascii="宋体" w:hAnsi="宋体" w:cs="宋体"/>
          <w:b/>
          <w:bCs/>
          <w:color w:val="auto"/>
          <w:sz w:val="24"/>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hint="eastAsia" w:ascii="宋体" w:hAnsi="宋体" w:cs="宋体"/>
          <w:b/>
          <w:bCs/>
          <w:color w:val="auto"/>
          <w:sz w:val="24"/>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hint="eastAsia" w:ascii="宋体" w:hAnsi="宋体" w:cs="宋体"/>
          <w:b/>
          <w:color w:val="auto"/>
          <w:kern w:val="0"/>
          <w:sz w:val="36"/>
          <w:szCs w:val="36"/>
          <w:highlight w:val="none"/>
        </w:rPr>
      </w:pPr>
    </w:p>
    <w:p>
      <w:pPr>
        <w:numPr>
          <w:ilvl w:val="0"/>
          <w:numId w:val="17"/>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pPr>
        <w:numPr>
          <w:ilvl w:val="0"/>
          <w:numId w:val="17"/>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中小企业声明函………………………………………………………………（页码）</w:t>
      </w:r>
    </w:p>
    <w:p>
      <w:pPr>
        <w:pStyle w:val="2"/>
        <w:rPr>
          <w:rFonts w:hint="eastAsia"/>
          <w:b/>
          <w:color w:val="auto"/>
          <w:highlight w:val="none"/>
          <w:lang w:eastAsia="zh-CN"/>
        </w:rPr>
      </w:pPr>
    </w:p>
    <w:p>
      <w:pPr>
        <w:pStyle w:val="2"/>
        <w:rPr>
          <w:rFonts w:hint="eastAsia"/>
          <w:color w:val="auto"/>
          <w:highlight w:val="none"/>
          <w:lang w:eastAsia="zh-CN"/>
        </w:rPr>
      </w:pPr>
    </w:p>
    <w:p>
      <w:pPr>
        <w:pStyle w:val="88"/>
        <w:rPr>
          <w:rFonts w:hint="eastAsia"/>
          <w:color w:val="auto"/>
          <w:highlight w:val="none"/>
        </w:rPr>
      </w:pPr>
    </w:p>
    <w:p>
      <w:pPr>
        <w:pStyle w:val="88"/>
        <w:rPr>
          <w:rFonts w:hint="eastAsia"/>
          <w:color w:val="auto"/>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snapToGrid w:val="0"/>
        <w:spacing w:line="360" w:lineRule="auto"/>
        <w:ind w:right="480"/>
        <w:jc w:val="center"/>
        <w:rPr>
          <w:rFonts w:hint="eastAsia" w:ascii="宋体" w:hAnsi="宋体" w:cs="宋体"/>
          <w:b/>
          <w:color w:val="auto"/>
          <w:kern w:val="0"/>
          <w:sz w:val="32"/>
          <w:szCs w:val="32"/>
          <w:highlight w:val="none"/>
        </w:rPr>
      </w:pPr>
    </w:p>
    <w:p>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410"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c>
          <w:tcPr>
            <w:tcW w:w="2127" w:type="dxa"/>
          </w:tcPr>
          <w:p>
            <w:pPr>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410"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c>
          <w:tcPr>
            <w:tcW w:w="2127" w:type="dxa"/>
          </w:tcPr>
          <w:p>
            <w:pPr>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410"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c>
          <w:tcPr>
            <w:tcW w:w="2127" w:type="dxa"/>
          </w:tcPr>
          <w:p>
            <w:pPr>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宋体" w:hAnsi="宋体" w:cs="宋体"/>
                <w:color w:val="auto"/>
                <w:sz w:val="24"/>
                <w:highlight w:val="none"/>
              </w:rPr>
            </w:pPr>
          </w:p>
        </w:tc>
        <w:tc>
          <w:tcPr>
            <w:tcW w:w="992"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410"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c>
          <w:tcPr>
            <w:tcW w:w="2127" w:type="dxa"/>
          </w:tcPr>
          <w:p>
            <w:pPr>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宋体" w:hAnsi="宋体" w:cs="宋体"/>
                <w:color w:val="auto"/>
                <w:sz w:val="24"/>
                <w:highlight w:val="none"/>
              </w:rPr>
            </w:pPr>
          </w:p>
        </w:tc>
        <w:tc>
          <w:tcPr>
            <w:tcW w:w="992"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410" w:type="dxa"/>
            <w:vAlign w:val="center"/>
          </w:tcPr>
          <w:p>
            <w:pPr>
              <w:snapToGrid w:val="0"/>
              <w:spacing w:line="360" w:lineRule="auto"/>
              <w:jc w:val="center"/>
              <w:rPr>
                <w:rFonts w:hint="eastAsia" w:ascii="宋体" w:hAnsi="宋体" w:cs="宋体"/>
                <w:color w:val="auto"/>
                <w:sz w:val="24"/>
                <w:highlight w:val="none"/>
              </w:rPr>
            </w:pPr>
          </w:p>
        </w:tc>
        <w:tc>
          <w:tcPr>
            <w:tcW w:w="2268" w:type="dxa"/>
            <w:vAlign w:val="center"/>
          </w:tcPr>
          <w:p>
            <w:pPr>
              <w:snapToGrid w:val="0"/>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c>
          <w:tcPr>
            <w:tcW w:w="2127" w:type="dxa"/>
          </w:tcPr>
          <w:p>
            <w:pPr>
              <w:spacing w:line="360" w:lineRule="auto"/>
              <w:jc w:val="center"/>
              <w:rPr>
                <w:rFonts w:hint="eastAsia" w:ascii="宋体" w:hAnsi="宋体" w:cs="宋体"/>
                <w:color w:val="auto"/>
                <w:sz w:val="24"/>
                <w:highlight w:val="none"/>
              </w:rPr>
            </w:pPr>
          </w:p>
        </w:tc>
        <w:tc>
          <w:tcPr>
            <w:tcW w:w="2126" w:type="dxa"/>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pPr>
              <w:spacing w:line="360" w:lineRule="auto"/>
              <w:jc w:val="center"/>
              <w:rPr>
                <w:rFonts w:hint="eastAsia" w:ascii="宋体" w:hAnsi="宋体" w:cs="宋体"/>
                <w:color w:val="auto"/>
                <w:sz w:val="24"/>
                <w:highlight w:val="none"/>
              </w:rPr>
            </w:pPr>
          </w:p>
        </w:tc>
      </w:tr>
    </w:tbl>
    <w:p>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hint="eastAsia"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pPr>
        <w:pStyle w:val="694"/>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88"/>
        <w:ind w:firstLine="482"/>
        <w:rPr>
          <w:rFonts w:hint="eastAsia" w:ascii="宋体" w:hAnsi="宋体" w:cs="宋体"/>
          <w:b/>
          <w:color w:val="auto"/>
          <w:sz w:val="24"/>
          <w:highlight w:val="none"/>
        </w:rPr>
      </w:pPr>
    </w:p>
    <w:p>
      <w:pPr>
        <w:pStyle w:val="88"/>
        <w:ind w:firstLine="482"/>
        <w:rPr>
          <w:rFonts w:hint="eastAsia" w:ascii="宋体" w:hAnsi="宋体" w:cs="宋体"/>
          <w:b/>
          <w:color w:val="auto"/>
          <w:sz w:val="24"/>
          <w:highlight w:val="none"/>
        </w:rPr>
      </w:pPr>
    </w:p>
    <w:p>
      <w:pPr>
        <w:pStyle w:val="694"/>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spacing w:line="360" w:lineRule="auto"/>
        <w:ind w:right="420" w:firstLine="3614" w:firstLineChars="1000"/>
        <w:rPr>
          <w:rFonts w:hint="eastAsia" w:ascii="宋体" w:hAnsi="宋体" w:cs="宋体"/>
          <w:b/>
          <w:color w:val="auto"/>
          <w:kern w:val="0"/>
          <w:sz w:val="36"/>
          <w:szCs w:val="36"/>
          <w:highlight w:val="none"/>
        </w:rPr>
      </w:pPr>
    </w:p>
    <w:p>
      <w:pPr>
        <w:pStyle w:val="2"/>
        <w:rPr>
          <w:rFonts w:hint="eastAsia" w:cs="宋体"/>
          <w:b/>
          <w:color w:val="auto"/>
          <w:sz w:val="36"/>
          <w:szCs w:val="36"/>
          <w:highlight w:val="none"/>
          <w:lang w:eastAsia="zh-CN"/>
        </w:rPr>
      </w:pPr>
    </w:p>
    <w:p>
      <w:pPr>
        <w:pStyle w:val="2"/>
        <w:rPr>
          <w:rFonts w:hint="eastAsia" w:cs="宋体"/>
          <w:b/>
          <w:color w:val="auto"/>
          <w:sz w:val="36"/>
          <w:szCs w:val="36"/>
          <w:highlight w:val="none"/>
          <w:lang w:eastAsia="zh-CN"/>
        </w:rPr>
      </w:pPr>
    </w:p>
    <w:p>
      <w:pPr>
        <w:pStyle w:val="2"/>
        <w:rPr>
          <w:rFonts w:hint="eastAsia" w:cs="宋体"/>
          <w:b/>
          <w:color w:val="auto"/>
          <w:sz w:val="36"/>
          <w:szCs w:val="36"/>
          <w:highlight w:val="none"/>
          <w:lang w:eastAsia="zh-CN"/>
        </w:rPr>
      </w:pPr>
    </w:p>
    <w:p>
      <w:pPr>
        <w:pStyle w:val="3"/>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r>
        <w:rPr>
          <w:rFonts w:hint="eastAsia" w:ascii="宋体" w:hAnsi="宋体" w:cs="宋体"/>
          <w:color w:val="auto"/>
          <w:highlight w:val="none"/>
        </w:rPr>
        <w:t>附件</w:t>
      </w:r>
    </w:p>
    <w:p>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hint="eastAsia" w:ascii="宋体" w:hAnsi="宋体" w:cs="宋体"/>
          <w:b/>
          <w:color w:val="auto"/>
          <w:spacing w:val="6"/>
          <w:sz w:val="32"/>
          <w:szCs w:val="32"/>
          <w:highlight w:val="none"/>
        </w:rPr>
      </w:pPr>
      <w:bookmarkStart w:id="397" w:name="OLE_LINK13"/>
      <w:bookmarkStart w:id="398" w:name="OLE_LINK14"/>
      <w:r>
        <w:rPr>
          <w:rFonts w:hint="eastAsia" w:ascii="宋体" w:hAnsi="宋体" w:cs="宋体"/>
          <w:b/>
          <w:color w:val="auto"/>
          <w:spacing w:val="6"/>
          <w:sz w:val="32"/>
          <w:szCs w:val="32"/>
          <w:highlight w:val="none"/>
        </w:rPr>
        <w:t>残疾人福利性单位声明函</w:t>
      </w:r>
    </w:p>
    <w:bookmarkEnd w:id="397"/>
    <w:bookmarkEnd w:id="398"/>
    <w:p>
      <w:pPr>
        <w:spacing w:line="360" w:lineRule="auto"/>
        <w:rPr>
          <w:rFonts w:hint="eastAsia" w:ascii="宋体" w:hAnsi="宋体" w:cs="宋体"/>
          <w:b/>
          <w:color w:val="auto"/>
          <w:spacing w:val="6"/>
          <w:sz w:val="30"/>
          <w:szCs w:val="30"/>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p>
    <w:p>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hint="eastAsia" w:ascii="宋体" w:hAnsi="宋体" w:cs="宋体"/>
          <w:color w:val="auto"/>
          <w:sz w:val="24"/>
          <w:highlight w:val="none"/>
        </w:rPr>
      </w:pP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spacing w:line="360" w:lineRule="auto"/>
        <w:rPr>
          <w:rFonts w:hint="eastAsia" w:ascii="宋体" w:hAnsi="宋体" w:cs="宋体"/>
          <w:b/>
          <w:color w:val="auto"/>
          <w:sz w:val="24"/>
          <w:highlight w:val="none"/>
        </w:rPr>
      </w:pPr>
    </w:p>
    <w:p>
      <w:pPr>
        <w:pStyle w:val="2"/>
        <w:rPr>
          <w:rFonts w:hint="eastAsia" w:cs="宋体"/>
          <w:b/>
          <w:color w:val="auto"/>
          <w:highlight w:val="none"/>
          <w:lang w:eastAsia="zh-CN"/>
        </w:rPr>
      </w:pPr>
    </w:p>
    <w:p>
      <w:pPr>
        <w:pStyle w:val="2"/>
        <w:rPr>
          <w:rFonts w:hint="eastAsia" w:cs="宋体"/>
          <w:b/>
          <w:color w:val="auto"/>
          <w:highlight w:val="none"/>
          <w:lang w:eastAsia="zh-CN"/>
        </w:rPr>
      </w:pPr>
    </w:p>
    <w:p>
      <w:pPr>
        <w:pStyle w:val="2"/>
        <w:rPr>
          <w:rFonts w:hint="eastAsia" w:cs="宋体"/>
          <w:b/>
          <w:color w:val="auto"/>
          <w:highlight w:val="none"/>
          <w:lang w:eastAsia="zh-CN"/>
        </w:rPr>
      </w:pPr>
    </w:p>
    <w:p>
      <w:pPr>
        <w:pStyle w:val="2"/>
        <w:rPr>
          <w:rFonts w:hint="eastAsia" w:cs="宋体"/>
          <w:b/>
          <w:color w:val="auto"/>
          <w:highlight w:val="none"/>
          <w:lang w:eastAsia="zh-CN"/>
        </w:rPr>
      </w:pPr>
    </w:p>
    <w:p>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宋体" w:hAnsi="宋体" w:cs="宋体"/>
          <w:color w:val="auto"/>
          <w:sz w:val="30"/>
          <w:szCs w:val="30"/>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center"/>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spacing w:line="360" w:lineRule="auto"/>
        <w:jc w:val="left"/>
        <w:rPr>
          <w:rFonts w:hint="eastAsia" w:ascii="宋体" w:hAnsi="宋体" w:cs="宋体"/>
          <w:b/>
          <w:color w:val="auto"/>
          <w:spacing w:val="6"/>
          <w:sz w:val="32"/>
          <w:szCs w:val="32"/>
          <w:highlight w:val="none"/>
        </w:rPr>
      </w:pPr>
    </w:p>
    <w:p>
      <w:pPr>
        <w:pStyle w:val="2"/>
        <w:rPr>
          <w:rFonts w:hint="eastAsia" w:cs="宋体"/>
          <w:b/>
          <w:color w:val="auto"/>
          <w:spacing w:val="6"/>
          <w:sz w:val="32"/>
          <w:szCs w:val="32"/>
          <w:highlight w:val="none"/>
          <w:lang w:eastAsia="zh-CN"/>
        </w:rPr>
      </w:pPr>
    </w:p>
    <w:p>
      <w:pPr>
        <w:pStyle w:val="2"/>
        <w:rPr>
          <w:rFonts w:hint="eastAsia" w:cs="宋体"/>
          <w:b/>
          <w:color w:val="auto"/>
          <w:spacing w:val="6"/>
          <w:sz w:val="32"/>
          <w:szCs w:val="32"/>
          <w:highlight w:val="none"/>
          <w:lang w:eastAsia="zh-CN"/>
        </w:rPr>
      </w:pPr>
    </w:p>
    <w:p>
      <w:pPr>
        <w:pStyle w:val="2"/>
        <w:rPr>
          <w:rFonts w:hint="eastAsia" w:cs="宋体"/>
          <w:b/>
          <w:color w:val="auto"/>
          <w:spacing w:val="6"/>
          <w:sz w:val="32"/>
          <w:szCs w:val="32"/>
          <w:highlight w:val="none"/>
          <w:lang w:eastAsia="zh-CN"/>
        </w:rPr>
      </w:pPr>
    </w:p>
    <w:p>
      <w:pPr>
        <w:pStyle w:val="2"/>
        <w:rPr>
          <w:rFonts w:hint="eastAsia" w:cs="宋体"/>
          <w:b/>
          <w:color w:val="auto"/>
          <w:spacing w:val="6"/>
          <w:sz w:val="32"/>
          <w:szCs w:val="32"/>
          <w:highlight w:val="none"/>
          <w:lang w:eastAsia="zh-CN"/>
        </w:rPr>
      </w:pPr>
    </w:p>
    <w:p>
      <w:pPr>
        <w:pStyle w:val="2"/>
        <w:rPr>
          <w:rFonts w:hint="eastAsia" w:cs="宋体"/>
          <w:b/>
          <w:color w:val="auto"/>
          <w:spacing w:val="6"/>
          <w:sz w:val="32"/>
          <w:szCs w:val="32"/>
          <w:highlight w:val="none"/>
          <w:lang w:eastAsia="zh-CN"/>
        </w:rPr>
      </w:pPr>
    </w:p>
    <w:p>
      <w:pPr>
        <w:pStyle w:val="2"/>
        <w:rPr>
          <w:rFonts w:hint="eastAsia" w:cs="宋体"/>
          <w:b/>
          <w:color w:val="auto"/>
          <w:spacing w:val="6"/>
          <w:sz w:val="32"/>
          <w:szCs w:val="32"/>
          <w:highlight w:val="none"/>
          <w:lang w:eastAsia="zh-CN"/>
        </w:rPr>
      </w:pPr>
    </w:p>
    <w:p>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hint="eastAsia" w:ascii="宋体" w:hAnsi="宋体" w:cs="宋体"/>
          <w:color w:val="auto"/>
          <w:sz w:val="24"/>
          <w:highlight w:val="none"/>
          <w:u w:val="singl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hint="eastAsia" w:ascii="宋体" w:hAnsi="宋体" w:cs="宋体"/>
          <w:color w:val="auto"/>
          <w:sz w:val="24"/>
          <w:highlight w:val="none"/>
        </w:rPr>
      </w:pPr>
    </w:p>
    <w:p>
      <w:pPr>
        <w:spacing w:line="360" w:lineRule="auto"/>
        <w:ind w:firstLine="494"/>
        <w:rPr>
          <w:rFonts w:hint="eastAsia" w:ascii="宋体" w:hAnsi="宋体" w:cs="宋体"/>
          <w:color w:val="auto"/>
          <w:sz w:val="24"/>
          <w:highlight w:val="none"/>
        </w:rPr>
      </w:pPr>
    </w:p>
    <w:p>
      <w:pPr>
        <w:spacing w:line="360" w:lineRule="auto"/>
        <w:ind w:firstLine="494"/>
        <w:rPr>
          <w:rFonts w:hint="eastAsia" w:ascii="宋体" w:hAnsi="宋体" w:cs="宋体"/>
          <w:color w:val="auto"/>
          <w:sz w:val="24"/>
          <w:highlight w:val="none"/>
        </w:rPr>
      </w:pPr>
    </w:p>
    <w:p>
      <w:pPr>
        <w:spacing w:line="360" w:lineRule="auto"/>
        <w:ind w:firstLine="494"/>
        <w:rPr>
          <w:rFonts w:hint="eastAsia" w:ascii="宋体" w:hAnsi="宋体" w:cs="宋体"/>
          <w:color w:val="auto"/>
          <w:sz w:val="24"/>
          <w:highlight w:val="none"/>
        </w:rPr>
      </w:pPr>
    </w:p>
    <w:p>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hint="eastAsia"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hint="eastAsia"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399"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399"/>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0"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40%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0"/>
      <w:r>
        <w:rPr>
          <w:rFonts w:hint="eastAsia" w:ascii="宋体" w:hAnsi="宋体" w:cs="宋体"/>
          <w:b/>
          <w:color w:val="auto"/>
          <w:kern w:val="0"/>
          <w:sz w:val="24"/>
          <w:highlight w:val="none"/>
          <w:lang w:val="zh-CN"/>
        </w:rPr>
        <w:t>）</w:t>
      </w:r>
    </w:p>
    <w:p>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w:t>
      </w:r>
      <w:bookmarkStart w:id="40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1"/>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snapToGrid w:val="0"/>
        <w:spacing w:line="360" w:lineRule="auto"/>
        <w:ind w:firstLine="3666" w:firstLineChars="1100"/>
        <w:rPr>
          <w:rFonts w:hint="eastAsia" w:ascii="宋体" w:hAnsi="宋体" w:cs="宋体"/>
          <w:b/>
          <w:color w:val="auto"/>
          <w:spacing w:val="6"/>
          <w:sz w:val="32"/>
          <w:szCs w:val="32"/>
          <w:highlight w:val="none"/>
        </w:rPr>
      </w:pPr>
    </w:p>
    <w:p>
      <w:pPr>
        <w:snapToGrid w:val="0"/>
        <w:spacing w:line="360" w:lineRule="auto"/>
        <w:ind w:firstLine="3666" w:firstLineChars="1100"/>
        <w:rPr>
          <w:rFonts w:hint="eastAsia" w:ascii="宋体" w:hAnsi="宋体" w:cs="宋体"/>
          <w:b/>
          <w:color w:val="auto"/>
          <w:spacing w:val="6"/>
          <w:sz w:val="32"/>
          <w:szCs w:val="32"/>
          <w:highlight w:val="none"/>
        </w:rPr>
      </w:pPr>
    </w:p>
    <w:p>
      <w:pPr>
        <w:snapToGrid w:val="0"/>
        <w:spacing w:line="360" w:lineRule="auto"/>
        <w:ind w:firstLine="3666" w:firstLineChars="1100"/>
        <w:rPr>
          <w:rFonts w:hint="eastAsia" w:ascii="宋体" w:hAnsi="宋体" w:cs="宋体"/>
          <w:b/>
          <w:color w:val="auto"/>
          <w:spacing w:val="6"/>
          <w:sz w:val="32"/>
          <w:szCs w:val="32"/>
          <w:highlight w:val="none"/>
        </w:rPr>
      </w:pPr>
    </w:p>
    <w:p>
      <w:pPr>
        <w:snapToGrid w:val="0"/>
        <w:spacing w:line="360" w:lineRule="auto"/>
        <w:ind w:firstLine="3666" w:firstLineChars="1100"/>
        <w:rPr>
          <w:rFonts w:hint="eastAsia" w:ascii="宋体" w:hAnsi="宋体" w:cs="宋体"/>
          <w:b/>
          <w:color w:val="auto"/>
          <w:spacing w:val="6"/>
          <w:sz w:val="32"/>
          <w:szCs w:val="32"/>
          <w:highlight w:val="none"/>
        </w:rPr>
      </w:pPr>
    </w:p>
    <w:p>
      <w:pPr>
        <w:snapToGrid w:val="0"/>
        <w:spacing w:line="360" w:lineRule="auto"/>
        <w:ind w:firstLine="3666" w:firstLineChars="1100"/>
        <w:rPr>
          <w:rFonts w:hint="eastAsia" w:ascii="宋体" w:hAnsi="宋体" w:cs="宋体"/>
          <w:b/>
          <w:color w:val="auto"/>
          <w:spacing w:val="6"/>
          <w:sz w:val="32"/>
          <w:szCs w:val="32"/>
          <w:highlight w:val="none"/>
        </w:rPr>
      </w:pPr>
    </w:p>
    <w:p>
      <w:pPr>
        <w:snapToGrid w:val="0"/>
        <w:spacing w:line="360" w:lineRule="auto"/>
        <w:ind w:firstLine="3666" w:firstLineChars="1100"/>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4"/>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rPr>
          <w:color w:val="auto"/>
          <w:highlight w:val="none"/>
        </w:rPr>
      </w:pPr>
      <w:r>
        <w:rPr>
          <w:rFonts w:hint="eastAsia"/>
          <w:color w:val="auto"/>
          <w:highlight w:val="none"/>
          <w:lang w:val="zh-CN"/>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hint="eastAsia"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40%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autoSpaceDE w:val="0"/>
        <w:autoSpaceDN w:val="0"/>
        <w:jc w:val="center"/>
        <w:rPr>
          <w:rFonts w:hint="eastAsia" w:ascii="宋体" w:hAnsi="宋体" w:cs="宋体"/>
          <w:b/>
          <w:color w:val="auto"/>
          <w:spacing w:val="6"/>
          <w:sz w:val="32"/>
          <w:szCs w:val="32"/>
          <w:highlight w:val="none"/>
        </w:rPr>
      </w:pPr>
    </w:p>
    <w:p>
      <w:pPr>
        <w:spacing w:line="360" w:lineRule="auto"/>
        <w:jc w:val="left"/>
        <w:outlineLvl w:val="0"/>
        <w:rPr>
          <w:rFonts w:hint="eastAsia" w:ascii="宋体" w:hAnsi="宋体" w:cs="宋体"/>
          <w:b/>
          <w:color w:val="auto"/>
          <w:sz w:val="36"/>
          <w:szCs w:val="20"/>
          <w:highlight w:val="none"/>
        </w:rPr>
      </w:pPr>
    </w:p>
    <w:p>
      <w:pPr>
        <w:spacing w:line="360" w:lineRule="auto"/>
        <w:jc w:val="left"/>
        <w:outlineLvl w:val="0"/>
        <w:rPr>
          <w:rFonts w:hint="eastAsia" w:ascii="宋体" w:hAnsi="宋体" w:cs="宋体"/>
          <w:b/>
          <w:color w:val="auto"/>
          <w:sz w:val="36"/>
          <w:szCs w:val="20"/>
          <w:highlight w:val="none"/>
        </w:rPr>
      </w:pPr>
    </w:p>
    <w:p>
      <w:pPr>
        <w:spacing w:line="360" w:lineRule="auto"/>
        <w:jc w:val="left"/>
        <w:outlineLvl w:val="0"/>
        <w:rPr>
          <w:rFonts w:hint="eastAsia" w:ascii="宋体" w:hAnsi="宋体" w:cs="宋体"/>
          <w:b/>
          <w:color w:val="auto"/>
          <w:sz w:val="36"/>
          <w:szCs w:val="20"/>
          <w:highlight w:val="none"/>
        </w:rPr>
      </w:pPr>
    </w:p>
    <w:p>
      <w:pPr>
        <w:spacing w:line="360" w:lineRule="auto"/>
        <w:jc w:val="left"/>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pPr>
        <w:spacing w:line="360" w:lineRule="auto"/>
        <w:jc w:val="center"/>
        <w:rPr>
          <w:rFonts w:hint="eastAsia" w:ascii="宋体" w:hAnsi="宋体" w:cs="宋体"/>
          <w:color w:val="auto"/>
          <w:sz w:val="24"/>
          <w:highlight w:val="none"/>
          <w:u w:val="singl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pacing w:line="360" w:lineRule="auto"/>
        <w:ind w:right="1760"/>
        <w:jc w:val="right"/>
        <w:rPr>
          <w:rFonts w:hint="eastAsia" w:ascii="宋体" w:hAnsi="宋体" w:cs="宋体"/>
          <w:color w:val="auto"/>
          <w:sz w:val="24"/>
          <w:highlight w:val="none"/>
        </w:rPr>
      </w:pPr>
      <w:r>
        <w:rPr>
          <w:rFonts w:hint="eastAsia" w:ascii="宋体" w:hAnsi="宋体" w:cs="宋体"/>
          <w:color w:val="auto"/>
          <w:sz w:val="24"/>
          <w:highlight w:val="none"/>
        </w:rPr>
        <w:t>投标人名称（电子签名）：</w:t>
      </w:r>
    </w:p>
    <w:p>
      <w:pPr>
        <w:spacing w:line="360" w:lineRule="auto"/>
        <w:ind w:right="1120" w:firstLine="4680" w:firstLineChars="1950"/>
        <w:rPr>
          <w:rFonts w:hint="eastAsia" w:ascii="宋体" w:hAnsi="宋体" w:cs="宋体"/>
          <w:color w:val="auto"/>
          <w:sz w:val="24"/>
          <w:highlight w:val="none"/>
        </w:rPr>
      </w:pPr>
      <w:r>
        <w:rPr>
          <w:rFonts w:hint="eastAsia" w:ascii="宋体" w:hAnsi="宋体" w:cs="宋体"/>
          <w:color w:val="auto"/>
          <w:sz w:val="24"/>
          <w:highlight w:val="none"/>
        </w:rPr>
        <w:t>日 期：</w:t>
      </w:r>
    </w:p>
    <w:p>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pPr>
        <w:rPr>
          <w:color w:val="auto"/>
          <w:highlight w:val="none"/>
        </w:rPr>
      </w:pPr>
    </w:p>
    <w:p>
      <w:pPr>
        <w:rPr>
          <w:color w:val="auto"/>
          <w:highlight w:val="none"/>
        </w:rPr>
      </w:pPr>
    </w:p>
    <w:p>
      <w:pPr>
        <w:rPr>
          <w:color w:val="auto"/>
          <w:highlight w:val="none"/>
        </w:rPr>
      </w:pPr>
    </w:p>
    <w:sectPr>
      <w:headerReference r:id="rId20" w:type="first"/>
      <w:footerReference r:id="rId23" w:type="first"/>
      <w:headerReference r:id="rId19" w:type="default"/>
      <w:footerReference r:id="rId21" w:type="default"/>
      <w:footerReference r:id="rId22"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74C0DF6-E8E5-4152-9064-3738F58B69D4}"/>
  </w:font>
  <w:font w:name="Arial">
    <w:panose1 w:val="020B0604020202020204"/>
    <w:charset w:val="01"/>
    <w:family w:val="swiss"/>
    <w:pitch w:val="default"/>
    <w:sig w:usb0="E0002EFF" w:usb1="C000785B" w:usb2="00000009" w:usb3="00000000" w:csb0="400001FF" w:csb1="FFFF0000"/>
    <w:embedRegular r:id="rId2" w:fontKey="{7386D1C1-54D4-4C5A-8E31-27F9F1353E83}"/>
  </w:font>
  <w:font w:name="黑体">
    <w:panose1 w:val="02010609060101010101"/>
    <w:charset w:val="86"/>
    <w:family w:val="auto"/>
    <w:pitch w:val="default"/>
    <w:sig w:usb0="800002BF" w:usb1="38CF7CFA" w:usb2="00000016" w:usb3="00000000" w:csb0="00040001" w:csb1="00000000"/>
    <w:embedRegular r:id="rId3" w:fontKey="{E810C614-6A2B-4A70-A526-2A5D59B31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060C6A1D-490E-46D5-B6F5-5A096A1E4C42}"/>
  </w:font>
  <w:font w:name="仿宋">
    <w:panose1 w:val="02010609060101010101"/>
    <w:charset w:val="86"/>
    <w:family w:val="modern"/>
    <w:pitch w:val="default"/>
    <w:sig w:usb0="800002BF" w:usb1="38CF7CFA" w:usb2="00000016" w:usb3="00000000" w:csb0="00040001" w:csb1="00000000"/>
    <w:embedRegular r:id="rId5" w:fontKey="{ED41C7DF-49E1-402A-87D7-1BDF73AE429B}"/>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184DD056-A195-43FF-858E-835E7FB1968E}"/>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7" w:fontKey="{65376F0B-D332-49BC-A3A3-BA2D14367AD1}"/>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embedRegular r:id="rId8" w:fontKey="{72BFF8CB-B956-4798-968D-8338DCDAFEDE}"/>
  </w:font>
  <w:font w:name="Segoe UI Symbol">
    <w:panose1 w:val="020B0502040204020203"/>
    <w:charset w:val="00"/>
    <w:family w:val="swiss"/>
    <w:pitch w:val="default"/>
    <w:sig w:usb0="800001E3" w:usb1="1200FFEF" w:usb2="00040000" w:usb3="04000000" w:csb0="00000001" w:csb1="40000000"/>
    <w:embedRegular r:id="rId9" w:fontKey="{FD7D3F7A-92F4-4187-9E1A-6A44119E9A6E}"/>
  </w:font>
  <w:font w:name="MS Mincho">
    <w:altName w:val="MS UI Gothic"/>
    <w:panose1 w:val="02020609040205080304"/>
    <w:charset w:val="80"/>
    <w:family w:val="modern"/>
    <w:pitch w:val="default"/>
    <w:sig w:usb0="00000000" w:usb1="00000000" w:usb2="08000012" w:usb3="00000000" w:csb0="4002009F" w:csb1="DFD70000"/>
    <w:embedRegular r:id="rId10" w:fontKey="{ED11A381-3208-4AC0-868D-64B45AE25F48}"/>
  </w:font>
  <w:font w:name="sans-serif">
    <w:altName w:val="Noto Sans SC"/>
    <w:panose1 w:val="00000000000000000000"/>
    <w:charset w:val="00"/>
    <w:family w:val="auto"/>
    <w:pitch w:val="default"/>
    <w:sig w:usb0="00000000" w:usb1="00000000" w:usb2="00000000" w:usb3="00000000" w:csb0="00040001" w:csb1="00000000"/>
    <w:embedRegular r:id="rId11" w:fontKey="{D808AA82-D8F9-4002-9D57-4268085BB965}"/>
  </w:font>
  <w:font w:name="MS UI Gothic">
    <w:panose1 w:val="020B0600070205080204"/>
    <w:charset w:val="80"/>
    <w:family w:val="auto"/>
    <w:pitch w:val="default"/>
    <w:sig w:usb0="E00002FF" w:usb1="6AC7FDFB" w:usb2="08000012" w:usb3="00000000" w:csb0="4002009F" w:csb1="DFD70000"/>
  </w:font>
  <w:font w:name="Noto Sans SC">
    <w:panose1 w:val="020B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embedRegular r:id="rId12" w:fontKey="{0B3A850C-6DCC-4DEB-B8A8-B3B45F5044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3"/>
      </w:rPr>
    </w:pPr>
    <w:r>
      <w:fldChar w:fldCharType="begin"/>
    </w:r>
    <w:r>
      <w:rPr>
        <w:rStyle w:val="73"/>
      </w:rPr>
      <w:instrText xml:space="preserve">PAGE  </w:instrText>
    </w:r>
    <w:r>
      <w:fldChar w:fldCharType="end"/>
    </w:r>
  </w:p>
  <w:p>
    <w:pPr>
      <w:pStyle w:val="41"/>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60</w:t>
                    </w:r>
                    <w:r>
                      <w:fldChar w:fldCharType="end"/>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41"/>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37</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1"/>
                      <w:jc w:val="center"/>
                    </w:pPr>
                  </w:p>
                  <w:p/>
                </w:txbxContent>
              </v:textbox>
            </v:shape>
          </w:pict>
        </mc:Fallback>
      </mc:AlternateConten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1"/>
                      <w:jc w:val="center"/>
                    </w:pPr>
                  </w:p>
                  <w:p/>
                </w:txbxContent>
              </v:textbox>
            </v:shape>
          </w:pict>
        </mc:Fallback>
      </mc:AlternateConten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41"/>
                      <w:jc w:val="center"/>
                    </w:pPr>
                  </w:p>
                  <w:p/>
                </w:txbxContent>
              </v:textbox>
            </v:shape>
          </w:pict>
        </mc:Fallback>
      </mc:AlternateConten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53</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1"/>
                      <w:jc w:val="center"/>
                    </w:pPr>
                  </w:p>
                  <w:p/>
                </w:txbxContent>
              </v:textbox>
            </v:shape>
          </w:pict>
        </mc:Fallback>
      </mc:AlternateConten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59</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41"/>
                      <w:jc w:val="center"/>
                    </w:pPr>
                  </w:p>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41"/>
                      <w:jc w:val="center"/>
                    </w:pPr>
                  </w:p>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szCs w:val="24"/>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t>61</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41"/>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tabs>
        <w:tab w:val="center" w:pos="4535"/>
        <w:tab w:val="right" w:pos="9070"/>
        <w:tab w:val="clear" w:pos="4153"/>
        <w:tab w:val="clear" w:pos="8306"/>
      </w:tabs>
      <w:jc w:val="right"/>
    </w:pP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1"/>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1"/>
      </w:pBdr>
      <w:jc w:val="right"/>
      <w:rPr>
        <w:rFonts w:ascii="仿宋_GB2312" w:eastAsia="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591F6"/>
    <w:multiLevelType w:val="multilevel"/>
    <w:tmpl w:val="88D591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A092452"/>
    <w:multiLevelType w:val="singleLevel"/>
    <w:tmpl w:val="8A092452"/>
    <w:lvl w:ilvl="0" w:tentative="0">
      <w:start w:val="1"/>
      <w:numFmt w:val="decimal"/>
      <w:suff w:val="nothing"/>
      <w:lvlText w:val="%1．"/>
      <w:lvlJc w:val="left"/>
      <w:pPr>
        <w:ind w:left="0" w:firstLine="400"/>
      </w:pPr>
      <w:rPr>
        <w:rFonts w:hint="default"/>
        <w:b/>
        <w:bCs/>
      </w:rPr>
    </w:lvl>
  </w:abstractNum>
  <w:abstractNum w:abstractNumId="2">
    <w:nsid w:val="A2F75366"/>
    <w:multiLevelType w:val="multilevel"/>
    <w:tmpl w:val="A2F753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D75722A9"/>
    <w:multiLevelType w:val="singleLevel"/>
    <w:tmpl w:val="D75722A9"/>
    <w:lvl w:ilvl="0" w:tentative="0">
      <w:start w:val="1"/>
      <w:numFmt w:val="decimal"/>
      <w:lvlText w:val="%1)"/>
      <w:lvlJc w:val="left"/>
      <w:pPr>
        <w:ind w:left="425" w:hanging="425"/>
      </w:pPr>
      <w:rPr>
        <w:rFonts w:hint="default"/>
      </w:rPr>
    </w:lvl>
  </w:abstractNum>
  <w:abstractNum w:abstractNumId="4">
    <w:nsid w:val="0A0E7515"/>
    <w:multiLevelType w:val="multilevel"/>
    <w:tmpl w:val="0A0E75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924E9C"/>
    <w:multiLevelType w:val="multilevel"/>
    <w:tmpl w:val="0D924E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462CE5F"/>
    <w:multiLevelType w:val="multilevel"/>
    <w:tmpl w:val="1462CE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7C02E97"/>
    <w:multiLevelType w:val="multilevel"/>
    <w:tmpl w:val="27C02E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802623"/>
    <w:multiLevelType w:val="singleLevel"/>
    <w:tmpl w:val="29802623"/>
    <w:lvl w:ilvl="0" w:tentative="0">
      <w:start w:val="1"/>
      <w:numFmt w:val="chineseCounting"/>
      <w:suff w:val="nothing"/>
      <w:lvlText w:val="%1、"/>
      <w:lvlJc w:val="left"/>
      <w:rPr>
        <w:rFonts w:hint="eastAsia"/>
      </w:rPr>
    </w:lvl>
  </w:abstractNum>
  <w:abstractNum w:abstractNumId="9">
    <w:nsid w:val="315BC4BE"/>
    <w:multiLevelType w:val="singleLevel"/>
    <w:tmpl w:val="315BC4BE"/>
    <w:lvl w:ilvl="0" w:tentative="0">
      <w:start w:val="1"/>
      <w:numFmt w:val="decimal"/>
      <w:suff w:val="nothing"/>
      <w:lvlText w:val="%1．"/>
      <w:lvlJc w:val="left"/>
      <w:pPr>
        <w:ind w:left="0" w:firstLine="400"/>
      </w:pPr>
      <w:rPr>
        <w:rFonts w:hint="default"/>
        <w:b/>
        <w:bCs/>
      </w:rPr>
    </w:lvl>
  </w:abstractNum>
  <w:abstractNum w:abstractNumId="10">
    <w:nsid w:val="31A960A5"/>
    <w:multiLevelType w:val="multilevel"/>
    <w:tmpl w:val="31A960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E5F7F92"/>
    <w:multiLevelType w:val="singleLevel"/>
    <w:tmpl w:val="3E5F7F92"/>
    <w:lvl w:ilvl="0" w:tentative="0">
      <w:start w:val="1"/>
      <w:numFmt w:val="chineseCounting"/>
      <w:suff w:val="nothing"/>
      <w:lvlText w:val="%1、"/>
      <w:lvlJc w:val="left"/>
      <w:rPr>
        <w:rFonts w:hint="eastAsia"/>
      </w:rPr>
    </w:lvl>
  </w:abstractNum>
  <w:abstractNum w:abstractNumId="12">
    <w:nsid w:val="41892D21"/>
    <w:multiLevelType w:val="singleLevel"/>
    <w:tmpl w:val="41892D21"/>
    <w:lvl w:ilvl="0" w:tentative="0">
      <w:start w:val="1"/>
      <w:numFmt w:val="decimal"/>
      <w:suff w:val="nothing"/>
      <w:lvlText w:val="（%1）"/>
      <w:lvlJc w:val="left"/>
    </w:lvl>
  </w:abstractNum>
  <w:abstractNum w:abstractNumId="13">
    <w:nsid w:val="6EA213C6"/>
    <w:multiLevelType w:val="singleLevel"/>
    <w:tmpl w:val="6EA213C6"/>
    <w:lvl w:ilvl="0" w:tentative="0">
      <w:start w:val="1"/>
      <w:numFmt w:val="decimal"/>
      <w:suff w:val="nothing"/>
      <w:lvlText w:val="%1．"/>
      <w:lvlJc w:val="left"/>
      <w:pPr>
        <w:ind w:left="0" w:firstLine="400"/>
      </w:pPr>
      <w:rPr>
        <w:rFonts w:hint="default"/>
        <w:b/>
        <w:bCs/>
      </w:rPr>
    </w:lvl>
  </w:abstractNum>
  <w:abstractNum w:abstractNumId="14">
    <w:nsid w:val="7A89B0CD"/>
    <w:multiLevelType w:val="singleLevel"/>
    <w:tmpl w:val="7A89B0CD"/>
    <w:lvl w:ilvl="0" w:tentative="0">
      <w:start w:val="1"/>
      <w:numFmt w:val="decimal"/>
      <w:suff w:val="nothing"/>
      <w:lvlText w:val="（%1）"/>
      <w:lvlJc w:val="left"/>
    </w:lvl>
  </w:abstractNum>
  <w:abstractNum w:abstractNumId="15">
    <w:nsid w:val="7BC9BF20"/>
    <w:multiLevelType w:val="multilevel"/>
    <w:tmpl w:val="7BC9BF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E329BEC"/>
    <w:multiLevelType w:val="singleLevel"/>
    <w:tmpl w:val="7E329BEC"/>
    <w:lvl w:ilvl="0" w:tentative="0">
      <w:start w:val="2"/>
      <w:numFmt w:val="chineseCounting"/>
      <w:suff w:val="nothing"/>
      <w:lvlText w:val="（%1）"/>
      <w:lvlJc w:val="left"/>
      <w:rPr>
        <w:rFonts w:hint="eastAsia"/>
      </w:rPr>
    </w:lvl>
  </w:abstractNum>
  <w:num w:numId="1">
    <w:abstractNumId w:val="8"/>
  </w:num>
  <w:num w:numId="2">
    <w:abstractNumId w:val="9"/>
  </w:num>
  <w:num w:numId="3">
    <w:abstractNumId w:val="4"/>
  </w:num>
  <w:num w:numId="4">
    <w:abstractNumId w:val="10"/>
  </w:num>
  <w:num w:numId="5">
    <w:abstractNumId w:val="5"/>
  </w:num>
  <w:num w:numId="6">
    <w:abstractNumId w:val="7"/>
  </w:num>
  <w:num w:numId="7">
    <w:abstractNumId w:val="3"/>
  </w:num>
  <w:num w:numId="8">
    <w:abstractNumId w:val="11"/>
  </w:num>
  <w:num w:numId="9">
    <w:abstractNumId w:val="16"/>
  </w:num>
  <w:num w:numId="10">
    <w:abstractNumId w:val="1"/>
  </w:num>
  <w:num w:numId="11">
    <w:abstractNumId w:val="6"/>
  </w:num>
  <w:num w:numId="12">
    <w:abstractNumId w:val="15"/>
  </w:num>
  <w:num w:numId="13">
    <w:abstractNumId w:val="2"/>
  </w:num>
  <w:num w:numId="14">
    <w:abstractNumId w:val="0"/>
  </w:num>
  <w:num w:numId="15">
    <w:abstractNumId w:val="13"/>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ODBiZDlhNTNhYWIxZTNhZDRhNDExODQ4MjM5OGM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B71"/>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80"/>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AED"/>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34F3"/>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0B7C"/>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477A6"/>
    <w:rsid w:val="00650D19"/>
    <w:rsid w:val="00651A65"/>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142"/>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0F2D"/>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07"/>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1FF7"/>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4C6"/>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27ACA"/>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4C9"/>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040"/>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124F"/>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4D8"/>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433"/>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386D4F"/>
    <w:rsid w:val="019F7441"/>
    <w:rsid w:val="01B37585"/>
    <w:rsid w:val="01D55165"/>
    <w:rsid w:val="01DF6BF8"/>
    <w:rsid w:val="01EC2C57"/>
    <w:rsid w:val="022F6558"/>
    <w:rsid w:val="02387AD3"/>
    <w:rsid w:val="025F0711"/>
    <w:rsid w:val="026B2E25"/>
    <w:rsid w:val="02824D4D"/>
    <w:rsid w:val="02DC4B10"/>
    <w:rsid w:val="02DD76CE"/>
    <w:rsid w:val="02F36323"/>
    <w:rsid w:val="02F5619C"/>
    <w:rsid w:val="0326446A"/>
    <w:rsid w:val="032D5555"/>
    <w:rsid w:val="033B6E7D"/>
    <w:rsid w:val="036634D2"/>
    <w:rsid w:val="03A569EC"/>
    <w:rsid w:val="03C319A1"/>
    <w:rsid w:val="03DD35E4"/>
    <w:rsid w:val="03E17E10"/>
    <w:rsid w:val="03E7552B"/>
    <w:rsid w:val="04076900"/>
    <w:rsid w:val="041A5A3B"/>
    <w:rsid w:val="042311BA"/>
    <w:rsid w:val="042B157A"/>
    <w:rsid w:val="04601C25"/>
    <w:rsid w:val="048F763B"/>
    <w:rsid w:val="049F330E"/>
    <w:rsid w:val="04AA775C"/>
    <w:rsid w:val="04AF1889"/>
    <w:rsid w:val="04F66F48"/>
    <w:rsid w:val="05251E14"/>
    <w:rsid w:val="052676B9"/>
    <w:rsid w:val="05433F34"/>
    <w:rsid w:val="05A16594"/>
    <w:rsid w:val="05A7762D"/>
    <w:rsid w:val="05D16B71"/>
    <w:rsid w:val="060E5941"/>
    <w:rsid w:val="06110FAF"/>
    <w:rsid w:val="06357BC4"/>
    <w:rsid w:val="063C4DCA"/>
    <w:rsid w:val="06493CA7"/>
    <w:rsid w:val="065A6178"/>
    <w:rsid w:val="066F1CF3"/>
    <w:rsid w:val="068629E1"/>
    <w:rsid w:val="06930BB8"/>
    <w:rsid w:val="071023CF"/>
    <w:rsid w:val="071F4D32"/>
    <w:rsid w:val="07245D42"/>
    <w:rsid w:val="07264C62"/>
    <w:rsid w:val="074B1659"/>
    <w:rsid w:val="075C1C85"/>
    <w:rsid w:val="0779354C"/>
    <w:rsid w:val="07B34D81"/>
    <w:rsid w:val="07CD206E"/>
    <w:rsid w:val="08061376"/>
    <w:rsid w:val="08387E2F"/>
    <w:rsid w:val="08452D77"/>
    <w:rsid w:val="084D16BD"/>
    <w:rsid w:val="086401F8"/>
    <w:rsid w:val="086C7AD9"/>
    <w:rsid w:val="08751CAA"/>
    <w:rsid w:val="087E4C40"/>
    <w:rsid w:val="08A5442A"/>
    <w:rsid w:val="08A871D0"/>
    <w:rsid w:val="08B01260"/>
    <w:rsid w:val="08CC6556"/>
    <w:rsid w:val="08D66AD6"/>
    <w:rsid w:val="08DA33A3"/>
    <w:rsid w:val="08DB6A0C"/>
    <w:rsid w:val="08E80F13"/>
    <w:rsid w:val="09167A44"/>
    <w:rsid w:val="09335624"/>
    <w:rsid w:val="0944690F"/>
    <w:rsid w:val="09535675"/>
    <w:rsid w:val="095F057D"/>
    <w:rsid w:val="09642282"/>
    <w:rsid w:val="097035F9"/>
    <w:rsid w:val="09733572"/>
    <w:rsid w:val="09750045"/>
    <w:rsid w:val="09772C16"/>
    <w:rsid w:val="098353B5"/>
    <w:rsid w:val="09880942"/>
    <w:rsid w:val="09A92330"/>
    <w:rsid w:val="09B06B87"/>
    <w:rsid w:val="09C13146"/>
    <w:rsid w:val="09E04166"/>
    <w:rsid w:val="09F410C3"/>
    <w:rsid w:val="0A1C0718"/>
    <w:rsid w:val="0A334D52"/>
    <w:rsid w:val="0A3E7710"/>
    <w:rsid w:val="0A4E70E3"/>
    <w:rsid w:val="0A5B7E63"/>
    <w:rsid w:val="0AA374A5"/>
    <w:rsid w:val="0AA74DF8"/>
    <w:rsid w:val="0AAB7649"/>
    <w:rsid w:val="0ABC5606"/>
    <w:rsid w:val="0B30404E"/>
    <w:rsid w:val="0B4C6C14"/>
    <w:rsid w:val="0B512FB6"/>
    <w:rsid w:val="0B547599"/>
    <w:rsid w:val="0B631A88"/>
    <w:rsid w:val="0B683D45"/>
    <w:rsid w:val="0B712BE1"/>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9B2D4C"/>
    <w:rsid w:val="0DA01C73"/>
    <w:rsid w:val="0DB31D06"/>
    <w:rsid w:val="0DD63300"/>
    <w:rsid w:val="0DF50604"/>
    <w:rsid w:val="0DF702FE"/>
    <w:rsid w:val="0E060E51"/>
    <w:rsid w:val="0E062617"/>
    <w:rsid w:val="0E2F6667"/>
    <w:rsid w:val="0E5604B2"/>
    <w:rsid w:val="0E5E3E13"/>
    <w:rsid w:val="0E6D5D79"/>
    <w:rsid w:val="0E9522B9"/>
    <w:rsid w:val="0E9D0089"/>
    <w:rsid w:val="0EB803EE"/>
    <w:rsid w:val="0EDB1EAC"/>
    <w:rsid w:val="0EF40828"/>
    <w:rsid w:val="0EF94D4B"/>
    <w:rsid w:val="0EFD3DCE"/>
    <w:rsid w:val="0F1663C8"/>
    <w:rsid w:val="0F29227F"/>
    <w:rsid w:val="0F4958DC"/>
    <w:rsid w:val="0F500CED"/>
    <w:rsid w:val="0F515DF7"/>
    <w:rsid w:val="0F596BA8"/>
    <w:rsid w:val="0F6248D2"/>
    <w:rsid w:val="0F693536"/>
    <w:rsid w:val="0F7B0511"/>
    <w:rsid w:val="0F7B76D9"/>
    <w:rsid w:val="0F816ACD"/>
    <w:rsid w:val="0F9832DB"/>
    <w:rsid w:val="0FBF3FD2"/>
    <w:rsid w:val="0FBF7FF3"/>
    <w:rsid w:val="0FF17498"/>
    <w:rsid w:val="105202A6"/>
    <w:rsid w:val="105A290D"/>
    <w:rsid w:val="10646583"/>
    <w:rsid w:val="107D4B15"/>
    <w:rsid w:val="10881228"/>
    <w:rsid w:val="108A3C80"/>
    <w:rsid w:val="10C26171"/>
    <w:rsid w:val="10F33360"/>
    <w:rsid w:val="10FC16EA"/>
    <w:rsid w:val="11025226"/>
    <w:rsid w:val="110F1D40"/>
    <w:rsid w:val="11266F33"/>
    <w:rsid w:val="118963A1"/>
    <w:rsid w:val="11C6522A"/>
    <w:rsid w:val="11CE35B2"/>
    <w:rsid w:val="11E104CC"/>
    <w:rsid w:val="11E20309"/>
    <w:rsid w:val="11E9219A"/>
    <w:rsid w:val="12255233"/>
    <w:rsid w:val="123C051C"/>
    <w:rsid w:val="12530213"/>
    <w:rsid w:val="12651B52"/>
    <w:rsid w:val="127723A9"/>
    <w:rsid w:val="12862074"/>
    <w:rsid w:val="12883966"/>
    <w:rsid w:val="129E45B4"/>
    <w:rsid w:val="12A0751D"/>
    <w:rsid w:val="12D81596"/>
    <w:rsid w:val="13072A44"/>
    <w:rsid w:val="13163BA2"/>
    <w:rsid w:val="135D5134"/>
    <w:rsid w:val="135F4BE2"/>
    <w:rsid w:val="13934EBE"/>
    <w:rsid w:val="139B1A0A"/>
    <w:rsid w:val="139D25C7"/>
    <w:rsid w:val="13BF3CE4"/>
    <w:rsid w:val="13CE750E"/>
    <w:rsid w:val="13F2342A"/>
    <w:rsid w:val="141008D8"/>
    <w:rsid w:val="14125FE6"/>
    <w:rsid w:val="142622BD"/>
    <w:rsid w:val="143710B3"/>
    <w:rsid w:val="146D271E"/>
    <w:rsid w:val="14904B4F"/>
    <w:rsid w:val="14982588"/>
    <w:rsid w:val="149A5AD9"/>
    <w:rsid w:val="14A7619D"/>
    <w:rsid w:val="150536C3"/>
    <w:rsid w:val="150C1963"/>
    <w:rsid w:val="151447A0"/>
    <w:rsid w:val="15237771"/>
    <w:rsid w:val="153C3480"/>
    <w:rsid w:val="154A6454"/>
    <w:rsid w:val="1555138F"/>
    <w:rsid w:val="155B4A8D"/>
    <w:rsid w:val="15671A7F"/>
    <w:rsid w:val="15762120"/>
    <w:rsid w:val="157A3A85"/>
    <w:rsid w:val="16613B6E"/>
    <w:rsid w:val="16A8729C"/>
    <w:rsid w:val="16B33777"/>
    <w:rsid w:val="16BC70A7"/>
    <w:rsid w:val="16C6339E"/>
    <w:rsid w:val="172F2D79"/>
    <w:rsid w:val="174F1451"/>
    <w:rsid w:val="17557BEF"/>
    <w:rsid w:val="17CF0BC5"/>
    <w:rsid w:val="17D349C1"/>
    <w:rsid w:val="17DA338F"/>
    <w:rsid w:val="1830729E"/>
    <w:rsid w:val="1840688C"/>
    <w:rsid w:val="1870062C"/>
    <w:rsid w:val="18817102"/>
    <w:rsid w:val="18830A15"/>
    <w:rsid w:val="18852B28"/>
    <w:rsid w:val="188B5321"/>
    <w:rsid w:val="18CE3E98"/>
    <w:rsid w:val="18F91185"/>
    <w:rsid w:val="191775ED"/>
    <w:rsid w:val="19932372"/>
    <w:rsid w:val="19A20DD5"/>
    <w:rsid w:val="19AE03F1"/>
    <w:rsid w:val="19C4349D"/>
    <w:rsid w:val="19FD50E8"/>
    <w:rsid w:val="1A071A03"/>
    <w:rsid w:val="1A1F16AE"/>
    <w:rsid w:val="1A2C356C"/>
    <w:rsid w:val="1A3B5C77"/>
    <w:rsid w:val="1A6E5932"/>
    <w:rsid w:val="1A984BAD"/>
    <w:rsid w:val="1AA279F0"/>
    <w:rsid w:val="1AB8220E"/>
    <w:rsid w:val="1AE4166C"/>
    <w:rsid w:val="1AF06CFB"/>
    <w:rsid w:val="1AF11B8D"/>
    <w:rsid w:val="1B11359C"/>
    <w:rsid w:val="1B2055EC"/>
    <w:rsid w:val="1B2A271F"/>
    <w:rsid w:val="1B530544"/>
    <w:rsid w:val="1B61034B"/>
    <w:rsid w:val="1B6E13D5"/>
    <w:rsid w:val="1B713184"/>
    <w:rsid w:val="1BA209CF"/>
    <w:rsid w:val="1BB4777D"/>
    <w:rsid w:val="1BD75AB8"/>
    <w:rsid w:val="1C0459C2"/>
    <w:rsid w:val="1C17752B"/>
    <w:rsid w:val="1C1B3B4A"/>
    <w:rsid w:val="1C530A60"/>
    <w:rsid w:val="1C88053B"/>
    <w:rsid w:val="1C88086E"/>
    <w:rsid w:val="1CFF58C4"/>
    <w:rsid w:val="1D221FFC"/>
    <w:rsid w:val="1D266CE1"/>
    <w:rsid w:val="1D276885"/>
    <w:rsid w:val="1D2B4B1A"/>
    <w:rsid w:val="1D3963AF"/>
    <w:rsid w:val="1D677DFC"/>
    <w:rsid w:val="1D6921A3"/>
    <w:rsid w:val="1D6A673C"/>
    <w:rsid w:val="1D9247AE"/>
    <w:rsid w:val="1DB567EC"/>
    <w:rsid w:val="1DF51A98"/>
    <w:rsid w:val="1E3D060F"/>
    <w:rsid w:val="1E3F7D2E"/>
    <w:rsid w:val="1E4134E4"/>
    <w:rsid w:val="1E48649A"/>
    <w:rsid w:val="1E5062B3"/>
    <w:rsid w:val="1E523514"/>
    <w:rsid w:val="1E6C24FF"/>
    <w:rsid w:val="1E714A66"/>
    <w:rsid w:val="1E802593"/>
    <w:rsid w:val="1E8B6156"/>
    <w:rsid w:val="1EA703CC"/>
    <w:rsid w:val="1EB7330C"/>
    <w:rsid w:val="1EC6252F"/>
    <w:rsid w:val="1EEA22C2"/>
    <w:rsid w:val="1F0A0FF3"/>
    <w:rsid w:val="1F5771FF"/>
    <w:rsid w:val="1FD52DD5"/>
    <w:rsid w:val="1FE868A9"/>
    <w:rsid w:val="1FE95082"/>
    <w:rsid w:val="20034907"/>
    <w:rsid w:val="20173E4B"/>
    <w:rsid w:val="2020640D"/>
    <w:rsid w:val="202A44CE"/>
    <w:rsid w:val="204E48BC"/>
    <w:rsid w:val="208921B3"/>
    <w:rsid w:val="20973DEB"/>
    <w:rsid w:val="20B26522"/>
    <w:rsid w:val="20B44310"/>
    <w:rsid w:val="211116EB"/>
    <w:rsid w:val="21472A39"/>
    <w:rsid w:val="216133FC"/>
    <w:rsid w:val="21747B73"/>
    <w:rsid w:val="21D56769"/>
    <w:rsid w:val="21E12E8E"/>
    <w:rsid w:val="21E52EF3"/>
    <w:rsid w:val="21FB5D7B"/>
    <w:rsid w:val="22015E94"/>
    <w:rsid w:val="220B1C3D"/>
    <w:rsid w:val="221D1D20"/>
    <w:rsid w:val="22334A87"/>
    <w:rsid w:val="22574EFE"/>
    <w:rsid w:val="226D06CE"/>
    <w:rsid w:val="22BE6801"/>
    <w:rsid w:val="22FD7853"/>
    <w:rsid w:val="233500BF"/>
    <w:rsid w:val="23377FF7"/>
    <w:rsid w:val="236B425F"/>
    <w:rsid w:val="23836192"/>
    <w:rsid w:val="23867849"/>
    <w:rsid w:val="23901F29"/>
    <w:rsid w:val="239C0061"/>
    <w:rsid w:val="23B908A4"/>
    <w:rsid w:val="23DC5C6B"/>
    <w:rsid w:val="23E95BEF"/>
    <w:rsid w:val="23FD0064"/>
    <w:rsid w:val="245375B0"/>
    <w:rsid w:val="245636BF"/>
    <w:rsid w:val="245711E5"/>
    <w:rsid w:val="24642C0A"/>
    <w:rsid w:val="248E2CD2"/>
    <w:rsid w:val="24B22173"/>
    <w:rsid w:val="24B95AD9"/>
    <w:rsid w:val="24BE24DA"/>
    <w:rsid w:val="24C74C4A"/>
    <w:rsid w:val="24CD76F9"/>
    <w:rsid w:val="24CF5825"/>
    <w:rsid w:val="24D663E6"/>
    <w:rsid w:val="24D77F2B"/>
    <w:rsid w:val="25202936"/>
    <w:rsid w:val="258B00E2"/>
    <w:rsid w:val="25A917A6"/>
    <w:rsid w:val="25B54415"/>
    <w:rsid w:val="25BE27CC"/>
    <w:rsid w:val="25F74A5C"/>
    <w:rsid w:val="26211AAB"/>
    <w:rsid w:val="2628662C"/>
    <w:rsid w:val="262D45DE"/>
    <w:rsid w:val="26314910"/>
    <w:rsid w:val="263E265D"/>
    <w:rsid w:val="265231DC"/>
    <w:rsid w:val="26871DC8"/>
    <w:rsid w:val="26A53EF9"/>
    <w:rsid w:val="26A94201"/>
    <w:rsid w:val="26AC274F"/>
    <w:rsid w:val="26B02769"/>
    <w:rsid w:val="26CD1C32"/>
    <w:rsid w:val="27044A29"/>
    <w:rsid w:val="271D34C8"/>
    <w:rsid w:val="272463F9"/>
    <w:rsid w:val="273A08A2"/>
    <w:rsid w:val="27402404"/>
    <w:rsid w:val="276142BF"/>
    <w:rsid w:val="27783712"/>
    <w:rsid w:val="27907362"/>
    <w:rsid w:val="27952750"/>
    <w:rsid w:val="279B5FE3"/>
    <w:rsid w:val="27FB5F25"/>
    <w:rsid w:val="27FC2084"/>
    <w:rsid w:val="280D6B86"/>
    <w:rsid w:val="28333E1D"/>
    <w:rsid w:val="28454BD6"/>
    <w:rsid w:val="28455253"/>
    <w:rsid w:val="28551971"/>
    <w:rsid w:val="285B1C53"/>
    <w:rsid w:val="285D65EE"/>
    <w:rsid w:val="28943143"/>
    <w:rsid w:val="289F7086"/>
    <w:rsid w:val="28C32028"/>
    <w:rsid w:val="28CC490F"/>
    <w:rsid w:val="28DE40AA"/>
    <w:rsid w:val="28F72F97"/>
    <w:rsid w:val="29345E77"/>
    <w:rsid w:val="29486D03"/>
    <w:rsid w:val="294C65AD"/>
    <w:rsid w:val="2970538A"/>
    <w:rsid w:val="29806583"/>
    <w:rsid w:val="298930A7"/>
    <w:rsid w:val="298B3C4C"/>
    <w:rsid w:val="299B679F"/>
    <w:rsid w:val="29B175E9"/>
    <w:rsid w:val="29F26D24"/>
    <w:rsid w:val="2A15033F"/>
    <w:rsid w:val="2A1662C1"/>
    <w:rsid w:val="2A1C7367"/>
    <w:rsid w:val="2A1E19D7"/>
    <w:rsid w:val="2A256DD8"/>
    <w:rsid w:val="2A2815FA"/>
    <w:rsid w:val="2A362F9E"/>
    <w:rsid w:val="2A6D6092"/>
    <w:rsid w:val="2A6E019F"/>
    <w:rsid w:val="2A7D76B4"/>
    <w:rsid w:val="2AB5327D"/>
    <w:rsid w:val="2ACA2FA0"/>
    <w:rsid w:val="2B3971F8"/>
    <w:rsid w:val="2B437463"/>
    <w:rsid w:val="2B4F2C16"/>
    <w:rsid w:val="2B605599"/>
    <w:rsid w:val="2B7807EE"/>
    <w:rsid w:val="2BA50BF7"/>
    <w:rsid w:val="2BBF00EC"/>
    <w:rsid w:val="2BC37CFD"/>
    <w:rsid w:val="2BD5237F"/>
    <w:rsid w:val="2BE536CE"/>
    <w:rsid w:val="2BE758D9"/>
    <w:rsid w:val="2BF31469"/>
    <w:rsid w:val="2C09049E"/>
    <w:rsid w:val="2C0A653C"/>
    <w:rsid w:val="2C106849"/>
    <w:rsid w:val="2C191F85"/>
    <w:rsid w:val="2C22032B"/>
    <w:rsid w:val="2C567FD4"/>
    <w:rsid w:val="2C9B1C17"/>
    <w:rsid w:val="2CE82D6F"/>
    <w:rsid w:val="2D343236"/>
    <w:rsid w:val="2D5B79F0"/>
    <w:rsid w:val="2D6A0D07"/>
    <w:rsid w:val="2DD15014"/>
    <w:rsid w:val="2DF72DE4"/>
    <w:rsid w:val="2E0220AF"/>
    <w:rsid w:val="2E093550"/>
    <w:rsid w:val="2E2465DC"/>
    <w:rsid w:val="2E480B97"/>
    <w:rsid w:val="2E4B082A"/>
    <w:rsid w:val="2E5D4E86"/>
    <w:rsid w:val="2E5D790B"/>
    <w:rsid w:val="2E9A3C18"/>
    <w:rsid w:val="2EBB0FEE"/>
    <w:rsid w:val="2EC63002"/>
    <w:rsid w:val="2ED022C0"/>
    <w:rsid w:val="2F0A6B38"/>
    <w:rsid w:val="2F1E5F87"/>
    <w:rsid w:val="2F9331D9"/>
    <w:rsid w:val="2F946CCB"/>
    <w:rsid w:val="2FCD60E3"/>
    <w:rsid w:val="2FD25781"/>
    <w:rsid w:val="2FDC745C"/>
    <w:rsid w:val="2FF16992"/>
    <w:rsid w:val="2FFD7934"/>
    <w:rsid w:val="30112A84"/>
    <w:rsid w:val="305F38FB"/>
    <w:rsid w:val="30677BC0"/>
    <w:rsid w:val="30733ACD"/>
    <w:rsid w:val="308C3862"/>
    <w:rsid w:val="309379D8"/>
    <w:rsid w:val="30A270F7"/>
    <w:rsid w:val="30A9726C"/>
    <w:rsid w:val="30DF1478"/>
    <w:rsid w:val="30EC586F"/>
    <w:rsid w:val="310402C4"/>
    <w:rsid w:val="31274439"/>
    <w:rsid w:val="314550B7"/>
    <w:rsid w:val="31784730"/>
    <w:rsid w:val="319C6071"/>
    <w:rsid w:val="31AC537E"/>
    <w:rsid w:val="31E3679B"/>
    <w:rsid w:val="31E732FD"/>
    <w:rsid w:val="32517576"/>
    <w:rsid w:val="329872B1"/>
    <w:rsid w:val="32BE5C2C"/>
    <w:rsid w:val="32FB6478"/>
    <w:rsid w:val="33263B3F"/>
    <w:rsid w:val="336963EB"/>
    <w:rsid w:val="337401BE"/>
    <w:rsid w:val="33791476"/>
    <w:rsid w:val="33816EEB"/>
    <w:rsid w:val="33D24FF9"/>
    <w:rsid w:val="33D26668"/>
    <w:rsid w:val="33EB55CD"/>
    <w:rsid w:val="33EC4C02"/>
    <w:rsid w:val="340D2360"/>
    <w:rsid w:val="3410665D"/>
    <w:rsid w:val="34211214"/>
    <w:rsid w:val="342D2D64"/>
    <w:rsid w:val="342E63AB"/>
    <w:rsid w:val="347C5590"/>
    <w:rsid w:val="34950E68"/>
    <w:rsid w:val="34986E94"/>
    <w:rsid w:val="34AF62C9"/>
    <w:rsid w:val="34CA6E77"/>
    <w:rsid w:val="34CB4388"/>
    <w:rsid w:val="34FA6E12"/>
    <w:rsid w:val="351F081A"/>
    <w:rsid w:val="354D7158"/>
    <w:rsid w:val="35782469"/>
    <w:rsid w:val="358D5588"/>
    <w:rsid w:val="359A03B9"/>
    <w:rsid w:val="35E74533"/>
    <w:rsid w:val="36201D7F"/>
    <w:rsid w:val="362566B0"/>
    <w:rsid w:val="363A3B40"/>
    <w:rsid w:val="365302AE"/>
    <w:rsid w:val="36607A0A"/>
    <w:rsid w:val="366E227C"/>
    <w:rsid w:val="366F2E0D"/>
    <w:rsid w:val="367B6A5C"/>
    <w:rsid w:val="36A74ADA"/>
    <w:rsid w:val="36AD60D5"/>
    <w:rsid w:val="36B224F9"/>
    <w:rsid w:val="36EC0CC9"/>
    <w:rsid w:val="373F410B"/>
    <w:rsid w:val="379A3E49"/>
    <w:rsid w:val="37B81B43"/>
    <w:rsid w:val="37D9796F"/>
    <w:rsid w:val="37EE7094"/>
    <w:rsid w:val="38296C89"/>
    <w:rsid w:val="383002EB"/>
    <w:rsid w:val="383A69FC"/>
    <w:rsid w:val="38586797"/>
    <w:rsid w:val="38821C4C"/>
    <w:rsid w:val="38887767"/>
    <w:rsid w:val="38BC0149"/>
    <w:rsid w:val="38D87D1C"/>
    <w:rsid w:val="39636459"/>
    <w:rsid w:val="396B7F6C"/>
    <w:rsid w:val="398A508E"/>
    <w:rsid w:val="399F120C"/>
    <w:rsid w:val="39B417A9"/>
    <w:rsid w:val="39FC21A7"/>
    <w:rsid w:val="39FC5695"/>
    <w:rsid w:val="3A006D8E"/>
    <w:rsid w:val="3A3651E5"/>
    <w:rsid w:val="3A7022ED"/>
    <w:rsid w:val="3A744481"/>
    <w:rsid w:val="3A8C7BEF"/>
    <w:rsid w:val="3A906246"/>
    <w:rsid w:val="3AA20FB4"/>
    <w:rsid w:val="3B0276ED"/>
    <w:rsid w:val="3B133C60"/>
    <w:rsid w:val="3B2349B7"/>
    <w:rsid w:val="3B616CFF"/>
    <w:rsid w:val="3B6259F6"/>
    <w:rsid w:val="3B7B71DD"/>
    <w:rsid w:val="3B976654"/>
    <w:rsid w:val="3BC01EFC"/>
    <w:rsid w:val="3BCA786A"/>
    <w:rsid w:val="3BD258C9"/>
    <w:rsid w:val="3BD31E2F"/>
    <w:rsid w:val="3BF15831"/>
    <w:rsid w:val="3BF52214"/>
    <w:rsid w:val="3BF7674F"/>
    <w:rsid w:val="3C105946"/>
    <w:rsid w:val="3C471448"/>
    <w:rsid w:val="3C5F759A"/>
    <w:rsid w:val="3C6C525A"/>
    <w:rsid w:val="3CB00A58"/>
    <w:rsid w:val="3CCE23CB"/>
    <w:rsid w:val="3CD17D17"/>
    <w:rsid w:val="3CDB1E68"/>
    <w:rsid w:val="3CFE449C"/>
    <w:rsid w:val="3D287A8D"/>
    <w:rsid w:val="3D35378E"/>
    <w:rsid w:val="3D3C7F39"/>
    <w:rsid w:val="3D406863"/>
    <w:rsid w:val="3D440F09"/>
    <w:rsid w:val="3D4504A0"/>
    <w:rsid w:val="3D8734BB"/>
    <w:rsid w:val="3D9A11D4"/>
    <w:rsid w:val="3DA16D89"/>
    <w:rsid w:val="3DA364BE"/>
    <w:rsid w:val="3DC41242"/>
    <w:rsid w:val="3DE041CB"/>
    <w:rsid w:val="3E0D48F6"/>
    <w:rsid w:val="3E1868B4"/>
    <w:rsid w:val="3E377251"/>
    <w:rsid w:val="3E3C527C"/>
    <w:rsid w:val="3E42664B"/>
    <w:rsid w:val="3E5A7334"/>
    <w:rsid w:val="3E6C06F1"/>
    <w:rsid w:val="3E75687D"/>
    <w:rsid w:val="3E7B5D6B"/>
    <w:rsid w:val="3E843E66"/>
    <w:rsid w:val="3E8F51FE"/>
    <w:rsid w:val="3E901570"/>
    <w:rsid w:val="3E926F87"/>
    <w:rsid w:val="3E9A59DE"/>
    <w:rsid w:val="3EA5765F"/>
    <w:rsid w:val="3EAF4836"/>
    <w:rsid w:val="3EC33DFA"/>
    <w:rsid w:val="3F060E16"/>
    <w:rsid w:val="3F1D1096"/>
    <w:rsid w:val="3F2F0234"/>
    <w:rsid w:val="3F6363FE"/>
    <w:rsid w:val="3F756B8F"/>
    <w:rsid w:val="3F95482B"/>
    <w:rsid w:val="400D6A56"/>
    <w:rsid w:val="4019356B"/>
    <w:rsid w:val="40592157"/>
    <w:rsid w:val="406E1CAE"/>
    <w:rsid w:val="40A0133A"/>
    <w:rsid w:val="40C31A53"/>
    <w:rsid w:val="40C818EC"/>
    <w:rsid w:val="40FF545D"/>
    <w:rsid w:val="410067C8"/>
    <w:rsid w:val="418F0D2A"/>
    <w:rsid w:val="41D01505"/>
    <w:rsid w:val="42054EB1"/>
    <w:rsid w:val="42474939"/>
    <w:rsid w:val="424C3C57"/>
    <w:rsid w:val="42613FF3"/>
    <w:rsid w:val="42660D96"/>
    <w:rsid w:val="428667D2"/>
    <w:rsid w:val="42976F25"/>
    <w:rsid w:val="42CD1CE0"/>
    <w:rsid w:val="42E1381E"/>
    <w:rsid w:val="42ED6459"/>
    <w:rsid w:val="42FB2ECF"/>
    <w:rsid w:val="42FE58DD"/>
    <w:rsid w:val="43077F25"/>
    <w:rsid w:val="43135FC3"/>
    <w:rsid w:val="43174B3D"/>
    <w:rsid w:val="43340C18"/>
    <w:rsid w:val="434B790E"/>
    <w:rsid w:val="4360274F"/>
    <w:rsid w:val="43977AB6"/>
    <w:rsid w:val="43A3342B"/>
    <w:rsid w:val="43C77C27"/>
    <w:rsid w:val="43DE09EE"/>
    <w:rsid w:val="44002FAD"/>
    <w:rsid w:val="44030495"/>
    <w:rsid w:val="449101DD"/>
    <w:rsid w:val="44DE1391"/>
    <w:rsid w:val="451B225C"/>
    <w:rsid w:val="452410C9"/>
    <w:rsid w:val="45317DFB"/>
    <w:rsid w:val="456D3CE4"/>
    <w:rsid w:val="4579042C"/>
    <w:rsid w:val="457F0571"/>
    <w:rsid w:val="45837C34"/>
    <w:rsid w:val="45851176"/>
    <w:rsid w:val="45C63B94"/>
    <w:rsid w:val="460E7DA5"/>
    <w:rsid w:val="46422483"/>
    <w:rsid w:val="4659254A"/>
    <w:rsid w:val="465B0637"/>
    <w:rsid w:val="465E3F0D"/>
    <w:rsid w:val="466A16E6"/>
    <w:rsid w:val="46893F2B"/>
    <w:rsid w:val="46935C11"/>
    <w:rsid w:val="46C4686E"/>
    <w:rsid w:val="476D46F8"/>
    <w:rsid w:val="477B778F"/>
    <w:rsid w:val="478203EC"/>
    <w:rsid w:val="4792655C"/>
    <w:rsid w:val="47B025FA"/>
    <w:rsid w:val="4809698F"/>
    <w:rsid w:val="4811697D"/>
    <w:rsid w:val="483E7E42"/>
    <w:rsid w:val="485538C6"/>
    <w:rsid w:val="487A3E25"/>
    <w:rsid w:val="48802209"/>
    <w:rsid w:val="488B5503"/>
    <w:rsid w:val="48937E21"/>
    <w:rsid w:val="489A0361"/>
    <w:rsid w:val="48B94FF3"/>
    <w:rsid w:val="48E37AAB"/>
    <w:rsid w:val="48FD4B4C"/>
    <w:rsid w:val="490A68E0"/>
    <w:rsid w:val="491055FE"/>
    <w:rsid w:val="495F5B3E"/>
    <w:rsid w:val="49610040"/>
    <w:rsid w:val="496E4757"/>
    <w:rsid w:val="496F77D7"/>
    <w:rsid w:val="497654FD"/>
    <w:rsid w:val="49B64211"/>
    <w:rsid w:val="49DC7979"/>
    <w:rsid w:val="49E56AF9"/>
    <w:rsid w:val="49EA0282"/>
    <w:rsid w:val="49F249E6"/>
    <w:rsid w:val="49F6167F"/>
    <w:rsid w:val="4A0238ED"/>
    <w:rsid w:val="4A05330E"/>
    <w:rsid w:val="4A064FA0"/>
    <w:rsid w:val="4A16615C"/>
    <w:rsid w:val="4A280A29"/>
    <w:rsid w:val="4A4424D7"/>
    <w:rsid w:val="4A477951"/>
    <w:rsid w:val="4A523C2A"/>
    <w:rsid w:val="4A804261"/>
    <w:rsid w:val="4AB82D0F"/>
    <w:rsid w:val="4AEB7664"/>
    <w:rsid w:val="4AFD7C19"/>
    <w:rsid w:val="4B0567D1"/>
    <w:rsid w:val="4B1F41B9"/>
    <w:rsid w:val="4B236AAE"/>
    <w:rsid w:val="4B65492A"/>
    <w:rsid w:val="4B707271"/>
    <w:rsid w:val="4B9739F7"/>
    <w:rsid w:val="4BEE2503"/>
    <w:rsid w:val="4BFE6267"/>
    <w:rsid w:val="4C245A30"/>
    <w:rsid w:val="4C39729F"/>
    <w:rsid w:val="4C6D61F7"/>
    <w:rsid w:val="4C790A41"/>
    <w:rsid w:val="4C8E75EA"/>
    <w:rsid w:val="4CB6685F"/>
    <w:rsid w:val="4CC367FE"/>
    <w:rsid w:val="4CC4300C"/>
    <w:rsid w:val="4CC823D1"/>
    <w:rsid w:val="4CCF075F"/>
    <w:rsid w:val="4CFC11D3"/>
    <w:rsid w:val="4D077F3C"/>
    <w:rsid w:val="4D123355"/>
    <w:rsid w:val="4D2A3B31"/>
    <w:rsid w:val="4D312C52"/>
    <w:rsid w:val="4D905305"/>
    <w:rsid w:val="4D9530F3"/>
    <w:rsid w:val="4D964A72"/>
    <w:rsid w:val="4D9C1254"/>
    <w:rsid w:val="4DA07FB2"/>
    <w:rsid w:val="4DAC603F"/>
    <w:rsid w:val="4DC1754C"/>
    <w:rsid w:val="4DC96FD3"/>
    <w:rsid w:val="4DD525A5"/>
    <w:rsid w:val="4DF84FB2"/>
    <w:rsid w:val="4E793892"/>
    <w:rsid w:val="4E800872"/>
    <w:rsid w:val="4EC569ED"/>
    <w:rsid w:val="4ED50EA1"/>
    <w:rsid w:val="4EEC050C"/>
    <w:rsid w:val="4F104EC3"/>
    <w:rsid w:val="4F47354A"/>
    <w:rsid w:val="4F6D4A83"/>
    <w:rsid w:val="4F911C54"/>
    <w:rsid w:val="4F9667B6"/>
    <w:rsid w:val="4F9B4A76"/>
    <w:rsid w:val="4FB54E8E"/>
    <w:rsid w:val="4FE625E0"/>
    <w:rsid w:val="50120532"/>
    <w:rsid w:val="50161699"/>
    <w:rsid w:val="50210776"/>
    <w:rsid w:val="5021480F"/>
    <w:rsid w:val="50962ECB"/>
    <w:rsid w:val="50A42E38"/>
    <w:rsid w:val="50A4577F"/>
    <w:rsid w:val="50B73D1F"/>
    <w:rsid w:val="50BD5BC9"/>
    <w:rsid w:val="50C11EEE"/>
    <w:rsid w:val="50E97CFC"/>
    <w:rsid w:val="50FA4028"/>
    <w:rsid w:val="510D65B7"/>
    <w:rsid w:val="51114346"/>
    <w:rsid w:val="511157AB"/>
    <w:rsid w:val="51177FF0"/>
    <w:rsid w:val="513A6339"/>
    <w:rsid w:val="5142540C"/>
    <w:rsid w:val="51536733"/>
    <w:rsid w:val="5157653A"/>
    <w:rsid w:val="51703763"/>
    <w:rsid w:val="518832C8"/>
    <w:rsid w:val="519A6E44"/>
    <w:rsid w:val="519D3C50"/>
    <w:rsid w:val="51A0432A"/>
    <w:rsid w:val="51A86090"/>
    <w:rsid w:val="51B7396D"/>
    <w:rsid w:val="51C770FB"/>
    <w:rsid w:val="51E41A5B"/>
    <w:rsid w:val="520C15BC"/>
    <w:rsid w:val="522E4CC3"/>
    <w:rsid w:val="5244713B"/>
    <w:rsid w:val="52615633"/>
    <w:rsid w:val="526F4DE4"/>
    <w:rsid w:val="5296560D"/>
    <w:rsid w:val="52977FD4"/>
    <w:rsid w:val="52A25790"/>
    <w:rsid w:val="52A96B6F"/>
    <w:rsid w:val="52B45975"/>
    <w:rsid w:val="52D94AA4"/>
    <w:rsid w:val="52EA3A62"/>
    <w:rsid w:val="52F50BB8"/>
    <w:rsid w:val="53097272"/>
    <w:rsid w:val="5313558C"/>
    <w:rsid w:val="53544462"/>
    <w:rsid w:val="5397158E"/>
    <w:rsid w:val="54013861"/>
    <w:rsid w:val="540B7A85"/>
    <w:rsid w:val="54487265"/>
    <w:rsid w:val="544D6070"/>
    <w:rsid w:val="54605E1E"/>
    <w:rsid w:val="54817A35"/>
    <w:rsid w:val="54B3506A"/>
    <w:rsid w:val="54CA0D16"/>
    <w:rsid w:val="54DD4057"/>
    <w:rsid w:val="54E25772"/>
    <w:rsid w:val="54E7490F"/>
    <w:rsid w:val="54F37AE4"/>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A51D7"/>
    <w:rsid w:val="575D12B5"/>
    <w:rsid w:val="57610A87"/>
    <w:rsid w:val="57715B3F"/>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0F3861"/>
    <w:rsid w:val="595E1678"/>
    <w:rsid w:val="596D5BD4"/>
    <w:rsid w:val="597447C3"/>
    <w:rsid w:val="597E3DD8"/>
    <w:rsid w:val="59853B23"/>
    <w:rsid w:val="5986572A"/>
    <w:rsid w:val="598732F0"/>
    <w:rsid w:val="599B6EA3"/>
    <w:rsid w:val="59AA3EAA"/>
    <w:rsid w:val="59EA7E2A"/>
    <w:rsid w:val="59F80043"/>
    <w:rsid w:val="5A09252F"/>
    <w:rsid w:val="5A0B2778"/>
    <w:rsid w:val="5A2A7C7B"/>
    <w:rsid w:val="5A3E2560"/>
    <w:rsid w:val="5A5D3B6E"/>
    <w:rsid w:val="5A636DCD"/>
    <w:rsid w:val="5A637A76"/>
    <w:rsid w:val="5A6D33BA"/>
    <w:rsid w:val="5A792B1F"/>
    <w:rsid w:val="5A874767"/>
    <w:rsid w:val="5AA85BE2"/>
    <w:rsid w:val="5AAD6F28"/>
    <w:rsid w:val="5ACD6C58"/>
    <w:rsid w:val="5AD63A24"/>
    <w:rsid w:val="5B2E1A1D"/>
    <w:rsid w:val="5B843A1C"/>
    <w:rsid w:val="5B873E3F"/>
    <w:rsid w:val="5BD54210"/>
    <w:rsid w:val="5C02690E"/>
    <w:rsid w:val="5C196DA7"/>
    <w:rsid w:val="5C2A048C"/>
    <w:rsid w:val="5C80234E"/>
    <w:rsid w:val="5C8A680C"/>
    <w:rsid w:val="5CCD7F8C"/>
    <w:rsid w:val="5CD65BD8"/>
    <w:rsid w:val="5CF35D1E"/>
    <w:rsid w:val="5D0C4701"/>
    <w:rsid w:val="5D0F0395"/>
    <w:rsid w:val="5D221076"/>
    <w:rsid w:val="5D397964"/>
    <w:rsid w:val="5D5A391C"/>
    <w:rsid w:val="5D5F10C0"/>
    <w:rsid w:val="5D647EF4"/>
    <w:rsid w:val="5D845EA0"/>
    <w:rsid w:val="5D891B7B"/>
    <w:rsid w:val="5DAD38EE"/>
    <w:rsid w:val="5DC10EA2"/>
    <w:rsid w:val="5DD84235"/>
    <w:rsid w:val="5E006862"/>
    <w:rsid w:val="5E0207B9"/>
    <w:rsid w:val="5E1834A1"/>
    <w:rsid w:val="5E203E1A"/>
    <w:rsid w:val="5E261785"/>
    <w:rsid w:val="5E4508A7"/>
    <w:rsid w:val="5E4A6B29"/>
    <w:rsid w:val="5E4A7017"/>
    <w:rsid w:val="5E552BBA"/>
    <w:rsid w:val="5E611C10"/>
    <w:rsid w:val="5E7A0F3F"/>
    <w:rsid w:val="5E8B5309"/>
    <w:rsid w:val="5E9860EB"/>
    <w:rsid w:val="5EFC7377"/>
    <w:rsid w:val="5F06174D"/>
    <w:rsid w:val="5F2142EE"/>
    <w:rsid w:val="5F265461"/>
    <w:rsid w:val="5F2E462B"/>
    <w:rsid w:val="5F3A3602"/>
    <w:rsid w:val="5F45733B"/>
    <w:rsid w:val="5F6277C6"/>
    <w:rsid w:val="5F6D0B1D"/>
    <w:rsid w:val="5F7F0CD5"/>
    <w:rsid w:val="5F8D0B82"/>
    <w:rsid w:val="5FCC5339"/>
    <w:rsid w:val="5FCE6E0B"/>
    <w:rsid w:val="5FDC1FC3"/>
    <w:rsid w:val="5FDD6770"/>
    <w:rsid w:val="5FE1582B"/>
    <w:rsid w:val="5FE34A5B"/>
    <w:rsid w:val="5FFE1E36"/>
    <w:rsid w:val="60232584"/>
    <w:rsid w:val="607330CE"/>
    <w:rsid w:val="60765F74"/>
    <w:rsid w:val="60825176"/>
    <w:rsid w:val="609F2AC4"/>
    <w:rsid w:val="60AD733C"/>
    <w:rsid w:val="60AE7D87"/>
    <w:rsid w:val="60BF5B6D"/>
    <w:rsid w:val="60D94755"/>
    <w:rsid w:val="60FA2EE8"/>
    <w:rsid w:val="60FC0DF8"/>
    <w:rsid w:val="61054A27"/>
    <w:rsid w:val="610A52BC"/>
    <w:rsid w:val="611D2366"/>
    <w:rsid w:val="61421856"/>
    <w:rsid w:val="615227C4"/>
    <w:rsid w:val="615A43AA"/>
    <w:rsid w:val="61654E3F"/>
    <w:rsid w:val="6182292A"/>
    <w:rsid w:val="619F7F92"/>
    <w:rsid w:val="61DB280A"/>
    <w:rsid w:val="61F94C26"/>
    <w:rsid w:val="62000E56"/>
    <w:rsid w:val="624F3E49"/>
    <w:rsid w:val="62516C98"/>
    <w:rsid w:val="62632286"/>
    <w:rsid w:val="62785A3A"/>
    <w:rsid w:val="62885958"/>
    <w:rsid w:val="62A07F3E"/>
    <w:rsid w:val="62E4168D"/>
    <w:rsid w:val="62EC076F"/>
    <w:rsid w:val="62F40B65"/>
    <w:rsid w:val="62FC2CFE"/>
    <w:rsid w:val="62FE6A23"/>
    <w:rsid w:val="62FF42A6"/>
    <w:rsid w:val="63024505"/>
    <w:rsid w:val="630C36B1"/>
    <w:rsid w:val="635600A5"/>
    <w:rsid w:val="635B1DB5"/>
    <w:rsid w:val="63711FED"/>
    <w:rsid w:val="637F3391"/>
    <w:rsid w:val="63872EA1"/>
    <w:rsid w:val="63880DDC"/>
    <w:rsid w:val="638D750D"/>
    <w:rsid w:val="63AC6CC0"/>
    <w:rsid w:val="64055776"/>
    <w:rsid w:val="64137509"/>
    <w:rsid w:val="641E0DFC"/>
    <w:rsid w:val="64240056"/>
    <w:rsid w:val="643E143A"/>
    <w:rsid w:val="64491666"/>
    <w:rsid w:val="648B6EEF"/>
    <w:rsid w:val="64A444F7"/>
    <w:rsid w:val="64B34B2E"/>
    <w:rsid w:val="64C158BF"/>
    <w:rsid w:val="64CE2EAA"/>
    <w:rsid w:val="653C3090"/>
    <w:rsid w:val="657254B4"/>
    <w:rsid w:val="65854376"/>
    <w:rsid w:val="658767BE"/>
    <w:rsid w:val="65892531"/>
    <w:rsid w:val="65FC7F9F"/>
    <w:rsid w:val="66195831"/>
    <w:rsid w:val="662E75B1"/>
    <w:rsid w:val="66342C2E"/>
    <w:rsid w:val="663E784C"/>
    <w:rsid w:val="663F1ED9"/>
    <w:rsid w:val="667016B7"/>
    <w:rsid w:val="667E3DD4"/>
    <w:rsid w:val="668B6A45"/>
    <w:rsid w:val="66AC4113"/>
    <w:rsid w:val="66F667CC"/>
    <w:rsid w:val="67011F07"/>
    <w:rsid w:val="67095CE7"/>
    <w:rsid w:val="67235137"/>
    <w:rsid w:val="6728167A"/>
    <w:rsid w:val="672F3F24"/>
    <w:rsid w:val="673E055F"/>
    <w:rsid w:val="67551CE3"/>
    <w:rsid w:val="67A22552"/>
    <w:rsid w:val="67B22DCC"/>
    <w:rsid w:val="67BE71AA"/>
    <w:rsid w:val="67D90273"/>
    <w:rsid w:val="67DE5875"/>
    <w:rsid w:val="67E55852"/>
    <w:rsid w:val="67EB1AB4"/>
    <w:rsid w:val="67FA1285"/>
    <w:rsid w:val="68196038"/>
    <w:rsid w:val="68300C3E"/>
    <w:rsid w:val="68551F4F"/>
    <w:rsid w:val="6865349E"/>
    <w:rsid w:val="68721085"/>
    <w:rsid w:val="687C10C9"/>
    <w:rsid w:val="68840C16"/>
    <w:rsid w:val="68872541"/>
    <w:rsid w:val="68876EFB"/>
    <w:rsid w:val="68884654"/>
    <w:rsid w:val="689F444F"/>
    <w:rsid w:val="68AC37F1"/>
    <w:rsid w:val="68AE2977"/>
    <w:rsid w:val="68B96DBB"/>
    <w:rsid w:val="68CA2805"/>
    <w:rsid w:val="68E937A3"/>
    <w:rsid w:val="68F8687F"/>
    <w:rsid w:val="69083C85"/>
    <w:rsid w:val="691664E5"/>
    <w:rsid w:val="693E15D3"/>
    <w:rsid w:val="694330B3"/>
    <w:rsid w:val="69627681"/>
    <w:rsid w:val="696279DD"/>
    <w:rsid w:val="6977531D"/>
    <w:rsid w:val="69CC2BFF"/>
    <w:rsid w:val="69D16911"/>
    <w:rsid w:val="69FD55B8"/>
    <w:rsid w:val="69FE4360"/>
    <w:rsid w:val="6A0078BC"/>
    <w:rsid w:val="6A0B1C62"/>
    <w:rsid w:val="6A2406C8"/>
    <w:rsid w:val="6A92007A"/>
    <w:rsid w:val="6AAE05A8"/>
    <w:rsid w:val="6AB1310A"/>
    <w:rsid w:val="6AC36259"/>
    <w:rsid w:val="6ADE0BD1"/>
    <w:rsid w:val="6AE96859"/>
    <w:rsid w:val="6B147746"/>
    <w:rsid w:val="6B24787C"/>
    <w:rsid w:val="6B573233"/>
    <w:rsid w:val="6B5B6274"/>
    <w:rsid w:val="6B6169BC"/>
    <w:rsid w:val="6B935D53"/>
    <w:rsid w:val="6C0D1957"/>
    <w:rsid w:val="6C196F71"/>
    <w:rsid w:val="6C226FCB"/>
    <w:rsid w:val="6C31226F"/>
    <w:rsid w:val="6C552F0B"/>
    <w:rsid w:val="6C8C67B7"/>
    <w:rsid w:val="6C9D744C"/>
    <w:rsid w:val="6CB95B66"/>
    <w:rsid w:val="6D167928"/>
    <w:rsid w:val="6D26299B"/>
    <w:rsid w:val="6D4772EC"/>
    <w:rsid w:val="6D9078AF"/>
    <w:rsid w:val="6DAA3FEF"/>
    <w:rsid w:val="6DC0172B"/>
    <w:rsid w:val="6DCB690C"/>
    <w:rsid w:val="6DD41A5B"/>
    <w:rsid w:val="6DDD7632"/>
    <w:rsid w:val="6DE5298B"/>
    <w:rsid w:val="6DF43C2E"/>
    <w:rsid w:val="6DF51CA3"/>
    <w:rsid w:val="6E632C5C"/>
    <w:rsid w:val="6E8335BD"/>
    <w:rsid w:val="6E8E12EF"/>
    <w:rsid w:val="6E972936"/>
    <w:rsid w:val="6ED446C5"/>
    <w:rsid w:val="6EF431C0"/>
    <w:rsid w:val="6F2A7D94"/>
    <w:rsid w:val="6F5A4CB2"/>
    <w:rsid w:val="6F8331F1"/>
    <w:rsid w:val="6FAE1A09"/>
    <w:rsid w:val="6FD75BF8"/>
    <w:rsid w:val="6FE57C21"/>
    <w:rsid w:val="701C7330"/>
    <w:rsid w:val="70231548"/>
    <w:rsid w:val="704B4683"/>
    <w:rsid w:val="70757622"/>
    <w:rsid w:val="707723D0"/>
    <w:rsid w:val="709F4143"/>
    <w:rsid w:val="70C44940"/>
    <w:rsid w:val="70F5661B"/>
    <w:rsid w:val="70FA04FB"/>
    <w:rsid w:val="71024AF9"/>
    <w:rsid w:val="71096990"/>
    <w:rsid w:val="711E068D"/>
    <w:rsid w:val="71360107"/>
    <w:rsid w:val="713B688E"/>
    <w:rsid w:val="714054FA"/>
    <w:rsid w:val="71D43752"/>
    <w:rsid w:val="71F1796A"/>
    <w:rsid w:val="72154626"/>
    <w:rsid w:val="72233A82"/>
    <w:rsid w:val="72262B5D"/>
    <w:rsid w:val="72283FF7"/>
    <w:rsid w:val="722E7212"/>
    <w:rsid w:val="723A0474"/>
    <w:rsid w:val="725923E4"/>
    <w:rsid w:val="727A1D93"/>
    <w:rsid w:val="72864BF7"/>
    <w:rsid w:val="729023FC"/>
    <w:rsid w:val="72C61521"/>
    <w:rsid w:val="72EF01DC"/>
    <w:rsid w:val="73552A46"/>
    <w:rsid w:val="737118B1"/>
    <w:rsid w:val="73734595"/>
    <w:rsid w:val="738525B7"/>
    <w:rsid w:val="73C0646E"/>
    <w:rsid w:val="73E7CF11"/>
    <w:rsid w:val="73E87E72"/>
    <w:rsid w:val="742222F5"/>
    <w:rsid w:val="74476126"/>
    <w:rsid w:val="74706664"/>
    <w:rsid w:val="747F3682"/>
    <w:rsid w:val="749649DF"/>
    <w:rsid w:val="749C4185"/>
    <w:rsid w:val="75067759"/>
    <w:rsid w:val="750F7C4B"/>
    <w:rsid w:val="752E6DCD"/>
    <w:rsid w:val="7551380D"/>
    <w:rsid w:val="75600BE5"/>
    <w:rsid w:val="7564475C"/>
    <w:rsid w:val="7583797F"/>
    <w:rsid w:val="758A6965"/>
    <w:rsid w:val="75967E64"/>
    <w:rsid w:val="75D20F1D"/>
    <w:rsid w:val="75DA2C18"/>
    <w:rsid w:val="75F54412"/>
    <w:rsid w:val="761D08E0"/>
    <w:rsid w:val="765D347C"/>
    <w:rsid w:val="76826699"/>
    <w:rsid w:val="76C87133"/>
    <w:rsid w:val="76CD08D5"/>
    <w:rsid w:val="76DA6631"/>
    <w:rsid w:val="76DB4B92"/>
    <w:rsid w:val="76FD013A"/>
    <w:rsid w:val="77052AA4"/>
    <w:rsid w:val="771264C0"/>
    <w:rsid w:val="77136511"/>
    <w:rsid w:val="77202F9C"/>
    <w:rsid w:val="77340A39"/>
    <w:rsid w:val="77351FD0"/>
    <w:rsid w:val="77472422"/>
    <w:rsid w:val="777F31F2"/>
    <w:rsid w:val="77D1700D"/>
    <w:rsid w:val="77EC04CC"/>
    <w:rsid w:val="7876121D"/>
    <w:rsid w:val="78775729"/>
    <w:rsid w:val="78A42DB0"/>
    <w:rsid w:val="78A656AB"/>
    <w:rsid w:val="78B2245C"/>
    <w:rsid w:val="78E172CC"/>
    <w:rsid w:val="78EA1D1F"/>
    <w:rsid w:val="7904172F"/>
    <w:rsid w:val="790F7E27"/>
    <w:rsid w:val="792A231A"/>
    <w:rsid w:val="79316829"/>
    <w:rsid w:val="795D2923"/>
    <w:rsid w:val="797E66A9"/>
    <w:rsid w:val="798518A4"/>
    <w:rsid w:val="79A97383"/>
    <w:rsid w:val="79E27E8B"/>
    <w:rsid w:val="79F850CE"/>
    <w:rsid w:val="79FD443C"/>
    <w:rsid w:val="7A1D1975"/>
    <w:rsid w:val="7A274AEB"/>
    <w:rsid w:val="7A3E5150"/>
    <w:rsid w:val="7A4670D6"/>
    <w:rsid w:val="7A48677B"/>
    <w:rsid w:val="7A534B63"/>
    <w:rsid w:val="7A615382"/>
    <w:rsid w:val="7A67303B"/>
    <w:rsid w:val="7AA2335B"/>
    <w:rsid w:val="7AAB1D04"/>
    <w:rsid w:val="7ABA4368"/>
    <w:rsid w:val="7AD05746"/>
    <w:rsid w:val="7B257FFD"/>
    <w:rsid w:val="7B273D20"/>
    <w:rsid w:val="7B2745E3"/>
    <w:rsid w:val="7B343476"/>
    <w:rsid w:val="7B454A69"/>
    <w:rsid w:val="7B4C349C"/>
    <w:rsid w:val="7B5A2978"/>
    <w:rsid w:val="7B5A7E4C"/>
    <w:rsid w:val="7B667AF9"/>
    <w:rsid w:val="7B71211A"/>
    <w:rsid w:val="7B7468F8"/>
    <w:rsid w:val="7B974D78"/>
    <w:rsid w:val="7BA9702E"/>
    <w:rsid w:val="7BC662B3"/>
    <w:rsid w:val="7BCC0CE6"/>
    <w:rsid w:val="7BEE0103"/>
    <w:rsid w:val="7C0A0FE4"/>
    <w:rsid w:val="7C0A202D"/>
    <w:rsid w:val="7C254906"/>
    <w:rsid w:val="7C590818"/>
    <w:rsid w:val="7C6E020A"/>
    <w:rsid w:val="7C7C10F6"/>
    <w:rsid w:val="7C804359"/>
    <w:rsid w:val="7C853BEA"/>
    <w:rsid w:val="7C881368"/>
    <w:rsid w:val="7CE27788"/>
    <w:rsid w:val="7D0C32F1"/>
    <w:rsid w:val="7D0F408D"/>
    <w:rsid w:val="7D166040"/>
    <w:rsid w:val="7D491C6C"/>
    <w:rsid w:val="7D5429C0"/>
    <w:rsid w:val="7D553689"/>
    <w:rsid w:val="7D6E6D43"/>
    <w:rsid w:val="7D733B0F"/>
    <w:rsid w:val="7DB57A34"/>
    <w:rsid w:val="7DBC3708"/>
    <w:rsid w:val="7DD51DC8"/>
    <w:rsid w:val="7DE60400"/>
    <w:rsid w:val="7DE60973"/>
    <w:rsid w:val="7DEF0916"/>
    <w:rsid w:val="7DF85CAE"/>
    <w:rsid w:val="7E1E5218"/>
    <w:rsid w:val="7E9A4E1F"/>
    <w:rsid w:val="7EA7723A"/>
    <w:rsid w:val="7EAC7694"/>
    <w:rsid w:val="7ECB1729"/>
    <w:rsid w:val="7EF56FBB"/>
    <w:rsid w:val="7F0768EB"/>
    <w:rsid w:val="7F143BEC"/>
    <w:rsid w:val="7F715AF2"/>
    <w:rsid w:val="7F886E69"/>
    <w:rsid w:val="7F9A1827"/>
    <w:rsid w:val="7FFC4F42"/>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5"/>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8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8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8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lang w:val="en-US" w:eastAsia="en-US" w:bidi="ar-SA"/>
    </w:rPr>
  </w:style>
  <w:style w:type="paragraph" w:styleId="5">
    <w:name w:val="Normal Indent"/>
    <w:basedOn w:val="1"/>
    <w:link w:val="198"/>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4"/>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7"/>
    <w:qFormat/>
    <w:uiPriority w:val="0"/>
    <w:pPr>
      <w:shd w:val="clear" w:color="auto" w:fill="000080"/>
    </w:pPr>
  </w:style>
  <w:style w:type="paragraph" w:styleId="20">
    <w:name w:val="annotation text"/>
    <w:basedOn w:val="1"/>
    <w:link w:val="347"/>
    <w:qFormat/>
    <w:uiPriority w:val="99"/>
    <w:pPr>
      <w:jc w:val="left"/>
    </w:pPr>
  </w:style>
  <w:style w:type="paragraph" w:styleId="21">
    <w:name w:val="Salutation"/>
    <w:basedOn w:val="1"/>
    <w:next w:val="1"/>
    <w:link w:val="302"/>
    <w:qFormat/>
    <w:uiPriority w:val="0"/>
    <w:rPr>
      <w:rFonts w:ascii="仿宋_GB2312" w:eastAsia="仿宋_GB2312"/>
      <w:sz w:val="28"/>
      <w:szCs w:val="20"/>
    </w:rPr>
  </w:style>
  <w:style w:type="paragraph" w:styleId="22">
    <w:name w:val="Body Text 3"/>
    <w:basedOn w:val="1"/>
    <w:link w:val="333"/>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1"/>
    <w:link w:val="324"/>
    <w:qFormat/>
    <w:uiPriority w:val="0"/>
    <w:pPr>
      <w:ind w:firstLine="420"/>
    </w:pPr>
    <w:rPr>
      <w:rFonts w:hAnsi="Calibri" w:cs="Times New Roman"/>
      <w:snapToGrid/>
      <w:szCs w:val="20"/>
    </w:rPr>
  </w:style>
  <w:style w:type="paragraph" w:styleId="26">
    <w:name w:val="Body Text Indent"/>
    <w:basedOn w:val="1"/>
    <w:link w:val="270"/>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4"/>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2"/>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6"/>
    <w:qFormat/>
    <w:uiPriority w:val="0"/>
    <w:pPr>
      <w:ind w:left="100" w:leftChars="2500"/>
    </w:pPr>
    <w:rPr>
      <w:rFonts w:ascii="宋体"/>
      <w:sz w:val="24"/>
      <w:szCs w:val="21"/>
      <w:lang w:val="zh-CN"/>
    </w:rPr>
  </w:style>
  <w:style w:type="paragraph" w:styleId="38">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93"/>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4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3"/>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6"/>
    <w:qFormat/>
    <w:uiPriority w:val="0"/>
    <w:pPr>
      <w:spacing w:after="120" w:line="480" w:lineRule="auto"/>
    </w:pPr>
  </w:style>
  <w:style w:type="paragraph" w:styleId="58">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91"/>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104"/>
    <w:qFormat/>
    <w:uiPriority w:val="0"/>
    <w:rPr>
      <w:b/>
      <w:bCs/>
    </w:rPr>
  </w:style>
  <w:style w:type="paragraph" w:styleId="62">
    <w:name w:val="Body Text First Indent 2"/>
    <w:basedOn w:val="26"/>
    <w:link w:val="128"/>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1 字符"/>
    <w:qFormat/>
    <w:uiPriority w:val="9"/>
    <w:rPr>
      <w:rFonts w:ascii="Arial" w:hAnsi="Arial" w:eastAsia="黑体" w:cs="Arial"/>
      <w:b/>
      <w:bCs/>
      <w:snapToGrid w:val="0"/>
      <w:kern w:val="44"/>
      <w:sz w:val="44"/>
      <w:szCs w:val="44"/>
    </w:rPr>
  </w:style>
  <w:style w:type="character" w:customStyle="1" w:styleId="81">
    <w:name w:val="标题 2 字符"/>
    <w:qFormat/>
    <w:uiPriority w:val="1"/>
    <w:rPr>
      <w:rFonts w:ascii="仿宋_GB2312" w:hAnsi="Times New Roman" w:eastAsia="仿宋_GB2312" w:cs="Times New Roman"/>
      <w:b/>
      <w:kern w:val="2"/>
      <w:sz w:val="24"/>
      <w:lang w:val="zh-CN"/>
    </w:rPr>
  </w:style>
  <w:style w:type="character" w:customStyle="1" w:styleId="82">
    <w:name w:val="标题 3 字符"/>
    <w:qFormat/>
    <w:uiPriority w:val="9"/>
    <w:rPr>
      <w:b/>
      <w:bCs/>
      <w:kern w:val="2"/>
      <w:sz w:val="32"/>
      <w:szCs w:val="32"/>
    </w:rPr>
  </w:style>
  <w:style w:type="character" w:customStyle="1" w:styleId="83">
    <w:name w:val="标题 4 字符"/>
    <w:qFormat/>
    <w:uiPriority w:val="9"/>
    <w:rPr>
      <w:rFonts w:ascii="等线 Light" w:hAnsi="等线 Light" w:eastAsia="等线 Light" w:cs="Times New Roman"/>
      <w:b/>
      <w:bCs/>
      <w:snapToGrid w:val="0"/>
      <w:kern w:val="0"/>
      <w:sz w:val="28"/>
      <w:szCs w:val="28"/>
    </w:rPr>
  </w:style>
  <w:style w:type="character" w:customStyle="1" w:styleId="84">
    <w:name w:val="标题 5 字符"/>
    <w:link w:val="8"/>
    <w:qFormat/>
    <w:uiPriority w:val="9"/>
    <w:rPr>
      <w:b/>
      <w:bCs/>
      <w:kern w:val="2"/>
      <w:sz w:val="28"/>
      <w:szCs w:val="28"/>
    </w:rPr>
  </w:style>
  <w:style w:type="character" w:customStyle="1" w:styleId="85">
    <w:name w:val="标题 6 字符"/>
    <w:link w:val="9"/>
    <w:qFormat/>
    <w:uiPriority w:val="0"/>
    <w:rPr>
      <w:rFonts w:ascii="Arial" w:hAnsi="Arial" w:eastAsia="黑体"/>
      <w:b/>
      <w:bCs/>
      <w:kern w:val="2"/>
      <w:sz w:val="24"/>
      <w:szCs w:val="24"/>
    </w:rPr>
  </w:style>
  <w:style w:type="character" w:customStyle="1" w:styleId="86">
    <w:name w:val="标题 7 字符"/>
    <w:link w:val="10"/>
    <w:qFormat/>
    <w:uiPriority w:val="0"/>
    <w:rPr>
      <w:b/>
      <w:bCs/>
      <w:kern w:val="2"/>
      <w:sz w:val="24"/>
      <w:szCs w:val="24"/>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8">
    <w:name w:val="正文空2字"/>
    <w:basedOn w:val="89"/>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9">
    <w:name w:val="左对齐正文"/>
    <w:qFormat/>
    <w:uiPriority w:val="99"/>
    <w:rPr>
      <w:rFonts w:ascii="Calibri" w:hAnsi="Calibri" w:eastAsia="仿宋_GB2312" w:cs="Calibri"/>
      <w:kern w:val="2"/>
      <w:sz w:val="32"/>
      <w:szCs w:val="32"/>
      <w:lang w:val="en-US" w:eastAsia="zh-CN" w:bidi="ar-SA"/>
    </w:rPr>
  </w:style>
  <w:style w:type="character" w:customStyle="1" w:styleId="90">
    <w:name w:val="表格非标题文字 Char"/>
    <w:link w:val="91"/>
    <w:qFormat/>
    <w:uiPriority w:val="0"/>
    <w:rPr>
      <w:rFonts w:ascii="Futura Bk" w:hAnsi="Futura Bk"/>
      <w:kern w:val="2"/>
      <w:sz w:val="18"/>
      <w:szCs w:val="21"/>
      <w:lang w:val="en-US" w:eastAsia="zh-CN" w:bidi="ar-SA"/>
    </w:rPr>
  </w:style>
  <w:style w:type="paragraph" w:customStyle="1" w:styleId="91">
    <w:name w:val="表格非标题文字"/>
    <w:link w:val="9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2">
    <w:name w:val="*正文 Char"/>
    <w:link w:val="93"/>
    <w:qFormat/>
    <w:locked/>
    <w:uiPriority w:val="0"/>
    <w:rPr>
      <w:rFonts w:ascii="宋体" w:hAnsi="宋体"/>
      <w:sz w:val="24"/>
    </w:rPr>
  </w:style>
  <w:style w:type="paragraph" w:customStyle="1" w:styleId="93">
    <w:name w:val="*正文"/>
    <w:basedOn w:val="1"/>
    <w:link w:val="92"/>
    <w:qFormat/>
    <w:uiPriority w:val="0"/>
    <w:pPr>
      <w:snapToGrid w:val="0"/>
      <w:spacing w:line="360" w:lineRule="auto"/>
      <w:ind w:firstLine="482"/>
      <w:jc w:val="left"/>
    </w:pPr>
    <w:rPr>
      <w:rFonts w:ascii="宋体" w:hAnsi="宋体"/>
      <w:kern w:val="0"/>
      <w:sz w:val="24"/>
      <w:szCs w:val="20"/>
    </w:rPr>
  </w:style>
  <w:style w:type="character" w:customStyle="1" w:styleId="94">
    <w:name w:val="Char Char71"/>
    <w:semiHidden/>
    <w:qFormat/>
    <w:uiPriority w:val="0"/>
    <w:rPr>
      <w:rFonts w:eastAsia="宋体"/>
      <w:kern w:val="2"/>
      <w:sz w:val="21"/>
      <w:szCs w:val="24"/>
      <w:lang w:val="en-US" w:eastAsia="zh-CN" w:bidi="ar-SA"/>
    </w:rPr>
  </w:style>
  <w:style w:type="character" w:customStyle="1" w:styleId="95">
    <w:name w:val="Char Char6"/>
    <w:qFormat/>
    <w:uiPriority w:val="0"/>
    <w:rPr>
      <w:rFonts w:eastAsia="宋体"/>
      <w:kern w:val="2"/>
      <w:sz w:val="21"/>
      <w:szCs w:val="24"/>
      <w:lang w:val="en-US" w:eastAsia="zh-CN" w:bidi="ar-SA"/>
    </w:rPr>
  </w:style>
  <w:style w:type="character" w:customStyle="1" w:styleId="96">
    <w:name w:val="正文缩进 Char"/>
    <w:qFormat/>
    <w:uiPriority w:val="0"/>
    <w:rPr>
      <w:rFonts w:eastAsia="宋体"/>
      <w:kern w:val="2"/>
      <w:sz w:val="21"/>
      <w:lang w:val="en-US" w:eastAsia="zh-CN"/>
    </w:rPr>
  </w:style>
  <w:style w:type="character" w:customStyle="1" w:styleId="97">
    <w:name w:val="正文首行缩进 Char1"/>
    <w:qFormat/>
    <w:uiPriority w:val="0"/>
    <w:rPr>
      <w:rFonts w:ascii="宋体" w:hAnsi="Times New Roman" w:eastAsia="宋体" w:cs="Times New Roman"/>
      <w:snapToGrid w:val="0"/>
      <w:kern w:val="2"/>
      <w:sz w:val="24"/>
      <w:szCs w:val="21"/>
      <w:lang w:val="zh-CN"/>
    </w:rPr>
  </w:style>
  <w:style w:type="character" w:customStyle="1" w:styleId="98">
    <w:name w:val="Char Char28"/>
    <w:qFormat/>
    <w:uiPriority w:val="6"/>
    <w:rPr>
      <w:rFonts w:ascii="仿宋_GB2312" w:hAnsi="仿宋_GB2312" w:eastAsia="仿宋_GB2312"/>
      <w:kern w:val="1"/>
      <w:sz w:val="28"/>
    </w:rPr>
  </w:style>
  <w:style w:type="character" w:customStyle="1" w:styleId="9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0">
    <w:name w:val="Heading 1 Char"/>
    <w:qFormat/>
    <w:uiPriority w:val="6"/>
    <w:rPr>
      <w:rFonts w:ascii="Times New Roman" w:hAnsi="Times New Roman" w:eastAsia="黑体" w:cs="Times New Roman"/>
      <w:b/>
      <w:kern w:val="0"/>
      <w:sz w:val="24"/>
      <w:szCs w:val="24"/>
    </w:rPr>
  </w:style>
  <w:style w:type="character" w:customStyle="1" w:styleId="101">
    <w:name w:val="U_正文 Char"/>
    <w:link w:val="102"/>
    <w:qFormat/>
    <w:uiPriority w:val="0"/>
    <w:rPr>
      <w:sz w:val="24"/>
      <w:szCs w:val="24"/>
    </w:rPr>
  </w:style>
  <w:style w:type="paragraph" w:customStyle="1" w:styleId="102">
    <w:name w:val="U_正文"/>
    <w:basedOn w:val="1"/>
    <w:link w:val="101"/>
    <w:qFormat/>
    <w:uiPriority w:val="0"/>
    <w:pPr>
      <w:adjustRightInd/>
      <w:spacing w:beforeLines="20" w:afterLines="20" w:line="300" w:lineRule="auto"/>
      <w:ind w:firstLine="200" w:firstLineChars="200"/>
    </w:pPr>
    <w:rPr>
      <w:kern w:val="0"/>
      <w:sz w:val="24"/>
    </w:rPr>
  </w:style>
  <w:style w:type="character" w:customStyle="1" w:styleId="103">
    <w:name w:val="HTML 地址 Char1"/>
    <w:qFormat/>
    <w:uiPriority w:val="0"/>
    <w:rPr>
      <w:rFonts w:ascii="Times New Roman" w:hAnsi="Times New Roman" w:eastAsia="宋体" w:cs="Times New Roman"/>
      <w:i/>
      <w:iCs/>
      <w:szCs w:val="24"/>
    </w:rPr>
  </w:style>
  <w:style w:type="character" w:customStyle="1" w:styleId="104">
    <w:name w:val="批注主题 字符"/>
    <w:link w:val="61"/>
    <w:qFormat/>
    <w:uiPriority w:val="0"/>
    <w:rPr>
      <w:b/>
      <w:bCs/>
      <w:kern w:val="2"/>
      <w:sz w:val="21"/>
      <w:szCs w:val="24"/>
    </w:rPr>
  </w:style>
  <w:style w:type="character" w:customStyle="1" w:styleId="105">
    <w:name w:val="Char Char51"/>
    <w:qFormat/>
    <w:uiPriority w:val="0"/>
    <w:rPr>
      <w:rFonts w:ascii="宋体" w:hAnsi="Courier New" w:eastAsia="宋体"/>
      <w:kern w:val="2"/>
      <w:sz w:val="21"/>
      <w:lang w:val="en-US" w:eastAsia="zh-CN"/>
    </w:rPr>
  </w:style>
  <w:style w:type="character" w:customStyle="1" w:styleId="106">
    <w:name w:val="表正文 Char"/>
    <w:qFormat/>
    <w:uiPriority w:val="0"/>
    <w:rPr>
      <w:rFonts w:ascii="宋体" w:eastAsia="宋体"/>
      <w:snapToGrid w:val="0"/>
      <w:color w:val="000000"/>
      <w:kern w:val="28"/>
      <w:sz w:val="28"/>
      <w:lang w:val="en-US" w:eastAsia="zh-CN" w:bidi="ar-SA"/>
    </w:rPr>
  </w:style>
  <w:style w:type="character" w:customStyle="1" w:styleId="107">
    <w:name w:val="Char Char34"/>
    <w:qFormat/>
    <w:uiPriority w:val="6"/>
    <w:rPr>
      <w:b/>
      <w:kern w:val="1"/>
      <w:sz w:val="28"/>
      <w:szCs w:val="28"/>
    </w:rPr>
  </w:style>
  <w:style w:type="character" w:customStyle="1" w:styleId="10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9">
    <w:name w:val="哈哈正文 Char"/>
    <w:link w:val="110"/>
    <w:qFormat/>
    <w:uiPriority w:val="0"/>
    <w:rPr>
      <w:rFonts w:ascii="宋体" w:hAnsi="宋体" w:eastAsia="宋体"/>
      <w:kern w:val="2"/>
      <w:sz w:val="24"/>
      <w:lang w:bidi="ar-SA"/>
    </w:rPr>
  </w:style>
  <w:style w:type="paragraph" w:customStyle="1" w:styleId="110">
    <w:name w:val="哈哈正文"/>
    <w:basedOn w:val="1"/>
    <w:link w:val="109"/>
    <w:qFormat/>
    <w:uiPriority w:val="0"/>
    <w:pPr>
      <w:adjustRightInd/>
      <w:spacing w:line="360" w:lineRule="auto"/>
      <w:ind w:firstLine="200" w:firstLineChars="200"/>
    </w:pPr>
    <w:rPr>
      <w:rFonts w:ascii="宋体" w:hAnsi="宋体"/>
      <w:sz w:val="24"/>
      <w:szCs w:val="20"/>
    </w:rPr>
  </w:style>
  <w:style w:type="character" w:customStyle="1" w:styleId="111">
    <w:name w:val="未处理的提及1"/>
    <w:qFormat/>
    <w:uiPriority w:val="0"/>
    <w:rPr>
      <w:color w:val="808080"/>
      <w:shd w:val="clear" w:color="auto" w:fill="E6E6E6"/>
    </w:rPr>
  </w:style>
  <w:style w:type="character" w:customStyle="1" w:styleId="112">
    <w:name w:val="txt"/>
    <w:qFormat/>
    <w:uiPriority w:val="0"/>
    <w:rPr>
      <w:rFonts w:ascii="仿宋_GB2312" w:eastAsia="微软雅黑"/>
      <w:b/>
      <w:kern w:val="2"/>
      <w:sz w:val="32"/>
      <w:szCs w:val="32"/>
      <w:lang w:val="en-US" w:eastAsia="zh-CN" w:bidi="ar-SA"/>
    </w:rPr>
  </w:style>
  <w:style w:type="character" w:customStyle="1" w:styleId="113">
    <w:name w:val="二级标题 Char Char"/>
    <w:qFormat/>
    <w:uiPriority w:val="0"/>
    <w:rPr>
      <w:rFonts w:ascii="宋体" w:hAnsi="宋体" w:eastAsia="宋体"/>
      <w:b/>
      <w:snapToGrid w:val="0"/>
      <w:kern w:val="2"/>
      <w:sz w:val="24"/>
      <w:szCs w:val="24"/>
      <w:lang w:val="en-US" w:eastAsia="zh-CN" w:bidi="ar-SA"/>
    </w:rPr>
  </w:style>
  <w:style w:type="character" w:customStyle="1" w:styleId="114">
    <w:name w:val="Char Char32"/>
    <w:qFormat/>
    <w:uiPriority w:val="6"/>
    <w:rPr>
      <w:b/>
      <w:kern w:val="1"/>
      <w:sz w:val="24"/>
      <w:szCs w:val="24"/>
    </w:rPr>
  </w:style>
  <w:style w:type="character" w:customStyle="1" w:styleId="115">
    <w:name w:val="PI Char1"/>
    <w:qFormat/>
    <w:uiPriority w:val="0"/>
    <w:rPr>
      <w:rFonts w:ascii="宋体" w:hAnsi="宋体"/>
      <w:kern w:val="2"/>
      <w:sz w:val="24"/>
      <w:szCs w:val="24"/>
    </w:rPr>
  </w:style>
  <w:style w:type="character" w:customStyle="1" w:styleId="116">
    <w:name w:val="tw4winTerm"/>
    <w:qFormat/>
    <w:uiPriority w:val="0"/>
    <w:rPr>
      <w:color w:val="0000FF"/>
    </w:rPr>
  </w:style>
  <w:style w:type="character" w:customStyle="1" w:styleId="117">
    <w:name w:val="Footer Char"/>
    <w:qFormat/>
    <w:locked/>
    <w:uiPriority w:val="0"/>
    <w:rPr>
      <w:rFonts w:eastAsia="宋体"/>
      <w:kern w:val="2"/>
      <w:sz w:val="18"/>
      <w:lang w:val="en-US" w:eastAsia="zh-CN" w:bidi="ar-SA"/>
    </w:rPr>
  </w:style>
  <w:style w:type="character" w:customStyle="1" w:styleId="118">
    <w:name w:val="普通文字 Char Char1"/>
    <w:qFormat/>
    <w:uiPriority w:val="0"/>
    <w:rPr>
      <w:rFonts w:ascii="宋体" w:hAnsi="Courier New"/>
      <w:kern w:val="2"/>
      <w:sz w:val="21"/>
    </w:rPr>
  </w:style>
  <w:style w:type="character" w:customStyle="1" w:styleId="119">
    <w:name w:val="Char Char101"/>
    <w:qFormat/>
    <w:uiPriority w:val="6"/>
    <w:rPr>
      <w:rFonts w:ascii="宋体" w:hAnsi="宋体"/>
      <w:kern w:val="2"/>
      <w:sz w:val="21"/>
      <w:szCs w:val="24"/>
      <w:lang w:val="en-US" w:eastAsia="zh-CN"/>
    </w:rPr>
  </w:style>
  <w:style w:type="character" w:customStyle="1" w:styleId="120">
    <w:name w:val="标题 4 Char"/>
    <w:qFormat/>
    <w:uiPriority w:val="0"/>
    <w:rPr>
      <w:rFonts w:ascii="Arial" w:hAnsi="Arial" w:eastAsia="黑体"/>
      <w:b/>
      <w:kern w:val="2"/>
      <w:sz w:val="28"/>
    </w:rPr>
  </w:style>
  <w:style w:type="character" w:customStyle="1" w:styleId="121">
    <w:name w:val="链接"/>
    <w:qFormat/>
    <w:uiPriority w:val="0"/>
    <w:rPr>
      <w:color w:val="0000FF"/>
      <w:sz w:val="21"/>
      <w:szCs w:val="21"/>
      <w:u w:val="single"/>
    </w:rPr>
  </w:style>
  <w:style w:type="character" w:customStyle="1" w:styleId="122">
    <w:name w:val="h4 Char"/>
    <w:qFormat/>
    <w:uiPriority w:val="0"/>
    <w:rPr>
      <w:rFonts w:ascii="Arial" w:hAnsi="Arial" w:eastAsia="黑体"/>
      <w:b/>
      <w:bCs/>
      <w:kern w:val="2"/>
      <w:sz w:val="28"/>
      <w:szCs w:val="28"/>
      <w:lang w:val="zh-CN" w:eastAsia="zh-CN" w:bidi="ar-SA"/>
    </w:rPr>
  </w:style>
  <w:style w:type="character" w:customStyle="1" w:styleId="123">
    <w:name w:val="5正文 Char"/>
    <w:link w:val="124"/>
    <w:qFormat/>
    <w:uiPriority w:val="0"/>
    <w:rPr>
      <w:rFonts w:ascii="仿宋_GB2312" w:hAnsi="微软雅黑" w:eastAsia="仿宋_GB2312"/>
      <w:sz w:val="28"/>
      <w:szCs w:val="21"/>
    </w:rPr>
  </w:style>
  <w:style w:type="paragraph" w:customStyle="1" w:styleId="124">
    <w:name w:val="5正文"/>
    <w:basedOn w:val="1"/>
    <w:link w:val="12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5">
    <w:name w:val="样式6 Char"/>
    <w:qFormat/>
    <w:uiPriority w:val="0"/>
    <w:rPr>
      <w:rFonts w:ascii="仿宋_GB2312" w:hAnsi="宋体" w:eastAsia="仿宋_GB2312"/>
      <w:b/>
      <w:bCs/>
      <w:kern w:val="2"/>
      <w:sz w:val="24"/>
      <w:szCs w:val="24"/>
      <w:lang w:val="en-US" w:eastAsia="zh-CN" w:bidi="ar-SA"/>
    </w:rPr>
  </w:style>
  <w:style w:type="character" w:customStyle="1" w:styleId="126">
    <w:name w:val="Char Char14"/>
    <w:qFormat/>
    <w:uiPriority w:val="6"/>
    <w:rPr>
      <w:rFonts w:ascii="黑体" w:hAnsi="黑体" w:eastAsia="黑体"/>
    </w:rPr>
  </w:style>
  <w:style w:type="character" w:customStyle="1" w:styleId="127">
    <w:name w:val="Heading 2 Hidden Char"/>
    <w:qFormat/>
    <w:uiPriority w:val="0"/>
    <w:rPr>
      <w:rFonts w:ascii="仿宋_GB2312" w:eastAsia="仿宋_GB2312"/>
      <w:b/>
      <w:bCs/>
      <w:kern w:val="2"/>
      <w:sz w:val="24"/>
      <w:szCs w:val="24"/>
      <w:lang w:val="zh-CN" w:eastAsia="zh-CN" w:bidi="ar-SA"/>
    </w:rPr>
  </w:style>
  <w:style w:type="character" w:customStyle="1" w:styleId="128">
    <w:name w:val="正文文本首行缩进 2 字符"/>
    <w:link w:val="62"/>
    <w:qFormat/>
    <w:uiPriority w:val="0"/>
    <w:rPr>
      <w:rFonts w:ascii="宋体" w:hAnsi="宋体"/>
      <w:kern w:val="2"/>
      <w:sz w:val="21"/>
      <w:szCs w:val="24"/>
    </w:rPr>
  </w:style>
  <w:style w:type="character" w:customStyle="1" w:styleId="129">
    <w:name w:val="font11"/>
    <w:basedOn w:val="70"/>
    <w:qFormat/>
    <w:uiPriority w:val="0"/>
    <w:rPr>
      <w:rFonts w:hint="default" w:ascii="Times New Roman" w:hAnsi="Times New Roman" w:cs="Times New Roman"/>
      <w:color w:val="000000"/>
      <w:sz w:val="22"/>
      <w:szCs w:val="22"/>
      <w:u w:val="none"/>
    </w:rPr>
  </w:style>
  <w:style w:type="character" w:customStyle="1" w:styleId="130">
    <w:name w:val="表正文 Char1"/>
    <w:qFormat/>
    <w:uiPriority w:val="0"/>
    <w:rPr>
      <w:rFonts w:ascii="宋体" w:eastAsia="宋体"/>
      <w:snapToGrid w:val="0"/>
      <w:color w:val="000000"/>
      <w:kern w:val="28"/>
      <w:sz w:val="28"/>
    </w:rPr>
  </w:style>
  <w:style w:type="character" w:customStyle="1" w:styleId="131">
    <w:name w:val="blue1"/>
    <w:basedOn w:val="70"/>
    <w:qFormat/>
    <w:uiPriority w:val="0"/>
    <w:rPr>
      <w:rFonts w:ascii="Arial" w:hAnsi="Arial" w:eastAsia="黑体" w:cs="Arial"/>
      <w:snapToGrid w:val="0"/>
      <w:kern w:val="0"/>
      <w:szCs w:val="21"/>
    </w:rPr>
  </w:style>
  <w:style w:type="character" w:customStyle="1" w:styleId="132">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33">
    <w:name w:val="标书1 Char"/>
    <w:qFormat/>
    <w:uiPriority w:val="0"/>
    <w:rPr>
      <w:rFonts w:eastAsia="宋体"/>
      <w:b/>
      <w:bCs/>
      <w:kern w:val="44"/>
      <w:sz w:val="44"/>
      <w:szCs w:val="44"/>
      <w:lang w:val="en-US" w:eastAsia="zh-CN" w:bidi="ar-SA"/>
    </w:rPr>
  </w:style>
  <w:style w:type="character" w:customStyle="1" w:styleId="134">
    <w:name w:val="样式5 Char"/>
    <w:qFormat/>
    <w:uiPriority w:val="0"/>
    <w:rPr>
      <w:rFonts w:ascii="仿宋_GB2312" w:hAnsi="仿宋" w:eastAsia="仿宋_GB2312"/>
      <w:kern w:val="2"/>
      <w:sz w:val="24"/>
      <w:szCs w:val="24"/>
    </w:rPr>
  </w:style>
  <w:style w:type="character" w:customStyle="1" w:styleId="135">
    <w:name w:val="样式4 Char"/>
    <w:qFormat/>
    <w:uiPriority w:val="0"/>
    <w:rPr>
      <w:rFonts w:ascii="仿宋_GB2312" w:hAnsi="仿宋" w:eastAsia="仿宋_GB2312"/>
      <w:b/>
      <w:kern w:val="2"/>
      <w:sz w:val="32"/>
      <w:szCs w:val="32"/>
      <w:lang w:bidi="ar-SA"/>
    </w:rPr>
  </w:style>
  <w:style w:type="character" w:customStyle="1" w:styleId="136">
    <w:name w:val="插图说明 Char"/>
    <w:qFormat/>
    <w:uiPriority w:val="0"/>
    <w:rPr>
      <w:rFonts w:eastAsia="黑体"/>
      <w:sz w:val="24"/>
      <w:lang w:val="en-US" w:eastAsia="zh-CN"/>
    </w:rPr>
  </w:style>
  <w:style w:type="character" w:customStyle="1" w:styleId="137">
    <w:name w:val="正文2 Char Char"/>
    <w:link w:val="138"/>
    <w:qFormat/>
    <w:uiPriority w:val="0"/>
    <w:rPr>
      <w:rFonts w:eastAsia="宋体"/>
      <w:kern w:val="2"/>
      <w:sz w:val="24"/>
      <w:lang w:val="en-US" w:eastAsia="zh-CN" w:bidi="ar-SA"/>
    </w:rPr>
  </w:style>
  <w:style w:type="paragraph" w:customStyle="1" w:styleId="138">
    <w:name w:val="正文2"/>
    <w:basedOn w:val="1"/>
    <w:link w:val="137"/>
    <w:qFormat/>
    <w:uiPriority w:val="0"/>
    <w:pPr>
      <w:spacing w:before="156" w:line="360" w:lineRule="auto"/>
      <w:ind w:firstLine="510" w:firstLineChars="200"/>
    </w:pPr>
    <w:rPr>
      <w:sz w:val="24"/>
      <w:szCs w:val="20"/>
    </w:rPr>
  </w:style>
  <w:style w:type="character" w:customStyle="1" w:styleId="139">
    <w:name w:val="Char Char24"/>
    <w:qFormat/>
    <w:uiPriority w:val="6"/>
    <w:rPr>
      <w:kern w:val="1"/>
      <w:sz w:val="21"/>
    </w:rPr>
  </w:style>
  <w:style w:type="character" w:customStyle="1" w:styleId="140">
    <w:name w:val="副标题 字符"/>
    <w:link w:val="48"/>
    <w:qFormat/>
    <w:uiPriority w:val="0"/>
    <w:rPr>
      <w:rFonts w:ascii="Arial" w:hAnsi="Arial" w:eastAsia="隶书"/>
      <w:b/>
      <w:bCs/>
      <w:kern w:val="28"/>
      <w:sz w:val="44"/>
      <w:szCs w:val="32"/>
      <w:lang w:val="en-US" w:eastAsia="zh-CN" w:bidi="ar-SA"/>
    </w:rPr>
  </w:style>
  <w:style w:type="character" w:customStyle="1" w:styleId="141">
    <w:name w:val="普通文字 Char1 Char"/>
    <w:qFormat/>
    <w:uiPriority w:val="0"/>
    <w:rPr>
      <w:rFonts w:ascii="宋体" w:hAnsi="Courier New" w:eastAsia="宋体"/>
      <w:kern w:val="2"/>
      <w:sz w:val="21"/>
      <w:szCs w:val="24"/>
      <w:lang w:val="en-US" w:eastAsia="zh-CN" w:bidi="ar-SA"/>
    </w:rPr>
  </w:style>
  <w:style w:type="character" w:customStyle="1" w:styleId="142">
    <w:name w:val="h3 Char1"/>
    <w:qFormat/>
    <w:uiPriority w:val="0"/>
    <w:rPr>
      <w:rFonts w:eastAsia="宋体"/>
      <w:b/>
      <w:bCs/>
      <w:kern w:val="2"/>
      <w:sz w:val="32"/>
      <w:szCs w:val="32"/>
      <w:lang w:bidi="ar-SA"/>
    </w:rPr>
  </w:style>
  <w:style w:type="character" w:customStyle="1" w:styleId="143">
    <w:name w:val="标题 Char1"/>
    <w:qFormat/>
    <w:uiPriority w:val="0"/>
    <w:rPr>
      <w:rFonts w:ascii="Cambria" w:hAnsi="Cambria" w:eastAsia="宋体" w:cs="Times New Roman"/>
      <w:b/>
      <w:bCs/>
      <w:sz w:val="32"/>
      <w:szCs w:val="32"/>
      <w:lang w:bidi="ar-SA"/>
    </w:rPr>
  </w:style>
  <w:style w:type="character" w:customStyle="1" w:styleId="144">
    <w:name w:val="gf正文1 Char"/>
    <w:qFormat/>
    <w:uiPriority w:val="0"/>
    <w:rPr>
      <w:rFonts w:ascii="宋体" w:hAnsi="宋体" w:eastAsia="宋体" w:cs="宋体"/>
      <w:kern w:val="2"/>
      <w:sz w:val="24"/>
      <w:szCs w:val="24"/>
      <w:lang w:val="en-US" w:eastAsia="zh-CN" w:bidi="ar-SA"/>
    </w:rPr>
  </w:style>
  <w:style w:type="character" w:customStyle="1" w:styleId="145">
    <w:name w:val="正文文本缩进 Char1"/>
    <w:qFormat/>
    <w:uiPriority w:val="0"/>
    <w:rPr>
      <w:rFonts w:ascii="Calibri" w:hAnsi="Calibri"/>
      <w:sz w:val="28"/>
    </w:rPr>
  </w:style>
  <w:style w:type="character" w:customStyle="1" w:styleId="146">
    <w:name w:val="No Spacing Char"/>
    <w:link w:val="147"/>
    <w:qFormat/>
    <w:uiPriority w:val="1"/>
    <w:rPr>
      <w:sz w:val="22"/>
      <w:szCs w:val="22"/>
      <w:lang w:val="en-US" w:eastAsia="zh-CN" w:bidi="ar-SA"/>
    </w:rPr>
  </w:style>
  <w:style w:type="paragraph" w:customStyle="1" w:styleId="147">
    <w:name w:val="无间隔1"/>
    <w:link w:val="146"/>
    <w:qFormat/>
    <w:uiPriority w:val="1"/>
    <w:rPr>
      <w:rFonts w:ascii="Times New Roman" w:hAnsi="Times New Roman" w:eastAsia="宋体" w:cs="Times New Roman"/>
      <w:sz w:val="22"/>
      <w:szCs w:val="22"/>
      <w:lang w:val="en-US" w:eastAsia="zh-CN" w:bidi="ar-SA"/>
    </w:rPr>
  </w:style>
  <w:style w:type="character" w:customStyle="1" w:styleId="148">
    <w:name w:val="样式7 Char"/>
    <w:qFormat/>
    <w:uiPriority w:val="0"/>
    <w:rPr>
      <w:rFonts w:ascii="仿宋_GB2312" w:hAnsi="仿宋" w:eastAsia="仿宋_GB2312"/>
      <w:b/>
      <w:kern w:val="2"/>
      <w:sz w:val="24"/>
      <w:szCs w:val="24"/>
    </w:rPr>
  </w:style>
  <w:style w:type="character" w:customStyle="1" w:styleId="149">
    <w:name w:val="font12gray1"/>
    <w:qFormat/>
    <w:uiPriority w:val="0"/>
    <w:rPr>
      <w:rFonts w:ascii="仿宋_GB2312" w:eastAsia="微软雅黑"/>
      <w:b/>
      <w:spacing w:val="300"/>
      <w:kern w:val="2"/>
      <w:sz w:val="18"/>
      <w:szCs w:val="18"/>
      <w:lang w:val="en-US" w:eastAsia="zh-CN" w:bidi="ar-SA"/>
    </w:rPr>
  </w:style>
  <w:style w:type="character" w:customStyle="1" w:styleId="150">
    <w:name w:val="Char Char7"/>
    <w:semiHidden/>
    <w:qFormat/>
    <w:uiPriority w:val="0"/>
    <w:rPr>
      <w:rFonts w:eastAsia="宋体"/>
      <w:kern w:val="2"/>
      <w:sz w:val="21"/>
      <w:szCs w:val="24"/>
      <w:lang w:val="en-US" w:eastAsia="zh-CN" w:bidi="ar-SA"/>
    </w:rPr>
  </w:style>
  <w:style w:type="character" w:customStyle="1" w:styleId="151">
    <w:name w:val="表名 Char"/>
    <w:qFormat/>
    <w:uiPriority w:val="0"/>
    <w:rPr>
      <w:rFonts w:eastAsia="宋体"/>
      <w:b/>
      <w:bCs/>
      <w:kern w:val="2"/>
      <w:sz w:val="24"/>
      <w:szCs w:val="24"/>
      <w:lang w:val="en-US" w:eastAsia="zh-CN" w:bidi="ar-SA"/>
    </w:rPr>
  </w:style>
  <w:style w:type="character" w:customStyle="1" w:styleId="152">
    <w:name w:val="Document Map Char"/>
    <w:qFormat/>
    <w:locked/>
    <w:uiPriority w:val="0"/>
    <w:rPr>
      <w:rFonts w:eastAsia="宋体"/>
      <w:kern w:val="2"/>
      <w:sz w:val="21"/>
      <w:szCs w:val="24"/>
      <w:lang w:val="en-US" w:eastAsia="zh-CN" w:bidi="ar-SA"/>
    </w:rPr>
  </w:style>
  <w:style w:type="character" w:customStyle="1" w:styleId="153">
    <w:name w:val="font41"/>
    <w:qFormat/>
    <w:uiPriority w:val="0"/>
    <w:rPr>
      <w:rFonts w:hint="eastAsia" w:ascii="仿宋_GB2312" w:eastAsia="仿宋_GB2312" w:cs="仿宋_GB2312"/>
      <w:color w:val="000000"/>
      <w:sz w:val="22"/>
      <w:szCs w:val="22"/>
      <w:u w:val="none"/>
    </w:rPr>
  </w:style>
  <w:style w:type="character" w:customStyle="1" w:styleId="154">
    <w:name w:val="纯文本 Char_0"/>
    <w:link w:val="155"/>
    <w:qFormat/>
    <w:uiPriority w:val="0"/>
    <w:rPr>
      <w:rFonts w:ascii="宋体" w:hAnsi="Courier New"/>
      <w:kern w:val="2"/>
      <w:sz w:val="21"/>
      <w:szCs w:val="21"/>
      <w:lang w:val="en-US" w:eastAsia="zh-CN"/>
    </w:rPr>
  </w:style>
  <w:style w:type="paragraph" w:customStyle="1" w:styleId="155">
    <w:name w:val="纯文本_0_0"/>
    <w:basedOn w:val="156"/>
    <w:link w:val="154"/>
    <w:qFormat/>
    <w:uiPriority w:val="0"/>
    <w:rPr>
      <w:rFonts w:ascii="宋体" w:hAnsi="Courier New"/>
      <w:szCs w:val="21"/>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qFormat/>
    <w:locked/>
    <w:uiPriority w:val="0"/>
    <w:rPr>
      <w:rFonts w:eastAsia="宋体"/>
      <w:kern w:val="2"/>
      <w:sz w:val="18"/>
      <w:szCs w:val="18"/>
      <w:lang w:val="en-US" w:eastAsia="zh-CN" w:bidi="ar-SA"/>
    </w:rPr>
  </w:style>
  <w:style w:type="character" w:customStyle="1" w:styleId="158">
    <w:name w:val="正文 项目2 Char"/>
    <w:basedOn w:val="159"/>
    <w:qFormat/>
    <w:uiPriority w:val="0"/>
    <w:rPr>
      <w:rFonts w:ascii="仿宋_GB2312" w:hAnsi="仿宋_GB2312" w:eastAsia="仿宋_GB2312"/>
      <w:kern w:val="2"/>
      <w:sz w:val="24"/>
      <w:lang w:bidi="ar-SA"/>
    </w:rPr>
  </w:style>
  <w:style w:type="character" w:customStyle="1" w:styleId="159">
    <w:name w:val="正文 项目 Char"/>
    <w:qFormat/>
    <w:uiPriority w:val="0"/>
    <w:rPr>
      <w:rFonts w:ascii="仿宋_GB2312" w:hAnsi="仿宋_GB2312" w:eastAsia="仿宋_GB2312"/>
      <w:kern w:val="2"/>
      <w:sz w:val="24"/>
      <w:lang w:bidi="ar-SA"/>
    </w:rPr>
  </w:style>
  <w:style w:type="character" w:customStyle="1" w:styleId="160">
    <w:name w:val="h Char Char1"/>
    <w:qFormat/>
    <w:uiPriority w:val="0"/>
    <w:rPr>
      <w:rFonts w:eastAsia="宋体"/>
      <w:kern w:val="2"/>
      <w:sz w:val="18"/>
      <w:szCs w:val="18"/>
      <w:lang w:val="en-US" w:eastAsia="zh-CN" w:bidi="ar-SA"/>
    </w:rPr>
  </w:style>
  <w:style w:type="character" w:customStyle="1" w:styleId="161">
    <w:name w:val="Char Char27"/>
    <w:qFormat/>
    <w:uiPriority w:val="6"/>
    <w:rPr>
      <w:rFonts w:ascii="宋体" w:hAnsi="宋体" w:eastAsia="宋体"/>
      <w:color w:val="000000"/>
      <w:kern w:val="1"/>
      <w:sz w:val="28"/>
      <w:lang w:val="en-US" w:eastAsia="zh-CN" w:bidi="ar-SA"/>
    </w:rPr>
  </w:style>
  <w:style w:type="character" w:customStyle="1" w:styleId="162">
    <w:name w:val="px14"/>
    <w:qFormat/>
    <w:uiPriority w:val="0"/>
    <w:rPr>
      <w:rFonts w:ascii="仿宋_GB2312" w:eastAsia="微软雅黑" w:cs="Times New Roman"/>
      <w:b/>
      <w:kern w:val="2"/>
      <w:sz w:val="32"/>
      <w:szCs w:val="32"/>
      <w:lang w:val="en-US" w:eastAsia="zh-CN" w:bidi="ar-SA"/>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普通文字 Char1"/>
    <w:qFormat/>
    <w:uiPriority w:val="0"/>
    <w:rPr>
      <w:rFonts w:ascii="宋体" w:hAnsi="Courier New" w:eastAsia="宋体"/>
      <w:kern w:val="2"/>
      <w:sz w:val="21"/>
      <w:lang w:val="en-US" w:eastAsia="zh-CN"/>
    </w:rPr>
  </w:style>
  <w:style w:type="character" w:customStyle="1" w:styleId="165">
    <w:name w:val="hei16b1"/>
    <w:qFormat/>
    <w:uiPriority w:val="0"/>
    <w:rPr>
      <w:rFonts w:hint="default" w:ascii="Arial" w:hAnsi="Arial" w:cs="Arial"/>
      <w:b/>
      <w:bCs/>
      <w:color w:val="000000"/>
      <w:sz w:val="24"/>
      <w:szCs w:val="24"/>
    </w:rPr>
  </w:style>
  <w:style w:type="character" w:customStyle="1" w:styleId="166">
    <w:name w:val="正文（绿盟科技） Char"/>
    <w:link w:val="167"/>
    <w:qFormat/>
    <w:uiPriority w:val="0"/>
    <w:rPr>
      <w:rFonts w:ascii="Arial" w:hAnsi="Arial"/>
      <w:sz w:val="21"/>
      <w:szCs w:val="21"/>
    </w:rPr>
  </w:style>
  <w:style w:type="paragraph" w:customStyle="1" w:styleId="167">
    <w:name w:val="正文（绿盟科技）"/>
    <w:link w:val="166"/>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qFormat/>
    <w:uiPriority w:val="6"/>
    <w:rPr>
      <w:rFonts w:ascii="宋体" w:hAnsi="宋体"/>
      <w:i/>
      <w:sz w:val="24"/>
      <w:szCs w:val="24"/>
    </w:rPr>
  </w:style>
  <w:style w:type="character" w:customStyle="1" w:styleId="169">
    <w:name w:val="页脚 Char"/>
    <w:qFormat/>
    <w:uiPriority w:val="0"/>
    <w:rPr>
      <w:rFonts w:eastAsia="仿宋_GB2312"/>
      <w:kern w:val="2"/>
      <w:sz w:val="18"/>
      <w:lang w:val="en-US" w:eastAsia="zh-CN"/>
    </w:rPr>
  </w:style>
  <w:style w:type="character" w:customStyle="1" w:styleId="170">
    <w:name w:val="批注主题 Char"/>
    <w:qFormat/>
    <w:uiPriority w:val="0"/>
    <w:rPr>
      <w:rFonts w:eastAsia="宋体"/>
      <w:b/>
      <w:bCs/>
      <w:kern w:val="2"/>
      <w:sz w:val="21"/>
      <w:szCs w:val="24"/>
      <w:lang w:val="en-US" w:eastAsia="zh-CN" w:bidi="ar-SA"/>
    </w:rPr>
  </w:style>
  <w:style w:type="character" w:customStyle="1" w:styleId="171">
    <w:name w:val="Comment Text Char"/>
    <w:qFormat/>
    <w:locked/>
    <w:uiPriority w:val="0"/>
    <w:rPr>
      <w:rFonts w:ascii="宋体" w:hAnsi="宋体" w:eastAsia="宋体"/>
      <w:kern w:val="2"/>
      <w:sz w:val="24"/>
      <w:lang w:val="en-US" w:eastAsia="zh-CN" w:bidi="ar-SA"/>
    </w:rPr>
  </w:style>
  <w:style w:type="character" w:customStyle="1" w:styleId="172">
    <w:name w:val="Char Char72"/>
    <w:qFormat/>
    <w:uiPriority w:val="0"/>
    <w:rPr>
      <w:rFonts w:eastAsia="宋体"/>
      <w:kern w:val="2"/>
      <w:sz w:val="21"/>
      <w:szCs w:val="24"/>
      <w:lang w:val="en-US" w:eastAsia="zh-CN" w:bidi="ar-SA"/>
    </w:rPr>
  </w:style>
  <w:style w:type="character" w:customStyle="1" w:styleId="173">
    <w:name w:val="正文文本缩进 Char2"/>
    <w:qFormat/>
    <w:uiPriority w:val="0"/>
    <w:rPr>
      <w:rFonts w:ascii="Times New Roman" w:hAnsi="Times New Roman" w:eastAsia="宋体" w:cs="Times New Roman"/>
      <w:snapToGrid w:val="0"/>
      <w:kern w:val="0"/>
      <w:szCs w:val="24"/>
    </w:rPr>
  </w:style>
  <w:style w:type="character" w:customStyle="1" w:styleId="174">
    <w:name w:val="样式2 Char"/>
    <w:qFormat/>
    <w:uiPriority w:val="0"/>
    <w:rPr>
      <w:rFonts w:ascii="仿宋_GB2312" w:hAnsi="仿宋" w:eastAsia="仿宋_GB2312" w:cs="仿宋_GB2312"/>
      <w:b/>
      <w:bCs/>
      <w:sz w:val="32"/>
      <w:szCs w:val="30"/>
      <w:lang w:val="zh-CN"/>
    </w:rPr>
  </w:style>
  <w:style w:type="character" w:customStyle="1" w:styleId="175">
    <w:name w:val="表格名称[858D7CFB-ED40-4347-BF05-701D383B685F]"/>
    <w:link w:val="176"/>
    <w:qFormat/>
    <w:uiPriority w:val="0"/>
    <w:rPr>
      <w:sz w:val="32"/>
    </w:rPr>
  </w:style>
  <w:style w:type="paragraph" w:customStyle="1" w:styleId="176">
    <w:name w:val="表格名称"/>
    <w:basedOn w:val="4"/>
    <w:link w:val="175"/>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7">
    <w:name w:val="Char Char4"/>
    <w:qFormat/>
    <w:uiPriority w:val="0"/>
    <w:rPr>
      <w:rFonts w:eastAsia="宋体"/>
      <w:b/>
      <w:sz w:val="24"/>
      <w:lang w:val="en-GB" w:eastAsia="zh-CN" w:bidi="ar-SA"/>
    </w:rPr>
  </w:style>
  <w:style w:type="character" w:customStyle="1" w:styleId="178">
    <w:name w:val="c7 style3"/>
    <w:qFormat/>
    <w:uiPriority w:val="0"/>
  </w:style>
  <w:style w:type="character" w:customStyle="1" w:styleId="179">
    <w:name w:val="正文文本 3 Char1"/>
    <w:semiHidden/>
    <w:qFormat/>
    <w:uiPriority w:val="99"/>
    <w:rPr>
      <w:rFonts w:ascii="Times New Roman" w:hAnsi="Times New Roman" w:eastAsia="宋体" w:cs="Times New Roman"/>
      <w:sz w:val="16"/>
      <w:szCs w:val="16"/>
    </w:rPr>
  </w:style>
  <w:style w:type="character" w:customStyle="1" w:styleId="180">
    <w:name w:val="tw4winInternal"/>
    <w:qFormat/>
    <w:uiPriority w:val="0"/>
    <w:rPr>
      <w:rFonts w:ascii="Courier New" w:hAnsi="Courier New" w:cs="Courier New"/>
      <w:color w:val="FF0000"/>
      <w:lang w:val="en-US" w:eastAsia="zh-CN"/>
    </w:rPr>
  </w:style>
  <w:style w:type="character" w:customStyle="1" w:styleId="181">
    <w:name w:val="Char Char10"/>
    <w:semiHidden/>
    <w:qFormat/>
    <w:uiPriority w:val="0"/>
    <w:rPr>
      <w:rFonts w:ascii="宋体" w:hAnsi="宋体"/>
      <w:kern w:val="2"/>
      <w:sz w:val="21"/>
      <w:szCs w:val="24"/>
      <w:lang w:val="en-US" w:eastAsia="zh-CN"/>
    </w:rPr>
  </w:style>
  <w:style w:type="character" w:customStyle="1" w:styleId="182">
    <w:name w:val="shadow11"/>
    <w:qFormat/>
    <w:uiPriority w:val="0"/>
    <w:rPr>
      <w:color w:val="000000"/>
      <w:sz w:val="21"/>
    </w:rPr>
  </w:style>
  <w:style w:type="character" w:customStyle="1" w:styleId="183">
    <w:name w:val="正文非缩进 Char3"/>
    <w:qFormat/>
    <w:uiPriority w:val="0"/>
    <w:rPr>
      <w:rFonts w:ascii="宋体" w:eastAsia="宋体"/>
      <w:snapToGrid w:val="0"/>
      <w:color w:val="000000"/>
      <w:kern w:val="28"/>
      <w:sz w:val="28"/>
      <w:lang w:val="en-US" w:eastAsia="zh-CN" w:bidi="ar-SA"/>
    </w:rPr>
  </w:style>
  <w:style w:type="character" w:customStyle="1" w:styleId="184">
    <w:name w:val="Char Char"/>
    <w:qFormat/>
    <w:uiPriority w:val="0"/>
    <w:rPr>
      <w:rFonts w:ascii="宋体" w:hAnsi="Courier New" w:eastAsia="宋体"/>
      <w:kern w:val="2"/>
      <w:sz w:val="21"/>
      <w:lang w:val="en-US" w:eastAsia="zh-CN" w:bidi="ar-SA"/>
    </w:rPr>
  </w:style>
  <w:style w:type="character" w:customStyle="1" w:styleId="185">
    <w:name w:val="签名 Char1"/>
    <w:qFormat/>
    <w:uiPriority w:val="0"/>
    <w:rPr>
      <w:rFonts w:ascii="Times New Roman" w:hAnsi="Times New Roman" w:eastAsia="宋体" w:cs="Times New Roman"/>
      <w:szCs w:val="24"/>
    </w:rPr>
  </w:style>
  <w:style w:type="character" w:customStyle="1" w:styleId="186">
    <w:name w:val="日期 字符"/>
    <w:link w:val="37"/>
    <w:qFormat/>
    <w:uiPriority w:val="0"/>
    <w:rPr>
      <w:rFonts w:ascii="宋体"/>
      <w:kern w:val="2"/>
      <w:sz w:val="24"/>
      <w:szCs w:val="21"/>
      <w:lang w:val="zh-CN"/>
    </w:rPr>
  </w:style>
  <w:style w:type="character" w:customStyle="1" w:styleId="187">
    <w:name w:val="标题 9 字符"/>
    <w:link w:val="12"/>
    <w:qFormat/>
    <w:uiPriority w:val="0"/>
    <w:rPr>
      <w:rFonts w:ascii="Arial" w:hAnsi="Arial" w:eastAsia="黑体"/>
      <w:kern w:val="2"/>
      <w:sz w:val="21"/>
      <w:szCs w:val="21"/>
    </w:rPr>
  </w:style>
  <w:style w:type="character" w:customStyle="1" w:styleId="188">
    <w:name w:val="Char Char18"/>
    <w:qFormat/>
    <w:uiPriority w:val="6"/>
    <w:rPr>
      <w:rFonts w:ascii="宋体" w:hAnsi="宋体"/>
      <w:sz w:val="28"/>
    </w:rPr>
  </w:style>
  <w:style w:type="character" w:customStyle="1" w:styleId="189">
    <w:name w:val="批注文字 Char"/>
    <w:qFormat/>
    <w:uiPriority w:val="99"/>
    <w:rPr>
      <w:kern w:val="2"/>
      <w:sz w:val="21"/>
      <w:szCs w:val="24"/>
    </w:rPr>
  </w:style>
  <w:style w:type="character" w:customStyle="1" w:styleId="190">
    <w:name w:val="Char Char22"/>
    <w:qFormat/>
    <w:uiPriority w:val="6"/>
    <w:rPr>
      <w:rFonts w:ascii="宋体" w:hAnsi="宋体"/>
      <w:kern w:val="1"/>
      <w:sz w:val="24"/>
      <w:szCs w:val="24"/>
    </w:rPr>
  </w:style>
  <w:style w:type="character" w:customStyle="1" w:styleId="191">
    <w:name w:val="pt141"/>
    <w:qFormat/>
    <w:uiPriority w:val="0"/>
    <w:rPr>
      <w:color w:val="330066"/>
      <w:sz w:val="22"/>
      <w:szCs w:val="22"/>
    </w:rPr>
  </w:style>
  <w:style w:type="character" w:customStyle="1" w:styleId="192">
    <w:name w:val="正文文本缩进 2 Char1"/>
    <w:semiHidden/>
    <w:qFormat/>
    <w:uiPriority w:val="99"/>
    <w:rPr>
      <w:rFonts w:ascii="Times New Roman" w:hAnsi="Times New Roman" w:eastAsia="宋体" w:cs="Times New Roman"/>
      <w:szCs w:val="24"/>
    </w:rPr>
  </w:style>
  <w:style w:type="character" w:customStyle="1" w:styleId="193">
    <w:name w:val="批注框文本 字符1"/>
    <w:link w:val="40"/>
    <w:qFormat/>
    <w:uiPriority w:val="0"/>
    <w:rPr>
      <w:kern w:val="2"/>
      <w:sz w:val="18"/>
      <w:szCs w:val="18"/>
    </w:rPr>
  </w:style>
  <w:style w:type="character" w:customStyle="1" w:styleId="194">
    <w:name w:val="Char Char611"/>
    <w:qFormat/>
    <w:uiPriority w:val="0"/>
    <w:rPr>
      <w:rFonts w:eastAsia="宋体"/>
      <w:kern w:val="2"/>
      <w:sz w:val="21"/>
      <w:szCs w:val="24"/>
      <w:lang w:val="en-US" w:eastAsia="zh-CN" w:bidi="ar-SA"/>
    </w:rPr>
  </w:style>
  <w:style w:type="character" w:customStyle="1" w:styleId="195">
    <w:name w:val="highlight1"/>
    <w:qFormat/>
    <w:uiPriority w:val="0"/>
    <w:rPr>
      <w:rFonts w:ascii="仿宋_GB2312" w:eastAsia="微软雅黑"/>
      <w:b/>
      <w:kern w:val="2"/>
      <w:sz w:val="23"/>
      <w:szCs w:val="23"/>
      <w:lang w:val="en-US" w:eastAsia="zh-CN" w:bidi="ar-SA"/>
    </w:rPr>
  </w:style>
  <w:style w:type="character" w:customStyle="1" w:styleId="196">
    <w:name w:val="my正文 Char"/>
    <w:link w:val="197"/>
    <w:qFormat/>
    <w:locked/>
    <w:uiPriority w:val="0"/>
    <w:rPr>
      <w:rFonts w:ascii="Tahoma" w:hAnsi="Tahoma"/>
      <w:sz w:val="24"/>
      <w:szCs w:val="24"/>
    </w:rPr>
  </w:style>
  <w:style w:type="paragraph" w:customStyle="1" w:styleId="197">
    <w:name w:val="my正文"/>
    <w:basedOn w:val="1"/>
    <w:link w:val="196"/>
    <w:qFormat/>
    <w:uiPriority w:val="0"/>
    <w:pPr>
      <w:adjustRightInd/>
      <w:spacing w:line="360" w:lineRule="auto"/>
      <w:ind w:firstLine="480" w:firstLineChars="200"/>
    </w:pPr>
    <w:rPr>
      <w:rFonts w:ascii="Tahoma" w:hAnsi="Tahoma"/>
      <w:kern w:val="0"/>
      <w:sz w:val="24"/>
    </w:rPr>
  </w:style>
  <w:style w:type="character" w:customStyle="1" w:styleId="198">
    <w:name w:val="正文缩进 字符2"/>
    <w:link w:val="5"/>
    <w:qFormat/>
    <w:uiPriority w:val="0"/>
    <w:rPr>
      <w:rFonts w:ascii="宋体" w:eastAsia="宋体"/>
      <w:snapToGrid w:val="0"/>
      <w:color w:val="000000"/>
      <w:kern w:val="28"/>
      <w:sz w:val="28"/>
      <w:lang w:val="en-US" w:eastAsia="zh-CN" w:bidi="ar-SA"/>
    </w:rPr>
  </w:style>
  <w:style w:type="character" w:customStyle="1" w:styleId="199">
    <w:name w:val="Used by Word for text of Help footnotes Char Char1"/>
    <w:qFormat/>
    <w:uiPriority w:val="0"/>
    <w:rPr>
      <w:color w:val="0000FF"/>
      <w:sz w:val="21"/>
    </w:rPr>
  </w:style>
  <w:style w:type="character" w:customStyle="1" w:styleId="200">
    <w:name w:val="页眉 Char"/>
    <w:qFormat/>
    <w:uiPriority w:val="0"/>
    <w:rPr>
      <w:rFonts w:eastAsia="仿宋_GB2312"/>
      <w:kern w:val="2"/>
      <w:sz w:val="18"/>
      <w:lang w:val="en-US" w:eastAsia="zh-CN"/>
    </w:rPr>
  </w:style>
  <w:style w:type="character" w:customStyle="1" w:styleId="201">
    <w:name w:val="FA正文 Char Char"/>
    <w:qFormat/>
    <w:uiPriority w:val="0"/>
    <w:rPr>
      <w:rFonts w:hAnsi="宋体"/>
      <w:kern w:val="2"/>
      <w:sz w:val="24"/>
      <w:lang w:bidi="ar-SA"/>
    </w:rPr>
  </w:style>
  <w:style w:type="character" w:customStyle="1" w:styleId="202">
    <w:name w:val="纯文本 字符"/>
    <w:qFormat/>
    <w:uiPriority w:val="0"/>
    <w:rPr>
      <w:rFonts w:ascii="宋体" w:hAnsi="Courier New" w:eastAsia="宋体" w:cs="Arial"/>
      <w:snapToGrid w:val="0"/>
      <w:kern w:val="2"/>
      <w:sz w:val="21"/>
      <w:szCs w:val="21"/>
      <w:lang w:val="en-US" w:eastAsia="zh-CN" w:bidi="ar-SA"/>
    </w:rPr>
  </w:style>
  <w:style w:type="character" w:customStyle="1" w:styleId="203">
    <w:name w:val="3级 Char"/>
    <w:link w:val="204"/>
    <w:qFormat/>
    <w:uiPriority w:val="0"/>
    <w:rPr>
      <w:rFonts w:ascii="宋体" w:hAnsi="宋体"/>
      <w:b/>
      <w:bCs/>
      <w:snapToGrid/>
      <w:sz w:val="28"/>
    </w:rPr>
  </w:style>
  <w:style w:type="paragraph" w:customStyle="1" w:styleId="204">
    <w:name w:val="3级"/>
    <w:basedOn w:val="205"/>
    <w:link w:val="203"/>
    <w:qFormat/>
    <w:uiPriority w:val="0"/>
    <w:pPr>
      <w:ind w:left="0" w:right="466" w:firstLine="288"/>
    </w:pPr>
    <w:rPr>
      <w:rFonts w:hAnsi="宋体"/>
      <w:snapToGrid/>
    </w:rPr>
  </w:style>
  <w:style w:type="paragraph" w:customStyle="1" w:styleId="205">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6">
    <w:name w:val="myp11"/>
    <w:qFormat/>
    <w:uiPriority w:val="0"/>
    <w:rPr>
      <w:rFonts w:ascii="仿宋_GB2312" w:eastAsia="微软雅黑"/>
      <w:b/>
      <w:kern w:val="2"/>
      <w:sz w:val="32"/>
      <w:szCs w:val="32"/>
      <w:lang w:val="en-US" w:eastAsia="zh-CN" w:bidi="ar-SA"/>
    </w:rPr>
  </w:style>
  <w:style w:type="character" w:customStyle="1" w:styleId="207">
    <w:name w:val="文档结构图 字符"/>
    <w:link w:val="19"/>
    <w:qFormat/>
    <w:uiPriority w:val="0"/>
    <w:rPr>
      <w:kern w:val="2"/>
      <w:sz w:val="21"/>
      <w:szCs w:val="24"/>
      <w:shd w:val="clear" w:color="auto" w:fill="000080"/>
    </w:rPr>
  </w:style>
  <w:style w:type="character" w:customStyle="1" w:styleId="208">
    <w:name w:val="H6 Char"/>
    <w:qFormat/>
    <w:uiPriority w:val="0"/>
    <w:rPr>
      <w:rFonts w:ascii="Arial" w:hAnsi="Arial" w:eastAsia="黑体"/>
      <w:b/>
      <w:bCs/>
      <w:kern w:val="2"/>
      <w:sz w:val="24"/>
      <w:szCs w:val="24"/>
    </w:rPr>
  </w:style>
  <w:style w:type="character" w:customStyle="1" w:styleId="209">
    <w:name w:val="Char Char91"/>
    <w:qFormat/>
    <w:uiPriority w:val="0"/>
    <w:rPr>
      <w:rFonts w:eastAsia="宋体"/>
      <w:kern w:val="2"/>
      <w:sz w:val="18"/>
      <w:szCs w:val="18"/>
      <w:lang w:val="en-US" w:eastAsia="zh-CN" w:bidi="ar-SA"/>
    </w:rPr>
  </w:style>
  <w:style w:type="character" w:customStyle="1" w:styleId="210">
    <w:name w:val="副标题 Char1"/>
    <w:qFormat/>
    <w:uiPriority w:val="0"/>
    <w:rPr>
      <w:rFonts w:ascii="Cambria" w:hAnsi="Cambria" w:eastAsia="宋体" w:cs="Times New Roman"/>
      <w:b/>
      <w:bCs/>
      <w:snapToGrid w:val="0"/>
      <w:kern w:val="28"/>
      <w:sz w:val="32"/>
      <w:szCs w:val="32"/>
    </w:rPr>
  </w:style>
  <w:style w:type="character" w:customStyle="1" w:styleId="211">
    <w:name w:val="font61"/>
    <w:qFormat/>
    <w:uiPriority w:val="0"/>
    <w:rPr>
      <w:rFonts w:hint="eastAsia" w:ascii="仿宋" w:hAnsi="仿宋" w:eastAsia="仿宋" w:cs="仿宋"/>
      <w:color w:val="000000"/>
      <w:sz w:val="20"/>
      <w:szCs w:val="20"/>
      <w:u w:val="none"/>
    </w:rPr>
  </w:style>
  <w:style w:type="character" w:customStyle="1" w:styleId="21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3">
    <w:name w:val="Char Char211"/>
    <w:qFormat/>
    <w:uiPriority w:val="0"/>
    <w:rPr>
      <w:rFonts w:eastAsia="宋体"/>
      <w:b/>
      <w:bCs/>
      <w:kern w:val="2"/>
      <w:sz w:val="21"/>
      <w:szCs w:val="24"/>
      <w:lang w:val="en-US" w:eastAsia="zh-CN" w:bidi="ar-SA"/>
    </w:rPr>
  </w:style>
  <w:style w:type="character" w:customStyle="1" w:styleId="214">
    <w:name w:val="标题 2 Char"/>
    <w:qFormat/>
    <w:uiPriority w:val="0"/>
    <w:rPr>
      <w:rFonts w:ascii="Arial" w:hAnsi="Arial" w:eastAsia="黑体"/>
      <w:b/>
      <w:kern w:val="2"/>
      <w:sz w:val="32"/>
      <w:lang w:val="en-US" w:eastAsia="zh-CN"/>
    </w:rPr>
  </w:style>
  <w:style w:type="character" w:customStyle="1" w:styleId="215">
    <w:name w:val="maywed421"/>
    <w:qFormat/>
    <w:uiPriority w:val="0"/>
    <w:rPr>
      <w:color w:val="366FB6"/>
      <w:u w:val="none"/>
    </w:rPr>
  </w:style>
  <w:style w:type="character" w:customStyle="1" w:styleId="216">
    <w:name w:val="正文文本缩进 Char"/>
    <w:qFormat/>
    <w:uiPriority w:val="0"/>
    <w:rPr>
      <w:rFonts w:ascii="宋体" w:hAnsi="宋体"/>
      <w:kern w:val="2"/>
      <w:sz w:val="24"/>
      <w:szCs w:val="24"/>
    </w:rPr>
  </w:style>
  <w:style w:type="character" w:customStyle="1" w:styleId="217">
    <w:name w:val="Char Char102"/>
    <w:semiHidden/>
    <w:qFormat/>
    <w:uiPriority w:val="0"/>
    <w:rPr>
      <w:rFonts w:ascii="宋体" w:hAnsi="宋体"/>
      <w:kern w:val="2"/>
      <w:sz w:val="21"/>
      <w:szCs w:val="24"/>
      <w:lang w:val="en-US" w:eastAsia="zh-CN"/>
    </w:rPr>
  </w:style>
  <w:style w:type="character" w:customStyle="1" w:styleId="218">
    <w:name w:val="页眉 Char1"/>
    <w:qFormat/>
    <w:uiPriority w:val="0"/>
    <w:rPr>
      <w:rFonts w:eastAsia="宋体"/>
      <w:kern w:val="2"/>
      <w:sz w:val="18"/>
      <w:szCs w:val="18"/>
      <w:lang w:val="en-US" w:eastAsia="zh-CN" w:bidi="ar-SA"/>
    </w:rPr>
  </w:style>
  <w:style w:type="character" w:customStyle="1" w:styleId="219">
    <w:name w:val="md"/>
    <w:basedOn w:val="70"/>
    <w:qFormat/>
    <w:uiPriority w:val="0"/>
    <w:rPr>
      <w:rFonts w:ascii="Arial" w:hAnsi="Arial" w:eastAsia="黑体" w:cs="Arial"/>
      <w:snapToGrid w:val="0"/>
      <w:kern w:val="0"/>
      <w:szCs w:val="21"/>
    </w:rPr>
  </w:style>
  <w:style w:type="character" w:customStyle="1" w:styleId="220">
    <w:name w:val="big1"/>
    <w:qFormat/>
    <w:uiPriority w:val="0"/>
    <w:rPr>
      <w:rFonts w:hint="eastAsia" w:ascii="宋体" w:hAnsi="宋体" w:eastAsia="宋体"/>
      <w:color w:val="333333"/>
      <w:sz w:val="22"/>
      <w:szCs w:val="22"/>
    </w:rPr>
  </w:style>
  <w:style w:type="character" w:customStyle="1" w:styleId="221">
    <w:name w:val="Char Char311"/>
    <w:qFormat/>
    <w:uiPriority w:val="0"/>
    <w:rPr>
      <w:rFonts w:eastAsia="宋体"/>
      <w:kern w:val="2"/>
      <w:sz w:val="21"/>
      <w:szCs w:val="24"/>
      <w:lang w:val="en-US" w:eastAsia="zh-CN" w:bidi="ar-SA"/>
    </w:rPr>
  </w:style>
  <w:style w:type="character" w:customStyle="1" w:styleId="222">
    <w:name w:val="Char Char81"/>
    <w:qFormat/>
    <w:uiPriority w:val="6"/>
    <w:rPr>
      <w:rFonts w:eastAsia="宋体"/>
      <w:b/>
      <w:sz w:val="24"/>
      <w:lang w:val="en-GB" w:eastAsia="zh-CN"/>
    </w:rPr>
  </w:style>
  <w:style w:type="character" w:customStyle="1" w:styleId="223">
    <w:name w:val="样式3 Char"/>
    <w:basedOn w:val="174"/>
    <w:qFormat/>
    <w:uiPriority w:val="0"/>
    <w:rPr>
      <w:rFonts w:ascii="仿宋_GB2312" w:hAnsi="仿宋" w:eastAsia="仿宋_GB2312" w:cs="仿宋_GB2312"/>
      <w:sz w:val="32"/>
      <w:szCs w:val="30"/>
      <w:lang w:val="zh-CN"/>
    </w:rPr>
  </w:style>
  <w:style w:type="character" w:customStyle="1" w:styleId="224">
    <w:name w:val="HTML 地址 字符"/>
    <w:link w:val="31"/>
    <w:qFormat/>
    <w:uiPriority w:val="0"/>
    <w:rPr>
      <w:rFonts w:ascii="宋体" w:hAnsi="宋体"/>
      <w:i/>
      <w:iCs/>
      <w:sz w:val="24"/>
      <w:szCs w:val="24"/>
    </w:rPr>
  </w:style>
  <w:style w:type="character" w:customStyle="1" w:styleId="225">
    <w:name w:val="正文首行缩进 2 Char1"/>
    <w:qFormat/>
    <w:uiPriority w:val="0"/>
    <w:rPr>
      <w:rFonts w:ascii="Times New Roman" w:hAnsi="Times New Roman" w:eastAsia="宋体" w:cs="Times New Roman"/>
      <w:kern w:val="2"/>
      <w:sz w:val="24"/>
      <w:szCs w:val="24"/>
    </w:rPr>
  </w:style>
  <w:style w:type="character" w:customStyle="1" w:styleId="226">
    <w:name w:val="副标题 Char2"/>
    <w:qFormat/>
    <w:uiPriority w:val="0"/>
    <w:rPr>
      <w:rFonts w:ascii="Cambria" w:hAnsi="Cambria" w:eastAsia="宋体" w:cs="Times New Roman"/>
      <w:b/>
      <w:bCs/>
      <w:snapToGrid w:val="0"/>
      <w:kern w:val="28"/>
      <w:sz w:val="32"/>
      <w:szCs w:val="32"/>
    </w:rPr>
  </w:style>
  <w:style w:type="character" w:customStyle="1" w:styleId="227">
    <w:name w:val="标题4-dyf Char"/>
    <w:link w:val="228"/>
    <w:qFormat/>
    <w:uiPriority w:val="0"/>
    <w:rPr>
      <w:rFonts w:ascii="Cambria" w:hAnsi="Cambria"/>
      <w:b/>
      <w:bCs/>
      <w:color w:val="000000"/>
      <w:kern w:val="2"/>
      <w:sz w:val="21"/>
      <w:szCs w:val="21"/>
    </w:rPr>
  </w:style>
  <w:style w:type="paragraph" w:customStyle="1" w:styleId="228">
    <w:name w:val="标题4-dyf"/>
    <w:basedOn w:val="7"/>
    <w:link w:val="22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9">
    <w:name w:val="dectext1"/>
    <w:qFormat/>
    <w:uiPriority w:val="0"/>
    <w:rPr>
      <w:rFonts w:ascii="宋体" w:hAnsi="宋体" w:eastAsia="宋体"/>
      <w:color w:val="333333"/>
      <w:sz w:val="21"/>
      <w:szCs w:val="21"/>
      <w:u w:val="none"/>
    </w:rPr>
  </w:style>
  <w:style w:type="character" w:customStyle="1" w:styleId="230">
    <w:name w:val="冯 Char"/>
    <w:link w:val="231"/>
    <w:qFormat/>
    <w:uiPriority w:val="0"/>
    <w:rPr>
      <w:rFonts w:ascii="宋体" w:hAnsi="宋体"/>
      <w:color w:val="000000"/>
      <w:sz w:val="24"/>
      <w:szCs w:val="24"/>
    </w:rPr>
  </w:style>
  <w:style w:type="paragraph" w:customStyle="1" w:styleId="231">
    <w:name w:val="冯"/>
    <w:basedOn w:val="1"/>
    <w:link w:val="230"/>
    <w:qFormat/>
    <w:uiPriority w:val="0"/>
    <w:pPr>
      <w:widowControl/>
      <w:adjustRightInd/>
      <w:spacing w:line="360" w:lineRule="auto"/>
      <w:ind w:firstLine="480" w:firstLineChars="200"/>
    </w:pPr>
    <w:rPr>
      <w:rFonts w:ascii="宋体" w:hAnsi="宋体"/>
      <w:color w:val="000000"/>
      <w:kern w:val="0"/>
      <w:sz w:val="24"/>
    </w:rPr>
  </w:style>
  <w:style w:type="character" w:customStyle="1" w:styleId="232">
    <w:name w:val="Header Char"/>
    <w:qFormat/>
    <w:locked/>
    <w:uiPriority w:val="0"/>
    <w:rPr>
      <w:rFonts w:eastAsia="宋体"/>
      <w:kern w:val="2"/>
      <w:sz w:val="18"/>
      <w:szCs w:val="18"/>
      <w:lang w:val="en-US" w:eastAsia="zh-CN" w:bidi="ar-SA"/>
    </w:rPr>
  </w:style>
  <w:style w:type="character" w:customStyle="1" w:styleId="233">
    <w:name w:val="Char Char12"/>
    <w:qFormat/>
    <w:uiPriority w:val="0"/>
    <w:rPr>
      <w:rFonts w:ascii="仿宋_GB2312" w:eastAsia="仿宋_GB2312"/>
      <w:b/>
      <w:bCs/>
      <w:kern w:val="2"/>
      <w:sz w:val="24"/>
      <w:szCs w:val="24"/>
      <w:lang w:val="zh-CN" w:eastAsia="zh-CN" w:bidi="ar-SA"/>
    </w:rPr>
  </w:style>
  <w:style w:type="character" w:customStyle="1" w:styleId="234">
    <w:name w:val="题注 字符"/>
    <w:link w:val="17"/>
    <w:qFormat/>
    <w:uiPriority w:val="0"/>
    <w:rPr>
      <w:b/>
      <w:kern w:val="2"/>
      <w:sz w:val="28"/>
    </w:rPr>
  </w:style>
  <w:style w:type="character" w:customStyle="1" w:styleId="235">
    <w:name w:val="普通文字 Char3"/>
    <w:qFormat/>
    <w:uiPriority w:val="0"/>
    <w:rPr>
      <w:rFonts w:ascii="宋体" w:hAnsi="Courier New" w:eastAsia="宋体"/>
      <w:kern w:val="2"/>
      <w:sz w:val="21"/>
      <w:lang w:val="en-US" w:eastAsia="zh-CN" w:bidi="ar-SA"/>
    </w:rPr>
  </w:style>
  <w:style w:type="character" w:customStyle="1" w:styleId="236">
    <w:name w:val="公文正文 Char"/>
    <w:qFormat/>
    <w:uiPriority w:val="0"/>
    <w:rPr>
      <w:rFonts w:ascii="仿宋_GB2312" w:eastAsia="仿宋_GB2312"/>
      <w:kern w:val="2"/>
      <w:sz w:val="24"/>
      <w:szCs w:val="24"/>
      <w:lang w:val="en-US" w:eastAsia="zh-CN" w:bidi="ar-SA"/>
    </w:rPr>
  </w:style>
  <w:style w:type="character" w:customStyle="1" w:styleId="237">
    <w:name w:val="正文首行缩进 Char Char Char Char Char"/>
    <w:qFormat/>
    <w:uiPriority w:val="0"/>
    <w:rPr>
      <w:rFonts w:ascii="宋体"/>
      <w:kern w:val="2"/>
      <w:sz w:val="24"/>
      <w:lang w:val="zh-CN"/>
    </w:rPr>
  </w:style>
  <w:style w:type="character" w:customStyle="1" w:styleId="238">
    <w:name w:val="PI Char"/>
    <w:qFormat/>
    <w:uiPriority w:val="0"/>
    <w:rPr>
      <w:rFonts w:ascii="宋体" w:hAnsi="宋体" w:eastAsia="宋体"/>
      <w:kern w:val="2"/>
      <w:sz w:val="24"/>
      <w:szCs w:val="24"/>
      <w:lang w:val="en-US" w:eastAsia="zh-CN" w:bidi="ar-SA"/>
    </w:rPr>
  </w:style>
  <w:style w:type="character" w:customStyle="1" w:styleId="239">
    <w:name w:val="Default Char"/>
    <w:link w:val="240"/>
    <w:qFormat/>
    <w:uiPriority w:val="0"/>
    <w:rPr>
      <w:rFonts w:ascii="仿宋_GB2312" w:eastAsia="仿宋_GB2312" w:cs="仿宋_GB2312"/>
      <w:color w:val="000000"/>
      <w:sz w:val="24"/>
      <w:szCs w:val="24"/>
      <w:lang w:val="en-US" w:eastAsia="zh-CN" w:bidi="ar-SA"/>
    </w:rPr>
  </w:style>
  <w:style w:type="paragraph" w:customStyle="1" w:styleId="240">
    <w:name w:val="Default"/>
    <w:link w:val="23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1">
    <w:name w:val="style91"/>
    <w:qFormat/>
    <w:uiPriority w:val="0"/>
    <w:rPr>
      <w:color w:val="333333"/>
    </w:rPr>
  </w:style>
  <w:style w:type="character" w:customStyle="1" w:styleId="242">
    <w:name w:val="列出段落 Char2"/>
    <w:qFormat/>
    <w:uiPriority w:val="34"/>
    <w:rPr>
      <w:rFonts w:ascii="Calibri" w:hAnsi="Calibri"/>
      <w:kern w:val="2"/>
      <w:sz w:val="28"/>
    </w:rPr>
  </w:style>
  <w:style w:type="character" w:customStyle="1" w:styleId="243">
    <w:name w:val="mdeck"/>
    <w:qFormat/>
    <w:uiPriority w:val="0"/>
    <w:rPr>
      <w:rFonts w:ascii="仿宋_GB2312" w:eastAsia="微软雅黑"/>
      <w:b/>
      <w:kern w:val="2"/>
      <w:sz w:val="32"/>
      <w:szCs w:val="32"/>
      <w:lang w:val="en-US" w:eastAsia="zh-CN" w:bidi="ar-SA"/>
    </w:rPr>
  </w:style>
  <w:style w:type="character" w:customStyle="1" w:styleId="244">
    <w:name w:val="unnamed11"/>
    <w:qFormat/>
    <w:uiPriority w:val="0"/>
    <w:rPr>
      <w:sz w:val="20"/>
      <w:szCs w:val="20"/>
    </w:rPr>
  </w:style>
  <w:style w:type="character" w:customStyle="1" w:styleId="245">
    <w:name w:val="正文文本 Char2"/>
    <w:semiHidden/>
    <w:qFormat/>
    <w:uiPriority w:val="99"/>
    <w:rPr>
      <w:rFonts w:ascii="Times New Roman" w:hAnsi="Times New Roman" w:eastAsia="宋体" w:cs="Times New Roman"/>
      <w:snapToGrid w:val="0"/>
      <w:kern w:val="0"/>
      <w:szCs w:val="24"/>
    </w:rPr>
  </w:style>
  <w:style w:type="character" w:customStyle="1" w:styleId="246">
    <w:name w:val="标书正文格式 Char"/>
    <w:qFormat/>
    <w:uiPriority w:val="0"/>
    <w:rPr>
      <w:rFonts w:eastAsia="楷体_GB2312"/>
      <w:kern w:val="2"/>
      <w:sz w:val="24"/>
      <w:szCs w:val="24"/>
      <w:lang w:bidi="ar-SA"/>
    </w:rPr>
  </w:style>
  <w:style w:type="character" w:customStyle="1" w:styleId="247">
    <w:name w:val="Char Char11"/>
    <w:qFormat/>
    <w:locked/>
    <w:uiPriority w:val="0"/>
    <w:rPr>
      <w:rFonts w:ascii="宋体" w:hAnsi="宋体" w:eastAsia="宋体"/>
      <w:b/>
      <w:kern w:val="2"/>
      <w:sz w:val="24"/>
      <w:szCs w:val="24"/>
      <w:lang w:val="en-US" w:eastAsia="zh-CN" w:bidi="ar-SA"/>
    </w:rPr>
  </w:style>
  <w:style w:type="character" w:customStyle="1" w:styleId="248">
    <w:name w:val="ca-131"/>
    <w:qFormat/>
    <w:uiPriority w:val="0"/>
    <w:rPr>
      <w:rFonts w:hint="eastAsia" w:ascii="仿宋_GB2312" w:eastAsia="仿宋_GB2312"/>
      <w:b/>
      <w:bCs/>
      <w:color w:val="000000"/>
      <w:spacing w:val="-20"/>
      <w:sz w:val="24"/>
      <w:szCs w:val="24"/>
    </w:rPr>
  </w:style>
  <w:style w:type="character" w:customStyle="1" w:styleId="249">
    <w:name w:val="tw4winMark"/>
    <w:qFormat/>
    <w:uiPriority w:val="0"/>
    <w:rPr>
      <w:rFonts w:ascii="Courier New" w:hAnsi="Courier New" w:cs="Courier New"/>
      <w:vanish/>
      <w:color w:val="800080"/>
      <w:sz w:val="24"/>
      <w:szCs w:val="24"/>
      <w:vertAlign w:val="subscript"/>
    </w:rPr>
  </w:style>
  <w:style w:type="character" w:customStyle="1" w:styleId="250">
    <w:name w:val="正文样式 Char"/>
    <w:link w:val="251"/>
    <w:qFormat/>
    <w:uiPriority w:val="0"/>
    <w:rPr>
      <w:rFonts w:ascii="Calibri" w:hAnsi="Calibri"/>
      <w:sz w:val="24"/>
      <w:szCs w:val="24"/>
    </w:rPr>
  </w:style>
  <w:style w:type="paragraph" w:customStyle="1" w:styleId="251">
    <w:name w:val="正文样式"/>
    <w:basedOn w:val="1"/>
    <w:link w:val="250"/>
    <w:qFormat/>
    <w:uiPriority w:val="0"/>
    <w:pPr>
      <w:adjustRightInd/>
      <w:spacing w:line="360" w:lineRule="auto"/>
      <w:ind w:firstLine="480" w:firstLineChars="200"/>
    </w:pPr>
    <w:rPr>
      <w:kern w:val="0"/>
      <w:sz w:val="24"/>
    </w:rPr>
  </w:style>
  <w:style w:type="character" w:customStyle="1" w:styleId="252">
    <w:name w:val="表正文 Char3"/>
    <w:qFormat/>
    <w:uiPriority w:val="0"/>
    <w:rPr>
      <w:rFonts w:eastAsia="宋体"/>
    </w:rPr>
  </w:style>
  <w:style w:type="character" w:customStyle="1" w:styleId="253">
    <w:name w:val="H5 Char"/>
    <w:qFormat/>
    <w:uiPriority w:val="0"/>
    <w:rPr>
      <w:b/>
      <w:bCs/>
      <w:kern w:val="2"/>
      <w:sz w:val="28"/>
      <w:szCs w:val="28"/>
    </w:rPr>
  </w:style>
  <w:style w:type="character" w:customStyle="1" w:styleId="254">
    <w:name w:val="Char Char3"/>
    <w:qFormat/>
    <w:uiPriority w:val="0"/>
    <w:rPr>
      <w:rFonts w:eastAsia="宋体"/>
      <w:kern w:val="2"/>
      <w:sz w:val="21"/>
      <w:szCs w:val="24"/>
      <w:lang w:val="en-US" w:eastAsia="zh-CN" w:bidi="ar-SA"/>
    </w:rPr>
  </w:style>
  <w:style w:type="character" w:customStyle="1" w:styleId="255">
    <w:name w:val="正文 编号 Char"/>
    <w:qFormat/>
    <w:uiPriority w:val="0"/>
    <w:rPr>
      <w:rFonts w:ascii="仿宋_GB2312" w:hAnsi="仿宋_GB2312" w:eastAsia="仿宋_GB2312"/>
      <w:kern w:val="2"/>
      <w:sz w:val="24"/>
      <w:lang w:bidi="ar-SA"/>
    </w:rPr>
  </w:style>
  <w:style w:type="character" w:customStyle="1" w:styleId="256">
    <w:name w:val="question-title2"/>
    <w:qFormat/>
    <w:uiPriority w:val="6"/>
    <w:rPr>
      <w:rFonts w:ascii="Arial" w:hAnsi="Arial" w:eastAsia="黑体" w:cs="Arial"/>
      <w:snapToGrid w:val="0"/>
      <w:kern w:val="0"/>
      <w:szCs w:val="21"/>
    </w:rPr>
  </w:style>
  <w:style w:type="character" w:customStyle="1" w:styleId="257">
    <w:name w:val="gf正文1 Char Char"/>
    <w:link w:val="258"/>
    <w:qFormat/>
    <w:uiPriority w:val="0"/>
    <w:rPr>
      <w:rFonts w:ascii="宋体" w:hAnsi="宋体" w:cs="宋体"/>
      <w:kern w:val="2"/>
      <w:sz w:val="24"/>
      <w:szCs w:val="24"/>
    </w:rPr>
  </w:style>
  <w:style w:type="paragraph" w:customStyle="1" w:styleId="258">
    <w:name w:val="gf正文1"/>
    <w:basedOn w:val="1"/>
    <w:link w:val="257"/>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qFormat/>
    <w:uiPriority w:val="6"/>
    <w:rPr>
      <w:rFonts w:ascii="宋体" w:hAnsi="宋体"/>
      <w:kern w:val="1"/>
      <w:sz w:val="21"/>
    </w:rPr>
  </w:style>
  <w:style w:type="character" w:customStyle="1" w:styleId="260">
    <w:name w:val="正文缩进 Char3"/>
    <w:qFormat/>
    <w:uiPriority w:val="0"/>
    <w:rPr>
      <w:rFonts w:ascii="宋体" w:eastAsia="宋体"/>
      <w:snapToGrid w:val="0"/>
      <w:color w:val="000000"/>
      <w:kern w:val="28"/>
      <w:sz w:val="28"/>
      <w:lang w:val="en-US" w:eastAsia="zh-CN" w:bidi="ar-SA"/>
    </w:rPr>
  </w:style>
  <w:style w:type="character" w:customStyle="1" w:styleId="261">
    <w:name w:val="列出段落 Char1"/>
    <w:link w:val="262"/>
    <w:qFormat/>
    <w:uiPriority w:val="0"/>
    <w:rPr>
      <w:rFonts w:ascii="Calibri" w:hAnsi="Calibri"/>
      <w:sz w:val="24"/>
      <w:lang w:eastAsia="en-US"/>
    </w:rPr>
  </w:style>
  <w:style w:type="paragraph" w:customStyle="1" w:styleId="262">
    <w:name w:val="列表1"/>
    <w:basedOn w:val="1"/>
    <w:next w:val="263"/>
    <w:link w:val="261"/>
    <w:qFormat/>
    <w:uiPriority w:val="0"/>
    <w:pPr>
      <w:widowControl/>
      <w:adjustRightInd/>
      <w:spacing w:after="200" w:line="360" w:lineRule="auto"/>
      <w:ind w:left="720" w:firstLine="200" w:firstLineChars="200"/>
      <w:jc w:val="left"/>
    </w:pPr>
    <w:rPr>
      <w:kern w:val="0"/>
      <w:sz w:val="24"/>
      <w:szCs w:val="20"/>
      <w:lang w:eastAsia="en-US"/>
    </w:rPr>
  </w:style>
  <w:style w:type="paragraph" w:styleId="263">
    <w:name w:val="List Paragraph"/>
    <w:basedOn w:val="1"/>
    <w:qFormat/>
    <w:uiPriority w:val="34"/>
    <w:pPr>
      <w:spacing w:line="360" w:lineRule="auto"/>
      <w:ind w:firstLine="200" w:firstLineChars="200"/>
    </w:pPr>
    <w:rPr>
      <w:rFonts w:eastAsia="楷体_GB2312" w:cs="Lucida Sans"/>
      <w:sz w:val="24"/>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字符1"/>
    <w:link w:val="26"/>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rPr>
      <w:sz w:val="24"/>
    </w:r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标题 1 字符1"/>
    <w:link w:val="3"/>
    <w:qFormat/>
    <w:uiPriority w:val="9"/>
    <w:rPr>
      <w:b/>
      <w:bCs/>
      <w:kern w:val="44"/>
      <w:sz w:val="44"/>
      <w:szCs w:val="44"/>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字符"/>
    <w:link w:val="60"/>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字符"/>
    <w:link w:val="21"/>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字符"/>
    <w:link w:val="58"/>
    <w:qFormat/>
    <w:uiPriority w:val="0"/>
    <w:rPr>
      <w:rFonts w:ascii="黑体" w:hAnsi="Courier New" w:eastAsia="黑体"/>
    </w:rPr>
  </w:style>
  <w:style w:type="character" w:customStyle="1" w:styleId="306">
    <w:name w:val="正文文本 2 字符1"/>
    <w:link w:val="57"/>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7"/>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正文文本缩进 2 字符"/>
    <w:link w:val="38"/>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1"/>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basedOn w:val="70"/>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文本首行缩进 字符"/>
    <w:link w:val="25"/>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7"/>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2"/>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20"/>
    <w:qFormat/>
    <w:uiPriority w:val="99"/>
    <w:rPr>
      <w:kern w:val="2"/>
      <w:sz w:val="21"/>
      <w:szCs w:val="24"/>
    </w:rPr>
  </w:style>
  <w:style w:type="character" w:customStyle="1" w:styleId="348">
    <w:name w:val="签名 字符"/>
    <w:link w:val="43"/>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字符"/>
    <w:link w:val="11"/>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1"/>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6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6"/>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8"/>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6"/>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40"/>
    <w:next w:val="240"/>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40"/>
    <w:next w:val="240"/>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6"/>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3"/>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9"/>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3"/>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保留正文"/>
    <w:basedOn w:val="1"/>
    <w:qFormat/>
    <w:uiPriority w:val="0"/>
    <w:pPr>
      <w:keepNext/>
      <w:spacing w:after="160" w:line="480" w:lineRule="auto"/>
    </w:pPr>
    <w:rPr>
      <w:rFonts w:ascii="宋体"/>
    </w:rPr>
  </w:style>
  <w:style w:type="paragraph" w:customStyle="1" w:styleId="967">
    <w:name w:val="样式 正文首行缩进 + 首行缩进: 1 字符"/>
    <w:basedOn w:val="1"/>
    <w:qFormat/>
    <w:uiPriority w:val="0"/>
    <w:pPr>
      <w:spacing w:after="120"/>
      <w:ind w:firstLine="420"/>
    </w:pPr>
    <w:rPr>
      <w:rFonts w:eastAsia="Arial Unicode MS"/>
      <w:color w:val="000000"/>
      <w:kern w:val="0"/>
    </w:rPr>
  </w:style>
  <w:style w:type="paragraph" w:customStyle="1" w:styleId="968">
    <w:name w:val="BodyText1I2"/>
    <w:basedOn w:val="969"/>
    <w:qFormat/>
    <w:uiPriority w:val="0"/>
    <w:pPr>
      <w:spacing w:after="120"/>
      <w:ind w:firstLine="420"/>
    </w:pPr>
    <w:rPr>
      <w:rFonts w:ascii="宋体" w:hAnsi="宋体"/>
      <w:szCs w:val="21"/>
    </w:rPr>
  </w:style>
  <w:style w:type="paragraph" w:customStyle="1" w:styleId="969">
    <w:name w:val="BodyTextIndent"/>
    <w:basedOn w:val="1"/>
    <w:qFormat/>
    <w:uiPriority w:val="0"/>
    <w:pPr>
      <w:ind w:left="420" w:leftChars="200"/>
      <w:textAlignment w:val="baseline"/>
    </w:pPr>
  </w:style>
  <w:style w:type="paragraph" w:customStyle="1" w:styleId="97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51268</Words>
  <Characters>59152</Characters>
  <Lines>3514</Lines>
  <Paragraphs>1764</Paragraphs>
  <TotalTime>128</TotalTime>
  <ScaleCrop>false</ScaleCrop>
  <LinksUpToDate>false</LinksUpToDate>
  <CharactersWithSpaces>64184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cp:lastPrinted>2026-03-24T01:28:00Z</cp:lastPrinted>
  <dcterms:modified xsi:type="dcterms:W3CDTF">2026-04-28T07:12:10Z</dcterms:modified>
  <dc:title>杭州市市民卡扩大发卡工程</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B9BB15922D2F425BA6CAC08EF40847AC_13</vt:lpwstr>
  </property>
  <property fmtid="{D5CDD505-2E9C-101B-9397-08002B2CF9AE}" pid="5" name="KSOTemplateDocerSaveRecord">
    <vt:lpwstr>eyJoZGlkIjoiM2M2MTRlNjE2MmQzMGVhNDEyZTk4NjI5NjkxMzkzYjQiLCJ1c2VySWQiOiI0MjUxNzMzNzIifQ==</vt:lpwstr>
  </property>
</Properties>
</file>