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D1DEEC">
      <w:pPr>
        <w:rPr>
          <w:rFonts w:hint="eastAsia" w:ascii="黑体" w:hAnsi="黑体" w:eastAsia="黑体"/>
          <w:sz w:val="32"/>
          <w:szCs w:val="32"/>
        </w:rPr>
      </w:pPr>
    </w:p>
    <w:p w14:paraId="3861C021">
      <w:pPr>
        <w:jc w:val="center"/>
        <w:rPr>
          <w:rFonts w:hint="eastAsia" w:ascii="黑体" w:hAnsi="黑体" w:eastAsia="黑体"/>
          <w:spacing w:val="5760"/>
          <w:kern w:val="0"/>
          <w:sz w:val="36"/>
          <w:szCs w:val="36"/>
        </w:rPr>
      </w:pPr>
    </w:p>
    <w:p w14:paraId="191474E7">
      <w:pPr>
        <w:jc w:val="center"/>
        <w:rPr>
          <w:rFonts w:hint="eastAsia" w:cs="宋体"/>
          <w:b/>
          <w:bCs/>
          <w:sz w:val="60"/>
          <w:szCs w:val="60"/>
        </w:rPr>
      </w:pPr>
      <w:r>
        <w:rPr>
          <w:rFonts w:hint="eastAsia" w:cs="宋体"/>
          <w:b/>
          <w:bCs/>
          <w:kern w:val="0"/>
          <w:sz w:val="60"/>
          <w:szCs w:val="60"/>
        </w:rPr>
        <w:t>政府采购项目</w:t>
      </w:r>
      <w:r>
        <w:rPr>
          <w:rFonts w:hint="eastAsia" w:cs="宋体"/>
          <w:b/>
          <w:bCs/>
          <w:sz w:val="60"/>
          <w:szCs w:val="60"/>
        </w:rPr>
        <w:t>公开招标文件</w:t>
      </w:r>
    </w:p>
    <w:p w14:paraId="40D57D43">
      <w:pPr>
        <w:spacing w:line="240" w:lineRule="auto"/>
        <w:jc w:val="center"/>
        <w:rPr>
          <w:rFonts w:hint="eastAsia" w:ascii="黑体" w:hAnsi="黑体" w:eastAsia="黑体"/>
          <w:sz w:val="52"/>
          <w:szCs w:val="52"/>
        </w:rPr>
      </w:pPr>
    </w:p>
    <w:p w14:paraId="593347C8">
      <w:pPr>
        <w:spacing w:line="240" w:lineRule="auto"/>
        <w:jc w:val="center"/>
        <w:rPr>
          <w:rFonts w:hint="eastAsia" w:ascii="黑体" w:hAnsi="黑体" w:eastAsia="黑体"/>
          <w:sz w:val="52"/>
          <w:szCs w:val="52"/>
        </w:rPr>
      </w:pPr>
    </w:p>
    <w:p w14:paraId="1F55B8B2">
      <w:pPr>
        <w:spacing w:line="240" w:lineRule="auto"/>
        <w:jc w:val="center"/>
        <w:rPr>
          <w:rFonts w:hint="eastAsia" w:ascii="黑体" w:hAnsi="黑体" w:eastAsia="黑体"/>
          <w:sz w:val="52"/>
          <w:szCs w:val="52"/>
        </w:rPr>
      </w:pPr>
    </w:p>
    <w:p w14:paraId="369B53DD">
      <w:pPr>
        <w:spacing w:line="240" w:lineRule="auto"/>
        <w:jc w:val="center"/>
        <w:rPr>
          <w:rFonts w:hint="eastAsia" w:ascii="黑体" w:hAnsi="黑体" w:eastAsia="黑体"/>
          <w:sz w:val="52"/>
          <w:szCs w:val="52"/>
        </w:rPr>
      </w:pPr>
    </w:p>
    <w:p w14:paraId="7FED1EE5">
      <w:pPr>
        <w:spacing w:line="240" w:lineRule="auto"/>
        <w:jc w:val="center"/>
        <w:rPr>
          <w:rFonts w:hint="eastAsia" w:ascii="黑体" w:hAnsi="黑体" w:eastAsia="黑体"/>
          <w:sz w:val="52"/>
          <w:szCs w:val="52"/>
        </w:rPr>
      </w:pPr>
    </w:p>
    <w:p w14:paraId="46C740AF">
      <w:pPr>
        <w:spacing w:line="240" w:lineRule="auto"/>
        <w:jc w:val="center"/>
        <w:rPr>
          <w:rFonts w:hint="eastAsia" w:ascii="黑体" w:hAnsi="黑体" w:eastAsia="黑体"/>
          <w:sz w:val="52"/>
          <w:szCs w:val="52"/>
        </w:rPr>
      </w:pPr>
    </w:p>
    <w:p w14:paraId="65095F66">
      <w:pPr>
        <w:spacing w:line="240" w:lineRule="auto"/>
        <w:jc w:val="center"/>
        <w:rPr>
          <w:rFonts w:hint="eastAsia" w:ascii="黑体" w:hAnsi="黑体" w:eastAsia="黑体"/>
          <w:sz w:val="52"/>
          <w:szCs w:val="52"/>
        </w:rPr>
      </w:pPr>
    </w:p>
    <w:p w14:paraId="339DC67D">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[2026]11567号</w:t>
      </w:r>
    </w:p>
    <w:p w14:paraId="46D47B9B">
      <w:pPr>
        <w:ind w:left="420" w:leftChars="175"/>
        <w:rPr>
          <w:rFonts w:hint="eastAsia" w:cs="宋体"/>
          <w:sz w:val="36"/>
          <w:szCs w:val="36"/>
        </w:rPr>
      </w:pPr>
      <w:r>
        <w:rPr>
          <w:rFonts w:hint="eastAsia" w:cs="宋体"/>
          <w:sz w:val="36"/>
          <w:szCs w:val="36"/>
        </w:rPr>
        <w:t>项目名称：</w:t>
      </w:r>
      <w:r>
        <w:rPr>
          <w:rFonts w:hint="eastAsia" w:cs="宋体"/>
          <w:sz w:val="36"/>
          <w:szCs w:val="36"/>
          <w:u w:val="single"/>
        </w:rPr>
        <w:t>天山西部国有林管理局巩留分局2026年智能化管护能力建设项目</w:t>
      </w:r>
    </w:p>
    <w:p w14:paraId="6096CD1D">
      <w:pPr>
        <w:ind w:left="420" w:leftChars="175"/>
        <w:rPr>
          <w:rFonts w:hint="eastAsia" w:cs="宋体"/>
          <w:sz w:val="36"/>
          <w:szCs w:val="36"/>
        </w:rPr>
      </w:pPr>
      <w:r>
        <w:rPr>
          <w:rFonts w:hint="eastAsia" w:cs="宋体"/>
          <w:sz w:val="36"/>
          <w:szCs w:val="36"/>
        </w:rPr>
        <w:t>采 购 人：</w:t>
      </w:r>
      <w:r>
        <w:rPr>
          <w:rFonts w:hint="eastAsia" w:cs="宋体"/>
          <w:sz w:val="36"/>
          <w:szCs w:val="36"/>
          <w:u w:val="single"/>
        </w:rPr>
        <w:t>新疆维吾尔自治区天山西部国有林管理局巩留分局</w:t>
      </w:r>
    </w:p>
    <w:p w14:paraId="1447A947">
      <w:pPr>
        <w:ind w:left="420" w:leftChars="175"/>
        <w:rPr>
          <w:rFonts w:hint="eastAsia" w:cs="宋体"/>
          <w:sz w:val="36"/>
          <w:szCs w:val="36"/>
        </w:rPr>
      </w:pPr>
      <w:r>
        <w:rPr>
          <w:rFonts w:hint="eastAsia" w:cs="宋体"/>
          <w:sz w:val="36"/>
          <w:szCs w:val="36"/>
        </w:rPr>
        <w:t>采购代理机构：</w:t>
      </w:r>
      <w:r>
        <w:rPr>
          <w:rFonts w:hint="eastAsia" w:cs="宋体"/>
          <w:sz w:val="36"/>
          <w:szCs w:val="36"/>
          <w:u w:val="single"/>
        </w:rPr>
        <w:t>中通服供应链股份有限公司新疆分公司</w:t>
      </w:r>
    </w:p>
    <w:p w14:paraId="1C35D72C">
      <w:pPr>
        <w:jc w:val="both"/>
        <w:rPr>
          <w:rFonts w:hint="eastAsia" w:ascii="黑体" w:hAnsi="黑体" w:eastAsia="黑体"/>
          <w:sz w:val="32"/>
          <w:szCs w:val="32"/>
        </w:rPr>
      </w:pPr>
    </w:p>
    <w:p w14:paraId="588C664F">
      <w:pPr>
        <w:pStyle w:val="38"/>
        <w:ind w:firstLine="1440"/>
        <w:rPr>
          <w:rFonts w:hint="eastAsia" w:ascii="黑体" w:hAnsi="黑体" w:eastAsia="黑体"/>
          <w:sz w:val="72"/>
          <w:szCs w:val="72"/>
        </w:rPr>
        <w:sectPr>
          <w:headerReference r:id="rId5" w:type="default"/>
          <w:pgSz w:w="11906" w:h="16838"/>
          <w:pgMar w:top="1440" w:right="1800" w:bottom="1440" w:left="1800" w:header="851" w:footer="879" w:gutter="0"/>
          <w:cols w:space="0" w:num="1"/>
          <w:docGrid w:type="lines" w:linePitch="312" w:charSpace="0"/>
        </w:sectPr>
      </w:pPr>
    </w:p>
    <w:p w14:paraId="1D3DCECD">
      <w:pPr>
        <w:jc w:val="center"/>
        <w:rPr>
          <w:rFonts w:hint="eastAsia" w:cs="宋体"/>
          <w:b/>
          <w:bCs/>
          <w:sz w:val="36"/>
          <w:szCs w:val="36"/>
        </w:rPr>
      </w:pPr>
      <w:r>
        <w:rPr>
          <w:rFonts w:hint="eastAsia" w:cs="宋体"/>
          <w:b/>
          <w:bCs/>
          <w:sz w:val="36"/>
          <w:szCs w:val="36"/>
        </w:rPr>
        <w:t>目  录</w:t>
      </w:r>
    </w:p>
    <w:p w14:paraId="673349BD">
      <w:pPr>
        <w:pStyle w:val="22"/>
        <w:tabs>
          <w:tab w:val="right" w:leader="dot" w:pos="8306"/>
        </w:tabs>
        <w:rPr>
          <w:rFonts w:hint="eastAsia" w:ascii="宋体" w:eastAsia="宋体" w:cs="宋体"/>
          <w:sz w:val="24"/>
          <w:szCs w:val="24"/>
        </w:rPr>
      </w:pPr>
      <w:r>
        <w:rPr>
          <w:rFonts w:hint="eastAsia" w:ascii="宋体" w:eastAsia="宋体" w:cs="宋体"/>
          <w:sz w:val="24"/>
          <w:szCs w:val="24"/>
        </w:rPr>
        <w:fldChar w:fldCharType="begin"/>
      </w:r>
      <w:r>
        <w:rPr>
          <w:rFonts w:hint="eastAsia" w:ascii="宋体" w:eastAsia="宋体" w:cs="宋体"/>
          <w:sz w:val="24"/>
          <w:szCs w:val="24"/>
        </w:rPr>
        <w:instrText xml:space="preserve">TOC \o "1-2" \h \u </w:instrText>
      </w:r>
      <w:r>
        <w:rPr>
          <w:rFonts w:hint="eastAsia" w:ascii="宋体" w:eastAsia="宋体" w:cs="宋体"/>
          <w:sz w:val="24"/>
          <w:szCs w:val="24"/>
        </w:rPr>
        <w:fldChar w:fldCharType="separate"/>
      </w:r>
      <w:r>
        <w:fldChar w:fldCharType="begin"/>
      </w:r>
      <w:r>
        <w:instrText xml:space="preserve"> HYPERLINK \l "_Toc6776" </w:instrText>
      </w:r>
      <w:r>
        <w:fldChar w:fldCharType="separate"/>
      </w:r>
      <w:r>
        <w:rPr>
          <w:rFonts w:hint="eastAsia" w:ascii="宋体" w:eastAsia="宋体" w:cs="宋体"/>
          <w:sz w:val="24"/>
          <w:szCs w:val="24"/>
        </w:rPr>
        <w:t>第一章 招标公告</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_Toc6776 \h </w:instrText>
      </w:r>
      <w:r>
        <w:rPr>
          <w:rFonts w:hint="eastAsia" w:ascii="宋体" w:eastAsia="宋体" w:cs="宋体"/>
          <w:sz w:val="24"/>
          <w:szCs w:val="24"/>
        </w:rPr>
        <w:fldChar w:fldCharType="separate"/>
      </w:r>
      <w:r>
        <w:rPr>
          <w:rFonts w:hint="eastAsia" w:ascii="宋体" w:eastAsia="宋体" w:cs="宋体"/>
          <w:sz w:val="24"/>
          <w:szCs w:val="24"/>
        </w:rPr>
        <w:t>- 1 -</w:t>
      </w:r>
      <w:r>
        <w:rPr>
          <w:rFonts w:hint="eastAsia" w:ascii="宋体" w:eastAsia="宋体" w:cs="宋体"/>
          <w:sz w:val="24"/>
          <w:szCs w:val="24"/>
        </w:rPr>
        <w:fldChar w:fldCharType="end"/>
      </w:r>
      <w:r>
        <w:rPr>
          <w:rFonts w:hint="eastAsia" w:ascii="宋体" w:eastAsia="宋体" w:cs="宋体"/>
          <w:sz w:val="24"/>
          <w:szCs w:val="24"/>
        </w:rPr>
        <w:fldChar w:fldCharType="end"/>
      </w:r>
    </w:p>
    <w:p w14:paraId="35A0CB80">
      <w:pPr>
        <w:pStyle w:val="26"/>
        <w:tabs>
          <w:tab w:val="right" w:leader="dot" w:pos="8306"/>
        </w:tabs>
        <w:rPr>
          <w:rFonts w:hint="eastAsia" w:ascii="宋体" w:eastAsia="宋体" w:cs="宋体"/>
          <w:sz w:val="24"/>
          <w:szCs w:val="24"/>
        </w:rPr>
      </w:pPr>
      <w:r>
        <w:fldChar w:fldCharType="begin"/>
      </w:r>
      <w:r>
        <w:instrText xml:space="preserve"> HYPERLINK \l "_Toc26180" </w:instrText>
      </w:r>
      <w:r>
        <w:fldChar w:fldCharType="separate"/>
      </w:r>
      <w:r>
        <w:rPr>
          <w:rFonts w:hint="eastAsia" w:ascii="宋体" w:eastAsia="宋体" w:cs="宋体"/>
          <w:sz w:val="24"/>
          <w:szCs w:val="24"/>
        </w:rPr>
        <w:t>项目概况：</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_Toc26180 \h </w:instrText>
      </w:r>
      <w:r>
        <w:rPr>
          <w:rFonts w:hint="eastAsia" w:ascii="宋体" w:eastAsia="宋体" w:cs="宋体"/>
          <w:sz w:val="24"/>
          <w:szCs w:val="24"/>
        </w:rPr>
        <w:fldChar w:fldCharType="separate"/>
      </w:r>
      <w:r>
        <w:rPr>
          <w:rFonts w:hint="eastAsia" w:ascii="宋体" w:eastAsia="宋体" w:cs="宋体"/>
          <w:sz w:val="24"/>
          <w:szCs w:val="24"/>
        </w:rPr>
        <w:t>- 1 -</w:t>
      </w:r>
      <w:r>
        <w:rPr>
          <w:rFonts w:hint="eastAsia" w:ascii="宋体" w:eastAsia="宋体" w:cs="宋体"/>
          <w:sz w:val="24"/>
          <w:szCs w:val="24"/>
        </w:rPr>
        <w:fldChar w:fldCharType="end"/>
      </w:r>
      <w:r>
        <w:rPr>
          <w:rFonts w:hint="eastAsia" w:ascii="宋体" w:eastAsia="宋体" w:cs="宋体"/>
          <w:sz w:val="24"/>
          <w:szCs w:val="24"/>
        </w:rPr>
        <w:fldChar w:fldCharType="end"/>
      </w:r>
    </w:p>
    <w:p w14:paraId="74ABC04B">
      <w:pPr>
        <w:pStyle w:val="26"/>
        <w:tabs>
          <w:tab w:val="right" w:leader="dot" w:pos="8306"/>
        </w:tabs>
        <w:rPr>
          <w:rFonts w:hint="eastAsia" w:ascii="宋体" w:eastAsia="宋体" w:cs="宋体"/>
          <w:sz w:val="24"/>
          <w:szCs w:val="24"/>
        </w:rPr>
      </w:pPr>
      <w:r>
        <w:fldChar w:fldCharType="begin"/>
      </w:r>
      <w:r>
        <w:instrText xml:space="preserve"> HYPERLINK \l "_Toc16083" </w:instrText>
      </w:r>
      <w:r>
        <w:fldChar w:fldCharType="separate"/>
      </w:r>
      <w:r>
        <w:rPr>
          <w:rFonts w:hint="eastAsia" w:ascii="宋体" w:eastAsia="宋体" w:cs="宋体"/>
          <w:sz w:val="24"/>
          <w:szCs w:val="24"/>
          <w:lang w:val="hr-HR"/>
        </w:rPr>
        <w:t>一、项目基本情况</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_Toc16083 \h </w:instrText>
      </w:r>
      <w:r>
        <w:rPr>
          <w:rFonts w:hint="eastAsia" w:ascii="宋体" w:eastAsia="宋体" w:cs="宋体"/>
          <w:sz w:val="24"/>
          <w:szCs w:val="24"/>
        </w:rPr>
        <w:fldChar w:fldCharType="separate"/>
      </w:r>
      <w:r>
        <w:rPr>
          <w:rFonts w:hint="eastAsia" w:ascii="宋体" w:eastAsia="宋体" w:cs="宋体"/>
          <w:sz w:val="24"/>
          <w:szCs w:val="24"/>
        </w:rPr>
        <w:t>- 1 -</w:t>
      </w:r>
      <w:r>
        <w:rPr>
          <w:rFonts w:hint="eastAsia" w:ascii="宋体" w:eastAsia="宋体" w:cs="宋体"/>
          <w:sz w:val="24"/>
          <w:szCs w:val="24"/>
        </w:rPr>
        <w:fldChar w:fldCharType="end"/>
      </w:r>
      <w:r>
        <w:rPr>
          <w:rFonts w:hint="eastAsia" w:ascii="宋体" w:eastAsia="宋体" w:cs="宋体"/>
          <w:sz w:val="24"/>
          <w:szCs w:val="24"/>
        </w:rPr>
        <w:fldChar w:fldCharType="end"/>
      </w:r>
    </w:p>
    <w:p w14:paraId="7BFCF26E">
      <w:pPr>
        <w:pStyle w:val="26"/>
        <w:tabs>
          <w:tab w:val="right" w:leader="dot" w:pos="8306"/>
        </w:tabs>
        <w:rPr>
          <w:rFonts w:hint="eastAsia" w:ascii="宋体" w:eastAsia="宋体" w:cs="宋体"/>
          <w:sz w:val="24"/>
          <w:szCs w:val="24"/>
        </w:rPr>
      </w:pPr>
      <w:r>
        <w:fldChar w:fldCharType="begin"/>
      </w:r>
      <w:r>
        <w:instrText xml:space="preserve"> HYPERLINK \l "_Toc7422" </w:instrText>
      </w:r>
      <w:r>
        <w:fldChar w:fldCharType="separate"/>
      </w:r>
      <w:r>
        <w:rPr>
          <w:rFonts w:hint="eastAsia" w:ascii="宋体" w:eastAsia="宋体" w:cs="宋体"/>
          <w:sz w:val="24"/>
          <w:szCs w:val="24"/>
        </w:rPr>
        <w:t>二、申请</w:t>
      </w:r>
      <w:r>
        <w:rPr>
          <w:rFonts w:hint="eastAsia" w:ascii="宋体" w:eastAsia="宋体" w:cs="宋体"/>
          <w:sz w:val="24"/>
          <w:szCs w:val="24"/>
          <w:lang w:val="hr-HR"/>
        </w:rPr>
        <w:t>人</w:t>
      </w:r>
      <w:r>
        <w:rPr>
          <w:rFonts w:hint="eastAsia" w:ascii="宋体" w:eastAsia="宋体" w:cs="宋体"/>
          <w:sz w:val="24"/>
          <w:szCs w:val="24"/>
        </w:rPr>
        <w:t>的</w:t>
      </w:r>
      <w:r>
        <w:rPr>
          <w:rFonts w:hint="eastAsia" w:ascii="宋体" w:eastAsia="宋体" w:cs="宋体"/>
          <w:sz w:val="24"/>
          <w:szCs w:val="24"/>
          <w:lang w:val="hr-HR"/>
        </w:rPr>
        <w:t>资格要求</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_Toc7422 \h </w:instrText>
      </w:r>
      <w:r>
        <w:rPr>
          <w:rFonts w:hint="eastAsia" w:ascii="宋体" w:eastAsia="宋体" w:cs="宋体"/>
          <w:sz w:val="24"/>
          <w:szCs w:val="24"/>
        </w:rPr>
        <w:fldChar w:fldCharType="separate"/>
      </w:r>
      <w:r>
        <w:rPr>
          <w:rFonts w:hint="eastAsia" w:ascii="宋体" w:eastAsia="宋体" w:cs="宋体"/>
          <w:sz w:val="24"/>
          <w:szCs w:val="24"/>
        </w:rPr>
        <w:t>- 1 -</w:t>
      </w:r>
      <w:r>
        <w:rPr>
          <w:rFonts w:hint="eastAsia" w:ascii="宋体" w:eastAsia="宋体" w:cs="宋体"/>
          <w:sz w:val="24"/>
          <w:szCs w:val="24"/>
        </w:rPr>
        <w:fldChar w:fldCharType="end"/>
      </w:r>
      <w:r>
        <w:rPr>
          <w:rFonts w:hint="eastAsia" w:ascii="宋体" w:eastAsia="宋体" w:cs="宋体"/>
          <w:sz w:val="24"/>
          <w:szCs w:val="24"/>
        </w:rPr>
        <w:fldChar w:fldCharType="end"/>
      </w:r>
    </w:p>
    <w:p w14:paraId="31ED6976">
      <w:pPr>
        <w:pStyle w:val="26"/>
        <w:tabs>
          <w:tab w:val="right" w:leader="dot" w:pos="8306"/>
        </w:tabs>
        <w:rPr>
          <w:rFonts w:hint="eastAsia" w:ascii="宋体" w:eastAsia="宋体" w:cs="宋体"/>
          <w:sz w:val="24"/>
          <w:szCs w:val="24"/>
        </w:rPr>
      </w:pPr>
      <w:r>
        <w:fldChar w:fldCharType="begin"/>
      </w:r>
      <w:r>
        <w:instrText xml:space="preserve"> HYPERLINK \l "_Toc14315" </w:instrText>
      </w:r>
      <w:r>
        <w:fldChar w:fldCharType="separate"/>
      </w:r>
      <w:r>
        <w:rPr>
          <w:rFonts w:hint="eastAsia" w:ascii="宋体" w:eastAsia="宋体" w:cs="宋体"/>
          <w:sz w:val="24"/>
          <w:szCs w:val="24"/>
        </w:rPr>
        <w:t>三、</w:t>
      </w:r>
      <w:r>
        <w:rPr>
          <w:rFonts w:hint="eastAsia" w:ascii="宋体" w:eastAsia="宋体" w:cs="宋体"/>
          <w:sz w:val="24"/>
          <w:szCs w:val="24"/>
          <w:lang w:val="hr-HR"/>
        </w:rPr>
        <w:t>获取招标文件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_Toc14315 \h </w:instrText>
      </w:r>
      <w:r>
        <w:rPr>
          <w:rFonts w:hint="eastAsia" w:ascii="宋体" w:eastAsia="宋体" w:cs="宋体"/>
          <w:sz w:val="24"/>
          <w:szCs w:val="24"/>
        </w:rPr>
        <w:fldChar w:fldCharType="separate"/>
      </w:r>
      <w:r>
        <w:rPr>
          <w:rFonts w:hint="eastAsia" w:ascii="宋体" w:eastAsia="宋体" w:cs="宋体"/>
          <w:sz w:val="24"/>
          <w:szCs w:val="24"/>
        </w:rPr>
        <w:t>- 2 -</w:t>
      </w:r>
      <w:r>
        <w:rPr>
          <w:rFonts w:hint="eastAsia" w:ascii="宋体" w:eastAsia="宋体" w:cs="宋体"/>
          <w:sz w:val="24"/>
          <w:szCs w:val="24"/>
        </w:rPr>
        <w:fldChar w:fldCharType="end"/>
      </w:r>
      <w:r>
        <w:rPr>
          <w:rFonts w:hint="eastAsia" w:ascii="宋体" w:eastAsia="宋体" w:cs="宋体"/>
          <w:sz w:val="24"/>
          <w:szCs w:val="24"/>
        </w:rPr>
        <w:fldChar w:fldCharType="end"/>
      </w:r>
    </w:p>
    <w:p w14:paraId="7BF3A550">
      <w:pPr>
        <w:pStyle w:val="26"/>
        <w:tabs>
          <w:tab w:val="right" w:leader="dot" w:pos="8306"/>
        </w:tabs>
        <w:rPr>
          <w:rFonts w:hint="eastAsia" w:ascii="宋体" w:eastAsia="宋体" w:cs="宋体"/>
          <w:sz w:val="24"/>
          <w:szCs w:val="24"/>
        </w:rPr>
      </w:pPr>
      <w:r>
        <w:fldChar w:fldCharType="begin"/>
      </w:r>
      <w:r>
        <w:instrText xml:space="preserve"> HYPERLINK \l "_Toc16398" </w:instrText>
      </w:r>
      <w:r>
        <w:fldChar w:fldCharType="separate"/>
      </w:r>
      <w:r>
        <w:rPr>
          <w:rFonts w:hint="eastAsia" w:ascii="宋体" w:eastAsia="宋体" w:cs="宋体"/>
          <w:sz w:val="24"/>
          <w:szCs w:val="24"/>
        </w:rPr>
        <w:t>四、</w:t>
      </w:r>
      <w:r>
        <w:rPr>
          <w:rFonts w:hint="eastAsia" w:ascii="宋体" w:eastAsia="宋体" w:cs="宋体"/>
          <w:sz w:val="24"/>
          <w:szCs w:val="24"/>
          <w:lang w:val="hr-HR"/>
        </w:rPr>
        <w:t>提交投标文件截止时间</w:t>
      </w:r>
      <w:r>
        <w:rPr>
          <w:rFonts w:hint="eastAsia" w:ascii="宋体" w:eastAsia="宋体" w:cs="宋体"/>
          <w:sz w:val="24"/>
          <w:szCs w:val="24"/>
        </w:rPr>
        <w:t>/</w:t>
      </w:r>
      <w:r>
        <w:rPr>
          <w:rFonts w:hint="eastAsia" w:ascii="宋体" w:eastAsia="宋体" w:cs="宋体"/>
          <w:sz w:val="24"/>
          <w:szCs w:val="24"/>
          <w:lang w:val="hr-HR"/>
        </w:rPr>
        <w:t>开标时间、递交方式和</w:t>
      </w:r>
      <w:r>
        <w:rPr>
          <w:rFonts w:hint="eastAsia" w:ascii="宋体" w:eastAsia="宋体" w:cs="宋体"/>
          <w:sz w:val="24"/>
          <w:szCs w:val="24"/>
        </w:rPr>
        <w:t>开标</w:t>
      </w:r>
      <w:r>
        <w:rPr>
          <w:rFonts w:hint="eastAsia" w:ascii="宋体" w:eastAsia="宋体" w:cs="宋体"/>
          <w:sz w:val="24"/>
          <w:szCs w:val="24"/>
          <w:lang w:val="hr-HR"/>
        </w:rPr>
        <w:t>地点</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_Toc16398 \h </w:instrText>
      </w:r>
      <w:r>
        <w:rPr>
          <w:rFonts w:hint="eastAsia" w:ascii="宋体" w:eastAsia="宋体" w:cs="宋体"/>
          <w:sz w:val="24"/>
          <w:szCs w:val="24"/>
        </w:rPr>
        <w:fldChar w:fldCharType="separate"/>
      </w:r>
      <w:r>
        <w:rPr>
          <w:rFonts w:hint="eastAsia" w:ascii="宋体" w:eastAsia="宋体" w:cs="宋体"/>
          <w:sz w:val="24"/>
          <w:szCs w:val="24"/>
        </w:rPr>
        <w:t>- 2 -</w:t>
      </w:r>
      <w:r>
        <w:rPr>
          <w:rFonts w:hint="eastAsia" w:ascii="宋体" w:eastAsia="宋体" w:cs="宋体"/>
          <w:sz w:val="24"/>
          <w:szCs w:val="24"/>
        </w:rPr>
        <w:fldChar w:fldCharType="end"/>
      </w:r>
      <w:r>
        <w:rPr>
          <w:rFonts w:hint="eastAsia" w:ascii="宋体" w:eastAsia="宋体" w:cs="宋体"/>
          <w:sz w:val="24"/>
          <w:szCs w:val="24"/>
        </w:rPr>
        <w:fldChar w:fldCharType="end"/>
      </w:r>
    </w:p>
    <w:p w14:paraId="4D19D8E9">
      <w:pPr>
        <w:pStyle w:val="26"/>
        <w:tabs>
          <w:tab w:val="right" w:leader="dot" w:pos="8306"/>
        </w:tabs>
        <w:rPr>
          <w:rFonts w:hint="eastAsia" w:ascii="宋体" w:eastAsia="宋体" w:cs="宋体"/>
          <w:sz w:val="24"/>
          <w:szCs w:val="24"/>
        </w:rPr>
      </w:pPr>
      <w:r>
        <w:fldChar w:fldCharType="begin"/>
      </w:r>
      <w:r>
        <w:instrText xml:space="preserve"> HYPERLINK \l "_Toc29014" </w:instrText>
      </w:r>
      <w:r>
        <w:fldChar w:fldCharType="separate"/>
      </w:r>
      <w:r>
        <w:rPr>
          <w:rFonts w:hint="eastAsia" w:ascii="宋体" w:eastAsia="宋体" w:cs="宋体"/>
          <w:sz w:val="24"/>
          <w:szCs w:val="24"/>
        </w:rPr>
        <w:t>五、</w:t>
      </w:r>
      <w:r>
        <w:rPr>
          <w:rFonts w:hint="eastAsia" w:ascii="宋体" w:eastAsia="宋体" w:cs="宋体"/>
          <w:sz w:val="24"/>
          <w:szCs w:val="24"/>
          <w:lang w:val="hr-HR"/>
        </w:rPr>
        <w:t>公告期限</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_Toc29014 \h </w:instrText>
      </w:r>
      <w:r>
        <w:rPr>
          <w:rFonts w:hint="eastAsia" w:ascii="宋体" w:eastAsia="宋体" w:cs="宋体"/>
          <w:sz w:val="24"/>
          <w:szCs w:val="24"/>
        </w:rPr>
        <w:fldChar w:fldCharType="separate"/>
      </w:r>
      <w:r>
        <w:rPr>
          <w:rFonts w:hint="eastAsia" w:ascii="宋体" w:eastAsia="宋体" w:cs="宋体"/>
          <w:sz w:val="24"/>
          <w:szCs w:val="24"/>
        </w:rPr>
        <w:t>- 2 -</w:t>
      </w:r>
      <w:r>
        <w:rPr>
          <w:rFonts w:hint="eastAsia" w:ascii="宋体" w:eastAsia="宋体" w:cs="宋体"/>
          <w:sz w:val="24"/>
          <w:szCs w:val="24"/>
        </w:rPr>
        <w:fldChar w:fldCharType="end"/>
      </w:r>
      <w:r>
        <w:rPr>
          <w:rFonts w:hint="eastAsia" w:ascii="宋体" w:eastAsia="宋体" w:cs="宋体"/>
          <w:sz w:val="24"/>
          <w:szCs w:val="24"/>
        </w:rPr>
        <w:fldChar w:fldCharType="end"/>
      </w:r>
    </w:p>
    <w:p w14:paraId="73A33D61">
      <w:pPr>
        <w:pStyle w:val="26"/>
        <w:tabs>
          <w:tab w:val="right" w:leader="dot" w:pos="8306"/>
        </w:tabs>
        <w:rPr>
          <w:rFonts w:hint="eastAsia" w:ascii="宋体" w:eastAsia="宋体" w:cs="宋体"/>
          <w:sz w:val="24"/>
          <w:szCs w:val="24"/>
        </w:rPr>
      </w:pPr>
      <w:r>
        <w:fldChar w:fldCharType="begin"/>
      </w:r>
      <w:r>
        <w:instrText xml:space="preserve"> HYPERLINK \l "_Toc17179" </w:instrText>
      </w:r>
      <w:r>
        <w:fldChar w:fldCharType="separate"/>
      </w:r>
      <w:r>
        <w:rPr>
          <w:rFonts w:hint="eastAsia" w:ascii="宋体" w:eastAsia="宋体" w:cs="宋体"/>
          <w:sz w:val="24"/>
          <w:szCs w:val="24"/>
        </w:rPr>
        <w:t>六、</w:t>
      </w:r>
      <w:r>
        <w:rPr>
          <w:rFonts w:hint="eastAsia" w:ascii="宋体" w:eastAsia="宋体" w:cs="宋体"/>
          <w:sz w:val="24"/>
          <w:szCs w:val="24"/>
          <w:lang w:val="hr-HR"/>
        </w:rPr>
        <w:t>其他补充事宜【如政采云平台信息内容更新，按最新内容自行修改】</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_Toc17179 \h </w:instrText>
      </w:r>
      <w:r>
        <w:rPr>
          <w:rFonts w:hint="eastAsia" w:ascii="宋体" w:eastAsia="宋体" w:cs="宋体"/>
          <w:sz w:val="24"/>
          <w:szCs w:val="24"/>
        </w:rPr>
        <w:fldChar w:fldCharType="separate"/>
      </w:r>
      <w:r>
        <w:rPr>
          <w:rFonts w:hint="eastAsia" w:ascii="宋体" w:eastAsia="宋体" w:cs="宋体"/>
          <w:sz w:val="24"/>
          <w:szCs w:val="24"/>
        </w:rPr>
        <w:t>- 2 -</w:t>
      </w:r>
      <w:r>
        <w:rPr>
          <w:rFonts w:hint="eastAsia" w:ascii="宋体" w:eastAsia="宋体" w:cs="宋体"/>
          <w:sz w:val="24"/>
          <w:szCs w:val="24"/>
        </w:rPr>
        <w:fldChar w:fldCharType="end"/>
      </w:r>
      <w:r>
        <w:rPr>
          <w:rFonts w:hint="eastAsia" w:ascii="宋体" w:eastAsia="宋体" w:cs="宋体"/>
          <w:sz w:val="24"/>
          <w:szCs w:val="24"/>
        </w:rPr>
        <w:fldChar w:fldCharType="end"/>
      </w:r>
    </w:p>
    <w:p w14:paraId="5876B12A">
      <w:pPr>
        <w:pStyle w:val="26"/>
        <w:tabs>
          <w:tab w:val="right" w:leader="dot" w:pos="8306"/>
        </w:tabs>
        <w:rPr>
          <w:rFonts w:hint="eastAsia" w:ascii="宋体" w:eastAsia="宋体" w:cs="宋体"/>
          <w:sz w:val="24"/>
          <w:szCs w:val="24"/>
        </w:rPr>
      </w:pPr>
      <w:r>
        <w:fldChar w:fldCharType="begin"/>
      </w:r>
      <w:r>
        <w:instrText xml:space="preserve"> HYPERLINK \l "_Toc5347" </w:instrText>
      </w:r>
      <w:r>
        <w:fldChar w:fldCharType="separate"/>
      </w:r>
      <w:r>
        <w:rPr>
          <w:rFonts w:hint="eastAsia" w:ascii="宋体" w:eastAsia="宋体" w:cs="宋体"/>
          <w:sz w:val="24"/>
          <w:szCs w:val="24"/>
        </w:rPr>
        <w:t>七、</w:t>
      </w:r>
      <w:r>
        <w:rPr>
          <w:rFonts w:hint="eastAsia" w:ascii="宋体" w:eastAsia="宋体" w:cs="宋体"/>
          <w:sz w:val="24"/>
          <w:szCs w:val="24"/>
          <w:lang w:val="hr-HR"/>
        </w:rPr>
        <w:t>对本次</w:t>
      </w:r>
      <w:r>
        <w:rPr>
          <w:rFonts w:hint="eastAsia" w:ascii="宋体" w:eastAsia="宋体" w:cs="宋体"/>
          <w:sz w:val="24"/>
          <w:szCs w:val="24"/>
        </w:rPr>
        <w:t>招标</w:t>
      </w:r>
      <w:r>
        <w:rPr>
          <w:rFonts w:hint="eastAsia" w:ascii="宋体" w:eastAsia="宋体" w:cs="宋体"/>
          <w:sz w:val="24"/>
          <w:szCs w:val="24"/>
          <w:lang w:val="hr-HR"/>
        </w:rPr>
        <w:t>提出询问，请按以下方式联系</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_Toc5347 \h </w:instrText>
      </w:r>
      <w:r>
        <w:rPr>
          <w:rFonts w:hint="eastAsia" w:ascii="宋体" w:eastAsia="宋体" w:cs="宋体"/>
          <w:sz w:val="24"/>
          <w:szCs w:val="24"/>
        </w:rPr>
        <w:fldChar w:fldCharType="separate"/>
      </w:r>
      <w:r>
        <w:rPr>
          <w:rFonts w:hint="eastAsia" w:ascii="宋体" w:eastAsia="宋体" w:cs="宋体"/>
          <w:sz w:val="24"/>
          <w:szCs w:val="24"/>
        </w:rPr>
        <w:t>- 3 -</w:t>
      </w:r>
      <w:r>
        <w:rPr>
          <w:rFonts w:hint="eastAsia" w:ascii="宋体" w:eastAsia="宋体" w:cs="宋体"/>
          <w:sz w:val="24"/>
          <w:szCs w:val="24"/>
        </w:rPr>
        <w:fldChar w:fldCharType="end"/>
      </w:r>
      <w:r>
        <w:rPr>
          <w:rFonts w:hint="eastAsia" w:ascii="宋体" w:eastAsia="宋体" w:cs="宋体"/>
          <w:sz w:val="24"/>
          <w:szCs w:val="24"/>
        </w:rPr>
        <w:fldChar w:fldCharType="end"/>
      </w:r>
    </w:p>
    <w:p w14:paraId="5C778D12">
      <w:pPr>
        <w:pStyle w:val="22"/>
        <w:tabs>
          <w:tab w:val="right" w:leader="dot" w:pos="8306"/>
        </w:tabs>
        <w:rPr>
          <w:rFonts w:hint="eastAsia" w:ascii="宋体" w:eastAsia="宋体" w:cs="宋体"/>
          <w:sz w:val="24"/>
          <w:szCs w:val="24"/>
        </w:rPr>
      </w:pPr>
      <w:r>
        <w:fldChar w:fldCharType="begin"/>
      </w:r>
      <w:r>
        <w:instrText xml:space="preserve"> HYPERLINK \l "_Toc8818" </w:instrText>
      </w:r>
      <w:r>
        <w:fldChar w:fldCharType="separate"/>
      </w:r>
      <w:r>
        <w:rPr>
          <w:rFonts w:hint="eastAsia" w:ascii="宋体" w:eastAsia="宋体" w:cs="宋体"/>
          <w:sz w:val="24"/>
          <w:szCs w:val="24"/>
        </w:rPr>
        <w:t>第二章 投标人须知</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_Toc8818 \h </w:instrText>
      </w:r>
      <w:r>
        <w:rPr>
          <w:rFonts w:hint="eastAsia" w:ascii="宋体" w:eastAsia="宋体" w:cs="宋体"/>
          <w:sz w:val="24"/>
          <w:szCs w:val="24"/>
        </w:rPr>
        <w:fldChar w:fldCharType="separate"/>
      </w:r>
      <w:r>
        <w:rPr>
          <w:rFonts w:hint="eastAsia" w:ascii="宋体" w:eastAsia="宋体" w:cs="宋体"/>
          <w:sz w:val="24"/>
          <w:szCs w:val="24"/>
        </w:rPr>
        <w:t>- 4 -</w:t>
      </w:r>
      <w:r>
        <w:rPr>
          <w:rFonts w:hint="eastAsia" w:ascii="宋体" w:eastAsia="宋体" w:cs="宋体"/>
          <w:sz w:val="24"/>
          <w:szCs w:val="24"/>
        </w:rPr>
        <w:fldChar w:fldCharType="end"/>
      </w:r>
      <w:r>
        <w:rPr>
          <w:rFonts w:hint="eastAsia" w:ascii="宋体" w:eastAsia="宋体" w:cs="宋体"/>
          <w:sz w:val="24"/>
          <w:szCs w:val="24"/>
        </w:rPr>
        <w:fldChar w:fldCharType="end"/>
      </w:r>
    </w:p>
    <w:p w14:paraId="716BCC32">
      <w:pPr>
        <w:pStyle w:val="26"/>
        <w:tabs>
          <w:tab w:val="right" w:leader="dot" w:pos="8306"/>
        </w:tabs>
        <w:rPr>
          <w:rFonts w:hint="eastAsia" w:ascii="宋体" w:eastAsia="宋体" w:cs="宋体"/>
          <w:sz w:val="24"/>
          <w:szCs w:val="24"/>
        </w:rPr>
      </w:pPr>
      <w:r>
        <w:fldChar w:fldCharType="begin"/>
      </w:r>
      <w:r>
        <w:instrText xml:space="preserve"> HYPERLINK \l "_Toc10367" </w:instrText>
      </w:r>
      <w:r>
        <w:fldChar w:fldCharType="separate"/>
      </w:r>
      <w:r>
        <w:rPr>
          <w:rFonts w:hint="eastAsia" w:ascii="宋体" w:eastAsia="宋体" w:cs="宋体"/>
          <w:sz w:val="24"/>
          <w:szCs w:val="24"/>
        </w:rPr>
        <w:t>一、投标人须知前附表</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_Toc10367 \h </w:instrText>
      </w:r>
      <w:r>
        <w:rPr>
          <w:rFonts w:hint="eastAsia" w:ascii="宋体" w:eastAsia="宋体" w:cs="宋体"/>
          <w:sz w:val="24"/>
          <w:szCs w:val="24"/>
        </w:rPr>
        <w:fldChar w:fldCharType="separate"/>
      </w:r>
      <w:r>
        <w:rPr>
          <w:rFonts w:hint="eastAsia" w:ascii="宋体" w:eastAsia="宋体" w:cs="宋体"/>
          <w:sz w:val="24"/>
          <w:szCs w:val="24"/>
        </w:rPr>
        <w:t>- 4 -</w:t>
      </w:r>
      <w:r>
        <w:rPr>
          <w:rFonts w:hint="eastAsia" w:ascii="宋体" w:eastAsia="宋体" w:cs="宋体"/>
          <w:sz w:val="24"/>
          <w:szCs w:val="24"/>
        </w:rPr>
        <w:fldChar w:fldCharType="end"/>
      </w:r>
      <w:r>
        <w:rPr>
          <w:rFonts w:hint="eastAsia" w:ascii="宋体" w:eastAsia="宋体" w:cs="宋体"/>
          <w:sz w:val="24"/>
          <w:szCs w:val="24"/>
        </w:rPr>
        <w:fldChar w:fldCharType="end"/>
      </w:r>
    </w:p>
    <w:p w14:paraId="4F858024">
      <w:pPr>
        <w:pStyle w:val="26"/>
        <w:tabs>
          <w:tab w:val="right" w:leader="dot" w:pos="8306"/>
        </w:tabs>
        <w:rPr>
          <w:rFonts w:hint="eastAsia" w:ascii="宋体" w:eastAsia="宋体" w:cs="宋体"/>
          <w:sz w:val="24"/>
          <w:szCs w:val="24"/>
        </w:rPr>
      </w:pPr>
      <w:r>
        <w:fldChar w:fldCharType="begin"/>
      </w:r>
      <w:r>
        <w:instrText xml:space="preserve"> HYPERLINK \l "_Toc9176" </w:instrText>
      </w:r>
      <w:r>
        <w:fldChar w:fldCharType="separate"/>
      </w:r>
      <w:r>
        <w:rPr>
          <w:rFonts w:hint="eastAsia" w:ascii="宋体" w:eastAsia="宋体" w:cs="宋体"/>
          <w:sz w:val="24"/>
          <w:szCs w:val="24"/>
        </w:rPr>
        <w:t>二、投标人须知</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_Toc9176 \h </w:instrText>
      </w:r>
      <w:r>
        <w:rPr>
          <w:rFonts w:hint="eastAsia" w:ascii="宋体" w:eastAsia="宋体" w:cs="宋体"/>
          <w:sz w:val="24"/>
          <w:szCs w:val="24"/>
        </w:rPr>
        <w:fldChar w:fldCharType="separate"/>
      </w:r>
      <w:r>
        <w:rPr>
          <w:rFonts w:hint="eastAsia" w:ascii="宋体" w:eastAsia="宋体" w:cs="宋体"/>
          <w:sz w:val="24"/>
          <w:szCs w:val="24"/>
        </w:rPr>
        <w:t>- 9 -</w:t>
      </w:r>
      <w:r>
        <w:rPr>
          <w:rFonts w:hint="eastAsia" w:ascii="宋体" w:eastAsia="宋体" w:cs="宋体"/>
          <w:sz w:val="24"/>
          <w:szCs w:val="24"/>
        </w:rPr>
        <w:fldChar w:fldCharType="end"/>
      </w:r>
      <w:r>
        <w:rPr>
          <w:rFonts w:hint="eastAsia" w:ascii="宋体" w:eastAsia="宋体" w:cs="宋体"/>
          <w:sz w:val="24"/>
          <w:szCs w:val="24"/>
        </w:rPr>
        <w:fldChar w:fldCharType="end"/>
      </w:r>
    </w:p>
    <w:p w14:paraId="4F91C729">
      <w:pPr>
        <w:pStyle w:val="22"/>
        <w:tabs>
          <w:tab w:val="right" w:leader="dot" w:pos="8306"/>
        </w:tabs>
        <w:rPr>
          <w:rFonts w:hint="eastAsia" w:ascii="宋体" w:eastAsia="宋体" w:cs="宋体"/>
          <w:sz w:val="24"/>
          <w:szCs w:val="24"/>
        </w:rPr>
      </w:pPr>
      <w:r>
        <w:fldChar w:fldCharType="begin"/>
      </w:r>
      <w:r>
        <w:instrText xml:space="preserve"> HYPERLINK \l "_Toc31805" </w:instrText>
      </w:r>
      <w:r>
        <w:fldChar w:fldCharType="separate"/>
      </w:r>
      <w:r>
        <w:rPr>
          <w:rFonts w:hint="eastAsia" w:ascii="宋体" w:eastAsia="宋体" w:cs="宋体"/>
          <w:sz w:val="24"/>
          <w:szCs w:val="24"/>
        </w:rPr>
        <w:t>第三章 采购需求</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_Toc31805 \h </w:instrText>
      </w:r>
      <w:r>
        <w:rPr>
          <w:rFonts w:hint="eastAsia" w:ascii="宋体" w:eastAsia="宋体" w:cs="宋体"/>
          <w:sz w:val="24"/>
          <w:szCs w:val="24"/>
        </w:rPr>
        <w:fldChar w:fldCharType="separate"/>
      </w:r>
      <w:r>
        <w:rPr>
          <w:rFonts w:hint="eastAsia" w:ascii="宋体" w:eastAsia="宋体" w:cs="宋体"/>
          <w:sz w:val="24"/>
          <w:szCs w:val="24"/>
        </w:rPr>
        <w:t>- 37 -</w:t>
      </w:r>
      <w:r>
        <w:rPr>
          <w:rFonts w:hint="eastAsia" w:ascii="宋体" w:eastAsia="宋体" w:cs="宋体"/>
          <w:sz w:val="24"/>
          <w:szCs w:val="24"/>
        </w:rPr>
        <w:fldChar w:fldCharType="end"/>
      </w:r>
      <w:r>
        <w:rPr>
          <w:rFonts w:hint="eastAsia" w:ascii="宋体" w:eastAsia="宋体" w:cs="宋体"/>
          <w:sz w:val="24"/>
          <w:szCs w:val="24"/>
        </w:rPr>
        <w:fldChar w:fldCharType="end"/>
      </w:r>
    </w:p>
    <w:p w14:paraId="269240D2">
      <w:pPr>
        <w:pStyle w:val="26"/>
        <w:tabs>
          <w:tab w:val="right" w:leader="dot" w:pos="8306"/>
        </w:tabs>
        <w:rPr>
          <w:rFonts w:hint="eastAsia" w:ascii="宋体" w:eastAsia="宋体" w:cs="宋体"/>
          <w:sz w:val="24"/>
          <w:szCs w:val="24"/>
        </w:rPr>
      </w:pPr>
      <w:r>
        <w:fldChar w:fldCharType="begin"/>
      </w:r>
      <w:r>
        <w:instrText xml:space="preserve"> HYPERLINK \l "_Toc31469" </w:instrText>
      </w:r>
      <w:r>
        <w:fldChar w:fldCharType="separate"/>
      </w:r>
      <w:r>
        <w:rPr>
          <w:rFonts w:hint="eastAsia" w:ascii="宋体" w:eastAsia="宋体" w:cs="宋体"/>
          <w:sz w:val="24"/>
          <w:szCs w:val="24"/>
        </w:rPr>
        <w:t>一、软件建设清单</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_Toc31469 \h </w:instrText>
      </w:r>
      <w:r>
        <w:rPr>
          <w:rFonts w:hint="eastAsia" w:ascii="宋体" w:eastAsia="宋体" w:cs="宋体"/>
          <w:sz w:val="24"/>
          <w:szCs w:val="24"/>
        </w:rPr>
        <w:fldChar w:fldCharType="separate"/>
      </w:r>
      <w:r>
        <w:rPr>
          <w:rFonts w:hint="eastAsia" w:ascii="宋体" w:eastAsia="宋体" w:cs="宋体"/>
          <w:sz w:val="24"/>
          <w:szCs w:val="24"/>
        </w:rPr>
        <w:t>- 37 -</w:t>
      </w:r>
      <w:r>
        <w:rPr>
          <w:rFonts w:hint="eastAsia" w:ascii="宋体" w:eastAsia="宋体" w:cs="宋体"/>
          <w:sz w:val="24"/>
          <w:szCs w:val="24"/>
        </w:rPr>
        <w:fldChar w:fldCharType="end"/>
      </w:r>
      <w:r>
        <w:rPr>
          <w:rFonts w:hint="eastAsia" w:ascii="宋体" w:eastAsia="宋体" w:cs="宋体"/>
          <w:sz w:val="24"/>
          <w:szCs w:val="24"/>
        </w:rPr>
        <w:fldChar w:fldCharType="end"/>
      </w:r>
    </w:p>
    <w:p w14:paraId="53CD725C">
      <w:pPr>
        <w:pStyle w:val="26"/>
        <w:tabs>
          <w:tab w:val="right" w:leader="dot" w:pos="8306"/>
        </w:tabs>
        <w:rPr>
          <w:rFonts w:hint="eastAsia" w:ascii="宋体" w:eastAsia="宋体" w:cs="宋体"/>
          <w:sz w:val="24"/>
          <w:szCs w:val="24"/>
        </w:rPr>
      </w:pPr>
      <w:r>
        <w:fldChar w:fldCharType="begin"/>
      </w:r>
      <w:r>
        <w:instrText xml:space="preserve"> HYPERLINK \l "_Toc29102" </w:instrText>
      </w:r>
      <w:r>
        <w:fldChar w:fldCharType="separate"/>
      </w:r>
      <w:r>
        <w:rPr>
          <w:rFonts w:hint="eastAsia" w:ascii="宋体" w:eastAsia="宋体" w:cs="宋体"/>
          <w:sz w:val="24"/>
          <w:szCs w:val="24"/>
        </w:rPr>
        <w:t>二、 硬件建设清单</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_Toc29102 \h </w:instrText>
      </w:r>
      <w:r>
        <w:rPr>
          <w:rFonts w:hint="eastAsia" w:ascii="宋体" w:eastAsia="宋体" w:cs="宋体"/>
          <w:sz w:val="24"/>
          <w:szCs w:val="24"/>
        </w:rPr>
        <w:fldChar w:fldCharType="separate"/>
      </w:r>
      <w:r>
        <w:rPr>
          <w:rFonts w:hint="eastAsia" w:ascii="宋体" w:eastAsia="宋体" w:cs="宋体"/>
          <w:sz w:val="24"/>
          <w:szCs w:val="24"/>
        </w:rPr>
        <w:t>- 38 -</w:t>
      </w:r>
      <w:r>
        <w:rPr>
          <w:rFonts w:hint="eastAsia" w:ascii="宋体" w:eastAsia="宋体" w:cs="宋体"/>
          <w:sz w:val="24"/>
          <w:szCs w:val="24"/>
        </w:rPr>
        <w:fldChar w:fldCharType="end"/>
      </w:r>
      <w:r>
        <w:rPr>
          <w:rFonts w:hint="eastAsia" w:ascii="宋体" w:eastAsia="宋体" w:cs="宋体"/>
          <w:sz w:val="24"/>
          <w:szCs w:val="24"/>
        </w:rPr>
        <w:fldChar w:fldCharType="end"/>
      </w:r>
    </w:p>
    <w:p w14:paraId="0BA9047F">
      <w:pPr>
        <w:pStyle w:val="26"/>
        <w:tabs>
          <w:tab w:val="right" w:leader="dot" w:pos="8306"/>
        </w:tabs>
        <w:rPr>
          <w:rFonts w:hint="eastAsia" w:ascii="宋体" w:eastAsia="宋体" w:cs="宋体"/>
          <w:sz w:val="24"/>
          <w:szCs w:val="24"/>
        </w:rPr>
      </w:pPr>
      <w:r>
        <w:fldChar w:fldCharType="begin"/>
      </w:r>
      <w:r>
        <w:instrText xml:space="preserve"> HYPERLINK \l "_Toc21930" </w:instrText>
      </w:r>
      <w:r>
        <w:fldChar w:fldCharType="separate"/>
      </w:r>
      <w:r>
        <w:rPr>
          <w:rFonts w:hint="eastAsia" w:ascii="宋体" w:eastAsia="宋体" w:cs="宋体"/>
          <w:sz w:val="24"/>
          <w:szCs w:val="24"/>
        </w:rPr>
        <w:t>二、项目要求</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_Toc21930 \h </w:instrText>
      </w:r>
      <w:r>
        <w:rPr>
          <w:rFonts w:hint="eastAsia" w:ascii="宋体" w:eastAsia="宋体" w:cs="宋体"/>
          <w:sz w:val="24"/>
          <w:szCs w:val="24"/>
        </w:rPr>
        <w:fldChar w:fldCharType="separate"/>
      </w:r>
      <w:r>
        <w:rPr>
          <w:rFonts w:hint="eastAsia" w:ascii="宋体" w:eastAsia="宋体" w:cs="宋体"/>
          <w:sz w:val="24"/>
          <w:szCs w:val="24"/>
        </w:rPr>
        <w:t>- 109 -</w:t>
      </w:r>
      <w:r>
        <w:rPr>
          <w:rFonts w:hint="eastAsia" w:ascii="宋体" w:eastAsia="宋体" w:cs="宋体"/>
          <w:sz w:val="24"/>
          <w:szCs w:val="24"/>
        </w:rPr>
        <w:fldChar w:fldCharType="end"/>
      </w:r>
      <w:r>
        <w:rPr>
          <w:rFonts w:hint="eastAsia" w:ascii="宋体" w:eastAsia="宋体" w:cs="宋体"/>
          <w:sz w:val="24"/>
          <w:szCs w:val="24"/>
        </w:rPr>
        <w:fldChar w:fldCharType="end"/>
      </w:r>
    </w:p>
    <w:p w14:paraId="6E1E4424">
      <w:pPr>
        <w:pStyle w:val="22"/>
        <w:tabs>
          <w:tab w:val="right" w:leader="dot" w:pos="8306"/>
        </w:tabs>
        <w:rPr>
          <w:rFonts w:hint="eastAsia" w:ascii="宋体" w:eastAsia="宋体" w:cs="宋体"/>
          <w:sz w:val="24"/>
          <w:szCs w:val="24"/>
        </w:rPr>
      </w:pPr>
      <w:r>
        <w:fldChar w:fldCharType="begin"/>
      </w:r>
      <w:r>
        <w:instrText xml:space="preserve"> HYPERLINK \l "_Toc12012" </w:instrText>
      </w:r>
      <w:r>
        <w:fldChar w:fldCharType="separate"/>
      </w:r>
      <w:r>
        <w:rPr>
          <w:rFonts w:hint="eastAsia" w:ascii="宋体" w:eastAsia="宋体" w:cs="宋体"/>
          <w:sz w:val="24"/>
          <w:szCs w:val="24"/>
        </w:rPr>
        <w:t>第四章 资格审查</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_Toc12012 \h </w:instrText>
      </w:r>
      <w:r>
        <w:rPr>
          <w:rFonts w:hint="eastAsia" w:ascii="宋体" w:eastAsia="宋体" w:cs="宋体"/>
          <w:sz w:val="24"/>
          <w:szCs w:val="24"/>
        </w:rPr>
        <w:fldChar w:fldCharType="separate"/>
      </w:r>
      <w:r>
        <w:rPr>
          <w:rFonts w:hint="eastAsia" w:ascii="宋体" w:eastAsia="宋体" w:cs="宋体"/>
          <w:sz w:val="24"/>
          <w:szCs w:val="24"/>
        </w:rPr>
        <w:t>- 112 -</w:t>
      </w:r>
      <w:r>
        <w:rPr>
          <w:rFonts w:hint="eastAsia" w:ascii="宋体" w:eastAsia="宋体" w:cs="宋体"/>
          <w:sz w:val="24"/>
          <w:szCs w:val="24"/>
        </w:rPr>
        <w:fldChar w:fldCharType="end"/>
      </w:r>
      <w:r>
        <w:rPr>
          <w:rFonts w:hint="eastAsia" w:ascii="宋体" w:eastAsia="宋体" w:cs="宋体"/>
          <w:sz w:val="24"/>
          <w:szCs w:val="24"/>
        </w:rPr>
        <w:fldChar w:fldCharType="end"/>
      </w:r>
    </w:p>
    <w:p w14:paraId="1A290846">
      <w:pPr>
        <w:pStyle w:val="26"/>
        <w:tabs>
          <w:tab w:val="right" w:leader="dot" w:pos="8306"/>
        </w:tabs>
        <w:rPr>
          <w:rFonts w:hint="eastAsia" w:ascii="宋体" w:eastAsia="宋体" w:cs="宋体"/>
          <w:sz w:val="24"/>
          <w:szCs w:val="24"/>
        </w:rPr>
      </w:pPr>
      <w:r>
        <w:fldChar w:fldCharType="begin"/>
      </w:r>
      <w:r>
        <w:instrText xml:space="preserve"> HYPERLINK \l "_Toc14778" </w:instrText>
      </w:r>
      <w:r>
        <w:fldChar w:fldCharType="separate"/>
      </w:r>
      <w:r>
        <w:rPr>
          <w:rFonts w:hint="eastAsia" w:ascii="宋体" w:eastAsia="宋体" w:cs="宋体"/>
          <w:sz w:val="24"/>
          <w:szCs w:val="24"/>
        </w:rPr>
        <w:t>一、资格审查程序</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_Toc14778 \h </w:instrText>
      </w:r>
      <w:r>
        <w:rPr>
          <w:rFonts w:hint="eastAsia" w:ascii="宋体" w:eastAsia="宋体" w:cs="宋体"/>
          <w:sz w:val="24"/>
          <w:szCs w:val="24"/>
        </w:rPr>
        <w:fldChar w:fldCharType="separate"/>
      </w:r>
      <w:r>
        <w:rPr>
          <w:rFonts w:hint="eastAsia" w:ascii="宋体" w:eastAsia="宋体" w:cs="宋体"/>
          <w:sz w:val="24"/>
          <w:szCs w:val="24"/>
        </w:rPr>
        <w:t>- 112 -</w:t>
      </w:r>
      <w:r>
        <w:rPr>
          <w:rFonts w:hint="eastAsia" w:ascii="宋体" w:eastAsia="宋体" w:cs="宋体"/>
          <w:sz w:val="24"/>
          <w:szCs w:val="24"/>
        </w:rPr>
        <w:fldChar w:fldCharType="end"/>
      </w:r>
      <w:r>
        <w:rPr>
          <w:rFonts w:hint="eastAsia" w:ascii="宋体" w:eastAsia="宋体" w:cs="宋体"/>
          <w:sz w:val="24"/>
          <w:szCs w:val="24"/>
        </w:rPr>
        <w:fldChar w:fldCharType="end"/>
      </w:r>
    </w:p>
    <w:p w14:paraId="332F2E30">
      <w:pPr>
        <w:pStyle w:val="26"/>
        <w:tabs>
          <w:tab w:val="right" w:leader="dot" w:pos="8306"/>
        </w:tabs>
        <w:rPr>
          <w:rFonts w:hint="eastAsia" w:ascii="宋体" w:eastAsia="宋体" w:cs="宋体"/>
          <w:sz w:val="24"/>
          <w:szCs w:val="24"/>
        </w:rPr>
      </w:pPr>
      <w:r>
        <w:fldChar w:fldCharType="begin"/>
      </w:r>
      <w:r>
        <w:instrText xml:space="preserve"> HYPERLINK \l "_Toc8961" </w:instrText>
      </w:r>
      <w:r>
        <w:fldChar w:fldCharType="separate"/>
      </w:r>
      <w:r>
        <w:rPr>
          <w:rFonts w:hint="eastAsia" w:ascii="宋体" w:eastAsia="宋体" w:cs="宋体"/>
          <w:sz w:val="24"/>
          <w:szCs w:val="24"/>
        </w:rPr>
        <w:t>二、资格审查要求</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_Toc8961 \h </w:instrText>
      </w:r>
      <w:r>
        <w:rPr>
          <w:rFonts w:hint="eastAsia" w:ascii="宋体" w:eastAsia="宋体" w:cs="宋体"/>
          <w:sz w:val="24"/>
          <w:szCs w:val="24"/>
        </w:rPr>
        <w:fldChar w:fldCharType="separate"/>
      </w:r>
      <w:r>
        <w:rPr>
          <w:rFonts w:hint="eastAsia" w:ascii="宋体" w:eastAsia="宋体" w:cs="宋体"/>
          <w:sz w:val="24"/>
          <w:szCs w:val="24"/>
        </w:rPr>
        <w:t>- 112 -</w:t>
      </w:r>
      <w:r>
        <w:rPr>
          <w:rFonts w:hint="eastAsia" w:ascii="宋体" w:eastAsia="宋体" w:cs="宋体"/>
          <w:sz w:val="24"/>
          <w:szCs w:val="24"/>
        </w:rPr>
        <w:fldChar w:fldCharType="end"/>
      </w:r>
      <w:r>
        <w:rPr>
          <w:rFonts w:hint="eastAsia" w:ascii="宋体" w:eastAsia="宋体" w:cs="宋体"/>
          <w:sz w:val="24"/>
          <w:szCs w:val="24"/>
        </w:rPr>
        <w:fldChar w:fldCharType="end"/>
      </w:r>
    </w:p>
    <w:p w14:paraId="340BA93A">
      <w:pPr>
        <w:pStyle w:val="22"/>
        <w:tabs>
          <w:tab w:val="right" w:leader="dot" w:pos="8306"/>
        </w:tabs>
        <w:rPr>
          <w:rFonts w:hint="eastAsia" w:ascii="宋体" w:eastAsia="宋体" w:cs="宋体"/>
          <w:sz w:val="24"/>
          <w:szCs w:val="24"/>
        </w:rPr>
      </w:pPr>
      <w:r>
        <w:fldChar w:fldCharType="begin"/>
      </w:r>
      <w:r>
        <w:instrText xml:space="preserve"> HYPERLINK \l "_Toc8647" </w:instrText>
      </w:r>
      <w:r>
        <w:fldChar w:fldCharType="separate"/>
      </w:r>
      <w:r>
        <w:rPr>
          <w:rFonts w:hint="eastAsia" w:ascii="宋体" w:eastAsia="宋体" w:cs="宋体"/>
          <w:sz w:val="24"/>
          <w:szCs w:val="24"/>
        </w:rPr>
        <w:t>第五章 评标方法及标准(综合评分法)</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_Toc8647 \h </w:instrText>
      </w:r>
      <w:r>
        <w:rPr>
          <w:rFonts w:hint="eastAsia" w:ascii="宋体" w:eastAsia="宋体" w:cs="宋体"/>
          <w:sz w:val="24"/>
          <w:szCs w:val="24"/>
        </w:rPr>
        <w:fldChar w:fldCharType="separate"/>
      </w:r>
      <w:r>
        <w:rPr>
          <w:rFonts w:hint="eastAsia" w:ascii="宋体" w:eastAsia="宋体" w:cs="宋体"/>
          <w:sz w:val="24"/>
          <w:szCs w:val="24"/>
        </w:rPr>
        <w:t>- 115 -</w:t>
      </w:r>
      <w:r>
        <w:rPr>
          <w:rFonts w:hint="eastAsia" w:ascii="宋体" w:eastAsia="宋体" w:cs="宋体"/>
          <w:sz w:val="24"/>
          <w:szCs w:val="24"/>
        </w:rPr>
        <w:fldChar w:fldCharType="end"/>
      </w:r>
      <w:r>
        <w:rPr>
          <w:rFonts w:hint="eastAsia" w:ascii="宋体" w:eastAsia="宋体" w:cs="宋体"/>
          <w:sz w:val="24"/>
          <w:szCs w:val="24"/>
        </w:rPr>
        <w:fldChar w:fldCharType="end"/>
      </w:r>
    </w:p>
    <w:p w14:paraId="3E67DBFB">
      <w:pPr>
        <w:pStyle w:val="26"/>
        <w:tabs>
          <w:tab w:val="right" w:leader="dot" w:pos="8306"/>
        </w:tabs>
        <w:rPr>
          <w:rFonts w:hint="eastAsia" w:ascii="宋体" w:eastAsia="宋体" w:cs="宋体"/>
          <w:sz w:val="24"/>
          <w:szCs w:val="24"/>
        </w:rPr>
      </w:pPr>
      <w:r>
        <w:fldChar w:fldCharType="begin"/>
      </w:r>
      <w:r>
        <w:instrText xml:space="preserve"> HYPERLINK \l "_Toc11928" </w:instrText>
      </w:r>
      <w:r>
        <w:fldChar w:fldCharType="separate"/>
      </w:r>
      <w:r>
        <w:rPr>
          <w:rFonts w:hint="eastAsia" w:ascii="宋体" w:eastAsia="宋体" w:cs="宋体"/>
          <w:sz w:val="24"/>
          <w:szCs w:val="24"/>
          <w:lang w:val="zh-CN"/>
        </w:rPr>
        <w:t>一、评标</w:t>
      </w:r>
      <w:r>
        <w:rPr>
          <w:rFonts w:hint="eastAsia" w:ascii="宋体" w:eastAsia="宋体" w:cs="宋体"/>
          <w:sz w:val="24"/>
          <w:szCs w:val="24"/>
        </w:rPr>
        <w:t>方</w:t>
      </w:r>
      <w:r>
        <w:rPr>
          <w:rFonts w:hint="eastAsia" w:ascii="宋体" w:eastAsia="宋体" w:cs="宋体"/>
          <w:sz w:val="24"/>
          <w:szCs w:val="24"/>
          <w:lang w:val="zh-CN"/>
        </w:rPr>
        <w:t>法</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_Toc11928 \h </w:instrText>
      </w:r>
      <w:r>
        <w:rPr>
          <w:rFonts w:hint="eastAsia" w:ascii="宋体" w:eastAsia="宋体" w:cs="宋体"/>
          <w:sz w:val="24"/>
          <w:szCs w:val="24"/>
        </w:rPr>
        <w:fldChar w:fldCharType="separate"/>
      </w:r>
      <w:r>
        <w:rPr>
          <w:rFonts w:hint="eastAsia" w:ascii="宋体" w:eastAsia="宋体" w:cs="宋体"/>
          <w:sz w:val="24"/>
          <w:szCs w:val="24"/>
        </w:rPr>
        <w:t>- 115 -</w:t>
      </w:r>
      <w:r>
        <w:rPr>
          <w:rFonts w:hint="eastAsia" w:ascii="宋体" w:eastAsia="宋体" w:cs="宋体"/>
          <w:sz w:val="24"/>
          <w:szCs w:val="24"/>
        </w:rPr>
        <w:fldChar w:fldCharType="end"/>
      </w:r>
      <w:r>
        <w:rPr>
          <w:rFonts w:hint="eastAsia" w:ascii="宋体" w:eastAsia="宋体" w:cs="宋体"/>
          <w:sz w:val="24"/>
          <w:szCs w:val="24"/>
        </w:rPr>
        <w:fldChar w:fldCharType="end"/>
      </w:r>
    </w:p>
    <w:p w14:paraId="316EF1B8">
      <w:pPr>
        <w:pStyle w:val="26"/>
        <w:tabs>
          <w:tab w:val="right" w:leader="dot" w:pos="8306"/>
        </w:tabs>
        <w:rPr>
          <w:rFonts w:hint="eastAsia" w:ascii="宋体" w:eastAsia="宋体" w:cs="宋体"/>
          <w:sz w:val="24"/>
          <w:szCs w:val="24"/>
        </w:rPr>
      </w:pPr>
      <w:r>
        <w:fldChar w:fldCharType="begin"/>
      </w:r>
      <w:r>
        <w:instrText xml:space="preserve"> HYPERLINK \l "_Toc489" </w:instrText>
      </w:r>
      <w:r>
        <w:fldChar w:fldCharType="separate"/>
      </w:r>
      <w:r>
        <w:rPr>
          <w:rFonts w:hint="eastAsia" w:ascii="宋体" w:eastAsia="宋体" w:cs="宋体"/>
          <w:sz w:val="24"/>
          <w:szCs w:val="24"/>
        </w:rPr>
        <w:t>二</w:t>
      </w:r>
      <w:r>
        <w:rPr>
          <w:rFonts w:hint="eastAsia" w:ascii="宋体" w:eastAsia="宋体" w:cs="宋体"/>
          <w:sz w:val="24"/>
          <w:szCs w:val="24"/>
          <w:lang w:val="zh-CN"/>
        </w:rPr>
        <w:t>、评标程序</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_Toc489 \h </w:instrText>
      </w:r>
      <w:r>
        <w:rPr>
          <w:rFonts w:hint="eastAsia" w:ascii="宋体" w:eastAsia="宋体" w:cs="宋体"/>
          <w:sz w:val="24"/>
          <w:szCs w:val="24"/>
        </w:rPr>
        <w:fldChar w:fldCharType="separate"/>
      </w:r>
      <w:r>
        <w:rPr>
          <w:rFonts w:hint="eastAsia" w:ascii="宋体" w:eastAsia="宋体" w:cs="宋体"/>
          <w:sz w:val="24"/>
          <w:szCs w:val="24"/>
        </w:rPr>
        <w:t>- 115 -</w:t>
      </w:r>
      <w:r>
        <w:rPr>
          <w:rFonts w:hint="eastAsia" w:ascii="宋体" w:eastAsia="宋体" w:cs="宋体"/>
          <w:sz w:val="24"/>
          <w:szCs w:val="24"/>
        </w:rPr>
        <w:fldChar w:fldCharType="end"/>
      </w:r>
      <w:r>
        <w:rPr>
          <w:rFonts w:hint="eastAsia" w:ascii="宋体" w:eastAsia="宋体" w:cs="宋体"/>
          <w:sz w:val="24"/>
          <w:szCs w:val="24"/>
        </w:rPr>
        <w:fldChar w:fldCharType="end"/>
      </w:r>
    </w:p>
    <w:p w14:paraId="083BE8E7">
      <w:pPr>
        <w:pStyle w:val="26"/>
        <w:tabs>
          <w:tab w:val="right" w:leader="dot" w:pos="8306"/>
        </w:tabs>
        <w:rPr>
          <w:rFonts w:hint="eastAsia" w:ascii="宋体" w:eastAsia="宋体" w:cs="宋体"/>
          <w:sz w:val="24"/>
          <w:szCs w:val="24"/>
        </w:rPr>
      </w:pPr>
      <w:r>
        <w:fldChar w:fldCharType="begin"/>
      </w:r>
      <w:r>
        <w:instrText xml:space="preserve"> HYPERLINK \l "_Toc6935" </w:instrText>
      </w:r>
      <w:r>
        <w:fldChar w:fldCharType="separate"/>
      </w:r>
      <w:r>
        <w:rPr>
          <w:rFonts w:hint="eastAsia" w:ascii="宋体" w:eastAsia="宋体" w:cs="宋体"/>
          <w:sz w:val="24"/>
          <w:szCs w:val="24"/>
          <w:lang w:val="zh-CN"/>
        </w:rPr>
        <w:t>三、评标</w:t>
      </w:r>
      <w:r>
        <w:rPr>
          <w:rFonts w:hint="eastAsia" w:ascii="宋体" w:eastAsia="宋体" w:cs="宋体"/>
          <w:sz w:val="24"/>
          <w:szCs w:val="24"/>
        </w:rPr>
        <w:t>其他要求</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_Toc6935 \h </w:instrText>
      </w:r>
      <w:r>
        <w:rPr>
          <w:rFonts w:hint="eastAsia" w:ascii="宋体" w:eastAsia="宋体" w:cs="宋体"/>
          <w:sz w:val="24"/>
          <w:szCs w:val="24"/>
        </w:rPr>
        <w:fldChar w:fldCharType="separate"/>
      </w:r>
      <w:r>
        <w:rPr>
          <w:rFonts w:hint="eastAsia" w:ascii="宋体" w:eastAsia="宋体" w:cs="宋体"/>
          <w:sz w:val="24"/>
          <w:szCs w:val="24"/>
        </w:rPr>
        <w:t>- 123 -</w:t>
      </w:r>
      <w:r>
        <w:rPr>
          <w:rFonts w:hint="eastAsia" w:ascii="宋体" w:eastAsia="宋体" w:cs="宋体"/>
          <w:sz w:val="24"/>
          <w:szCs w:val="24"/>
        </w:rPr>
        <w:fldChar w:fldCharType="end"/>
      </w:r>
      <w:r>
        <w:rPr>
          <w:rFonts w:hint="eastAsia" w:ascii="宋体" w:eastAsia="宋体" w:cs="宋体"/>
          <w:sz w:val="24"/>
          <w:szCs w:val="24"/>
        </w:rPr>
        <w:fldChar w:fldCharType="end"/>
      </w:r>
    </w:p>
    <w:p w14:paraId="7D629D36">
      <w:pPr>
        <w:pStyle w:val="26"/>
        <w:tabs>
          <w:tab w:val="right" w:leader="dot" w:pos="8306"/>
        </w:tabs>
        <w:rPr>
          <w:rFonts w:hint="eastAsia" w:ascii="宋体" w:eastAsia="宋体" w:cs="宋体"/>
          <w:sz w:val="24"/>
          <w:szCs w:val="24"/>
        </w:rPr>
      </w:pPr>
      <w:r>
        <w:fldChar w:fldCharType="begin"/>
      </w:r>
      <w:r>
        <w:instrText xml:space="preserve"> HYPERLINK \l "_Toc21725" </w:instrText>
      </w:r>
      <w:r>
        <w:fldChar w:fldCharType="separate"/>
      </w:r>
      <w:r>
        <w:rPr>
          <w:rFonts w:hint="eastAsia" w:ascii="宋体" w:eastAsia="宋体" w:cs="宋体"/>
          <w:sz w:val="24"/>
          <w:szCs w:val="24"/>
        </w:rPr>
        <w:t>四</w:t>
      </w:r>
      <w:r>
        <w:rPr>
          <w:rFonts w:hint="eastAsia" w:ascii="宋体" w:eastAsia="宋体" w:cs="宋体"/>
          <w:sz w:val="24"/>
          <w:szCs w:val="24"/>
          <w:lang w:val="zh-CN"/>
        </w:rPr>
        <w:t>、评标标准</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_Toc21725 \h </w:instrText>
      </w:r>
      <w:r>
        <w:rPr>
          <w:rFonts w:hint="eastAsia" w:ascii="宋体" w:eastAsia="宋体" w:cs="宋体"/>
          <w:sz w:val="24"/>
          <w:szCs w:val="24"/>
        </w:rPr>
        <w:fldChar w:fldCharType="separate"/>
      </w:r>
      <w:r>
        <w:rPr>
          <w:rFonts w:hint="eastAsia" w:ascii="宋体" w:eastAsia="宋体" w:cs="宋体"/>
          <w:sz w:val="24"/>
          <w:szCs w:val="24"/>
        </w:rPr>
        <w:t>- 123 -</w:t>
      </w:r>
      <w:r>
        <w:rPr>
          <w:rFonts w:hint="eastAsia" w:ascii="宋体" w:eastAsia="宋体" w:cs="宋体"/>
          <w:sz w:val="24"/>
          <w:szCs w:val="24"/>
        </w:rPr>
        <w:fldChar w:fldCharType="end"/>
      </w:r>
      <w:r>
        <w:rPr>
          <w:rFonts w:hint="eastAsia" w:ascii="宋体" w:eastAsia="宋体" w:cs="宋体"/>
          <w:sz w:val="24"/>
          <w:szCs w:val="24"/>
        </w:rPr>
        <w:fldChar w:fldCharType="end"/>
      </w:r>
    </w:p>
    <w:p w14:paraId="4B3622C4">
      <w:pPr>
        <w:pStyle w:val="26"/>
        <w:tabs>
          <w:tab w:val="right" w:leader="dot" w:pos="8306"/>
        </w:tabs>
        <w:rPr>
          <w:rFonts w:hint="eastAsia" w:ascii="宋体" w:eastAsia="宋体" w:cs="宋体"/>
          <w:sz w:val="24"/>
          <w:szCs w:val="24"/>
        </w:rPr>
      </w:pPr>
      <w:r>
        <w:fldChar w:fldCharType="begin"/>
      </w:r>
      <w:r>
        <w:instrText xml:space="preserve"> HYPERLINK \l "_Toc7051" </w:instrText>
      </w:r>
      <w:r>
        <w:fldChar w:fldCharType="separate"/>
      </w:r>
      <w:r>
        <w:rPr>
          <w:rFonts w:hint="eastAsia" w:ascii="宋体" w:eastAsia="宋体" w:cs="宋体"/>
          <w:sz w:val="24"/>
          <w:szCs w:val="24"/>
          <w:lang w:val="zh-CN"/>
        </w:rPr>
        <w:t>三、评标</w:t>
      </w:r>
      <w:r>
        <w:rPr>
          <w:rFonts w:hint="eastAsia" w:ascii="宋体" w:eastAsia="宋体" w:cs="宋体"/>
          <w:sz w:val="24"/>
          <w:szCs w:val="24"/>
        </w:rPr>
        <w:t>其他要求</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_Toc7051 \h </w:instrText>
      </w:r>
      <w:r>
        <w:rPr>
          <w:rFonts w:hint="eastAsia" w:ascii="宋体" w:eastAsia="宋体" w:cs="宋体"/>
          <w:sz w:val="24"/>
          <w:szCs w:val="24"/>
        </w:rPr>
        <w:fldChar w:fldCharType="separate"/>
      </w:r>
      <w:r>
        <w:rPr>
          <w:rFonts w:hint="eastAsia" w:ascii="宋体" w:eastAsia="宋体" w:cs="宋体"/>
          <w:sz w:val="24"/>
          <w:szCs w:val="24"/>
        </w:rPr>
        <w:t>- 137 -</w:t>
      </w:r>
      <w:r>
        <w:rPr>
          <w:rFonts w:hint="eastAsia" w:ascii="宋体" w:eastAsia="宋体" w:cs="宋体"/>
          <w:sz w:val="24"/>
          <w:szCs w:val="24"/>
        </w:rPr>
        <w:fldChar w:fldCharType="end"/>
      </w:r>
      <w:r>
        <w:rPr>
          <w:rFonts w:hint="eastAsia" w:ascii="宋体" w:eastAsia="宋体" w:cs="宋体"/>
          <w:sz w:val="24"/>
          <w:szCs w:val="24"/>
        </w:rPr>
        <w:fldChar w:fldCharType="end"/>
      </w:r>
    </w:p>
    <w:p w14:paraId="76E0A6AC">
      <w:pPr>
        <w:pStyle w:val="26"/>
        <w:tabs>
          <w:tab w:val="right" w:leader="dot" w:pos="8306"/>
        </w:tabs>
        <w:rPr>
          <w:rFonts w:hint="eastAsia" w:ascii="宋体" w:eastAsia="宋体" w:cs="宋体"/>
          <w:sz w:val="24"/>
          <w:szCs w:val="24"/>
        </w:rPr>
      </w:pPr>
      <w:r>
        <w:fldChar w:fldCharType="begin"/>
      </w:r>
      <w:r>
        <w:instrText xml:space="preserve"> HYPERLINK \l "_Toc8113" </w:instrText>
      </w:r>
      <w:r>
        <w:fldChar w:fldCharType="separate"/>
      </w:r>
      <w:r>
        <w:rPr>
          <w:rFonts w:hint="eastAsia" w:ascii="宋体" w:eastAsia="宋体" w:cs="宋体"/>
          <w:sz w:val="24"/>
          <w:szCs w:val="24"/>
        </w:rPr>
        <w:t>四</w:t>
      </w:r>
      <w:r>
        <w:rPr>
          <w:rFonts w:hint="eastAsia" w:ascii="宋体" w:eastAsia="宋体" w:cs="宋体"/>
          <w:sz w:val="24"/>
          <w:szCs w:val="24"/>
          <w:lang w:val="zh-CN"/>
        </w:rPr>
        <w:t>、评标标准</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_Toc8113 \h </w:instrText>
      </w:r>
      <w:r>
        <w:rPr>
          <w:rFonts w:hint="eastAsia" w:ascii="宋体" w:eastAsia="宋体" w:cs="宋体"/>
          <w:sz w:val="24"/>
          <w:szCs w:val="24"/>
        </w:rPr>
        <w:fldChar w:fldCharType="separate"/>
      </w:r>
      <w:r>
        <w:rPr>
          <w:rFonts w:hint="eastAsia" w:ascii="宋体" w:eastAsia="宋体" w:cs="宋体"/>
          <w:sz w:val="24"/>
          <w:szCs w:val="24"/>
        </w:rPr>
        <w:t>- 137 -</w:t>
      </w:r>
      <w:r>
        <w:rPr>
          <w:rFonts w:hint="eastAsia" w:ascii="宋体" w:eastAsia="宋体" w:cs="宋体"/>
          <w:sz w:val="24"/>
          <w:szCs w:val="24"/>
        </w:rPr>
        <w:fldChar w:fldCharType="end"/>
      </w:r>
      <w:r>
        <w:rPr>
          <w:rFonts w:hint="eastAsia" w:ascii="宋体" w:eastAsia="宋体" w:cs="宋体"/>
          <w:sz w:val="24"/>
          <w:szCs w:val="24"/>
        </w:rPr>
        <w:fldChar w:fldCharType="end"/>
      </w:r>
    </w:p>
    <w:p w14:paraId="2366FCC9">
      <w:pPr>
        <w:pStyle w:val="22"/>
        <w:tabs>
          <w:tab w:val="right" w:leader="dot" w:pos="8306"/>
        </w:tabs>
        <w:rPr>
          <w:rFonts w:hint="eastAsia" w:ascii="宋体" w:eastAsia="宋体" w:cs="宋体"/>
          <w:sz w:val="24"/>
          <w:szCs w:val="24"/>
        </w:rPr>
      </w:pPr>
      <w:r>
        <w:fldChar w:fldCharType="begin"/>
      </w:r>
      <w:r>
        <w:instrText xml:space="preserve"> HYPERLINK \l "_Toc11802" </w:instrText>
      </w:r>
      <w:r>
        <w:fldChar w:fldCharType="separate"/>
      </w:r>
      <w:r>
        <w:rPr>
          <w:rFonts w:hint="eastAsia" w:ascii="宋体" w:eastAsia="宋体" w:cs="宋体"/>
          <w:sz w:val="24"/>
          <w:szCs w:val="24"/>
          <w:lang w:val="zh-CN"/>
        </w:rPr>
        <w:t>第六章 合同草案</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_Toc11802 \h </w:instrText>
      </w:r>
      <w:r>
        <w:rPr>
          <w:rFonts w:hint="eastAsia" w:ascii="宋体" w:eastAsia="宋体" w:cs="宋体"/>
          <w:sz w:val="24"/>
          <w:szCs w:val="24"/>
        </w:rPr>
        <w:fldChar w:fldCharType="separate"/>
      </w:r>
      <w:r>
        <w:rPr>
          <w:rFonts w:hint="eastAsia" w:ascii="宋体" w:eastAsia="宋体" w:cs="宋体"/>
          <w:sz w:val="24"/>
          <w:szCs w:val="24"/>
        </w:rPr>
        <w:t>- 141 -</w:t>
      </w:r>
      <w:r>
        <w:rPr>
          <w:rFonts w:hint="eastAsia" w:ascii="宋体" w:eastAsia="宋体" w:cs="宋体"/>
          <w:sz w:val="24"/>
          <w:szCs w:val="24"/>
        </w:rPr>
        <w:fldChar w:fldCharType="end"/>
      </w:r>
      <w:r>
        <w:rPr>
          <w:rFonts w:hint="eastAsia" w:ascii="宋体" w:eastAsia="宋体" w:cs="宋体"/>
          <w:sz w:val="24"/>
          <w:szCs w:val="24"/>
        </w:rPr>
        <w:fldChar w:fldCharType="end"/>
      </w:r>
    </w:p>
    <w:p w14:paraId="40FC7EDD">
      <w:pPr>
        <w:pStyle w:val="26"/>
        <w:tabs>
          <w:tab w:val="right" w:leader="dot" w:pos="8306"/>
        </w:tabs>
        <w:rPr>
          <w:rFonts w:hint="eastAsia" w:ascii="宋体" w:eastAsia="宋体" w:cs="宋体"/>
          <w:sz w:val="24"/>
          <w:szCs w:val="24"/>
        </w:rPr>
      </w:pPr>
      <w:r>
        <w:fldChar w:fldCharType="begin"/>
      </w:r>
      <w:r>
        <w:instrText xml:space="preserve"> HYPERLINK \l "_Toc2051" </w:instrText>
      </w:r>
      <w:r>
        <w:fldChar w:fldCharType="separate"/>
      </w:r>
      <w:r>
        <w:rPr>
          <w:rFonts w:hint="eastAsia" w:ascii="宋体" w:eastAsia="宋体" w:cs="宋体"/>
          <w:sz w:val="24"/>
          <w:szCs w:val="24"/>
        </w:rPr>
        <w:t>第一节 政府采购合同协议书</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_Toc2051 \h </w:instrText>
      </w:r>
      <w:r>
        <w:rPr>
          <w:rFonts w:hint="eastAsia" w:ascii="宋体" w:eastAsia="宋体" w:cs="宋体"/>
          <w:sz w:val="24"/>
          <w:szCs w:val="24"/>
        </w:rPr>
        <w:fldChar w:fldCharType="separate"/>
      </w:r>
      <w:r>
        <w:rPr>
          <w:rFonts w:hint="eastAsia" w:ascii="宋体" w:eastAsia="宋体" w:cs="宋体"/>
          <w:sz w:val="24"/>
          <w:szCs w:val="24"/>
        </w:rPr>
        <w:t>- 142 -</w:t>
      </w:r>
      <w:r>
        <w:rPr>
          <w:rFonts w:hint="eastAsia" w:ascii="宋体" w:eastAsia="宋体" w:cs="宋体"/>
          <w:sz w:val="24"/>
          <w:szCs w:val="24"/>
        </w:rPr>
        <w:fldChar w:fldCharType="end"/>
      </w:r>
      <w:r>
        <w:rPr>
          <w:rFonts w:hint="eastAsia" w:ascii="宋体" w:eastAsia="宋体" w:cs="宋体"/>
          <w:sz w:val="24"/>
          <w:szCs w:val="24"/>
        </w:rPr>
        <w:fldChar w:fldCharType="end"/>
      </w:r>
    </w:p>
    <w:p w14:paraId="319BC7F1">
      <w:pPr>
        <w:pStyle w:val="26"/>
        <w:tabs>
          <w:tab w:val="right" w:leader="dot" w:pos="8306"/>
        </w:tabs>
        <w:rPr>
          <w:rFonts w:hint="eastAsia" w:ascii="宋体" w:eastAsia="宋体" w:cs="宋体"/>
          <w:sz w:val="24"/>
          <w:szCs w:val="24"/>
        </w:rPr>
      </w:pPr>
      <w:r>
        <w:fldChar w:fldCharType="begin"/>
      </w:r>
      <w:r>
        <w:instrText xml:space="preserve"> HYPERLINK \l "_Toc10702" </w:instrText>
      </w:r>
      <w:r>
        <w:fldChar w:fldCharType="separate"/>
      </w:r>
      <w:r>
        <w:rPr>
          <w:rFonts w:hint="eastAsia" w:ascii="宋体" w:eastAsia="宋体" w:cs="宋体"/>
          <w:sz w:val="24"/>
          <w:szCs w:val="24"/>
        </w:rPr>
        <w:t>第二节 政府采购合同通用条款</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_Toc10702 \h </w:instrText>
      </w:r>
      <w:r>
        <w:rPr>
          <w:rFonts w:hint="eastAsia" w:ascii="宋体" w:eastAsia="宋体" w:cs="宋体"/>
          <w:sz w:val="24"/>
          <w:szCs w:val="24"/>
        </w:rPr>
        <w:fldChar w:fldCharType="separate"/>
      </w:r>
      <w:r>
        <w:rPr>
          <w:rFonts w:hint="eastAsia" w:ascii="宋体" w:eastAsia="宋体" w:cs="宋体"/>
          <w:sz w:val="24"/>
          <w:szCs w:val="24"/>
        </w:rPr>
        <w:t>- 147 -</w:t>
      </w:r>
      <w:r>
        <w:rPr>
          <w:rFonts w:hint="eastAsia" w:ascii="宋体" w:eastAsia="宋体" w:cs="宋体"/>
          <w:sz w:val="24"/>
          <w:szCs w:val="24"/>
        </w:rPr>
        <w:fldChar w:fldCharType="end"/>
      </w:r>
      <w:r>
        <w:rPr>
          <w:rFonts w:hint="eastAsia" w:ascii="宋体" w:eastAsia="宋体" w:cs="宋体"/>
          <w:sz w:val="24"/>
          <w:szCs w:val="24"/>
        </w:rPr>
        <w:fldChar w:fldCharType="end"/>
      </w:r>
    </w:p>
    <w:p w14:paraId="4052325B">
      <w:pPr>
        <w:pStyle w:val="26"/>
        <w:tabs>
          <w:tab w:val="right" w:leader="dot" w:pos="8306"/>
        </w:tabs>
        <w:rPr>
          <w:rFonts w:hint="eastAsia" w:ascii="宋体" w:eastAsia="宋体" w:cs="宋体"/>
          <w:sz w:val="24"/>
          <w:szCs w:val="24"/>
        </w:rPr>
      </w:pPr>
      <w:r>
        <w:fldChar w:fldCharType="begin"/>
      </w:r>
      <w:r>
        <w:instrText xml:space="preserve"> HYPERLINK \l "_Toc14599" </w:instrText>
      </w:r>
      <w:r>
        <w:fldChar w:fldCharType="separate"/>
      </w:r>
      <w:r>
        <w:rPr>
          <w:rFonts w:hint="eastAsia" w:ascii="宋体" w:eastAsia="宋体" w:cs="宋体"/>
          <w:sz w:val="24"/>
          <w:szCs w:val="24"/>
        </w:rPr>
        <w:t>第三节 政府采购合同专用条款</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_Toc14599 \h </w:instrText>
      </w:r>
      <w:r>
        <w:rPr>
          <w:rFonts w:hint="eastAsia" w:ascii="宋体" w:eastAsia="宋体" w:cs="宋体"/>
          <w:sz w:val="24"/>
          <w:szCs w:val="24"/>
        </w:rPr>
        <w:fldChar w:fldCharType="separate"/>
      </w:r>
      <w:r>
        <w:rPr>
          <w:rFonts w:hint="eastAsia" w:ascii="宋体" w:eastAsia="宋体" w:cs="宋体"/>
          <w:sz w:val="24"/>
          <w:szCs w:val="24"/>
        </w:rPr>
        <w:t>- 154 -</w:t>
      </w:r>
      <w:r>
        <w:rPr>
          <w:rFonts w:hint="eastAsia" w:ascii="宋体" w:eastAsia="宋体" w:cs="宋体"/>
          <w:sz w:val="24"/>
          <w:szCs w:val="24"/>
        </w:rPr>
        <w:fldChar w:fldCharType="end"/>
      </w:r>
      <w:r>
        <w:rPr>
          <w:rFonts w:hint="eastAsia" w:ascii="宋体" w:eastAsia="宋体" w:cs="宋体"/>
          <w:sz w:val="24"/>
          <w:szCs w:val="24"/>
        </w:rPr>
        <w:fldChar w:fldCharType="end"/>
      </w:r>
    </w:p>
    <w:p w14:paraId="2C62A3AD">
      <w:pPr>
        <w:pStyle w:val="22"/>
        <w:tabs>
          <w:tab w:val="right" w:leader="dot" w:pos="8306"/>
        </w:tabs>
        <w:rPr>
          <w:rFonts w:hint="eastAsia" w:ascii="宋体" w:eastAsia="宋体" w:cs="宋体"/>
          <w:sz w:val="24"/>
          <w:szCs w:val="24"/>
        </w:rPr>
      </w:pPr>
      <w:r>
        <w:fldChar w:fldCharType="begin"/>
      </w:r>
      <w:r>
        <w:instrText xml:space="preserve"> HYPERLINK \l "_Toc25596" </w:instrText>
      </w:r>
      <w:r>
        <w:fldChar w:fldCharType="separate"/>
      </w:r>
      <w:r>
        <w:rPr>
          <w:rFonts w:hint="eastAsia" w:ascii="宋体" w:eastAsia="宋体" w:cs="宋体"/>
          <w:sz w:val="24"/>
          <w:szCs w:val="24"/>
        </w:rPr>
        <w:t>第七章 投标文件格式</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_Toc25596 \h </w:instrText>
      </w:r>
      <w:r>
        <w:rPr>
          <w:rFonts w:hint="eastAsia" w:ascii="宋体" w:eastAsia="宋体" w:cs="宋体"/>
          <w:sz w:val="24"/>
          <w:szCs w:val="24"/>
        </w:rPr>
        <w:fldChar w:fldCharType="separate"/>
      </w:r>
      <w:r>
        <w:rPr>
          <w:rFonts w:hint="eastAsia" w:ascii="宋体" w:eastAsia="宋体" w:cs="宋体"/>
          <w:sz w:val="24"/>
          <w:szCs w:val="24"/>
        </w:rPr>
        <w:t>- 156 -</w:t>
      </w:r>
      <w:r>
        <w:rPr>
          <w:rFonts w:hint="eastAsia" w:ascii="宋体" w:eastAsia="宋体" w:cs="宋体"/>
          <w:sz w:val="24"/>
          <w:szCs w:val="24"/>
        </w:rPr>
        <w:fldChar w:fldCharType="end"/>
      </w:r>
      <w:r>
        <w:rPr>
          <w:rFonts w:hint="eastAsia" w:ascii="宋体" w:eastAsia="宋体" w:cs="宋体"/>
          <w:sz w:val="24"/>
          <w:szCs w:val="24"/>
        </w:rPr>
        <w:fldChar w:fldCharType="end"/>
      </w:r>
    </w:p>
    <w:p w14:paraId="5F2DFCC9">
      <w:pPr>
        <w:pStyle w:val="22"/>
        <w:tabs>
          <w:tab w:val="right" w:leader="dot" w:pos="8306"/>
        </w:tabs>
        <w:rPr>
          <w:rFonts w:hint="eastAsia" w:ascii="宋体" w:eastAsia="宋体" w:cs="宋体"/>
          <w:sz w:val="24"/>
          <w:szCs w:val="24"/>
        </w:rPr>
      </w:pPr>
      <w:r>
        <w:fldChar w:fldCharType="begin"/>
      </w:r>
      <w:r>
        <w:instrText xml:space="preserve"> HYPERLINK \l "_Toc30192" </w:instrText>
      </w:r>
      <w:r>
        <w:fldChar w:fldCharType="separate"/>
      </w:r>
      <w:r>
        <w:rPr>
          <w:rFonts w:hint="eastAsia" w:ascii="宋体" w:eastAsia="宋体" w:cs="宋体"/>
          <w:sz w:val="24"/>
          <w:szCs w:val="24"/>
        </w:rPr>
        <w:t>投 标 文 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_Toc30192 \h </w:instrText>
      </w:r>
      <w:r>
        <w:rPr>
          <w:rFonts w:hint="eastAsia" w:ascii="宋体" w:eastAsia="宋体" w:cs="宋体"/>
          <w:sz w:val="24"/>
          <w:szCs w:val="24"/>
        </w:rPr>
        <w:fldChar w:fldCharType="separate"/>
      </w:r>
      <w:r>
        <w:rPr>
          <w:rFonts w:hint="eastAsia" w:ascii="宋体" w:eastAsia="宋体" w:cs="宋体"/>
          <w:sz w:val="24"/>
          <w:szCs w:val="24"/>
        </w:rPr>
        <w:t>- 157 -</w:t>
      </w:r>
      <w:r>
        <w:rPr>
          <w:rFonts w:hint="eastAsia" w:ascii="宋体" w:eastAsia="宋体" w:cs="宋体"/>
          <w:sz w:val="24"/>
          <w:szCs w:val="24"/>
        </w:rPr>
        <w:fldChar w:fldCharType="end"/>
      </w:r>
      <w:r>
        <w:rPr>
          <w:rFonts w:hint="eastAsia" w:ascii="宋体" w:eastAsia="宋体" w:cs="宋体"/>
          <w:sz w:val="24"/>
          <w:szCs w:val="24"/>
        </w:rPr>
        <w:fldChar w:fldCharType="end"/>
      </w:r>
    </w:p>
    <w:p w14:paraId="02479C2A">
      <w:pPr>
        <w:pStyle w:val="22"/>
        <w:tabs>
          <w:tab w:val="right" w:leader="dot" w:pos="8306"/>
        </w:tabs>
        <w:rPr>
          <w:rFonts w:hint="eastAsia" w:ascii="宋体" w:eastAsia="宋体" w:cs="宋体"/>
          <w:sz w:val="24"/>
          <w:szCs w:val="24"/>
        </w:rPr>
      </w:pPr>
      <w:r>
        <w:fldChar w:fldCharType="begin"/>
      </w:r>
      <w:r>
        <w:instrText xml:space="preserve"> HYPERLINK \l "_Toc29071" </w:instrText>
      </w:r>
      <w:r>
        <w:fldChar w:fldCharType="separate"/>
      </w:r>
      <w:r>
        <w:rPr>
          <w:rFonts w:hint="eastAsia" w:ascii="宋体" w:eastAsia="宋体" w:cs="宋体"/>
          <w:sz w:val="24"/>
          <w:szCs w:val="24"/>
        </w:rPr>
        <w:t>资格证明文件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_Toc29071 \h </w:instrText>
      </w:r>
      <w:r>
        <w:rPr>
          <w:rFonts w:hint="eastAsia" w:ascii="宋体" w:eastAsia="宋体" w:cs="宋体"/>
          <w:sz w:val="24"/>
          <w:szCs w:val="24"/>
        </w:rPr>
        <w:fldChar w:fldCharType="separate"/>
      </w:r>
      <w:r>
        <w:rPr>
          <w:rFonts w:hint="eastAsia" w:ascii="宋体" w:eastAsia="宋体" w:cs="宋体"/>
          <w:sz w:val="24"/>
          <w:szCs w:val="24"/>
        </w:rPr>
        <w:t>- 157 -</w:t>
      </w:r>
      <w:r>
        <w:rPr>
          <w:rFonts w:hint="eastAsia" w:ascii="宋体" w:eastAsia="宋体" w:cs="宋体"/>
          <w:sz w:val="24"/>
          <w:szCs w:val="24"/>
        </w:rPr>
        <w:fldChar w:fldCharType="end"/>
      </w:r>
      <w:r>
        <w:rPr>
          <w:rFonts w:hint="eastAsia" w:ascii="宋体" w:eastAsia="宋体" w:cs="宋体"/>
          <w:sz w:val="24"/>
          <w:szCs w:val="24"/>
        </w:rPr>
        <w:fldChar w:fldCharType="end"/>
      </w:r>
    </w:p>
    <w:p w14:paraId="103EB560">
      <w:pPr>
        <w:pStyle w:val="26"/>
        <w:tabs>
          <w:tab w:val="right" w:leader="dot" w:pos="8306"/>
        </w:tabs>
        <w:rPr>
          <w:rFonts w:hint="eastAsia" w:ascii="宋体" w:eastAsia="宋体" w:cs="宋体"/>
          <w:sz w:val="24"/>
          <w:szCs w:val="24"/>
        </w:rPr>
      </w:pPr>
      <w:r>
        <w:fldChar w:fldCharType="begin"/>
      </w:r>
      <w:r>
        <w:instrText xml:space="preserve"> HYPERLINK \l "_Toc27759" </w:instrText>
      </w:r>
      <w:r>
        <w:fldChar w:fldCharType="separate"/>
      </w:r>
      <w:r>
        <w:rPr>
          <w:rFonts w:hint="eastAsia" w:ascii="宋体" w:eastAsia="宋体" w:cs="宋体"/>
          <w:sz w:val="24"/>
          <w:szCs w:val="24"/>
        </w:rPr>
        <w:t>一、满足《中华人民共和国政府采购法》第二十二条规定</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_Toc27759 \h </w:instrText>
      </w:r>
      <w:r>
        <w:rPr>
          <w:rFonts w:hint="eastAsia" w:ascii="宋体" w:eastAsia="宋体" w:cs="宋体"/>
          <w:sz w:val="24"/>
          <w:szCs w:val="24"/>
        </w:rPr>
        <w:fldChar w:fldCharType="separate"/>
      </w:r>
      <w:r>
        <w:rPr>
          <w:rFonts w:hint="eastAsia" w:ascii="宋体" w:eastAsia="宋体" w:cs="宋体"/>
          <w:sz w:val="24"/>
          <w:szCs w:val="24"/>
        </w:rPr>
        <w:t>- 158 -</w:t>
      </w:r>
      <w:r>
        <w:rPr>
          <w:rFonts w:hint="eastAsia" w:ascii="宋体" w:eastAsia="宋体" w:cs="宋体"/>
          <w:sz w:val="24"/>
          <w:szCs w:val="24"/>
        </w:rPr>
        <w:fldChar w:fldCharType="end"/>
      </w:r>
      <w:r>
        <w:rPr>
          <w:rFonts w:hint="eastAsia" w:ascii="宋体" w:eastAsia="宋体" w:cs="宋体"/>
          <w:sz w:val="24"/>
          <w:szCs w:val="24"/>
        </w:rPr>
        <w:fldChar w:fldCharType="end"/>
      </w:r>
    </w:p>
    <w:p w14:paraId="50C0ED9B">
      <w:pPr>
        <w:pStyle w:val="26"/>
        <w:tabs>
          <w:tab w:val="right" w:leader="dot" w:pos="8306"/>
        </w:tabs>
        <w:rPr>
          <w:rFonts w:hint="eastAsia" w:ascii="宋体" w:eastAsia="宋体" w:cs="宋体"/>
          <w:sz w:val="24"/>
          <w:szCs w:val="24"/>
        </w:rPr>
      </w:pPr>
      <w:r>
        <w:fldChar w:fldCharType="begin"/>
      </w:r>
      <w:r>
        <w:instrText xml:space="preserve"> HYPERLINK \l "_Toc27648" </w:instrText>
      </w:r>
      <w:r>
        <w:fldChar w:fldCharType="separate"/>
      </w:r>
      <w:r>
        <w:rPr>
          <w:rFonts w:hint="eastAsia" w:ascii="宋体" w:eastAsia="宋体" w:cs="宋体"/>
          <w:sz w:val="24"/>
          <w:szCs w:val="24"/>
        </w:rPr>
        <w:t>二、</w:t>
      </w:r>
      <w:r>
        <w:rPr>
          <w:rFonts w:hint="eastAsia" w:ascii="宋体" w:eastAsia="宋体" w:cs="宋体"/>
          <w:sz w:val="24"/>
          <w:szCs w:val="24"/>
          <w:lang w:val="zh-CN"/>
        </w:rPr>
        <w:t>联合体协议书【如适用】</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_Toc27648 \h </w:instrText>
      </w:r>
      <w:r>
        <w:rPr>
          <w:rFonts w:hint="eastAsia" w:ascii="宋体" w:eastAsia="宋体" w:cs="宋体"/>
          <w:sz w:val="24"/>
          <w:szCs w:val="24"/>
        </w:rPr>
        <w:fldChar w:fldCharType="separate"/>
      </w:r>
      <w:r>
        <w:rPr>
          <w:rFonts w:hint="eastAsia" w:ascii="宋体" w:eastAsia="宋体" w:cs="宋体"/>
          <w:sz w:val="24"/>
          <w:szCs w:val="24"/>
        </w:rPr>
        <w:t>- 161 -</w:t>
      </w:r>
      <w:r>
        <w:rPr>
          <w:rFonts w:hint="eastAsia" w:ascii="宋体" w:eastAsia="宋体" w:cs="宋体"/>
          <w:sz w:val="24"/>
          <w:szCs w:val="24"/>
        </w:rPr>
        <w:fldChar w:fldCharType="end"/>
      </w:r>
      <w:r>
        <w:rPr>
          <w:rFonts w:hint="eastAsia" w:ascii="宋体" w:eastAsia="宋体" w:cs="宋体"/>
          <w:sz w:val="24"/>
          <w:szCs w:val="24"/>
        </w:rPr>
        <w:fldChar w:fldCharType="end"/>
      </w:r>
    </w:p>
    <w:p w14:paraId="146839F7">
      <w:pPr>
        <w:pStyle w:val="22"/>
        <w:tabs>
          <w:tab w:val="right" w:leader="dot" w:pos="8306"/>
        </w:tabs>
        <w:rPr>
          <w:rFonts w:hint="eastAsia" w:ascii="宋体" w:eastAsia="宋体" w:cs="宋体"/>
          <w:sz w:val="24"/>
          <w:szCs w:val="24"/>
        </w:rPr>
      </w:pPr>
      <w:r>
        <w:fldChar w:fldCharType="begin"/>
      </w:r>
      <w:r>
        <w:instrText xml:space="preserve"> HYPERLINK \l "_Toc12394" </w:instrText>
      </w:r>
      <w:r>
        <w:fldChar w:fldCharType="separate"/>
      </w:r>
      <w:r>
        <w:rPr>
          <w:rFonts w:hint="eastAsia" w:ascii="宋体" w:eastAsia="宋体" w:cs="宋体"/>
          <w:kern w:val="0"/>
          <w:sz w:val="24"/>
          <w:szCs w:val="24"/>
        </w:rPr>
        <w:t>联合体协议书</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_Toc12394 \h </w:instrText>
      </w:r>
      <w:r>
        <w:rPr>
          <w:rFonts w:hint="eastAsia" w:ascii="宋体" w:eastAsia="宋体" w:cs="宋体"/>
          <w:sz w:val="24"/>
          <w:szCs w:val="24"/>
        </w:rPr>
        <w:fldChar w:fldCharType="separate"/>
      </w:r>
      <w:r>
        <w:rPr>
          <w:rFonts w:hint="eastAsia" w:ascii="宋体" w:eastAsia="宋体" w:cs="宋体"/>
          <w:sz w:val="24"/>
          <w:szCs w:val="24"/>
        </w:rPr>
        <w:t>- 161 -</w:t>
      </w:r>
      <w:r>
        <w:rPr>
          <w:rFonts w:hint="eastAsia" w:ascii="宋体" w:eastAsia="宋体" w:cs="宋体"/>
          <w:sz w:val="24"/>
          <w:szCs w:val="24"/>
        </w:rPr>
        <w:fldChar w:fldCharType="end"/>
      </w:r>
      <w:r>
        <w:rPr>
          <w:rFonts w:hint="eastAsia" w:ascii="宋体" w:eastAsia="宋体" w:cs="宋体"/>
          <w:sz w:val="24"/>
          <w:szCs w:val="24"/>
        </w:rPr>
        <w:fldChar w:fldCharType="end"/>
      </w:r>
    </w:p>
    <w:p w14:paraId="7D84665C">
      <w:pPr>
        <w:pStyle w:val="26"/>
        <w:tabs>
          <w:tab w:val="right" w:leader="dot" w:pos="8306"/>
        </w:tabs>
        <w:rPr>
          <w:rFonts w:hint="eastAsia" w:ascii="宋体" w:eastAsia="宋体" w:cs="宋体"/>
          <w:sz w:val="24"/>
          <w:szCs w:val="24"/>
        </w:rPr>
      </w:pPr>
      <w:r>
        <w:fldChar w:fldCharType="begin"/>
      </w:r>
      <w:r>
        <w:instrText xml:space="preserve"> HYPERLINK \l "_Toc21011" </w:instrText>
      </w:r>
      <w:r>
        <w:fldChar w:fldCharType="separate"/>
      </w:r>
      <w:r>
        <w:rPr>
          <w:rFonts w:hint="eastAsia" w:ascii="宋体" w:eastAsia="宋体" w:cs="宋体"/>
          <w:sz w:val="24"/>
          <w:szCs w:val="24"/>
        </w:rPr>
        <w:t>三、</w:t>
      </w:r>
      <w:r>
        <w:rPr>
          <w:rFonts w:hint="eastAsia" w:ascii="宋体" w:eastAsia="宋体" w:cs="宋体"/>
          <w:sz w:val="24"/>
          <w:szCs w:val="24"/>
          <w:lang w:val="zh-CN"/>
        </w:rPr>
        <w:t>分包意向协议书【如适用】</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_Toc21011 \h </w:instrText>
      </w:r>
      <w:r>
        <w:rPr>
          <w:rFonts w:hint="eastAsia" w:ascii="宋体" w:eastAsia="宋体" w:cs="宋体"/>
          <w:sz w:val="24"/>
          <w:szCs w:val="24"/>
        </w:rPr>
        <w:fldChar w:fldCharType="separate"/>
      </w:r>
      <w:r>
        <w:rPr>
          <w:rFonts w:hint="eastAsia" w:ascii="宋体" w:eastAsia="宋体" w:cs="宋体"/>
          <w:sz w:val="24"/>
          <w:szCs w:val="24"/>
        </w:rPr>
        <w:t>- 163 -</w:t>
      </w:r>
      <w:r>
        <w:rPr>
          <w:rFonts w:hint="eastAsia" w:ascii="宋体" w:eastAsia="宋体" w:cs="宋体"/>
          <w:sz w:val="24"/>
          <w:szCs w:val="24"/>
        </w:rPr>
        <w:fldChar w:fldCharType="end"/>
      </w:r>
      <w:r>
        <w:rPr>
          <w:rFonts w:hint="eastAsia" w:ascii="宋体" w:eastAsia="宋体" w:cs="宋体"/>
          <w:sz w:val="24"/>
          <w:szCs w:val="24"/>
        </w:rPr>
        <w:fldChar w:fldCharType="end"/>
      </w:r>
    </w:p>
    <w:p w14:paraId="5B57C903">
      <w:pPr>
        <w:pStyle w:val="22"/>
        <w:tabs>
          <w:tab w:val="right" w:leader="dot" w:pos="8306"/>
        </w:tabs>
        <w:rPr>
          <w:rFonts w:hint="eastAsia" w:ascii="宋体" w:eastAsia="宋体" w:cs="宋体"/>
          <w:sz w:val="24"/>
          <w:szCs w:val="24"/>
        </w:rPr>
      </w:pPr>
      <w:r>
        <w:fldChar w:fldCharType="begin"/>
      </w:r>
      <w:r>
        <w:instrText xml:space="preserve"> HYPERLINK \l "_Toc27005" </w:instrText>
      </w:r>
      <w:r>
        <w:fldChar w:fldCharType="separate"/>
      </w:r>
      <w:r>
        <w:rPr>
          <w:rFonts w:hint="eastAsia" w:ascii="宋体" w:eastAsia="宋体" w:cs="宋体"/>
          <w:kern w:val="0"/>
          <w:sz w:val="24"/>
          <w:szCs w:val="24"/>
        </w:rPr>
        <w:t>分包意向协议书</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_Toc27005 \h </w:instrText>
      </w:r>
      <w:r>
        <w:rPr>
          <w:rFonts w:hint="eastAsia" w:ascii="宋体" w:eastAsia="宋体" w:cs="宋体"/>
          <w:sz w:val="24"/>
          <w:szCs w:val="24"/>
        </w:rPr>
        <w:fldChar w:fldCharType="separate"/>
      </w:r>
      <w:r>
        <w:rPr>
          <w:rFonts w:hint="eastAsia" w:ascii="宋体" w:eastAsia="宋体" w:cs="宋体"/>
          <w:sz w:val="24"/>
          <w:szCs w:val="24"/>
        </w:rPr>
        <w:t>- 163 -</w:t>
      </w:r>
      <w:r>
        <w:rPr>
          <w:rFonts w:hint="eastAsia" w:ascii="宋体" w:eastAsia="宋体" w:cs="宋体"/>
          <w:sz w:val="24"/>
          <w:szCs w:val="24"/>
        </w:rPr>
        <w:fldChar w:fldCharType="end"/>
      </w:r>
      <w:r>
        <w:rPr>
          <w:rFonts w:hint="eastAsia" w:ascii="宋体" w:eastAsia="宋体" w:cs="宋体"/>
          <w:sz w:val="24"/>
          <w:szCs w:val="24"/>
        </w:rPr>
        <w:fldChar w:fldCharType="end"/>
      </w:r>
    </w:p>
    <w:p w14:paraId="51C76004">
      <w:pPr>
        <w:pStyle w:val="26"/>
        <w:tabs>
          <w:tab w:val="right" w:leader="dot" w:pos="8306"/>
        </w:tabs>
        <w:rPr>
          <w:rFonts w:hint="eastAsia" w:ascii="宋体" w:eastAsia="宋体" w:cs="宋体"/>
          <w:sz w:val="24"/>
          <w:szCs w:val="24"/>
        </w:rPr>
      </w:pPr>
      <w:r>
        <w:fldChar w:fldCharType="begin"/>
      </w:r>
      <w:r>
        <w:instrText xml:space="preserve"> HYPERLINK \l "_Toc17433" </w:instrText>
      </w:r>
      <w:r>
        <w:fldChar w:fldCharType="separate"/>
      </w:r>
      <w:r>
        <w:rPr>
          <w:rFonts w:hint="eastAsia" w:ascii="宋体" w:eastAsia="宋体" w:cs="宋体"/>
          <w:sz w:val="24"/>
          <w:szCs w:val="24"/>
        </w:rPr>
        <w:t>四、落实政府采购政策相关证明文件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_Toc17433 \h </w:instrText>
      </w:r>
      <w:r>
        <w:rPr>
          <w:rFonts w:hint="eastAsia" w:ascii="宋体" w:eastAsia="宋体" w:cs="宋体"/>
          <w:sz w:val="24"/>
          <w:szCs w:val="24"/>
        </w:rPr>
        <w:fldChar w:fldCharType="separate"/>
      </w:r>
      <w:r>
        <w:rPr>
          <w:rFonts w:hint="eastAsia" w:ascii="宋体" w:eastAsia="宋体" w:cs="宋体"/>
          <w:sz w:val="24"/>
          <w:szCs w:val="24"/>
        </w:rPr>
        <w:t>- 165 -</w:t>
      </w:r>
      <w:r>
        <w:rPr>
          <w:rFonts w:hint="eastAsia" w:ascii="宋体" w:eastAsia="宋体" w:cs="宋体"/>
          <w:sz w:val="24"/>
          <w:szCs w:val="24"/>
        </w:rPr>
        <w:fldChar w:fldCharType="end"/>
      </w:r>
      <w:r>
        <w:rPr>
          <w:rFonts w:hint="eastAsia" w:ascii="宋体" w:eastAsia="宋体" w:cs="宋体"/>
          <w:sz w:val="24"/>
          <w:szCs w:val="24"/>
        </w:rPr>
        <w:fldChar w:fldCharType="end"/>
      </w:r>
    </w:p>
    <w:p w14:paraId="68BB50D1">
      <w:pPr>
        <w:pStyle w:val="26"/>
        <w:tabs>
          <w:tab w:val="right" w:leader="dot" w:pos="8306"/>
        </w:tabs>
        <w:rPr>
          <w:rFonts w:hint="eastAsia" w:ascii="宋体" w:eastAsia="宋体" w:cs="宋体"/>
          <w:sz w:val="24"/>
          <w:szCs w:val="24"/>
        </w:rPr>
      </w:pPr>
      <w:r>
        <w:fldChar w:fldCharType="begin"/>
      </w:r>
      <w:r>
        <w:instrText xml:space="preserve"> HYPERLINK \l "_Toc4882" </w:instrText>
      </w:r>
      <w:r>
        <w:fldChar w:fldCharType="separate"/>
      </w:r>
      <w:r>
        <w:rPr>
          <w:rFonts w:hint="eastAsia" w:ascii="宋体" w:eastAsia="宋体" w:cs="宋体"/>
          <w:sz w:val="24"/>
          <w:szCs w:val="24"/>
        </w:rPr>
        <w:t>五、不参与围标串标承诺书</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_Toc4882 \h </w:instrText>
      </w:r>
      <w:r>
        <w:rPr>
          <w:rFonts w:hint="eastAsia" w:ascii="宋体" w:eastAsia="宋体" w:cs="宋体"/>
          <w:sz w:val="24"/>
          <w:szCs w:val="24"/>
        </w:rPr>
        <w:fldChar w:fldCharType="separate"/>
      </w:r>
      <w:r>
        <w:rPr>
          <w:rFonts w:hint="eastAsia" w:ascii="宋体" w:eastAsia="宋体" w:cs="宋体"/>
          <w:sz w:val="24"/>
          <w:szCs w:val="24"/>
        </w:rPr>
        <w:t>- 168 -</w:t>
      </w:r>
      <w:r>
        <w:rPr>
          <w:rFonts w:hint="eastAsia" w:ascii="宋体" w:eastAsia="宋体" w:cs="宋体"/>
          <w:sz w:val="24"/>
          <w:szCs w:val="24"/>
        </w:rPr>
        <w:fldChar w:fldCharType="end"/>
      </w:r>
      <w:r>
        <w:rPr>
          <w:rFonts w:hint="eastAsia" w:ascii="宋体" w:eastAsia="宋体" w:cs="宋体"/>
          <w:sz w:val="24"/>
          <w:szCs w:val="24"/>
        </w:rPr>
        <w:fldChar w:fldCharType="end"/>
      </w:r>
    </w:p>
    <w:p w14:paraId="75185A2F">
      <w:pPr>
        <w:pStyle w:val="26"/>
        <w:tabs>
          <w:tab w:val="right" w:leader="dot" w:pos="8306"/>
        </w:tabs>
        <w:rPr>
          <w:rFonts w:hint="eastAsia" w:ascii="宋体" w:eastAsia="宋体" w:cs="宋体"/>
          <w:sz w:val="24"/>
          <w:szCs w:val="24"/>
        </w:rPr>
      </w:pPr>
      <w:r>
        <w:fldChar w:fldCharType="begin"/>
      </w:r>
      <w:r>
        <w:instrText xml:space="preserve"> HYPERLINK \l "_Toc32223" </w:instrText>
      </w:r>
      <w:r>
        <w:fldChar w:fldCharType="separate"/>
      </w:r>
      <w:r>
        <w:rPr>
          <w:rFonts w:hint="eastAsia" w:ascii="宋体" w:eastAsia="宋体" w:cs="宋体"/>
          <w:sz w:val="24"/>
          <w:szCs w:val="24"/>
        </w:rPr>
        <w:t>六、</w:t>
      </w:r>
      <w:r>
        <w:rPr>
          <w:rFonts w:hint="eastAsia" w:ascii="宋体" w:eastAsia="宋体" w:cs="宋体"/>
          <w:sz w:val="24"/>
          <w:szCs w:val="24"/>
          <w:lang w:val="zh-CN"/>
        </w:rPr>
        <w:t>其他资格证明文件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_Toc32223 \h </w:instrText>
      </w:r>
      <w:r>
        <w:rPr>
          <w:rFonts w:hint="eastAsia" w:ascii="宋体" w:eastAsia="宋体" w:cs="宋体"/>
          <w:sz w:val="24"/>
          <w:szCs w:val="24"/>
        </w:rPr>
        <w:fldChar w:fldCharType="separate"/>
      </w:r>
      <w:r>
        <w:rPr>
          <w:rFonts w:hint="eastAsia" w:ascii="宋体" w:eastAsia="宋体" w:cs="宋体"/>
          <w:sz w:val="24"/>
          <w:szCs w:val="24"/>
        </w:rPr>
        <w:t>- 169 -</w:t>
      </w:r>
      <w:r>
        <w:rPr>
          <w:rFonts w:hint="eastAsia" w:ascii="宋体" w:eastAsia="宋体" w:cs="宋体"/>
          <w:sz w:val="24"/>
          <w:szCs w:val="24"/>
        </w:rPr>
        <w:fldChar w:fldCharType="end"/>
      </w:r>
      <w:r>
        <w:rPr>
          <w:rFonts w:hint="eastAsia" w:ascii="宋体" w:eastAsia="宋体" w:cs="宋体"/>
          <w:sz w:val="24"/>
          <w:szCs w:val="24"/>
        </w:rPr>
        <w:fldChar w:fldCharType="end"/>
      </w:r>
    </w:p>
    <w:p w14:paraId="4248AB5E">
      <w:pPr>
        <w:pStyle w:val="22"/>
        <w:tabs>
          <w:tab w:val="right" w:leader="dot" w:pos="8306"/>
        </w:tabs>
        <w:rPr>
          <w:rFonts w:hint="eastAsia" w:ascii="宋体" w:eastAsia="宋体" w:cs="宋体"/>
          <w:sz w:val="24"/>
          <w:szCs w:val="24"/>
        </w:rPr>
      </w:pPr>
      <w:r>
        <w:fldChar w:fldCharType="begin"/>
      </w:r>
      <w:r>
        <w:instrText xml:space="preserve"> HYPERLINK \l "_Toc18431" </w:instrText>
      </w:r>
      <w:r>
        <w:fldChar w:fldCharType="separate"/>
      </w:r>
      <w:r>
        <w:rPr>
          <w:rFonts w:hint="eastAsia" w:ascii="宋体" w:eastAsia="宋体" w:cs="宋体"/>
          <w:sz w:val="24"/>
          <w:szCs w:val="24"/>
        </w:rPr>
        <w:t>投 标 文 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_Toc18431 \h </w:instrText>
      </w:r>
      <w:r>
        <w:rPr>
          <w:rFonts w:hint="eastAsia" w:ascii="宋体" w:eastAsia="宋体" w:cs="宋体"/>
          <w:sz w:val="24"/>
          <w:szCs w:val="24"/>
        </w:rPr>
        <w:fldChar w:fldCharType="separate"/>
      </w:r>
      <w:r>
        <w:rPr>
          <w:rFonts w:hint="eastAsia" w:ascii="宋体" w:eastAsia="宋体" w:cs="宋体"/>
          <w:sz w:val="24"/>
          <w:szCs w:val="24"/>
        </w:rPr>
        <w:t>- 170 -</w:t>
      </w:r>
      <w:r>
        <w:rPr>
          <w:rFonts w:hint="eastAsia" w:ascii="宋体" w:eastAsia="宋体" w:cs="宋体"/>
          <w:sz w:val="24"/>
          <w:szCs w:val="24"/>
        </w:rPr>
        <w:fldChar w:fldCharType="end"/>
      </w:r>
      <w:r>
        <w:rPr>
          <w:rFonts w:hint="eastAsia" w:ascii="宋体" w:eastAsia="宋体" w:cs="宋体"/>
          <w:sz w:val="24"/>
          <w:szCs w:val="24"/>
        </w:rPr>
        <w:fldChar w:fldCharType="end"/>
      </w:r>
    </w:p>
    <w:p w14:paraId="78E31D5F">
      <w:pPr>
        <w:pStyle w:val="22"/>
        <w:tabs>
          <w:tab w:val="right" w:leader="dot" w:pos="8306"/>
        </w:tabs>
        <w:rPr>
          <w:rFonts w:hint="eastAsia" w:ascii="宋体" w:eastAsia="宋体" w:cs="宋体"/>
          <w:sz w:val="24"/>
          <w:szCs w:val="24"/>
        </w:rPr>
      </w:pPr>
      <w:r>
        <w:fldChar w:fldCharType="begin"/>
      </w:r>
      <w:r>
        <w:instrText xml:space="preserve"> HYPERLINK \l "_Toc21756" </w:instrText>
      </w:r>
      <w:r>
        <w:fldChar w:fldCharType="separate"/>
      </w:r>
      <w:r>
        <w:rPr>
          <w:rFonts w:hint="eastAsia" w:ascii="宋体" w:eastAsia="宋体" w:cs="宋体"/>
          <w:sz w:val="24"/>
          <w:szCs w:val="24"/>
        </w:rPr>
        <w:t>报价文件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_Toc21756 \h </w:instrText>
      </w:r>
      <w:r>
        <w:rPr>
          <w:rFonts w:hint="eastAsia" w:ascii="宋体" w:eastAsia="宋体" w:cs="宋体"/>
          <w:sz w:val="24"/>
          <w:szCs w:val="24"/>
        </w:rPr>
        <w:fldChar w:fldCharType="separate"/>
      </w:r>
      <w:r>
        <w:rPr>
          <w:rFonts w:hint="eastAsia" w:ascii="宋体" w:eastAsia="宋体" w:cs="宋体"/>
          <w:sz w:val="24"/>
          <w:szCs w:val="24"/>
        </w:rPr>
        <w:t>- 170 -</w:t>
      </w:r>
      <w:r>
        <w:rPr>
          <w:rFonts w:hint="eastAsia" w:ascii="宋体" w:eastAsia="宋体" w:cs="宋体"/>
          <w:sz w:val="24"/>
          <w:szCs w:val="24"/>
        </w:rPr>
        <w:fldChar w:fldCharType="end"/>
      </w:r>
      <w:r>
        <w:rPr>
          <w:rFonts w:hint="eastAsia" w:ascii="宋体" w:eastAsia="宋体" w:cs="宋体"/>
          <w:sz w:val="24"/>
          <w:szCs w:val="24"/>
        </w:rPr>
        <w:fldChar w:fldCharType="end"/>
      </w:r>
    </w:p>
    <w:p w14:paraId="3BEAB8C1">
      <w:pPr>
        <w:pStyle w:val="26"/>
        <w:tabs>
          <w:tab w:val="right" w:leader="dot" w:pos="8306"/>
        </w:tabs>
        <w:rPr>
          <w:rFonts w:hint="eastAsia" w:ascii="宋体" w:eastAsia="宋体" w:cs="宋体"/>
          <w:sz w:val="24"/>
          <w:szCs w:val="24"/>
        </w:rPr>
      </w:pPr>
      <w:r>
        <w:fldChar w:fldCharType="begin"/>
      </w:r>
      <w:r>
        <w:instrText xml:space="preserve"> HYPERLINK \l "_Toc2842" </w:instrText>
      </w:r>
      <w:r>
        <w:fldChar w:fldCharType="separate"/>
      </w:r>
      <w:r>
        <w:rPr>
          <w:rFonts w:hint="eastAsia" w:ascii="宋体" w:eastAsia="宋体" w:cs="宋体"/>
          <w:sz w:val="24"/>
          <w:szCs w:val="24"/>
        </w:rPr>
        <w:t>一、开标一览表</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_Toc2842 \h </w:instrText>
      </w:r>
      <w:r>
        <w:rPr>
          <w:rFonts w:hint="eastAsia" w:ascii="宋体" w:eastAsia="宋体" w:cs="宋体"/>
          <w:sz w:val="24"/>
          <w:szCs w:val="24"/>
        </w:rPr>
        <w:fldChar w:fldCharType="separate"/>
      </w:r>
      <w:r>
        <w:rPr>
          <w:rFonts w:hint="eastAsia" w:ascii="宋体" w:eastAsia="宋体" w:cs="宋体"/>
          <w:sz w:val="24"/>
          <w:szCs w:val="24"/>
        </w:rPr>
        <w:t>- 171 -</w:t>
      </w:r>
      <w:r>
        <w:rPr>
          <w:rFonts w:hint="eastAsia" w:ascii="宋体" w:eastAsia="宋体" w:cs="宋体"/>
          <w:sz w:val="24"/>
          <w:szCs w:val="24"/>
        </w:rPr>
        <w:fldChar w:fldCharType="end"/>
      </w:r>
      <w:r>
        <w:rPr>
          <w:rFonts w:hint="eastAsia" w:ascii="宋体" w:eastAsia="宋体" w:cs="宋体"/>
          <w:sz w:val="24"/>
          <w:szCs w:val="24"/>
        </w:rPr>
        <w:fldChar w:fldCharType="end"/>
      </w:r>
    </w:p>
    <w:p w14:paraId="36BE85AD">
      <w:pPr>
        <w:pStyle w:val="26"/>
        <w:tabs>
          <w:tab w:val="right" w:leader="dot" w:pos="8306"/>
        </w:tabs>
        <w:rPr>
          <w:rFonts w:hint="eastAsia" w:ascii="宋体" w:eastAsia="宋体" w:cs="宋体"/>
          <w:sz w:val="24"/>
          <w:szCs w:val="24"/>
        </w:rPr>
      </w:pPr>
      <w:r>
        <w:fldChar w:fldCharType="begin"/>
      </w:r>
      <w:r>
        <w:instrText xml:space="preserve"> HYPERLINK \l "_Toc13294" </w:instrText>
      </w:r>
      <w:r>
        <w:fldChar w:fldCharType="separate"/>
      </w:r>
      <w:r>
        <w:rPr>
          <w:rFonts w:hint="eastAsia" w:ascii="宋体" w:eastAsia="宋体" w:cs="宋体"/>
          <w:sz w:val="24"/>
          <w:szCs w:val="24"/>
        </w:rPr>
        <w:t>二、分项报价表</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_Toc13294 \h </w:instrText>
      </w:r>
      <w:r>
        <w:rPr>
          <w:rFonts w:hint="eastAsia" w:ascii="宋体" w:eastAsia="宋体" w:cs="宋体"/>
          <w:sz w:val="24"/>
          <w:szCs w:val="24"/>
        </w:rPr>
        <w:fldChar w:fldCharType="separate"/>
      </w:r>
      <w:r>
        <w:rPr>
          <w:rFonts w:hint="eastAsia" w:ascii="宋体" w:eastAsia="宋体" w:cs="宋体"/>
          <w:sz w:val="24"/>
          <w:szCs w:val="24"/>
        </w:rPr>
        <w:t>- 172 -</w:t>
      </w:r>
      <w:r>
        <w:rPr>
          <w:rFonts w:hint="eastAsia" w:ascii="宋体" w:eastAsia="宋体" w:cs="宋体"/>
          <w:sz w:val="24"/>
          <w:szCs w:val="24"/>
        </w:rPr>
        <w:fldChar w:fldCharType="end"/>
      </w:r>
      <w:r>
        <w:rPr>
          <w:rFonts w:hint="eastAsia" w:ascii="宋体" w:eastAsia="宋体" w:cs="宋体"/>
          <w:sz w:val="24"/>
          <w:szCs w:val="24"/>
        </w:rPr>
        <w:fldChar w:fldCharType="end"/>
      </w:r>
    </w:p>
    <w:p w14:paraId="461B1537">
      <w:pPr>
        <w:pStyle w:val="26"/>
        <w:tabs>
          <w:tab w:val="right" w:leader="dot" w:pos="8306"/>
        </w:tabs>
        <w:rPr>
          <w:rFonts w:hint="eastAsia" w:ascii="宋体" w:eastAsia="宋体" w:cs="宋体"/>
          <w:sz w:val="24"/>
          <w:szCs w:val="24"/>
        </w:rPr>
      </w:pPr>
      <w:r>
        <w:fldChar w:fldCharType="begin"/>
      </w:r>
      <w:r>
        <w:instrText xml:space="preserve"> HYPERLINK \l "_Toc28824" </w:instrText>
      </w:r>
      <w:r>
        <w:fldChar w:fldCharType="separate"/>
      </w:r>
      <w:r>
        <w:rPr>
          <w:rFonts w:hint="eastAsia" w:ascii="宋体" w:eastAsia="宋体" w:cs="宋体"/>
          <w:sz w:val="24"/>
          <w:szCs w:val="24"/>
        </w:rPr>
        <w:t>三、关于符合本国产品标准的声明函或财政部规定的其他</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_Toc28824 \h </w:instrText>
      </w:r>
      <w:r>
        <w:rPr>
          <w:rFonts w:hint="eastAsia" w:ascii="宋体" w:eastAsia="宋体" w:cs="宋体"/>
          <w:sz w:val="24"/>
          <w:szCs w:val="24"/>
        </w:rPr>
        <w:fldChar w:fldCharType="separate"/>
      </w:r>
      <w:r>
        <w:rPr>
          <w:rFonts w:hint="eastAsia" w:ascii="宋体" w:eastAsia="宋体" w:cs="宋体"/>
          <w:sz w:val="24"/>
          <w:szCs w:val="24"/>
        </w:rPr>
        <w:t>- 174 -</w:t>
      </w:r>
      <w:r>
        <w:rPr>
          <w:rFonts w:hint="eastAsia" w:ascii="宋体" w:eastAsia="宋体" w:cs="宋体"/>
          <w:sz w:val="24"/>
          <w:szCs w:val="24"/>
        </w:rPr>
        <w:fldChar w:fldCharType="end"/>
      </w:r>
      <w:r>
        <w:rPr>
          <w:rFonts w:hint="eastAsia" w:ascii="宋体" w:eastAsia="宋体" w:cs="宋体"/>
          <w:sz w:val="24"/>
          <w:szCs w:val="24"/>
        </w:rPr>
        <w:fldChar w:fldCharType="end"/>
      </w:r>
    </w:p>
    <w:p w14:paraId="1809B0E1">
      <w:pPr>
        <w:pStyle w:val="26"/>
        <w:tabs>
          <w:tab w:val="right" w:leader="dot" w:pos="8306"/>
        </w:tabs>
        <w:rPr>
          <w:rFonts w:hint="eastAsia" w:ascii="宋体" w:eastAsia="宋体" w:cs="宋体"/>
          <w:sz w:val="24"/>
          <w:szCs w:val="24"/>
        </w:rPr>
      </w:pPr>
      <w:r>
        <w:fldChar w:fldCharType="begin"/>
      </w:r>
      <w:r>
        <w:instrText xml:space="preserve"> HYPERLINK \l "_Toc2844" </w:instrText>
      </w:r>
      <w:r>
        <w:fldChar w:fldCharType="separate"/>
      </w:r>
      <w:r>
        <w:rPr>
          <w:rFonts w:hint="eastAsia" w:ascii="宋体" w:eastAsia="宋体" w:cs="宋体"/>
          <w:sz w:val="24"/>
          <w:szCs w:val="24"/>
        </w:rPr>
        <w:t>证明文件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_Toc2844 \h </w:instrText>
      </w:r>
      <w:r>
        <w:rPr>
          <w:rFonts w:hint="eastAsia" w:ascii="宋体" w:eastAsia="宋体" w:cs="宋体"/>
          <w:sz w:val="24"/>
          <w:szCs w:val="24"/>
        </w:rPr>
        <w:fldChar w:fldCharType="separate"/>
      </w:r>
      <w:r>
        <w:rPr>
          <w:rFonts w:hint="eastAsia" w:ascii="宋体" w:eastAsia="宋体" w:cs="宋体"/>
          <w:sz w:val="24"/>
          <w:szCs w:val="24"/>
        </w:rPr>
        <w:t>- 174 -</w:t>
      </w:r>
      <w:r>
        <w:rPr>
          <w:rFonts w:hint="eastAsia" w:ascii="宋体" w:eastAsia="宋体" w:cs="宋体"/>
          <w:sz w:val="24"/>
          <w:szCs w:val="24"/>
        </w:rPr>
        <w:fldChar w:fldCharType="end"/>
      </w:r>
      <w:r>
        <w:rPr>
          <w:rFonts w:hint="eastAsia" w:ascii="宋体" w:eastAsia="宋体" w:cs="宋体"/>
          <w:sz w:val="24"/>
          <w:szCs w:val="24"/>
        </w:rPr>
        <w:fldChar w:fldCharType="end"/>
      </w:r>
    </w:p>
    <w:p w14:paraId="46D36FAB">
      <w:pPr>
        <w:pStyle w:val="22"/>
        <w:tabs>
          <w:tab w:val="right" w:leader="dot" w:pos="8306"/>
        </w:tabs>
        <w:rPr>
          <w:rFonts w:hint="eastAsia" w:ascii="宋体" w:eastAsia="宋体" w:cs="宋体"/>
          <w:sz w:val="24"/>
          <w:szCs w:val="24"/>
        </w:rPr>
      </w:pPr>
      <w:r>
        <w:fldChar w:fldCharType="begin"/>
      </w:r>
      <w:r>
        <w:instrText xml:space="preserve"> HYPERLINK \l "_Toc10297" </w:instrText>
      </w:r>
      <w:r>
        <w:fldChar w:fldCharType="separate"/>
      </w:r>
      <w:r>
        <w:rPr>
          <w:rFonts w:hint="eastAsia" w:ascii="宋体" w:eastAsia="宋体" w:cs="宋体"/>
          <w:sz w:val="24"/>
          <w:szCs w:val="24"/>
        </w:rPr>
        <w:t>投 标 文 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_Toc10297 \h </w:instrText>
      </w:r>
      <w:r>
        <w:rPr>
          <w:rFonts w:hint="eastAsia" w:ascii="宋体" w:eastAsia="宋体" w:cs="宋体"/>
          <w:sz w:val="24"/>
          <w:szCs w:val="24"/>
        </w:rPr>
        <w:fldChar w:fldCharType="separate"/>
      </w:r>
      <w:r>
        <w:rPr>
          <w:rFonts w:hint="eastAsia" w:ascii="宋体" w:eastAsia="宋体" w:cs="宋体"/>
          <w:sz w:val="24"/>
          <w:szCs w:val="24"/>
        </w:rPr>
        <w:t>- 176 -</w:t>
      </w:r>
      <w:r>
        <w:rPr>
          <w:rFonts w:hint="eastAsia" w:ascii="宋体" w:eastAsia="宋体" w:cs="宋体"/>
          <w:sz w:val="24"/>
          <w:szCs w:val="24"/>
        </w:rPr>
        <w:fldChar w:fldCharType="end"/>
      </w:r>
      <w:r>
        <w:rPr>
          <w:rFonts w:hint="eastAsia" w:ascii="宋体" w:eastAsia="宋体" w:cs="宋体"/>
          <w:sz w:val="24"/>
          <w:szCs w:val="24"/>
        </w:rPr>
        <w:fldChar w:fldCharType="end"/>
      </w:r>
    </w:p>
    <w:p w14:paraId="386FDB59">
      <w:pPr>
        <w:pStyle w:val="22"/>
        <w:tabs>
          <w:tab w:val="right" w:leader="dot" w:pos="8306"/>
        </w:tabs>
        <w:rPr>
          <w:rFonts w:hint="eastAsia" w:ascii="宋体" w:eastAsia="宋体" w:cs="宋体"/>
          <w:sz w:val="24"/>
          <w:szCs w:val="24"/>
        </w:rPr>
      </w:pPr>
      <w:r>
        <w:fldChar w:fldCharType="begin"/>
      </w:r>
      <w:r>
        <w:instrText xml:space="preserve"> HYPERLINK \l "_Toc12371" </w:instrText>
      </w:r>
      <w:r>
        <w:fldChar w:fldCharType="separate"/>
      </w:r>
      <w:r>
        <w:rPr>
          <w:rFonts w:hint="eastAsia" w:ascii="宋体" w:eastAsia="宋体" w:cs="宋体"/>
          <w:sz w:val="24"/>
          <w:szCs w:val="24"/>
        </w:rPr>
        <w:t>商务技术文件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_Toc12371 \h </w:instrText>
      </w:r>
      <w:r>
        <w:rPr>
          <w:rFonts w:hint="eastAsia" w:ascii="宋体" w:eastAsia="宋体" w:cs="宋体"/>
          <w:sz w:val="24"/>
          <w:szCs w:val="24"/>
        </w:rPr>
        <w:fldChar w:fldCharType="separate"/>
      </w:r>
      <w:r>
        <w:rPr>
          <w:rFonts w:hint="eastAsia" w:ascii="宋体" w:eastAsia="宋体" w:cs="宋体"/>
          <w:sz w:val="24"/>
          <w:szCs w:val="24"/>
        </w:rPr>
        <w:t>- 176 -</w:t>
      </w:r>
      <w:r>
        <w:rPr>
          <w:rFonts w:hint="eastAsia" w:ascii="宋体" w:eastAsia="宋体" w:cs="宋体"/>
          <w:sz w:val="24"/>
          <w:szCs w:val="24"/>
        </w:rPr>
        <w:fldChar w:fldCharType="end"/>
      </w:r>
      <w:r>
        <w:rPr>
          <w:rFonts w:hint="eastAsia" w:ascii="宋体" w:eastAsia="宋体" w:cs="宋体"/>
          <w:sz w:val="24"/>
          <w:szCs w:val="24"/>
        </w:rPr>
        <w:fldChar w:fldCharType="end"/>
      </w:r>
    </w:p>
    <w:p w14:paraId="363EB236">
      <w:pPr>
        <w:pStyle w:val="26"/>
        <w:tabs>
          <w:tab w:val="right" w:leader="dot" w:pos="8306"/>
        </w:tabs>
        <w:rPr>
          <w:rFonts w:hint="eastAsia" w:ascii="宋体" w:eastAsia="宋体" w:cs="宋体"/>
          <w:sz w:val="24"/>
          <w:szCs w:val="24"/>
        </w:rPr>
      </w:pPr>
      <w:r>
        <w:fldChar w:fldCharType="begin"/>
      </w:r>
      <w:r>
        <w:instrText xml:space="preserve"> HYPERLINK \l "_Toc18790" </w:instrText>
      </w:r>
      <w:r>
        <w:fldChar w:fldCharType="separate"/>
      </w:r>
      <w:r>
        <w:rPr>
          <w:rFonts w:hint="eastAsia" w:ascii="宋体" w:eastAsia="宋体" w:cs="宋体"/>
          <w:sz w:val="24"/>
          <w:szCs w:val="24"/>
        </w:rPr>
        <w:t>一、投标函</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_Toc18790 \h </w:instrText>
      </w:r>
      <w:r>
        <w:rPr>
          <w:rFonts w:hint="eastAsia" w:ascii="宋体" w:eastAsia="宋体" w:cs="宋体"/>
          <w:sz w:val="24"/>
          <w:szCs w:val="24"/>
        </w:rPr>
        <w:fldChar w:fldCharType="separate"/>
      </w:r>
      <w:r>
        <w:rPr>
          <w:rFonts w:hint="eastAsia" w:ascii="宋体" w:eastAsia="宋体" w:cs="宋体"/>
          <w:sz w:val="24"/>
          <w:szCs w:val="24"/>
        </w:rPr>
        <w:t>- 177 -</w:t>
      </w:r>
      <w:r>
        <w:rPr>
          <w:rFonts w:hint="eastAsia" w:ascii="宋体" w:eastAsia="宋体" w:cs="宋体"/>
          <w:sz w:val="24"/>
          <w:szCs w:val="24"/>
        </w:rPr>
        <w:fldChar w:fldCharType="end"/>
      </w:r>
      <w:r>
        <w:rPr>
          <w:rFonts w:hint="eastAsia" w:ascii="宋体" w:eastAsia="宋体" w:cs="宋体"/>
          <w:sz w:val="24"/>
          <w:szCs w:val="24"/>
        </w:rPr>
        <w:fldChar w:fldCharType="end"/>
      </w:r>
    </w:p>
    <w:p w14:paraId="1E478308">
      <w:pPr>
        <w:pStyle w:val="26"/>
        <w:tabs>
          <w:tab w:val="right" w:leader="dot" w:pos="8306"/>
        </w:tabs>
        <w:rPr>
          <w:rFonts w:hint="eastAsia" w:ascii="宋体" w:eastAsia="宋体" w:cs="宋体"/>
          <w:sz w:val="24"/>
          <w:szCs w:val="24"/>
        </w:rPr>
      </w:pPr>
      <w:r>
        <w:fldChar w:fldCharType="begin"/>
      </w:r>
      <w:r>
        <w:instrText xml:space="preserve"> HYPERLINK \l "_Toc15102" </w:instrText>
      </w:r>
      <w:r>
        <w:fldChar w:fldCharType="separate"/>
      </w:r>
      <w:r>
        <w:rPr>
          <w:rFonts w:hint="eastAsia" w:ascii="宋体" w:eastAsia="宋体" w:cs="宋体"/>
          <w:sz w:val="24"/>
          <w:szCs w:val="24"/>
        </w:rPr>
        <w:t>二、法定代表人（单位负责人）身份证明</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_Toc15102 \h </w:instrText>
      </w:r>
      <w:r>
        <w:rPr>
          <w:rFonts w:hint="eastAsia" w:ascii="宋体" w:eastAsia="宋体" w:cs="宋体"/>
          <w:sz w:val="24"/>
          <w:szCs w:val="24"/>
        </w:rPr>
        <w:fldChar w:fldCharType="separate"/>
      </w:r>
      <w:r>
        <w:rPr>
          <w:rFonts w:hint="eastAsia" w:ascii="宋体" w:eastAsia="宋体" w:cs="宋体"/>
          <w:sz w:val="24"/>
          <w:szCs w:val="24"/>
        </w:rPr>
        <w:t>- 179 -</w:t>
      </w:r>
      <w:r>
        <w:rPr>
          <w:rFonts w:hint="eastAsia" w:ascii="宋体" w:eastAsia="宋体" w:cs="宋体"/>
          <w:sz w:val="24"/>
          <w:szCs w:val="24"/>
        </w:rPr>
        <w:fldChar w:fldCharType="end"/>
      </w:r>
      <w:r>
        <w:rPr>
          <w:rFonts w:hint="eastAsia" w:ascii="宋体" w:eastAsia="宋体" w:cs="宋体"/>
          <w:sz w:val="24"/>
          <w:szCs w:val="24"/>
        </w:rPr>
        <w:fldChar w:fldCharType="end"/>
      </w:r>
    </w:p>
    <w:p w14:paraId="387A9356">
      <w:pPr>
        <w:pStyle w:val="26"/>
        <w:tabs>
          <w:tab w:val="right" w:leader="dot" w:pos="8306"/>
        </w:tabs>
        <w:rPr>
          <w:rFonts w:hint="eastAsia" w:ascii="宋体" w:eastAsia="宋体" w:cs="宋体"/>
          <w:sz w:val="24"/>
          <w:szCs w:val="24"/>
        </w:rPr>
      </w:pPr>
      <w:r>
        <w:fldChar w:fldCharType="begin"/>
      </w:r>
      <w:r>
        <w:instrText xml:space="preserve"> HYPERLINK \l "_Toc31984" </w:instrText>
      </w:r>
      <w:r>
        <w:fldChar w:fldCharType="separate"/>
      </w:r>
      <w:r>
        <w:rPr>
          <w:rFonts w:hint="eastAsia" w:ascii="宋体" w:eastAsia="宋体" w:cs="宋体"/>
          <w:sz w:val="24"/>
          <w:szCs w:val="24"/>
        </w:rPr>
        <w:t>三、授权委托书</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_Toc31984 \h </w:instrText>
      </w:r>
      <w:r>
        <w:rPr>
          <w:rFonts w:hint="eastAsia" w:ascii="宋体" w:eastAsia="宋体" w:cs="宋体"/>
          <w:sz w:val="24"/>
          <w:szCs w:val="24"/>
        </w:rPr>
        <w:fldChar w:fldCharType="separate"/>
      </w:r>
      <w:r>
        <w:rPr>
          <w:rFonts w:hint="eastAsia" w:ascii="宋体" w:eastAsia="宋体" w:cs="宋体"/>
          <w:sz w:val="24"/>
          <w:szCs w:val="24"/>
        </w:rPr>
        <w:t>- 180 -</w:t>
      </w:r>
      <w:r>
        <w:rPr>
          <w:rFonts w:hint="eastAsia" w:ascii="宋体" w:eastAsia="宋体" w:cs="宋体"/>
          <w:sz w:val="24"/>
          <w:szCs w:val="24"/>
        </w:rPr>
        <w:fldChar w:fldCharType="end"/>
      </w:r>
      <w:r>
        <w:rPr>
          <w:rFonts w:hint="eastAsia" w:ascii="宋体" w:eastAsia="宋体" w:cs="宋体"/>
          <w:sz w:val="24"/>
          <w:szCs w:val="24"/>
        </w:rPr>
        <w:fldChar w:fldCharType="end"/>
      </w:r>
    </w:p>
    <w:p w14:paraId="51732461">
      <w:pPr>
        <w:pStyle w:val="26"/>
        <w:tabs>
          <w:tab w:val="right" w:leader="dot" w:pos="8306"/>
        </w:tabs>
        <w:rPr>
          <w:rFonts w:hint="eastAsia" w:ascii="宋体" w:eastAsia="宋体" w:cs="宋体"/>
          <w:sz w:val="24"/>
          <w:szCs w:val="24"/>
        </w:rPr>
      </w:pPr>
      <w:r>
        <w:fldChar w:fldCharType="begin"/>
      </w:r>
      <w:r>
        <w:instrText xml:space="preserve"> HYPERLINK \l "_Toc19287" </w:instrText>
      </w:r>
      <w:r>
        <w:fldChar w:fldCharType="separate"/>
      </w:r>
      <w:r>
        <w:rPr>
          <w:rFonts w:hint="eastAsia" w:ascii="宋体" w:eastAsia="宋体" w:cs="宋体"/>
          <w:sz w:val="24"/>
          <w:szCs w:val="24"/>
        </w:rPr>
        <w:t>四、</w:t>
      </w:r>
      <w:r>
        <w:rPr>
          <w:rFonts w:hint="eastAsia" w:ascii="宋体" w:eastAsia="宋体" w:cs="宋体"/>
          <w:sz w:val="24"/>
          <w:szCs w:val="24"/>
          <w:lang w:val="zh-CN"/>
        </w:rPr>
        <w:t>政府采购</w:t>
      </w:r>
      <w:r>
        <w:rPr>
          <w:rFonts w:hint="eastAsia" w:ascii="宋体" w:eastAsia="宋体" w:cs="宋体"/>
          <w:sz w:val="24"/>
          <w:szCs w:val="24"/>
        </w:rPr>
        <w:t>投标人</w:t>
      </w:r>
      <w:r>
        <w:rPr>
          <w:rFonts w:hint="eastAsia" w:ascii="宋体" w:eastAsia="宋体" w:cs="宋体"/>
          <w:sz w:val="24"/>
          <w:szCs w:val="24"/>
          <w:lang w:val="zh-CN"/>
        </w:rPr>
        <w:t>廉洁自律承诺书</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_Toc19287 \h </w:instrText>
      </w:r>
      <w:r>
        <w:rPr>
          <w:rFonts w:hint="eastAsia" w:ascii="宋体" w:eastAsia="宋体" w:cs="宋体"/>
          <w:sz w:val="24"/>
          <w:szCs w:val="24"/>
        </w:rPr>
        <w:fldChar w:fldCharType="separate"/>
      </w:r>
      <w:r>
        <w:rPr>
          <w:rFonts w:hint="eastAsia" w:ascii="宋体" w:eastAsia="宋体" w:cs="宋体"/>
          <w:sz w:val="24"/>
          <w:szCs w:val="24"/>
        </w:rPr>
        <w:t>- 181 -</w:t>
      </w:r>
      <w:r>
        <w:rPr>
          <w:rFonts w:hint="eastAsia" w:ascii="宋体" w:eastAsia="宋体" w:cs="宋体"/>
          <w:sz w:val="24"/>
          <w:szCs w:val="24"/>
        </w:rPr>
        <w:fldChar w:fldCharType="end"/>
      </w:r>
      <w:r>
        <w:rPr>
          <w:rFonts w:hint="eastAsia" w:ascii="宋体" w:eastAsia="宋体" w:cs="宋体"/>
          <w:sz w:val="24"/>
          <w:szCs w:val="24"/>
        </w:rPr>
        <w:fldChar w:fldCharType="end"/>
      </w:r>
    </w:p>
    <w:p w14:paraId="49478AC8">
      <w:pPr>
        <w:pStyle w:val="26"/>
        <w:tabs>
          <w:tab w:val="right" w:leader="dot" w:pos="8306"/>
        </w:tabs>
        <w:rPr>
          <w:rFonts w:hint="eastAsia" w:ascii="宋体" w:eastAsia="宋体" w:cs="宋体"/>
          <w:sz w:val="24"/>
          <w:szCs w:val="24"/>
        </w:rPr>
      </w:pPr>
      <w:r>
        <w:fldChar w:fldCharType="begin"/>
      </w:r>
      <w:r>
        <w:instrText xml:space="preserve"> HYPERLINK \l "_Toc23064" </w:instrText>
      </w:r>
      <w:r>
        <w:fldChar w:fldCharType="separate"/>
      </w:r>
      <w:r>
        <w:rPr>
          <w:rFonts w:hint="eastAsia" w:ascii="宋体" w:eastAsia="宋体" w:cs="宋体"/>
          <w:sz w:val="24"/>
          <w:szCs w:val="24"/>
        </w:rPr>
        <w:t>五、</w:t>
      </w:r>
      <w:r>
        <w:rPr>
          <w:rFonts w:hint="eastAsia" w:ascii="宋体" w:eastAsia="宋体" w:cs="宋体"/>
          <w:sz w:val="24"/>
          <w:szCs w:val="24"/>
          <w:lang w:val="zh-CN"/>
        </w:rPr>
        <w:t>实质性响应一览表【</w:t>
      </w:r>
      <w:r>
        <w:rPr>
          <w:rFonts w:hint="eastAsia" w:ascii="宋体" w:eastAsia="宋体" w:cs="宋体"/>
          <w:sz w:val="24"/>
          <w:szCs w:val="24"/>
        </w:rPr>
        <w:t>本表须与第五章的一致】</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_Toc23064 \h </w:instrText>
      </w:r>
      <w:r>
        <w:rPr>
          <w:rFonts w:hint="eastAsia" w:ascii="宋体" w:eastAsia="宋体" w:cs="宋体"/>
          <w:sz w:val="24"/>
          <w:szCs w:val="24"/>
        </w:rPr>
        <w:fldChar w:fldCharType="separate"/>
      </w:r>
      <w:r>
        <w:rPr>
          <w:rFonts w:hint="eastAsia" w:ascii="宋体" w:eastAsia="宋体" w:cs="宋体"/>
          <w:sz w:val="24"/>
          <w:szCs w:val="24"/>
        </w:rPr>
        <w:t>- 182 -</w:t>
      </w:r>
      <w:r>
        <w:rPr>
          <w:rFonts w:hint="eastAsia" w:ascii="宋体" w:eastAsia="宋体" w:cs="宋体"/>
          <w:sz w:val="24"/>
          <w:szCs w:val="24"/>
        </w:rPr>
        <w:fldChar w:fldCharType="end"/>
      </w:r>
      <w:r>
        <w:rPr>
          <w:rFonts w:hint="eastAsia" w:ascii="宋体" w:eastAsia="宋体" w:cs="宋体"/>
          <w:sz w:val="24"/>
          <w:szCs w:val="24"/>
        </w:rPr>
        <w:fldChar w:fldCharType="end"/>
      </w:r>
    </w:p>
    <w:p w14:paraId="58A409EC">
      <w:pPr>
        <w:pStyle w:val="26"/>
        <w:tabs>
          <w:tab w:val="right" w:leader="dot" w:pos="8306"/>
        </w:tabs>
        <w:rPr>
          <w:rFonts w:hint="eastAsia" w:ascii="宋体" w:eastAsia="宋体" w:cs="宋体"/>
          <w:sz w:val="24"/>
          <w:szCs w:val="24"/>
        </w:rPr>
      </w:pPr>
      <w:r>
        <w:fldChar w:fldCharType="begin"/>
      </w:r>
      <w:r>
        <w:instrText xml:space="preserve"> HYPERLINK \l "_Toc23523" </w:instrText>
      </w:r>
      <w:r>
        <w:fldChar w:fldCharType="separate"/>
      </w:r>
      <w:r>
        <w:rPr>
          <w:rFonts w:hint="eastAsia" w:ascii="宋体" w:eastAsia="宋体" w:cs="宋体"/>
          <w:sz w:val="24"/>
          <w:szCs w:val="24"/>
        </w:rPr>
        <w:t>六、商务响应偏离表</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_Toc23523 \h </w:instrText>
      </w:r>
      <w:r>
        <w:rPr>
          <w:rFonts w:hint="eastAsia" w:ascii="宋体" w:eastAsia="宋体" w:cs="宋体"/>
          <w:sz w:val="24"/>
          <w:szCs w:val="24"/>
        </w:rPr>
        <w:fldChar w:fldCharType="separate"/>
      </w:r>
      <w:r>
        <w:rPr>
          <w:rFonts w:hint="eastAsia" w:ascii="宋体" w:eastAsia="宋体" w:cs="宋体"/>
          <w:sz w:val="24"/>
          <w:szCs w:val="24"/>
        </w:rPr>
        <w:t>- 183 -</w:t>
      </w:r>
      <w:r>
        <w:rPr>
          <w:rFonts w:hint="eastAsia" w:ascii="宋体" w:eastAsia="宋体" w:cs="宋体"/>
          <w:sz w:val="24"/>
          <w:szCs w:val="24"/>
        </w:rPr>
        <w:fldChar w:fldCharType="end"/>
      </w:r>
      <w:r>
        <w:rPr>
          <w:rFonts w:hint="eastAsia" w:ascii="宋体" w:eastAsia="宋体" w:cs="宋体"/>
          <w:sz w:val="24"/>
          <w:szCs w:val="24"/>
        </w:rPr>
        <w:fldChar w:fldCharType="end"/>
      </w:r>
    </w:p>
    <w:p w14:paraId="281D98D3">
      <w:pPr>
        <w:pStyle w:val="26"/>
        <w:tabs>
          <w:tab w:val="right" w:leader="dot" w:pos="8306"/>
        </w:tabs>
        <w:rPr>
          <w:rFonts w:hint="eastAsia" w:ascii="宋体" w:eastAsia="宋体" w:cs="宋体"/>
          <w:sz w:val="24"/>
          <w:szCs w:val="24"/>
        </w:rPr>
      </w:pPr>
      <w:r>
        <w:fldChar w:fldCharType="begin"/>
      </w:r>
      <w:r>
        <w:instrText xml:space="preserve"> HYPERLINK \l "_Toc14474" </w:instrText>
      </w:r>
      <w:r>
        <w:fldChar w:fldCharType="separate"/>
      </w:r>
      <w:r>
        <w:rPr>
          <w:rFonts w:hint="eastAsia" w:ascii="宋体" w:eastAsia="宋体" w:cs="宋体"/>
          <w:sz w:val="24"/>
          <w:szCs w:val="24"/>
        </w:rPr>
        <w:t>七、业绩证明文件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_Toc14474 \h </w:instrText>
      </w:r>
      <w:r>
        <w:rPr>
          <w:rFonts w:hint="eastAsia" w:ascii="宋体" w:eastAsia="宋体" w:cs="宋体"/>
          <w:sz w:val="24"/>
          <w:szCs w:val="24"/>
        </w:rPr>
        <w:fldChar w:fldCharType="separate"/>
      </w:r>
      <w:r>
        <w:rPr>
          <w:rFonts w:hint="eastAsia" w:ascii="宋体" w:eastAsia="宋体" w:cs="宋体"/>
          <w:sz w:val="24"/>
          <w:szCs w:val="24"/>
        </w:rPr>
        <w:t>- 184 -</w:t>
      </w:r>
      <w:r>
        <w:rPr>
          <w:rFonts w:hint="eastAsia" w:ascii="宋体" w:eastAsia="宋体" w:cs="宋体"/>
          <w:sz w:val="24"/>
          <w:szCs w:val="24"/>
        </w:rPr>
        <w:fldChar w:fldCharType="end"/>
      </w:r>
      <w:r>
        <w:rPr>
          <w:rFonts w:hint="eastAsia" w:ascii="宋体" w:eastAsia="宋体" w:cs="宋体"/>
          <w:sz w:val="24"/>
          <w:szCs w:val="24"/>
        </w:rPr>
        <w:fldChar w:fldCharType="end"/>
      </w:r>
    </w:p>
    <w:p w14:paraId="127C9452">
      <w:pPr>
        <w:pStyle w:val="26"/>
        <w:tabs>
          <w:tab w:val="right" w:leader="dot" w:pos="8306"/>
        </w:tabs>
        <w:rPr>
          <w:rFonts w:hint="eastAsia" w:ascii="宋体" w:eastAsia="宋体" w:cs="宋体"/>
          <w:sz w:val="24"/>
          <w:szCs w:val="24"/>
        </w:rPr>
      </w:pPr>
      <w:r>
        <w:fldChar w:fldCharType="begin"/>
      </w:r>
      <w:r>
        <w:instrText xml:space="preserve"> HYPERLINK \l "_Toc30703" </w:instrText>
      </w:r>
      <w:r>
        <w:fldChar w:fldCharType="separate"/>
      </w:r>
      <w:r>
        <w:rPr>
          <w:rFonts w:hint="eastAsia" w:ascii="宋体" w:eastAsia="宋体" w:cs="宋体"/>
          <w:sz w:val="24"/>
          <w:szCs w:val="24"/>
        </w:rPr>
        <w:t>八、拟派项目团队</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_Toc30703 \h </w:instrText>
      </w:r>
      <w:r>
        <w:rPr>
          <w:rFonts w:hint="eastAsia" w:ascii="宋体" w:eastAsia="宋体" w:cs="宋体"/>
          <w:sz w:val="24"/>
          <w:szCs w:val="24"/>
        </w:rPr>
        <w:fldChar w:fldCharType="separate"/>
      </w:r>
      <w:r>
        <w:rPr>
          <w:rFonts w:hint="eastAsia" w:ascii="宋体" w:eastAsia="宋体" w:cs="宋体"/>
          <w:sz w:val="24"/>
          <w:szCs w:val="24"/>
        </w:rPr>
        <w:t>- 185 -</w:t>
      </w:r>
      <w:r>
        <w:rPr>
          <w:rFonts w:hint="eastAsia" w:ascii="宋体" w:eastAsia="宋体" w:cs="宋体"/>
          <w:sz w:val="24"/>
          <w:szCs w:val="24"/>
        </w:rPr>
        <w:fldChar w:fldCharType="end"/>
      </w:r>
      <w:r>
        <w:rPr>
          <w:rFonts w:hint="eastAsia" w:ascii="宋体" w:eastAsia="宋体" w:cs="宋体"/>
          <w:sz w:val="24"/>
          <w:szCs w:val="24"/>
        </w:rPr>
        <w:fldChar w:fldCharType="end"/>
      </w:r>
    </w:p>
    <w:p w14:paraId="5052D412">
      <w:pPr>
        <w:pStyle w:val="26"/>
        <w:tabs>
          <w:tab w:val="right" w:leader="dot" w:pos="8306"/>
        </w:tabs>
        <w:rPr>
          <w:rFonts w:hint="eastAsia" w:ascii="宋体" w:eastAsia="宋体" w:cs="宋体"/>
          <w:sz w:val="24"/>
          <w:szCs w:val="24"/>
        </w:rPr>
      </w:pPr>
      <w:r>
        <w:fldChar w:fldCharType="begin"/>
      </w:r>
      <w:r>
        <w:instrText xml:space="preserve"> HYPERLINK \l "_Toc1897" </w:instrText>
      </w:r>
      <w:r>
        <w:fldChar w:fldCharType="separate"/>
      </w:r>
      <w:r>
        <w:rPr>
          <w:rFonts w:hint="eastAsia" w:ascii="宋体" w:eastAsia="宋体" w:cs="宋体"/>
          <w:sz w:val="24"/>
          <w:szCs w:val="24"/>
        </w:rPr>
        <w:t>九、技术响应偏离表</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_Toc1897 \h </w:instrText>
      </w:r>
      <w:r>
        <w:rPr>
          <w:rFonts w:hint="eastAsia" w:ascii="宋体" w:eastAsia="宋体" w:cs="宋体"/>
          <w:sz w:val="24"/>
          <w:szCs w:val="24"/>
        </w:rPr>
        <w:fldChar w:fldCharType="separate"/>
      </w:r>
      <w:r>
        <w:rPr>
          <w:rFonts w:hint="eastAsia" w:ascii="宋体" w:eastAsia="宋体" w:cs="宋体"/>
          <w:sz w:val="24"/>
          <w:szCs w:val="24"/>
        </w:rPr>
        <w:t>- 186 -</w:t>
      </w:r>
      <w:r>
        <w:rPr>
          <w:rFonts w:hint="eastAsia" w:ascii="宋体" w:eastAsia="宋体" w:cs="宋体"/>
          <w:sz w:val="24"/>
          <w:szCs w:val="24"/>
        </w:rPr>
        <w:fldChar w:fldCharType="end"/>
      </w:r>
      <w:r>
        <w:rPr>
          <w:rFonts w:hint="eastAsia" w:ascii="宋体" w:eastAsia="宋体" w:cs="宋体"/>
          <w:sz w:val="24"/>
          <w:szCs w:val="24"/>
        </w:rPr>
        <w:fldChar w:fldCharType="end"/>
      </w:r>
    </w:p>
    <w:p w14:paraId="149E9EEB">
      <w:pPr>
        <w:pStyle w:val="26"/>
        <w:tabs>
          <w:tab w:val="right" w:leader="dot" w:pos="8306"/>
        </w:tabs>
        <w:rPr>
          <w:rFonts w:hint="eastAsia" w:ascii="宋体" w:eastAsia="宋体" w:cs="宋体"/>
          <w:sz w:val="24"/>
          <w:szCs w:val="24"/>
        </w:rPr>
      </w:pPr>
      <w:r>
        <w:fldChar w:fldCharType="begin"/>
      </w:r>
      <w:r>
        <w:instrText xml:space="preserve"> HYPERLINK \l "_Toc18160" </w:instrText>
      </w:r>
      <w:r>
        <w:fldChar w:fldCharType="separate"/>
      </w:r>
      <w:r>
        <w:rPr>
          <w:rFonts w:hint="eastAsia" w:ascii="宋体" w:eastAsia="宋体" w:cs="宋体"/>
          <w:sz w:val="24"/>
          <w:szCs w:val="24"/>
        </w:rPr>
        <w:t>十、技术方案</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_Toc18160 \h </w:instrText>
      </w:r>
      <w:r>
        <w:rPr>
          <w:rFonts w:hint="eastAsia" w:ascii="宋体" w:eastAsia="宋体" w:cs="宋体"/>
          <w:sz w:val="24"/>
          <w:szCs w:val="24"/>
        </w:rPr>
        <w:fldChar w:fldCharType="separate"/>
      </w:r>
      <w:r>
        <w:rPr>
          <w:rFonts w:hint="eastAsia" w:ascii="宋体" w:eastAsia="宋体" w:cs="宋体"/>
          <w:sz w:val="24"/>
          <w:szCs w:val="24"/>
        </w:rPr>
        <w:t>- 187 -</w:t>
      </w:r>
      <w:r>
        <w:rPr>
          <w:rFonts w:hint="eastAsia" w:ascii="宋体" w:eastAsia="宋体" w:cs="宋体"/>
          <w:sz w:val="24"/>
          <w:szCs w:val="24"/>
        </w:rPr>
        <w:fldChar w:fldCharType="end"/>
      </w:r>
      <w:r>
        <w:rPr>
          <w:rFonts w:hint="eastAsia" w:ascii="宋体" w:eastAsia="宋体" w:cs="宋体"/>
          <w:sz w:val="24"/>
          <w:szCs w:val="24"/>
        </w:rPr>
        <w:fldChar w:fldCharType="end"/>
      </w:r>
    </w:p>
    <w:p w14:paraId="244351D3">
      <w:pPr>
        <w:pStyle w:val="26"/>
        <w:tabs>
          <w:tab w:val="right" w:leader="dot" w:pos="8306"/>
        </w:tabs>
        <w:rPr>
          <w:rFonts w:hint="eastAsia"/>
        </w:rPr>
      </w:pPr>
      <w:r>
        <w:fldChar w:fldCharType="begin"/>
      </w:r>
      <w:r>
        <w:instrText xml:space="preserve"> HYPERLINK \l "_Toc31147" </w:instrText>
      </w:r>
      <w:r>
        <w:fldChar w:fldCharType="separate"/>
      </w:r>
      <w:r>
        <w:rPr>
          <w:rFonts w:hint="eastAsia" w:ascii="宋体" w:eastAsia="宋体" w:cs="宋体"/>
          <w:sz w:val="24"/>
          <w:szCs w:val="24"/>
        </w:rPr>
        <w:t>十一、其他文件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_Toc31147 \h </w:instrText>
      </w:r>
      <w:r>
        <w:rPr>
          <w:rFonts w:hint="eastAsia" w:ascii="宋体" w:eastAsia="宋体" w:cs="宋体"/>
          <w:sz w:val="24"/>
          <w:szCs w:val="24"/>
        </w:rPr>
        <w:fldChar w:fldCharType="separate"/>
      </w:r>
      <w:r>
        <w:rPr>
          <w:rFonts w:hint="eastAsia" w:ascii="宋体" w:eastAsia="宋体" w:cs="宋体"/>
          <w:sz w:val="24"/>
          <w:szCs w:val="24"/>
        </w:rPr>
        <w:t>- 188 -</w:t>
      </w:r>
      <w:r>
        <w:rPr>
          <w:rFonts w:hint="eastAsia" w:ascii="宋体" w:eastAsia="宋体" w:cs="宋体"/>
          <w:sz w:val="24"/>
          <w:szCs w:val="24"/>
        </w:rPr>
        <w:fldChar w:fldCharType="end"/>
      </w:r>
      <w:r>
        <w:rPr>
          <w:rFonts w:hint="eastAsia" w:ascii="宋体" w:eastAsia="宋体" w:cs="宋体"/>
          <w:sz w:val="24"/>
          <w:szCs w:val="24"/>
        </w:rPr>
        <w:fldChar w:fldCharType="end"/>
      </w:r>
    </w:p>
    <w:p w14:paraId="45A6C4D3">
      <w:pPr>
        <w:spacing w:line="360" w:lineRule="exact"/>
        <w:rPr>
          <w:rFonts w:hint="eastAsia"/>
        </w:rPr>
      </w:pPr>
      <w:r>
        <w:rPr>
          <w:rFonts w:hint="eastAsia" w:cs="宋体"/>
          <w:szCs w:val="24"/>
        </w:rPr>
        <w:fldChar w:fldCharType="end"/>
      </w:r>
    </w:p>
    <w:p w14:paraId="29D99CD5">
      <w:pPr>
        <w:jc w:val="center"/>
        <w:rPr>
          <w:rFonts w:hint="eastAsia" w:ascii="黑体" w:hAnsi="黑体" w:eastAsia="黑体"/>
          <w:b/>
          <w:bCs/>
          <w:sz w:val="32"/>
          <w:szCs w:val="32"/>
        </w:rPr>
        <w:sectPr>
          <w:headerReference r:id="rId6" w:type="default"/>
          <w:pgSz w:w="11906" w:h="16838"/>
          <w:pgMar w:top="1440" w:right="1800" w:bottom="1440" w:left="1800" w:header="851" w:footer="992" w:gutter="0"/>
          <w:cols w:space="425" w:num="1"/>
          <w:docGrid w:type="lines" w:linePitch="312" w:charSpace="0"/>
        </w:sectPr>
      </w:pPr>
    </w:p>
    <w:p w14:paraId="1C626A7A">
      <w:pPr>
        <w:pStyle w:val="3"/>
        <w:spacing w:before="220" w:after="220" w:line="480" w:lineRule="auto"/>
        <w:ind w:left="420" w:hanging="420"/>
        <w:rPr>
          <w:rFonts w:hint="eastAsia" w:eastAsia="宋体" w:cs="宋体"/>
          <w:sz w:val="36"/>
          <w:szCs w:val="36"/>
        </w:rPr>
      </w:pPr>
      <w:bookmarkStart w:id="0" w:name="_Toc155185859"/>
      <w:bookmarkStart w:id="1" w:name="_Toc163492811"/>
      <w:bookmarkStart w:id="2" w:name="_Toc6776"/>
      <w:r>
        <w:rPr>
          <w:rFonts w:hint="eastAsia" w:eastAsia="宋体" w:cs="宋体"/>
          <w:sz w:val="36"/>
          <w:szCs w:val="36"/>
        </w:rPr>
        <w:t xml:space="preserve">第一章 </w:t>
      </w:r>
      <w:bookmarkEnd w:id="0"/>
      <w:bookmarkEnd w:id="1"/>
      <w:bookmarkStart w:id="3" w:name="_Hlk130458318"/>
      <w:r>
        <w:rPr>
          <w:rFonts w:hint="eastAsia" w:eastAsia="宋体" w:cs="宋体"/>
          <w:sz w:val="36"/>
          <w:szCs w:val="36"/>
        </w:rPr>
        <w:t>招标公告</w:t>
      </w:r>
      <w:bookmarkEnd w:id="2"/>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4E0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69B8EA9">
            <w:pPr>
              <w:pStyle w:val="4"/>
              <w:spacing w:before="100" w:after="100" w:line="360" w:lineRule="auto"/>
              <w:ind w:left="420" w:hanging="420"/>
              <w:rPr>
                <w:rFonts w:hint="eastAsia"/>
                <w:sz w:val="24"/>
                <w:szCs w:val="24"/>
              </w:rPr>
            </w:pPr>
            <w:bookmarkStart w:id="4" w:name="_Toc22036"/>
            <w:bookmarkStart w:id="5" w:name="_Toc20302"/>
            <w:bookmarkStart w:id="6" w:name="_Toc17609"/>
            <w:bookmarkStart w:id="7" w:name="_Toc10363"/>
            <w:bookmarkStart w:id="8" w:name="_Toc31284"/>
            <w:bookmarkStart w:id="9" w:name="_Toc26180"/>
            <w:bookmarkStart w:id="10" w:name="_Toc163492812"/>
            <w:bookmarkStart w:id="11" w:name="_Toc155185860"/>
            <w:bookmarkStart w:id="12" w:name="_Toc44583628"/>
            <w:bookmarkStart w:id="13" w:name="_Toc109899829"/>
            <w:bookmarkStart w:id="14" w:name="_Toc109899410"/>
            <w:bookmarkStart w:id="15" w:name="_Toc35393798"/>
            <w:bookmarkStart w:id="16" w:name="_Toc28359012"/>
            <w:bookmarkStart w:id="17" w:name="_Toc140132745"/>
            <w:bookmarkStart w:id="18" w:name="_Toc28359089"/>
            <w:bookmarkStart w:id="19" w:name="_Toc109900248"/>
            <w:bookmarkStart w:id="20" w:name="_Toc35393629"/>
            <w:r>
              <w:rPr>
                <w:rFonts w:hint="eastAsia"/>
                <w:sz w:val="24"/>
                <w:szCs w:val="24"/>
              </w:rPr>
              <w:t>项目概况：</w:t>
            </w:r>
            <w:bookmarkEnd w:id="4"/>
            <w:bookmarkEnd w:id="5"/>
            <w:bookmarkEnd w:id="6"/>
            <w:bookmarkEnd w:id="7"/>
            <w:bookmarkEnd w:id="8"/>
            <w:bookmarkEnd w:id="9"/>
          </w:p>
          <w:p w14:paraId="18BC8FB0">
            <w:pPr>
              <w:ind w:firstLine="480" w:firstLineChars="200"/>
              <w:rPr>
                <w:rFonts w:hint="eastAsia"/>
              </w:rPr>
            </w:pPr>
            <w:r>
              <w:rPr>
                <w:rFonts w:hint="eastAsia"/>
                <w:iCs/>
                <w:szCs w:val="24"/>
                <w:u w:val="single"/>
                <w:shd w:val="clear" w:color="auto" w:fill="FFFFFF" w:themeFill="background1"/>
                <w:lang w:val="hr-HR"/>
              </w:rPr>
              <w:t>天山西部国有林管理局巩留分局2026年智能化管护能力建设项目</w:t>
            </w:r>
            <w:r>
              <w:rPr>
                <w:rFonts w:hint="eastAsia"/>
                <w:iCs/>
                <w:szCs w:val="24"/>
                <w:shd w:val="clear" w:color="auto" w:fill="FFFFFF" w:themeFill="background1"/>
                <w:lang w:val="hr-HR"/>
              </w:rPr>
              <w:t>招标项目的潜在投标人应在</w:t>
            </w:r>
            <w:r>
              <w:rPr>
                <w:rFonts w:hint="eastAsia"/>
                <w:iCs/>
                <w:szCs w:val="24"/>
                <w:u w:val="single"/>
                <w:shd w:val="clear" w:color="auto" w:fill="FFFFFF" w:themeFill="background1"/>
                <w:lang w:val="hr-HR"/>
              </w:rPr>
              <w:t>政采云平台：http://www.ccgp-xinjiang.gov.cn/</w:t>
            </w:r>
            <w:r>
              <w:rPr>
                <w:rFonts w:hint="eastAsia"/>
                <w:iCs/>
                <w:szCs w:val="24"/>
                <w:shd w:val="clear" w:color="auto" w:fill="FFFFFF" w:themeFill="background1"/>
                <w:lang w:val="hr-HR"/>
              </w:rPr>
              <w:t>获取招标文件，并于</w:t>
            </w:r>
            <w:r>
              <w:rPr>
                <w:rFonts w:hint="eastAsia"/>
                <w:iCs/>
                <w:szCs w:val="24"/>
                <w:u w:val="single"/>
                <w:shd w:val="clear" w:color="auto" w:fill="FFFFFF" w:themeFill="background1"/>
              </w:rPr>
              <w:t>2026</w:t>
            </w:r>
            <w:r>
              <w:rPr>
                <w:rFonts w:hint="eastAsia"/>
                <w:iCs/>
                <w:szCs w:val="24"/>
                <w:u w:val="single"/>
                <w:shd w:val="clear" w:color="auto" w:fill="FFFFFF" w:themeFill="background1"/>
                <w:lang w:val="hr-HR"/>
              </w:rPr>
              <w:t>年</w:t>
            </w:r>
            <w:r>
              <w:rPr>
                <w:rFonts w:hint="eastAsia"/>
                <w:iCs/>
                <w:szCs w:val="24"/>
                <w:u w:val="single"/>
                <w:shd w:val="clear" w:color="auto" w:fill="FFFFFF" w:themeFill="background1"/>
                <w:lang w:val="en-US" w:eastAsia="zh-CN"/>
              </w:rPr>
              <w:t>6</w:t>
            </w:r>
            <w:r>
              <w:rPr>
                <w:rFonts w:hint="eastAsia"/>
                <w:iCs/>
                <w:szCs w:val="24"/>
                <w:u w:val="single"/>
                <w:shd w:val="clear" w:color="auto" w:fill="FFFFFF" w:themeFill="background1"/>
                <w:lang w:val="hr-HR"/>
              </w:rPr>
              <w:t>月</w:t>
            </w:r>
            <w:r>
              <w:rPr>
                <w:rFonts w:hint="eastAsia"/>
                <w:iCs/>
                <w:szCs w:val="24"/>
                <w:u w:val="single"/>
                <w:shd w:val="clear" w:color="auto" w:fill="FFFFFF" w:themeFill="background1"/>
                <w:lang w:val="en-US" w:eastAsia="zh-CN"/>
              </w:rPr>
              <w:t>12</w:t>
            </w:r>
            <w:r>
              <w:rPr>
                <w:rFonts w:hint="eastAsia"/>
                <w:iCs/>
                <w:szCs w:val="24"/>
                <w:u w:val="single"/>
                <w:shd w:val="clear" w:color="auto" w:fill="FFFFFF" w:themeFill="background1"/>
                <w:lang w:val="hr-HR"/>
              </w:rPr>
              <w:t>日</w:t>
            </w:r>
            <w:r>
              <w:rPr>
                <w:rFonts w:hint="eastAsia"/>
                <w:iCs/>
                <w:szCs w:val="24"/>
                <w:u w:val="single"/>
                <w:shd w:val="clear" w:color="auto" w:fill="FFFFFF" w:themeFill="background1"/>
                <w:lang w:val="en-US" w:eastAsia="zh-CN"/>
              </w:rPr>
              <w:t>11</w:t>
            </w:r>
            <w:r>
              <w:rPr>
                <w:rFonts w:hint="eastAsia"/>
                <w:iCs/>
                <w:szCs w:val="24"/>
                <w:u w:val="single"/>
                <w:shd w:val="clear" w:color="auto" w:fill="FFFFFF" w:themeFill="background1"/>
              </w:rPr>
              <w:t>时</w:t>
            </w:r>
            <w:r>
              <w:rPr>
                <w:rFonts w:hint="eastAsia"/>
                <w:iCs/>
                <w:szCs w:val="24"/>
                <w:u w:val="single"/>
                <w:shd w:val="clear" w:color="auto" w:fill="FFFFFF" w:themeFill="background1"/>
                <w:lang w:val="en-US" w:eastAsia="zh-CN"/>
              </w:rPr>
              <w:t>00</w:t>
            </w:r>
            <w:r>
              <w:rPr>
                <w:rFonts w:hint="eastAsia"/>
                <w:iCs/>
                <w:szCs w:val="24"/>
                <w:u w:val="single"/>
                <w:shd w:val="clear" w:color="auto" w:fill="FFFFFF" w:themeFill="background1"/>
                <w:lang w:val="hr-HR"/>
              </w:rPr>
              <w:t>分</w:t>
            </w:r>
            <w:r>
              <w:rPr>
                <w:rFonts w:hint="eastAsia"/>
                <w:iCs/>
                <w:szCs w:val="24"/>
                <w:shd w:val="clear" w:color="auto" w:fill="FFFFFF" w:themeFill="background1"/>
                <w:lang w:val="hr-HR"/>
              </w:rPr>
              <w:t>（北京时间）前递交投标文件。</w:t>
            </w:r>
          </w:p>
        </w:tc>
      </w:tr>
    </w:tbl>
    <w:p w14:paraId="16B48E36">
      <w:pPr>
        <w:pStyle w:val="4"/>
        <w:spacing w:before="156" w:beforeLines="50" w:after="156" w:afterLines="50" w:line="360" w:lineRule="auto"/>
        <w:ind w:left="420" w:hanging="420"/>
        <w:jc w:val="both"/>
        <w:rPr>
          <w:rFonts w:hint="eastAsia" w:ascii="宋体" w:hAnsi="宋体" w:cs="宋体"/>
          <w:sz w:val="24"/>
          <w:szCs w:val="24"/>
          <w:lang w:val="hr-HR"/>
        </w:rPr>
      </w:pPr>
      <w:bookmarkStart w:id="21" w:name="_Toc2335"/>
      <w:bookmarkStart w:id="22" w:name="_Toc27682"/>
      <w:bookmarkStart w:id="23" w:name="_Toc16083"/>
      <w:bookmarkStart w:id="24" w:name="_Toc11065"/>
      <w:bookmarkStart w:id="25" w:name="_Toc4515"/>
      <w:r>
        <w:rPr>
          <w:rFonts w:hint="eastAsia" w:ascii="宋体" w:hAnsi="宋体" w:cs="宋体"/>
          <w:sz w:val="24"/>
          <w:szCs w:val="24"/>
          <w:lang w:val="hr-HR"/>
        </w:rPr>
        <w:t>一、项目基本情况</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227A46C">
      <w:pPr>
        <w:pStyle w:val="39"/>
        <w:jc w:val="both"/>
        <w:rPr>
          <w:rFonts w:hint="eastAsia" w:cs="宋体"/>
        </w:rPr>
      </w:pPr>
      <w:bookmarkStart w:id="26" w:name="_Toc44583629"/>
      <w:bookmarkStart w:id="27" w:name="_Toc28359013"/>
      <w:bookmarkStart w:id="28" w:name="_Toc35393630"/>
      <w:bookmarkStart w:id="29" w:name="_Toc28359090"/>
      <w:bookmarkStart w:id="30" w:name="_Toc35393799"/>
      <w:r>
        <w:rPr>
          <w:rFonts w:hint="eastAsia" w:cs="宋体"/>
          <w:lang w:val="hr-HR"/>
        </w:rPr>
        <w:t>1.项目编号</w:t>
      </w:r>
      <w:r>
        <w:rPr>
          <w:rFonts w:hint="eastAsia" w:cs="宋体"/>
          <w:lang w:val="en-US"/>
        </w:rPr>
        <w:t>/包号</w:t>
      </w:r>
      <w:r>
        <w:rPr>
          <w:rFonts w:hint="eastAsia" w:cs="宋体"/>
          <w:lang w:val="hr-HR"/>
        </w:rPr>
        <w:t>：</w:t>
      </w:r>
      <w:r>
        <w:rPr>
          <w:rFonts w:hint="eastAsia"/>
          <w:szCs w:val="24"/>
          <w:u w:val="single"/>
          <w:lang w:val="hr-HR"/>
        </w:rPr>
        <w:t>[2026]11564号</w:t>
      </w:r>
    </w:p>
    <w:p w14:paraId="45DB7EA7">
      <w:pPr>
        <w:pStyle w:val="39"/>
        <w:jc w:val="both"/>
        <w:rPr>
          <w:rFonts w:hint="eastAsia" w:eastAsia="宋体" w:cs="宋体"/>
          <w:lang w:val="hr-HR" w:eastAsia="zh-CN"/>
        </w:rPr>
      </w:pPr>
      <w:r>
        <w:rPr>
          <w:rFonts w:hint="eastAsia" w:cs="宋体"/>
          <w:lang w:val="en-US"/>
        </w:rPr>
        <w:t>2</w:t>
      </w:r>
      <w:r>
        <w:rPr>
          <w:rFonts w:hint="eastAsia" w:cs="宋体"/>
          <w:lang w:val="hr-HR"/>
        </w:rPr>
        <w:t>.项目名称：</w:t>
      </w:r>
      <w:r>
        <w:rPr>
          <w:rFonts w:hint="eastAsia"/>
          <w:szCs w:val="24"/>
          <w:u w:val="single"/>
          <w:lang w:val="hr-HR" w:eastAsia="zh-CN"/>
        </w:rPr>
        <w:t>天山西部国有林管理局巩留分局2026年智能化管护能力建设项目</w:t>
      </w:r>
    </w:p>
    <w:p w14:paraId="1096A816">
      <w:pPr>
        <w:pStyle w:val="39"/>
        <w:jc w:val="both"/>
        <w:rPr>
          <w:rFonts w:hint="eastAsia" w:cs="宋体"/>
          <w:lang w:val="hr-HR"/>
        </w:rPr>
      </w:pPr>
      <w:r>
        <w:rPr>
          <w:rFonts w:hint="eastAsia" w:cs="宋体"/>
          <w:lang w:val="en-US"/>
        </w:rPr>
        <w:t>3</w:t>
      </w:r>
      <w:r>
        <w:rPr>
          <w:rFonts w:hint="eastAsia" w:cs="宋体"/>
        </w:rPr>
        <w:t>.采购方式：公开招标</w:t>
      </w:r>
    </w:p>
    <w:p w14:paraId="7EBB0F2F">
      <w:pPr>
        <w:pStyle w:val="39"/>
        <w:jc w:val="both"/>
        <w:rPr>
          <w:rFonts w:hint="eastAsia" w:cs="宋体"/>
          <w:lang w:val="hr-HR"/>
        </w:rPr>
      </w:pPr>
      <w:r>
        <w:rPr>
          <w:rFonts w:hint="eastAsia" w:cs="宋体"/>
          <w:lang w:val="en-US"/>
        </w:rPr>
        <w:t>4</w:t>
      </w:r>
      <w:r>
        <w:rPr>
          <w:rFonts w:hint="eastAsia" w:cs="宋体"/>
          <w:lang w:val="hr-HR"/>
        </w:rPr>
        <w:t>.</w:t>
      </w:r>
      <w:r>
        <w:rPr>
          <w:rFonts w:hint="eastAsia" w:cs="宋体"/>
          <w:lang w:val="en-US"/>
        </w:rPr>
        <w:t>项目</w:t>
      </w:r>
      <w:r>
        <w:rPr>
          <w:rFonts w:hint="eastAsia" w:cs="宋体"/>
          <w:lang w:val="hr-HR"/>
        </w:rPr>
        <w:t>预算金额：</w:t>
      </w:r>
      <w:r>
        <w:rPr>
          <w:rFonts w:hint="eastAsia" w:cs="宋体"/>
          <w:u w:val="single"/>
          <w:lang w:val="en-US" w:eastAsia="zh-CN"/>
        </w:rPr>
        <w:t>4930700.00</w:t>
      </w:r>
      <w:r>
        <w:rPr>
          <w:rFonts w:hint="eastAsia" w:cs="宋体"/>
          <w:u w:val="single"/>
          <w:lang w:val="en-US"/>
        </w:rPr>
        <w:t>元</w:t>
      </w:r>
      <w:bookmarkStart w:id="482" w:name="_GoBack"/>
      <w:bookmarkEnd w:id="482"/>
    </w:p>
    <w:p w14:paraId="69426AF1">
      <w:pPr>
        <w:pStyle w:val="39"/>
        <w:jc w:val="both"/>
        <w:rPr>
          <w:rFonts w:hint="eastAsia" w:cs="宋体"/>
          <w:lang w:val="hr-HR"/>
        </w:rPr>
      </w:pPr>
      <w:r>
        <w:rPr>
          <w:rFonts w:hint="eastAsia" w:cs="宋体"/>
          <w:lang w:val="en-US"/>
        </w:rPr>
        <w:t>5</w:t>
      </w:r>
      <w:r>
        <w:rPr>
          <w:rFonts w:hint="eastAsia" w:cs="宋体"/>
          <w:lang w:val="hr-HR"/>
        </w:rPr>
        <w:t>.</w:t>
      </w:r>
      <w:r>
        <w:rPr>
          <w:rFonts w:hint="eastAsia" w:cs="宋体"/>
        </w:rPr>
        <w:t>最高限价【如有】</w:t>
      </w:r>
      <w:r>
        <w:rPr>
          <w:rFonts w:hint="eastAsia" w:cs="宋体"/>
          <w:lang w:val="hr-HR"/>
        </w:rPr>
        <w:t>：</w:t>
      </w:r>
      <w:r>
        <w:rPr>
          <w:rFonts w:hint="eastAsia" w:cs="宋体"/>
          <w:u w:val="single"/>
          <w:lang w:val="en-US" w:eastAsia="zh-CN"/>
        </w:rPr>
        <w:t>4930700.00</w:t>
      </w:r>
      <w:r>
        <w:rPr>
          <w:rFonts w:hint="eastAsia" w:cs="宋体"/>
          <w:u w:val="single"/>
          <w:lang w:val="en-US"/>
        </w:rPr>
        <w:t>元</w:t>
      </w:r>
    </w:p>
    <w:p w14:paraId="340D9CE8">
      <w:pPr>
        <w:pStyle w:val="39"/>
        <w:jc w:val="both"/>
        <w:rPr>
          <w:rFonts w:hint="eastAsia" w:cs="宋体"/>
          <w:u w:val="single"/>
        </w:rPr>
      </w:pPr>
      <w:r>
        <w:rPr>
          <w:rFonts w:hint="eastAsia" w:cs="宋体"/>
          <w:lang w:val="en-US"/>
        </w:rPr>
        <w:t>6</w:t>
      </w:r>
      <w:r>
        <w:rPr>
          <w:rFonts w:hint="eastAsia" w:cs="宋体"/>
          <w:lang w:val="hr-HR"/>
        </w:rPr>
        <w:t>.采购需求：</w:t>
      </w:r>
      <w:bookmarkStart w:id="31" w:name="_Hlk155086750"/>
      <w:r>
        <w:rPr>
          <w:rFonts w:hint="eastAsia" w:cs="宋体"/>
          <w:u w:val="single"/>
        </w:rPr>
        <w:t>【</w:t>
      </w:r>
      <w:bookmarkEnd w:id="31"/>
      <w:r>
        <w:rPr>
          <w:rFonts w:hint="eastAsia"/>
          <w:szCs w:val="24"/>
          <w:u w:val="single"/>
          <w:lang w:val="hr-HR"/>
        </w:rPr>
        <w:t>智能化管护能力建设，</w:t>
      </w:r>
      <w:r>
        <w:rPr>
          <w:rFonts w:hint="eastAsia"/>
          <w:szCs w:val="24"/>
          <w:u w:val="single"/>
          <w:lang w:val="en-US"/>
        </w:rPr>
        <w:t>具体详见采购需求。</w:t>
      </w:r>
      <w:r>
        <w:rPr>
          <w:rFonts w:hint="eastAsia" w:cs="宋体"/>
          <w:u w:val="single"/>
        </w:rPr>
        <w:t>】</w:t>
      </w:r>
    </w:p>
    <w:p w14:paraId="5B03C090">
      <w:pPr>
        <w:pStyle w:val="39"/>
        <w:ind w:firstLine="482"/>
        <w:jc w:val="both"/>
        <w:rPr>
          <w:rFonts w:hint="default" w:eastAsia="宋体" w:cs="宋体"/>
          <w:lang w:val="en-US" w:eastAsia="zh-CN"/>
        </w:rPr>
      </w:pPr>
      <w:r>
        <w:rPr>
          <w:rFonts w:hint="eastAsia" w:cs="宋体"/>
          <w:lang w:val="en-US"/>
        </w:rPr>
        <w:t>7</w:t>
      </w:r>
      <w:r>
        <w:rPr>
          <w:rFonts w:hint="eastAsia" w:cs="宋体"/>
        </w:rPr>
        <w:t>.</w:t>
      </w:r>
      <w:r>
        <w:rPr>
          <w:rFonts w:hint="eastAsia" w:cs="宋体"/>
          <w:lang w:val="en-US" w:eastAsia="zh-CN"/>
        </w:rPr>
        <w:t>合同履行期限：自签订合同后30天内供货，120天内安装、调试及验收。</w:t>
      </w:r>
    </w:p>
    <w:p w14:paraId="56C23C9D">
      <w:pPr>
        <w:pStyle w:val="39"/>
        <w:jc w:val="both"/>
        <w:rPr>
          <w:rFonts w:hint="eastAsia" w:cs="宋体"/>
          <w:lang w:val="en-US"/>
        </w:rPr>
      </w:pPr>
      <w:r>
        <w:rPr>
          <w:rFonts w:hint="eastAsia" w:cs="宋体"/>
          <w:lang w:val="en-US" w:eastAsia="zh-CN"/>
        </w:rPr>
        <w:t>8</w:t>
      </w:r>
      <w:r>
        <w:rPr>
          <w:rFonts w:hint="eastAsia" w:cs="宋体"/>
          <w:lang w:val="en-US"/>
        </w:rPr>
        <w:t>.</w:t>
      </w:r>
      <w:bookmarkStart w:id="32" w:name="_Hlk162011358"/>
      <w:r>
        <w:rPr>
          <w:rFonts w:hint="eastAsia" w:cs="宋体"/>
          <w:lang w:val="en-US"/>
        </w:rPr>
        <w:t>本项目是否接受联合体投标：□是</w:t>
      </w:r>
      <w:bookmarkEnd w:id="32"/>
      <w:r>
        <w:rPr>
          <w:rFonts w:hint="eastAsia" w:cs="宋体"/>
          <w:lang w:val="en-US"/>
        </w:rPr>
        <w:t xml:space="preserve">   ☑否</w:t>
      </w:r>
    </w:p>
    <w:p w14:paraId="78D707F1">
      <w:pPr>
        <w:pStyle w:val="4"/>
        <w:spacing w:before="156" w:beforeLines="50" w:after="156" w:afterLines="50" w:line="360" w:lineRule="auto"/>
        <w:ind w:left="420" w:hanging="420"/>
        <w:jc w:val="both"/>
        <w:rPr>
          <w:rFonts w:hint="eastAsia" w:ascii="宋体" w:hAnsi="宋体" w:cs="宋体"/>
          <w:sz w:val="24"/>
          <w:szCs w:val="24"/>
          <w:lang w:val="hr-HR"/>
        </w:rPr>
      </w:pPr>
      <w:bookmarkStart w:id="33" w:name="_Toc109899830"/>
      <w:bookmarkStart w:id="34" w:name="_Toc109899411"/>
      <w:bookmarkStart w:id="35" w:name="_Toc883"/>
      <w:bookmarkStart w:id="36" w:name="_Toc27911"/>
      <w:bookmarkStart w:id="37" w:name="_Toc163492813"/>
      <w:bookmarkStart w:id="38" w:name="_Toc140132746"/>
      <w:bookmarkStart w:id="39" w:name="_Toc7422"/>
      <w:bookmarkStart w:id="40" w:name="_Toc109900249"/>
      <w:bookmarkStart w:id="41" w:name="_Toc30635"/>
      <w:bookmarkStart w:id="42" w:name="_Toc10801"/>
      <w:bookmarkStart w:id="43" w:name="_Toc155185861"/>
      <w:r>
        <w:rPr>
          <w:rFonts w:hint="eastAsia" w:ascii="宋体" w:hAnsi="宋体" w:cs="宋体"/>
          <w:sz w:val="24"/>
          <w:szCs w:val="24"/>
        </w:rPr>
        <w:t>二、申请</w:t>
      </w:r>
      <w:r>
        <w:rPr>
          <w:rFonts w:hint="eastAsia" w:ascii="宋体" w:hAnsi="宋体" w:cs="宋体"/>
          <w:sz w:val="24"/>
          <w:szCs w:val="24"/>
          <w:lang w:val="hr-HR"/>
        </w:rPr>
        <w:t>人</w:t>
      </w:r>
      <w:r>
        <w:rPr>
          <w:rFonts w:hint="eastAsia" w:ascii="宋体" w:hAnsi="宋体" w:cs="宋体"/>
          <w:sz w:val="24"/>
          <w:szCs w:val="24"/>
        </w:rPr>
        <w:t>的</w:t>
      </w:r>
      <w:r>
        <w:rPr>
          <w:rFonts w:hint="eastAsia" w:ascii="宋体" w:hAnsi="宋体" w:cs="宋体"/>
          <w:sz w:val="24"/>
          <w:szCs w:val="24"/>
          <w:lang w:val="hr-HR"/>
        </w:rPr>
        <w:t>资格要求</w:t>
      </w:r>
      <w:bookmarkEnd w:id="26"/>
      <w:bookmarkEnd w:id="27"/>
      <w:bookmarkEnd w:id="28"/>
      <w:bookmarkEnd w:id="29"/>
      <w:bookmarkEnd w:id="30"/>
      <w:bookmarkEnd w:id="33"/>
      <w:bookmarkEnd w:id="34"/>
      <w:bookmarkEnd w:id="35"/>
      <w:bookmarkEnd w:id="36"/>
      <w:bookmarkEnd w:id="37"/>
      <w:bookmarkEnd w:id="38"/>
      <w:bookmarkEnd w:id="39"/>
      <w:bookmarkEnd w:id="40"/>
      <w:bookmarkEnd w:id="41"/>
      <w:bookmarkEnd w:id="42"/>
      <w:bookmarkEnd w:id="43"/>
    </w:p>
    <w:p w14:paraId="49C5EE86">
      <w:pPr>
        <w:ind w:firstLine="480" w:firstLineChars="200"/>
        <w:jc w:val="both"/>
        <w:rPr>
          <w:rFonts w:hint="eastAsia" w:cs="宋体"/>
        </w:rPr>
      </w:pPr>
      <w:bookmarkStart w:id="44" w:name="_Toc28359091"/>
      <w:bookmarkStart w:id="45" w:name="_Toc35393800"/>
      <w:bookmarkStart w:id="46" w:name="_Toc44583630"/>
      <w:bookmarkStart w:id="47" w:name="_Toc28359014"/>
      <w:bookmarkStart w:id="48" w:name="_Toc35393631"/>
      <w:r>
        <w:rPr>
          <w:rFonts w:hint="eastAsia" w:cs="宋体"/>
        </w:rPr>
        <w:t>1.满足《中华人民共和国政府采购法》第二十二条规定；</w:t>
      </w:r>
    </w:p>
    <w:p w14:paraId="495C7381">
      <w:pPr>
        <w:ind w:firstLine="480" w:firstLineChars="200"/>
        <w:jc w:val="both"/>
        <w:rPr>
          <w:rFonts w:hint="eastAsia" w:cs="宋体"/>
        </w:rPr>
      </w:pPr>
      <w:r>
        <w:rPr>
          <w:rFonts w:hint="eastAsia" w:cs="宋体"/>
        </w:rPr>
        <w:t>2.落实政府采购政策需满足的资格要求：</w:t>
      </w:r>
      <w:r>
        <w:rPr>
          <w:rFonts w:hint="eastAsia" w:ascii="宋体" w:hAnsi="宋体" w:eastAsia="宋体" w:cs="宋体"/>
          <w:u w:val="single"/>
          <w:lang w:eastAsia="zh-CN"/>
        </w:rPr>
        <w:t>本项目预留部分采购项目预算专门面向中小企业采购。对于预留份额，提供的</w:t>
      </w:r>
      <w:r>
        <w:rPr>
          <w:rFonts w:hint="eastAsia" w:ascii="宋体" w:hAnsi="宋体" w:eastAsia="宋体" w:cs="宋体"/>
          <w:u w:val="single"/>
          <w:lang w:val="en-US" w:eastAsia="zh-CN"/>
        </w:rPr>
        <w:t>服务</w:t>
      </w:r>
      <w:r>
        <w:rPr>
          <w:rFonts w:hint="eastAsia" w:ascii="宋体" w:hAnsi="宋体" w:eastAsia="宋体" w:cs="宋体"/>
          <w:u w:val="single"/>
          <w:lang w:eastAsia="zh-CN"/>
        </w:rPr>
        <w:t>由符合政策要求的中小企业</w:t>
      </w:r>
      <w:r>
        <w:rPr>
          <w:rFonts w:hint="eastAsia" w:ascii="宋体" w:hAnsi="宋体" w:eastAsia="宋体" w:cs="宋体"/>
          <w:u w:val="single"/>
          <w:lang w:val="en-US" w:eastAsia="zh-CN"/>
        </w:rPr>
        <w:t>承接</w:t>
      </w:r>
      <w:r>
        <w:rPr>
          <w:rFonts w:hint="eastAsia" w:ascii="宋体" w:hAnsi="宋体" w:eastAsia="宋体" w:cs="宋体"/>
          <w:u w:val="single"/>
          <w:lang w:eastAsia="zh-CN"/>
        </w:rPr>
        <w:t>预留份额通过以下措施进行；</w:t>
      </w:r>
      <w:r>
        <w:rPr>
          <w:rFonts w:hint="eastAsia" w:ascii="宋体" w:hAnsi="宋体" w:eastAsia="宋体" w:cs="宋体"/>
          <w:u w:val="single"/>
          <w:lang w:val="en-US" w:eastAsia="zh-CN"/>
        </w:rPr>
        <w:t>要求获得采购合同的投标人将本采购标项预算金额的30%</w:t>
      </w:r>
      <w:r>
        <w:rPr>
          <w:rFonts w:hint="eastAsia" w:cs="宋体"/>
          <w:u w:val="single"/>
          <w:lang w:val="en-US" w:eastAsia="zh-CN"/>
        </w:rPr>
        <w:t>以上</w:t>
      </w:r>
      <w:r>
        <w:rPr>
          <w:rFonts w:hint="eastAsia" w:ascii="宋体" w:hAnsi="宋体" w:eastAsia="宋体" w:cs="宋体"/>
          <w:u w:val="single"/>
          <w:lang w:val="en-US" w:eastAsia="zh-CN"/>
        </w:rPr>
        <w:t>分包给一家或者多家中小企业，其中预留给小微企业的比例</w:t>
      </w:r>
      <w:r>
        <w:rPr>
          <w:rFonts w:hint="eastAsia" w:cs="宋体"/>
          <w:u w:val="single"/>
          <w:lang w:val="en-US" w:eastAsia="zh-CN"/>
        </w:rPr>
        <w:t>不低于</w:t>
      </w:r>
      <w:r>
        <w:rPr>
          <w:rFonts w:hint="eastAsia" w:ascii="宋体" w:hAnsi="宋体" w:eastAsia="宋体" w:cs="宋体"/>
          <w:u w:val="single"/>
          <w:lang w:val="en-US" w:eastAsia="zh-CN"/>
        </w:rPr>
        <w:t>60%。</w:t>
      </w:r>
    </w:p>
    <w:p w14:paraId="0CB53482">
      <w:pPr>
        <w:ind w:firstLine="480" w:firstLineChars="200"/>
        <w:jc w:val="both"/>
        <w:rPr>
          <w:rFonts w:hint="eastAsia" w:cs="宋体"/>
        </w:rPr>
      </w:pPr>
      <w:r>
        <w:rPr>
          <w:rFonts w:hint="eastAsia" w:cs="宋体"/>
        </w:rPr>
        <w:t>3.本项目的特定资格要求：</w:t>
      </w:r>
      <w:r>
        <w:rPr>
          <w:rFonts w:hint="eastAsia" w:cs="宋体"/>
          <w:u w:val="single"/>
        </w:rPr>
        <w:t>【供应商应具备通信工程施工总承包</w:t>
      </w:r>
      <w:r>
        <w:rPr>
          <w:rFonts w:hint="eastAsia" w:cs="宋体"/>
          <w:u w:val="single"/>
          <w:lang w:val="en-US" w:eastAsia="zh-CN"/>
        </w:rPr>
        <w:t>三</w:t>
      </w:r>
      <w:r>
        <w:rPr>
          <w:rFonts w:hint="eastAsia" w:cs="宋体"/>
          <w:u w:val="single"/>
        </w:rPr>
        <w:t>级及以上资质，同时具备有效的安全生产许可证】。</w:t>
      </w:r>
    </w:p>
    <w:p w14:paraId="1EAC1B06">
      <w:pPr>
        <w:pStyle w:val="39"/>
        <w:jc w:val="both"/>
        <w:rPr>
          <w:rFonts w:hint="eastAsia" w:cs="宋体"/>
          <w:lang w:val="en-US"/>
        </w:rPr>
      </w:pPr>
      <w:r>
        <w:rPr>
          <w:rFonts w:hint="eastAsia" w:cs="宋体"/>
          <w:lang w:val="en-US"/>
        </w:rPr>
        <w:t>4. 其他资格要求：</w:t>
      </w:r>
    </w:p>
    <w:p w14:paraId="4B9566B5">
      <w:pPr>
        <w:pStyle w:val="39"/>
        <w:jc w:val="both"/>
        <w:rPr>
          <w:rFonts w:hint="eastAsia" w:cs="宋体"/>
          <w:lang w:val="hr-HR"/>
        </w:rPr>
      </w:pPr>
      <w:r>
        <w:rPr>
          <w:rFonts w:hint="eastAsia" w:cs="宋体"/>
          <w:lang w:val="en-US"/>
        </w:rPr>
        <w:t>（1）</w:t>
      </w:r>
      <w:r>
        <w:rPr>
          <w:rFonts w:hint="eastAsia" w:cs="宋体"/>
          <w:kern w:val="0"/>
          <w:szCs w:val="24"/>
          <w:lang w:val="en-US" w:bidi="ar"/>
        </w:rPr>
        <w:t>单位负责人为同一人或者存在直接控股、管理关系的不同供应商，不得参加同一合同项下的采购活动。</w:t>
      </w:r>
    </w:p>
    <w:p w14:paraId="3D920A11">
      <w:pPr>
        <w:pStyle w:val="39"/>
        <w:jc w:val="both"/>
        <w:rPr>
          <w:rFonts w:hint="eastAsia" w:cs="宋体"/>
          <w:lang w:val="hr-HR"/>
        </w:rPr>
      </w:pPr>
      <w:r>
        <w:rPr>
          <w:rFonts w:hint="eastAsia" w:cs="宋体"/>
          <w:lang w:val="en-US"/>
        </w:rPr>
        <w:t>（2）</w:t>
      </w:r>
      <w:r>
        <w:rPr>
          <w:rFonts w:hint="eastAsia" w:cs="宋体"/>
          <w:lang w:val="hr-HR"/>
        </w:rPr>
        <w:t>除单一来源采购项目外，为采购项目提供整体设计、规范编制或者项目管理、监理、检测等服务的供应商，不得再参加该采购项目的其他采购活动。</w:t>
      </w:r>
    </w:p>
    <w:p w14:paraId="2698FFA0">
      <w:pPr>
        <w:pStyle w:val="39"/>
        <w:jc w:val="both"/>
        <w:rPr>
          <w:rFonts w:hint="eastAsia" w:cs="宋体"/>
          <w:lang w:val="en-US"/>
        </w:rPr>
      </w:pPr>
      <w:r>
        <w:rPr>
          <w:rFonts w:hint="eastAsia" w:cs="宋体"/>
          <w:lang w:val="hr-HR"/>
        </w:rPr>
        <w:t>（</w:t>
      </w:r>
      <w:r>
        <w:rPr>
          <w:rFonts w:hint="eastAsia" w:cs="宋体"/>
          <w:lang w:val="en-US"/>
        </w:rPr>
        <w:t>3）</w:t>
      </w:r>
      <w:r>
        <w:rPr>
          <w:rFonts w:hint="eastAsia" w:cs="宋体"/>
          <w:lang w:val="hr-HR"/>
        </w:rPr>
        <w:t>供应商的信用行为：在</w:t>
      </w:r>
      <w:r>
        <w:rPr>
          <w:rFonts w:hint="eastAsia" w:cs="宋体"/>
          <w:lang w:val="en-US"/>
        </w:rPr>
        <w:t>资格审查阶段经查询</w:t>
      </w:r>
      <w:r>
        <w:rPr>
          <w:rFonts w:hint="eastAsia" w:cs="宋体"/>
          <w:lang w:val="hr-HR"/>
        </w:rPr>
        <w:t>，</w:t>
      </w:r>
      <w:r>
        <w:rPr>
          <w:rFonts w:hint="eastAsia" w:cs="宋体"/>
          <w:lang w:val="en-US"/>
        </w:rPr>
        <w:t>未被列入“失信被执行人”、“重大税收违法失信主体”、“政府采购严重违法失信行为记录名单”</w:t>
      </w:r>
      <w:r>
        <w:rPr>
          <w:rFonts w:hint="eastAsia" w:cs="宋体"/>
          <w:lang w:val="hr-HR"/>
        </w:rPr>
        <w:t>其中之一。如有以上不良信用记录</w:t>
      </w:r>
      <w:r>
        <w:rPr>
          <w:rFonts w:hint="eastAsia" w:cs="宋体"/>
          <w:lang w:val="en-US"/>
        </w:rPr>
        <w:t>之一的，</w:t>
      </w:r>
      <w:r>
        <w:rPr>
          <w:rFonts w:hint="eastAsia" w:cs="宋体"/>
          <w:lang w:val="hr-HR"/>
        </w:rPr>
        <w:t>其</w:t>
      </w:r>
      <w:r>
        <w:rPr>
          <w:rFonts w:hint="eastAsia" w:cs="宋体"/>
          <w:b/>
          <w:bCs/>
          <w:lang w:val="hr-HR"/>
        </w:rPr>
        <w:t>投标</w:t>
      </w:r>
      <w:r>
        <w:rPr>
          <w:rFonts w:hint="eastAsia" w:cs="宋体"/>
          <w:b/>
          <w:bCs/>
          <w:lang w:val="en-US"/>
        </w:rPr>
        <w:t>无效</w:t>
      </w:r>
      <w:r>
        <w:rPr>
          <w:rFonts w:hint="eastAsia" w:cs="宋体"/>
          <w:lang w:val="hr-HR"/>
        </w:rPr>
        <w:t>。</w:t>
      </w:r>
    </w:p>
    <w:p w14:paraId="5693619C">
      <w:pPr>
        <w:pStyle w:val="4"/>
        <w:spacing w:before="156" w:beforeLines="50" w:after="156" w:afterLines="50" w:line="360" w:lineRule="auto"/>
        <w:ind w:left="420" w:hanging="420"/>
        <w:jc w:val="both"/>
        <w:rPr>
          <w:rFonts w:hint="eastAsia" w:ascii="宋体" w:hAnsi="宋体" w:cs="宋体"/>
          <w:sz w:val="24"/>
          <w:szCs w:val="24"/>
          <w:lang w:val="hr-HR"/>
        </w:rPr>
      </w:pPr>
      <w:bookmarkStart w:id="49" w:name="_Toc109900250"/>
      <w:bookmarkStart w:id="50" w:name="_Toc27361"/>
      <w:bookmarkStart w:id="51" w:name="_Toc140132747"/>
      <w:bookmarkStart w:id="52" w:name="_Toc109899412"/>
      <w:bookmarkStart w:id="53" w:name="_Toc14315"/>
      <w:bookmarkStart w:id="54" w:name="_Toc163492814"/>
      <w:bookmarkStart w:id="55" w:name="_Toc109899831"/>
      <w:bookmarkStart w:id="56" w:name="_Toc5466"/>
      <w:bookmarkStart w:id="57" w:name="_Toc23301"/>
      <w:bookmarkStart w:id="58" w:name="_Toc13839"/>
      <w:bookmarkStart w:id="59" w:name="_Toc155185862"/>
      <w:r>
        <w:rPr>
          <w:rFonts w:hint="eastAsia" w:ascii="宋体" w:hAnsi="宋体" w:cs="宋体"/>
          <w:sz w:val="24"/>
          <w:szCs w:val="24"/>
        </w:rPr>
        <w:t>三、</w:t>
      </w:r>
      <w:r>
        <w:rPr>
          <w:rFonts w:hint="eastAsia" w:ascii="宋体" w:hAnsi="宋体" w:cs="宋体"/>
          <w:sz w:val="24"/>
          <w:szCs w:val="24"/>
          <w:lang w:val="hr-HR"/>
        </w:rPr>
        <w:t>获取招标文件</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Pr>
          <w:rFonts w:hint="eastAsia" w:ascii="宋体" w:hAnsi="宋体" w:cs="宋体"/>
          <w:sz w:val="24"/>
          <w:szCs w:val="24"/>
          <w:lang w:val="hr-HR"/>
        </w:rPr>
        <w:t xml:space="preserve"> </w:t>
      </w:r>
    </w:p>
    <w:p w14:paraId="6F147842">
      <w:pPr>
        <w:pStyle w:val="39"/>
        <w:jc w:val="both"/>
        <w:rPr>
          <w:rFonts w:hint="eastAsia" w:cs="宋体"/>
          <w:lang w:val="hr-HR"/>
        </w:rPr>
      </w:pPr>
      <w:bookmarkStart w:id="60" w:name="_Hlk130457234"/>
      <w:bookmarkStart w:id="61" w:name="_Toc28359015"/>
      <w:bookmarkStart w:id="62" w:name="_Hlk130457261"/>
      <w:bookmarkStart w:id="63" w:name="_Toc28359092"/>
      <w:bookmarkStart w:id="64" w:name="_Hlk130457327"/>
      <w:bookmarkStart w:id="65" w:name="_Toc35393632"/>
      <w:bookmarkStart w:id="66" w:name="_Toc35393801"/>
      <w:r>
        <w:rPr>
          <w:rFonts w:hint="eastAsia" w:cs="宋体"/>
          <w:lang w:val="hr-HR"/>
        </w:rPr>
        <w:t>1.时间：</w:t>
      </w:r>
      <w:r>
        <w:rPr>
          <w:rFonts w:hint="eastAsia" w:cs="宋体"/>
          <w:u w:val="single"/>
          <w:lang w:val="en-US"/>
        </w:rPr>
        <w:t>2026</w:t>
      </w:r>
      <w:r>
        <w:rPr>
          <w:rFonts w:hint="eastAsia" w:cs="宋体"/>
          <w:u w:val="single"/>
        </w:rPr>
        <w:t>年</w:t>
      </w:r>
      <w:r>
        <w:rPr>
          <w:rFonts w:hint="eastAsia" w:cs="宋体"/>
          <w:u w:val="single"/>
          <w:lang w:val="en-US" w:eastAsia="zh-CN"/>
        </w:rPr>
        <w:t>5</w:t>
      </w:r>
      <w:r>
        <w:rPr>
          <w:rFonts w:hint="eastAsia" w:cs="宋体"/>
          <w:u w:val="single"/>
        </w:rPr>
        <w:t>月</w:t>
      </w:r>
      <w:r>
        <w:rPr>
          <w:rFonts w:hint="eastAsia" w:cs="宋体"/>
          <w:u w:val="single"/>
          <w:lang w:val="en-US" w:eastAsia="zh-CN"/>
        </w:rPr>
        <w:t>22</w:t>
      </w:r>
      <w:r>
        <w:rPr>
          <w:rFonts w:hint="eastAsia" w:cs="宋体"/>
          <w:u w:val="single"/>
        </w:rPr>
        <w:t>日</w:t>
      </w:r>
      <w:r>
        <w:rPr>
          <w:rFonts w:hint="eastAsia" w:cs="宋体"/>
          <w:u w:val="single"/>
          <w:lang w:val="en-US" w:eastAsia="zh-CN"/>
        </w:rPr>
        <w:t>00</w:t>
      </w:r>
      <w:r>
        <w:rPr>
          <w:rFonts w:hint="eastAsia" w:cs="宋体"/>
          <w:u w:val="single"/>
        </w:rPr>
        <w:t>时</w:t>
      </w:r>
      <w:r>
        <w:rPr>
          <w:rFonts w:hint="eastAsia" w:cs="宋体"/>
          <w:u w:val="single"/>
          <w:lang w:val="en-US" w:eastAsia="zh-CN"/>
        </w:rPr>
        <w:t>00</w:t>
      </w:r>
      <w:r>
        <w:rPr>
          <w:rFonts w:hint="eastAsia" w:cs="宋体"/>
          <w:u w:val="single"/>
        </w:rPr>
        <w:t>分</w:t>
      </w:r>
      <w:r>
        <w:rPr>
          <w:rFonts w:hint="eastAsia" w:cs="宋体"/>
          <w:lang w:val="hr-HR"/>
        </w:rPr>
        <w:t>至</w:t>
      </w:r>
      <w:r>
        <w:rPr>
          <w:rFonts w:hint="eastAsia" w:cs="宋体"/>
          <w:u w:val="single"/>
          <w:lang w:val="en-US"/>
        </w:rPr>
        <w:t>2026</w:t>
      </w:r>
      <w:r>
        <w:rPr>
          <w:rFonts w:hint="eastAsia" w:cs="宋体"/>
          <w:u w:val="single"/>
        </w:rPr>
        <w:t>年</w:t>
      </w:r>
      <w:r>
        <w:rPr>
          <w:rFonts w:hint="eastAsia" w:cs="宋体"/>
          <w:u w:val="single"/>
          <w:lang w:val="en-US" w:eastAsia="zh-CN"/>
        </w:rPr>
        <w:t>6</w:t>
      </w:r>
      <w:r>
        <w:rPr>
          <w:rFonts w:hint="eastAsia" w:cs="宋体"/>
          <w:u w:val="single"/>
        </w:rPr>
        <w:t>月</w:t>
      </w:r>
      <w:r>
        <w:rPr>
          <w:rFonts w:hint="eastAsia" w:cs="宋体"/>
          <w:u w:val="single"/>
          <w:lang w:val="en-US" w:eastAsia="zh-CN"/>
        </w:rPr>
        <w:t>3</w:t>
      </w:r>
      <w:r>
        <w:rPr>
          <w:rFonts w:hint="eastAsia" w:cs="宋体"/>
          <w:u w:val="single"/>
        </w:rPr>
        <w:t>日</w:t>
      </w:r>
      <w:r>
        <w:rPr>
          <w:rFonts w:hint="eastAsia" w:cs="宋体"/>
          <w:u w:val="single"/>
          <w:lang w:val="en-US" w:eastAsia="zh-CN"/>
        </w:rPr>
        <w:t>23</w:t>
      </w:r>
      <w:r>
        <w:rPr>
          <w:rFonts w:hint="eastAsia" w:cs="宋体"/>
          <w:u w:val="single"/>
        </w:rPr>
        <w:t>时</w:t>
      </w:r>
      <w:r>
        <w:rPr>
          <w:rFonts w:hint="eastAsia" w:cs="宋体"/>
          <w:u w:val="single"/>
          <w:lang w:val="en-US" w:eastAsia="zh-CN"/>
        </w:rPr>
        <w:t>59</w:t>
      </w:r>
      <w:r>
        <w:rPr>
          <w:rFonts w:hint="eastAsia" w:cs="宋体"/>
          <w:u w:val="single"/>
        </w:rPr>
        <w:t>分</w:t>
      </w:r>
      <w:r>
        <w:rPr>
          <w:rFonts w:hint="eastAsia" w:cs="宋体"/>
          <w:lang w:val="hr-HR"/>
        </w:rPr>
        <w:t>（北京时间）。</w:t>
      </w:r>
    </w:p>
    <w:bookmarkEnd w:id="60"/>
    <w:p w14:paraId="7F566CF7">
      <w:pPr>
        <w:pStyle w:val="39"/>
        <w:jc w:val="both"/>
        <w:rPr>
          <w:rFonts w:hint="eastAsia" w:cs="宋体"/>
          <w:lang w:val="hr-HR"/>
        </w:rPr>
      </w:pPr>
      <w:r>
        <w:rPr>
          <w:rFonts w:hint="eastAsia" w:cs="宋体"/>
          <w:lang w:val="hr-HR"/>
        </w:rPr>
        <w:t>2.</w:t>
      </w:r>
      <w:r>
        <w:rPr>
          <w:rFonts w:hint="eastAsia" w:cs="宋体"/>
        </w:rPr>
        <w:t>地点</w:t>
      </w:r>
      <w:r>
        <w:rPr>
          <w:rFonts w:hint="eastAsia" w:cs="宋体"/>
          <w:lang w:val="hr-HR"/>
        </w:rPr>
        <w:t>：</w:t>
      </w:r>
      <w:bookmarkStart w:id="67" w:name="_Hlk89807779"/>
      <w:r>
        <w:rPr>
          <w:rFonts w:hint="eastAsia" w:cs="宋体"/>
        </w:rPr>
        <w:t>政府采购</w:t>
      </w:r>
      <w:r>
        <w:rPr>
          <w:rFonts w:hint="eastAsia" w:cs="宋体"/>
          <w:lang w:val="en-US"/>
        </w:rPr>
        <w:t>电子交易云</w:t>
      </w:r>
      <w:r>
        <w:rPr>
          <w:rFonts w:hint="eastAsia" w:cs="宋体"/>
        </w:rPr>
        <w:t>平台</w:t>
      </w:r>
      <w:r>
        <w:rPr>
          <w:rFonts w:hint="eastAsia" w:cs="宋体"/>
          <w:lang w:val="hr-HR"/>
        </w:rPr>
        <w:t>（</w:t>
      </w:r>
      <w:r>
        <w:rPr>
          <w:rFonts w:hint="eastAsia" w:cs="宋体"/>
        </w:rPr>
        <w:t>网址</w:t>
      </w:r>
      <w:r>
        <w:rPr>
          <w:rFonts w:hint="eastAsia" w:cs="宋体"/>
          <w:lang w:val="hr-HR"/>
        </w:rPr>
        <w:t>：https://www.zcygov.cn/）</w:t>
      </w:r>
      <w:r>
        <w:rPr>
          <w:rFonts w:hint="eastAsia" w:cs="宋体"/>
        </w:rPr>
        <w:t>。</w:t>
      </w:r>
      <w:bookmarkEnd w:id="67"/>
    </w:p>
    <w:p w14:paraId="319F3CA3">
      <w:pPr>
        <w:pStyle w:val="39"/>
        <w:jc w:val="both"/>
        <w:rPr>
          <w:rFonts w:hint="eastAsia" w:cs="宋体"/>
          <w:lang w:val="hr-HR"/>
        </w:rPr>
      </w:pPr>
      <w:r>
        <w:rPr>
          <w:rFonts w:hint="eastAsia" w:cs="宋体"/>
          <w:lang w:val="hr-HR"/>
        </w:rPr>
        <w:t>3.</w:t>
      </w:r>
      <w:r>
        <w:rPr>
          <w:rFonts w:hint="eastAsia" w:cs="宋体"/>
        </w:rPr>
        <w:t>方式</w:t>
      </w:r>
      <w:r>
        <w:rPr>
          <w:rFonts w:hint="eastAsia" w:cs="宋体"/>
          <w:lang w:val="hr-HR"/>
        </w:rPr>
        <w:t>：</w:t>
      </w:r>
      <w:r>
        <w:rPr>
          <w:rFonts w:hint="eastAsia" w:cs="宋体"/>
          <w:lang w:val="en-US"/>
        </w:rPr>
        <w:t>投标供应商登录政采云平台</w:t>
      </w:r>
      <w:r>
        <w:rPr>
          <w:rFonts w:hint="eastAsia" w:cs="宋体"/>
          <w:lang w:val="hr-HR"/>
        </w:rPr>
        <w:t>https://www.zcygov.cn/</w:t>
      </w:r>
      <w:r>
        <w:rPr>
          <w:rFonts w:hint="eastAsia" w:cs="宋体"/>
          <w:lang w:val="en-US"/>
        </w:rPr>
        <w:t>在线申请</w:t>
      </w:r>
      <w:r>
        <w:rPr>
          <w:rFonts w:hint="eastAsia" w:cs="宋体"/>
          <w:lang w:val="hr-HR"/>
        </w:rPr>
        <w:t>，</w:t>
      </w:r>
      <w:r>
        <w:rPr>
          <w:rFonts w:hint="eastAsia" w:cs="宋体"/>
          <w:lang w:val="en-US"/>
        </w:rPr>
        <w:t>免费获取电子采购文件</w:t>
      </w:r>
      <w:r>
        <w:rPr>
          <w:rFonts w:hint="eastAsia" w:cs="宋体"/>
          <w:lang w:val="hr-HR"/>
        </w:rPr>
        <w:t>（</w:t>
      </w:r>
      <w:r>
        <w:rPr>
          <w:rFonts w:hint="eastAsia" w:cs="宋体"/>
          <w:lang w:val="en-US"/>
        </w:rPr>
        <w:t>进入</w:t>
      </w:r>
      <w:r>
        <w:rPr>
          <w:rFonts w:hint="eastAsia" w:cs="宋体"/>
          <w:lang w:val="hr-HR"/>
        </w:rPr>
        <w:t>“</w:t>
      </w:r>
      <w:r>
        <w:rPr>
          <w:rFonts w:hint="eastAsia" w:cs="宋体"/>
          <w:lang w:val="en-US"/>
        </w:rPr>
        <w:t>项目采购</w:t>
      </w:r>
      <w:r>
        <w:rPr>
          <w:rFonts w:hint="eastAsia" w:cs="宋体"/>
          <w:lang w:val="hr-HR"/>
        </w:rPr>
        <w:t>”</w:t>
      </w:r>
      <w:r>
        <w:rPr>
          <w:rFonts w:hint="eastAsia" w:cs="宋体"/>
          <w:lang w:val="en-US"/>
        </w:rPr>
        <w:t>应用</w:t>
      </w:r>
      <w:r>
        <w:rPr>
          <w:rFonts w:hint="eastAsia" w:cs="宋体"/>
          <w:lang w:val="hr-HR"/>
        </w:rPr>
        <w:t>，</w:t>
      </w:r>
      <w:r>
        <w:rPr>
          <w:rFonts w:hint="eastAsia" w:cs="宋体"/>
          <w:lang w:val="en-US"/>
        </w:rPr>
        <w:t>在获取采购文件菜单中选择项目</w:t>
      </w:r>
      <w:r>
        <w:rPr>
          <w:rFonts w:hint="eastAsia" w:cs="宋体"/>
          <w:lang w:val="hr-HR"/>
        </w:rPr>
        <w:t>，</w:t>
      </w:r>
      <w:r>
        <w:rPr>
          <w:rFonts w:hint="eastAsia" w:cs="宋体"/>
          <w:lang w:val="en-US"/>
        </w:rPr>
        <w:t>申请获取采购文件</w:t>
      </w:r>
      <w:r>
        <w:rPr>
          <w:rFonts w:hint="eastAsia" w:cs="宋体"/>
          <w:lang w:val="hr-HR"/>
        </w:rPr>
        <w:t>）</w:t>
      </w:r>
      <w:r>
        <w:rPr>
          <w:rFonts w:hint="eastAsia" w:cs="宋体"/>
          <w:lang w:val="en-US"/>
        </w:rPr>
        <w:t>。</w:t>
      </w:r>
    </w:p>
    <w:p w14:paraId="44E60B43">
      <w:pPr>
        <w:pStyle w:val="39"/>
        <w:jc w:val="both"/>
        <w:rPr>
          <w:rFonts w:hint="eastAsia" w:cs="宋体"/>
          <w:lang w:val="en-US"/>
        </w:rPr>
      </w:pPr>
      <w:r>
        <w:rPr>
          <w:rFonts w:hint="eastAsia" w:cs="宋体"/>
          <w:lang w:val="en-US"/>
        </w:rPr>
        <w:t>4.售价：0元。</w:t>
      </w:r>
    </w:p>
    <w:bookmarkEnd w:id="61"/>
    <w:bookmarkEnd w:id="62"/>
    <w:bookmarkEnd w:id="63"/>
    <w:bookmarkEnd w:id="64"/>
    <w:bookmarkEnd w:id="65"/>
    <w:bookmarkEnd w:id="66"/>
    <w:p w14:paraId="484ADF35">
      <w:pPr>
        <w:pStyle w:val="4"/>
        <w:spacing w:before="156" w:beforeLines="50" w:after="156" w:afterLines="50" w:line="360" w:lineRule="auto"/>
        <w:ind w:left="420" w:hanging="420"/>
        <w:jc w:val="both"/>
        <w:rPr>
          <w:rFonts w:hint="eastAsia" w:ascii="宋体" w:hAnsi="宋体" w:cs="宋体"/>
          <w:sz w:val="24"/>
          <w:szCs w:val="24"/>
          <w:lang w:val="hr-HR"/>
        </w:rPr>
      </w:pPr>
      <w:bookmarkStart w:id="68" w:name="_Toc163492815"/>
      <w:bookmarkStart w:id="69" w:name="_Toc140132748"/>
      <w:bookmarkStart w:id="70" w:name="_Toc109899832"/>
      <w:bookmarkStart w:id="71" w:name="_Toc109899413"/>
      <w:bookmarkStart w:id="72" w:name="_Toc109900251"/>
      <w:bookmarkStart w:id="73" w:name="_Toc155185863"/>
      <w:bookmarkStart w:id="74" w:name="_Toc21751"/>
      <w:bookmarkStart w:id="75" w:name="_Toc27258"/>
      <w:bookmarkStart w:id="76" w:name="_Toc32460"/>
      <w:bookmarkStart w:id="77" w:name="_Toc16398"/>
      <w:bookmarkStart w:id="78" w:name="_Toc1796"/>
      <w:r>
        <w:rPr>
          <w:rFonts w:hint="eastAsia" w:ascii="宋体" w:hAnsi="宋体" w:cs="宋体"/>
          <w:sz w:val="24"/>
          <w:szCs w:val="24"/>
        </w:rPr>
        <w:t>四、</w:t>
      </w:r>
      <w:bookmarkEnd w:id="68"/>
      <w:bookmarkEnd w:id="69"/>
      <w:bookmarkEnd w:id="70"/>
      <w:bookmarkEnd w:id="71"/>
      <w:bookmarkEnd w:id="72"/>
      <w:bookmarkEnd w:id="73"/>
      <w:r>
        <w:rPr>
          <w:rFonts w:hint="eastAsia" w:ascii="宋体" w:hAnsi="宋体" w:cs="宋体"/>
          <w:sz w:val="24"/>
          <w:szCs w:val="24"/>
          <w:lang w:val="hr-HR"/>
        </w:rPr>
        <w:t>提交投标文件截止时间</w:t>
      </w:r>
      <w:r>
        <w:rPr>
          <w:rFonts w:hint="eastAsia" w:ascii="宋体" w:hAnsi="宋体" w:cs="宋体"/>
          <w:sz w:val="24"/>
          <w:szCs w:val="24"/>
        </w:rPr>
        <w:t>/</w:t>
      </w:r>
      <w:r>
        <w:rPr>
          <w:rFonts w:hint="eastAsia" w:ascii="宋体" w:hAnsi="宋体" w:cs="宋体"/>
          <w:sz w:val="24"/>
          <w:szCs w:val="24"/>
          <w:lang w:val="hr-HR"/>
        </w:rPr>
        <w:t>开标时间、递交方式和</w:t>
      </w:r>
      <w:r>
        <w:rPr>
          <w:rFonts w:hint="eastAsia" w:ascii="宋体" w:hAnsi="宋体" w:cs="宋体"/>
          <w:sz w:val="24"/>
          <w:szCs w:val="24"/>
        </w:rPr>
        <w:t>开标</w:t>
      </w:r>
      <w:r>
        <w:rPr>
          <w:rFonts w:hint="eastAsia" w:ascii="宋体" w:hAnsi="宋体" w:cs="宋体"/>
          <w:sz w:val="24"/>
          <w:szCs w:val="24"/>
          <w:lang w:val="hr-HR"/>
        </w:rPr>
        <w:t>地点</w:t>
      </w:r>
      <w:bookmarkEnd w:id="74"/>
      <w:bookmarkEnd w:id="75"/>
      <w:bookmarkEnd w:id="76"/>
      <w:bookmarkEnd w:id="77"/>
      <w:bookmarkEnd w:id="78"/>
      <w:bookmarkStart w:id="79" w:name="_Hlk130457395"/>
      <w:bookmarkStart w:id="80" w:name="_Toc44583633"/>
      <w:bookmarkStart w:id="81" w:name="_Toc35393803"/>
      <w:bookmarkStart w:id="82" w:name="_Toc28359017"/>
      <w:bookmarkStart w:id="83" w:name="_Toc35393634"/>
      <w:bookmarkStart w:id="84" w:name="_Toc28359094"/>
    </w:p>
    <w:p w14:paraId="7B61D43C">
      <w:pPr>
        <w:pStyle w:val="39"/>
        <w:jc w:val="both"/>
        <w:rPr>
          <w:rFonts w:hint="eastAsia" w:cs="宋体"/>
          <w:lang w:val="en-US"/>
        </w:rPr>
      </w:pPr>
      <w:bookmarkStart w:id="85" w:name="_Toc28855"/>
      <w:bookmarkStart w:id="86" w:name="_Toc5471"/>
      <w:bookmarkStart w:id="87" w:name="_Toc12436"/>
      <w:bookmarkStart w:id="88" w:name="_Toc8573"/>
      <w:bookmarkStart w:id="89" w:name="_Toc12519"/>
      <w:r>
        <w:rPr>
          <w:rFonts w:hint="eastAsia" w:cs="宋体"/>
          <w:lang w:val="en-US"/>
        </w:rPr>
        <w:t>1.截止时间/开标时间：</w:t>
      </w:r>
      <w:r>
        <w:rPr>
          <w:rFonts w:hint="eastAsia" w:cs="宋体"/>
          <w:u w:val="single"/>
          <w:lang w:val="en-US"/>
        </w:rPr>
        <w:t>2026</w:t>
      </w:r>
      <w:r>
        <w:rPr>
          <w:rFonts w:hint="eastAsia" w:cs="宋体"/>
          <w:u w:val="single"/>
        </w:rPr>
        <w:t>年</w:t>
      </w:r>
      <w:r>
        <w:rPr>
          <w:rFonts w:hint="eastAsia" w:cs="宋体"/>
          <w:u w:val="single"/>
          <w:lang w:val="en-US" w:eastAsia="zh-CN"/>
        </w:rPr>
        <w:t>6</w:t>
      </w:r>
      <w:r>
        <w:rPr>
          <w:rFonts w:hint="eastAsia" w:cs="宋体"/>
          <w:u w:val="single"/>
        </w:rPr>
        <w:t>月</w:t>
      </w:r>
      <w:r>
        <w:rPr>
          <w:rFonts w:hint="eastAsia" w:cs="宋体"/>
          <w:u w:val="single"/>
          <w:lang w:val="en-US" w:eastAsia="zh-CN"/>
        </w:rPr>
        <w:t>12</w:t>
      </w:r>
      <w:r>
        <w:rPr>
          <w:rFonts w:hint="eastAsia" w:cs="宋体"/>
          <w:u w:val="single"/>
        </w:rPr>
        <w:t>日</w:t>
      </w:r>
      <w:r>
        <w:rPr>
          <w:rFonts w:hint="eastAsia" w:cs="宋体"/>
          <w:u w:val="single"/>
          <w:lang w:val="en-US" w:eastAsia="zh-CN"/>
        </w:rPr>
        <w:t>11</w:t>
      </w:r>
      <w:r>
        <w:rPr>
          <w:rFonts w:hint="eastAsia" w:cs="宋体"/>
          <w:u w:val="single"/>
        </w:rPr>
        <w:t>时</w:t>
      </w:r>
      <w:r>
        <w:rPr>
          <w:rFonts w:hint="eastAsia" w:cs="宋体"/>
          <w:u w:val="single"/>
          <w:lang w:val="en-US" w:eastAsia="zh-CN"/>
        </w:rPr>
        <w:t>00</w:t>
      </w:r>
      <w:r>
        <w:rPr>
          <w:rFonts w:hint="eastAsia" w:cs="宋体"/>
          <w:u w:val="single"/>
        </w:rPr>
        <w:t>分</w:t>
      </w:r>
      <w:r>
        <w:rPr>
          <w:rFonts w:hint="eastAsia" w:cs="宋体"/>
          <w:lang w:val="hr-HR"/>
        </w:rPr>
        <w:t>（北京时间）</w:t>
      </w:r>
      <w:r>
        <w:rPr>
          <w:rFonts w:hint="eastAsia" w:cs="宋体"/>
          <w:lang w:val="en-US"/>
        </w:rPr>
        <w:t>）。</w:t>
      </w:r>
      <w:bookmarkEnd w:id="85"/>
      <w:bookmarkEnd w:id="86"/>
      <w:bookmarkEnd w:id="87"/>
      <w:bookmarkEnd w:id="88"/>
      <w:bookmarkEnd w:id="89"/>
    </w:p>
    <w:p w14:paraId="7317F5C8">
      <w:pPr>
        <w:pStyle w:val="39"/>
        <w:jc w:val="both"/>
        <w:rPr>
          <w:rFonts w:hint="eastAsia" w:cs="宋体"/>
          <w:lang w:val="en-US"/>
        </w:rPr>
      </w:pPr>
      <w:r>
        <w:rPr>
          <w:rFonts w:hint="eastAsia" w:cs="宋体"/>
          <w:lang w:val="en-US"/>
        </w:rPr>
        <w:t>2.递交方式：</w:t>
      </w:r>
      <w:bookmarkStart w:id="90" w:name="_Hlk89807823"/>
      <w:r>
        <w:rPr>
          <w:rFonts w:hint="eastAsia" w:cs="宋体"/>
          <w:lang w:val="en-US"/>
        </w:rPr>
        <w:t>在政府采购电子交易云平台（网址：https://www.zcygov.cn/）进入“项目采购”应用，在投标文件上传菜单中选择项目进行上传。</w:t>
      </w:r>
      <w:bookmarkEnd w:id="90"/>
    </w:p>
    <w:p w14:paraId="793D00C0">
      <w:pPr>
        <w:pStyle w:val="39"/>
        <w:jc w:val="both"/>
        <w:rPr>
          <w:rFonts w:hint="eastAsia" w:cs="宋体"/>
          <w:lang w:val="en-US"/>
        </w:rPr>
      </w:pPr>
      <w:r>
        <w:rPr>
          <w:rFonts w:hint="eastAsia" w:cs="宋体"/>
          <w:lang w:val="en-US"/>
        </w:rPr>
        <w:t>3.开标地点：投标人登录政采云平台https://www.zcygov.cn/，进入项目采购－开标评标－右边选择对应项目点击“进入项目”进入开标大厅。</w:t>
      </w:r>
    </w:p>
    <w:bookmarkEnd w:id="79"/>
    <w:p w14:paraId="3452B2C6">
      <w:pPr>
        <w:pStyle w:val="4"/>
        <w:spacing w:before="156" w:beforeLines="50" w:after="156" w:afterLines="50" w:line="360" w:lineRule="auto"/>
        <w:ind w:left="420" w:hanging="420"/>
        <w:jc w:val="both"/>
        <w:rPr>
          <w:rFonts w:hint="eastAsia" w:ascii="宋体" w:hAnsi="宋体" w:cs="宋体"/>
          <w:sz w:val="24"/>
          <w:szCs w:val="24"/>
          <w:lang w:val="hr-HR"/>
        </w:rPr>
      </w:pPr>
      <w:bookmarkStart w:id="91" w:name="_Toc109899833"/>
      <w:bookmarkStart w:id="92" w:name="_Toc6696"/>
      <w:bookmarkStart w:id="93" w:name="_Toc109899414"/>
      <w:bookmarkStart w:id="94" w:name="_Toc29014"/>
      <w:bookmarkStart w:id="95" w:name="_Toc163492816"/>
      <w:bookmarkStart w:id="96" w:name="_Toc14194"/>
      <w:bookmarkStart w:id="97" w:name="_Toc13347"/>
      <w:bookmarkStart w:id="98" w:name="_Toc155185864"/>
      <w:bookmarkStart w:id="99" w:name="_Toc20013"/>
      <w:bookmarkStart w:id="100" w:name="_Toc140132749"/>
      <w:bookmarkStart w:id="101" w:name="_Toc109900252"/>
      <w:r>
        <w:rPr>
          <w:rFonts w:hint="eastAsia" w:ascii="宋体" w:hAnsi="宋体" w:cs="宋体"/>
          <w:sz w:val="24"/>
          <w:szCs w:val="24"/>
        </w:rPr>
        <w:t>五、</w:t>
      </w:r>
      <w:r>
        <w:rPr>
          <w:rFonts w:hint="eastAsia" w:ascii="宋体" w:hAnsi="宋体" w:cs="宋体"/>
          <w:sz w:val="24"/>
          <w:szCs w:val="24"/>
          <w:lang w:val="hr-HR"/>
        </w:rPr>
        <w:t>公告期限</w:t>
      </w:r>
      <w:bookmarkEnd w:id="80"/>
      <w:bookmarkEnd w:id="81"/>
      <w:bookmarkEnd w:id="82"/>
      <w:bookmarkEnd w:id="83"/>
      <w:bookmarkEnd w:id="84"/>
      <w:bookmarkEnd w:id="91"/>
      <w:bookmarkEnd w:id="92"/>
      <w:bookmarkEnd w:id="93"/>
      <w:bookmarkEnd w:id="94"/>
      <w:bookmarkEnd w:id="95"/>
      <w:bookmarkEnd w:id="96"/>
      <w:bookmarkEnd w:id="97"/>
      <w:bookmarkEnd w:id="98"/>
      <w:bookmarkEnd w:id="99"/>
      <w:bookmarkEnd w:id="100"/>
      <w:bookmarkEnd w:id="101"/>
    </w:p>
    <w:p w14:paraId="63A1147E">
      <w:pPr>
        <w:pStyle w:val="39"/>
        <w:jc w:val="both"/>
        <w:rPr>
          <w:rFonts w:hint="eastAsia" w:cs="宋体"/>
        </w:rPr>
      </w:pPr>
      <w:r>
        <w:rPr>
          <w:rFonts w:hint="eastAsia" w:cs="宋体"/>
        </w:rPr>
        <w:t>自招标公告发布之日起5个工作日。</w:t>
      </w:r>
    </w:p>
    <w:p w14:paraId="359C1950">
      <w:pPr>
        <w:pStyle w:val="4"/>
        <w:spacing w:before="156" w:beforeLines="50" w:after="156" w:afterLines="50" w:line="360" w:lineRule="auto"/>
        <w:ind w:left="420" w:hanging="420"/>
        <w:jc w:val="both"/>
        <w:rPr>
          <w:rFonts w:hint="eastAsia" w:ascii="宋体" w:hAnsi="宋体" w:cs="宋体"/>
          <w:sz w:val="24"/>
          <w:szCs w:val="24"/>
          <w:lang w:val="hr-HR"/>
        </w:rPr>
      </w:pPr>
      <w:bookmarkStart w:id="102" w:name="_Toc163492817"/>
      <w:bookmarkStart w:id="103" w:name="_Toc7878"/>
      <w:bookmarkStart w:id="104" w:name="_Toc140132750"/>
      <w:bookmarkStart w:id="105" w:name="_Toc30667"/>
      <w:bookmarkStart w:id="106" w:name="_Toc109899415"/>
      <w:bookmarkStart w:id="107" w:name="_Toc14182"/>
      <w:bookmarkStart w:id="108" w:name="_Toc35393804"/>
      <w:bookmarkStart w:id="109" w:name="_Toc17179"/>
      <w:bookmarkStart w:id="110" w:name="_Toc109899834"/>
      <w:bookmarkStart w:id="111" w:name="_Toc35393635"/>
      <w:bookmarkStart w:id="112" w:name="_Toc44583634"/>
      <w:bookmarkStart w:id="113" w:name="_Toc109900253"/>
      <w:bookmarkStart w:id="114" w:name="_Toc7635"/>
      <w:bookmarkStart w:id="115" w:name="_Toc155185865"/>
      <w:r>
        <w:rPr>
          <w:rFonts w:hint="eastAsia" w:ascii="宋体" w:hAnsi="宋体" w:cs="宋体"/>
          <w:sz w:val="24"/>
          <w:szCs w:val="24"/>
        </w:rPr>
        <w:t>六、</w:t>
      </w:r>
      <w:r>
        <w:rPr>
          <w:rFonts w:hint="eastAsia" w:ascii="宋体" w:hAnsi="宋体" w:cs="宋体"/>
          <w:sz w:val="24"/>
          <w:szCs w:val="24"/>
          <w:lang w:val="hr-HR"/>
        </w:rPr>
        <w:t>其他补充事宜</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4083EF59">
      <w:pPr>
        <w:pStyle w:val="39"/>
        <w:jc w:val="both"/>
        <w:rPr>
          <w:rFonts w:hint="eastAsia" w:cs="宋体"/>
          <w:lang w:val="en-US"/>
        </w:rPr>
      </w:pPr>
      <w:r>
        <w:rPr>
          <w:rFonts w:hint="eastAsia" w:cs="宋体"/>
          <w:lang w:val="en-US"/>
        </w:rPr>
        <w:t>1.本项目实行网上投标，采用电子投标文件；</w:t>
      </w:r>
    </w:p>
    <w:p w14:paraId="208208A5">
      <w:pPr>
        <w:pStyle w:val="39"/>
        <w:jc w:val="both"/>
        <w:rPr>
          <w:rFonts w:hint="eastAsia" w:cs="宋体"/>
          <w:lang w:val="en-US"/>
        </w:rPr>
      </w:pPr>
      <w:r>
        <w:rPr>
          <w:rFonts w:hint="eastAsia" w:cs="宋体"/>
          <w:lang w:val="en-US"/>
        </w:rPr>
        <w:t>2.各投标人应在开标前应确保成为政采云平台供应商，并完成CA数字证书（符合国密标准）申领。因未注册入库、未办理CA数字证书等原因造成无法投标或投标失败等后果由投标人自行承担。有意向参与电子开评标的投标人，可访问 政府采购网-办事指南－操作指南-CA证书办理操作指南或点击链接：http://www.ccgp-xinjiang.gov.cn/site/detail?parentId=3335&amp;articleId=LARZx20mtdl0XaVcGZIKAw==&amp;utm=site.site-PC-42166.1024-pc-wsg-secondLevelPage-front.2.b2d45560446d11f1ae0713afab12b9a4自行进行申领。</w:t>
      </w:r>
    </w:p>
    <w:p w14:paraId="37925737">
      <w:pPr>
        <w:pStyle w:val="39"/>
        <w:jc w:val="both"/>
        <w:rPr>
          <w:rFonts w:hint="eastAsia" w:cs="宋体"/>
          <w:lang w:val="en-US"/>
        </w:rPr>
      </w:pPr>
      <w:r>
        <w:rPr>
          <w:rFonts w:hint="eastAsia" w:cs="宋体"/>
          <w:lang w:val="en-US"/>
        </w:rPr>
        <w:t>3.投标人将政采云电子交易客户端下载、安装完成后，可通过账号密码或CA登录客户端进行投标文件的制作。在使用政采云“投标客户端”时，建议使用WIN7（64位）及以上操作系统。客户端请至 政府采购网（http://www.ccgp-xinjiang.gov.cn/）下载专区查看，如有问题可拨打政采云客户服务热线95763进行咨询。如因投标人自身原因导致在规定时间内无法正常解密的（如：浏览器故障、未安装相关驱动、网络故障、加密CA与解密CA不一致等），视为投标人自动弃标。</w:t>
      </w:r>
    </w:p>
    <w:p w14:paraId="0428B871">
      <w:pPr>
        <w:pStyle w:val="39"/>
        <w:jc w:val="both"/>
        <w:rPr>
          <w:rFonts w:hint="eastAsia" w:cs="宋体"/>
          <w:lang w:val="en-US"/>
        </w:rPr>
      </w:pPr>
      <w:r>
        <w:rPr>
          <w:rFonts w:hint="eastAsia" w:cs="宋体"/>
          <w:lang w:val="en-US"/>
        </w:rPr>
        <w:t>4、</w:t>
      </w:r>
    </w:p>
    <w:p w14:paraId="29388A43">
      <w:pPr>
        <w:pStyle w:val="4"/>
        <w:spacing w:before="156" w:beforeLines="50" w:after="156" w:afterLines="50" w:line="360" w:lineRule="auto"/>
        <w:ind w:left="420" w:hanging="420"/>
        <w:jc w:val="both"/>
        <w:rPr>
          <w:rFonts w:hint="eastAsia" w:ascii="宋体" w:hAnsi="宋体" w:cs="宋体"/>
          <w:sz w:val="24"/>
          <w:szCs w:val="24"/>
          <w:lang w:val="hr-HR"/>
        </w:rPr>
      </w:pPr>
      <w:bookmarkStart w:id="116" w:name="_Toc35393636"/>
      <w:bookmarkStart w:id="117" w:name="_Toc44583635"/>
      <w:bookmarkStart w:id="118" w:name="_Toc163492818"/>
      <w:bookmarkStart w:id="119" w:name="_Toc140132751"/>
      <w:bookmarkStart w:id="120" w:name="_Toc155185866"/>
      <w:bookmarkStart w:id="121" w:name="_Toc109899835"/>
      <w:bookmarkStart w:id="122" w:name="_Toc28359095"/>
      <w:bookmarkStart w:id="123" w:name="_Toc109899416"/>
      <w:bookmarkStart w:id="124" w:name="_Toc109900254"/>
      <w:bookmarkStart w:id="125" w:name="_Toc28359018"/>
      <w:bookmarkStart w:id="126" w:name="_Toc35393805"/>
      <w:bookmarkStart w:id="127" w:name="_Toc14349"/>
      <w:bookmarkStart w:id="128" w:name="_Toc19771"/>
      <w:bookmarkStart w:id="129" w:name="_Toc10795"/>
      <w:bookmarkStart w:id="130" w:name="_Toc22960"/>
      <w:bookmarkStart w:id="131" w:name="_Toc5347"/>
      <w:r>
        <w:rPr>
          <w:rFonts w:hint="eastAsia" w:ascii="宋体" w:hAnsi="宋体" w:cs="宋体"/>
          <w:sz w:val="24"/>
          <w:szCs w:val="24"/>
        </w:rPr>
        <w:t>七、</w:t>
      </w:r>
      <w:bookmarkEnd w:id="116"/>
      <w:bookmarkEnd w:id="117"/>
      <w:bookmarkEnd w:id="118"/>
      <w:bookmarkEnd w:id="119"/>
      <w:bookmarkEnd w:id="120"/>
      <w:bookmarkEnd w:id="121"/>
      <w:bookmarkEnd w:id="122"/>
      <w:bookmarkEnd w:id="123"/>
      <w:bookmarkEnd w:id="124"/>
      <w:bookmarkEnd w:id="125"/>
      <w:bookmarkEnd w:id="126"/>
      <w:r>
        <w:rPr>
          <w:rFonts w:hint="eastAsia" w:ascii="宋体" w:hAnsi="宋体" w:cs="宋体"/>
          <w:sz w:val="24"/>
          <w:szCs w:val="24"/>
          <w:lang w:val="hr-HR"/>
        </w:rPr>
        <w:t>对本次</w:t>
      </w:r>
      <w:r>
        <w:rPr>
          <w:rFonts w:hint="eastAsia" w:ascii="宋体" w:hAnsi="宋体" w:cs="宋体"/>
          <w:sz w:val="24"/>
          <w:szCs w:val="24"/>
        </w:rPr>
        <w:t>招标</w:t>
      </w:r>
      <w:r>
        <w:rPr>
          <w:rFonts w:hint="eastAsia" w:ascii="宋体" w:hAnsi="宋体" w:cs="宋体"/>
          <w:sz w:val="24"/>
          <w:szCs w:val="24"/>
          <w:lang w:val="hr-HR"/>
        </w:rPr>
        <w:t>提出询问，请按以下方式联系</w:t>
      </w:r>
      <w:bookmarkEnd w:id="127"/>
      <w:bookmarkEnd w:id="128"/>
      <w:bookmarkEnd w:id="129"/>
      <w:bookmarkEnd w:id="130"/>
      <w:bookmarkEnd w:id="131"/>
    </w:p>
    <w:p w14:paraId="791D038E">
      <w:pPr>
        <w:pStyle w:val="39"/>
        <w:ind w:firstLine="482"/>
        <w:jc w:val="both"/>
        <w:rPr>
          <w:rFonts w:hint="eastAsia" w:cs="宋体"/>
        </w:rPr>
      </w:pPr>
      <w:bookmarkStart w:id="132" w:name="_Toc28359019"/>
      <w:bookmarkStart w:id="133" w:name="_Toc35393806"/>
      <w:bookmarkStart w:id="134" w:name="_Toc35393637"/>
      <w:bookmarkStart w:id="135" w:name="_Toc28359096"/>
      <w:r>
        <w:rPr>
          <w:rFonts w:hint="eastAsia" w:cs="宋体"/>
        </w:rPr>
        <w:t>1.采购人信息</w:t>
      </w:r>
      <w:bookmarkEnd w:id="132"/>
      <w:bookmarkEnd w:id="133"/>
      <w:bookmarkEnd w:id="134"/>
      <w:bookmarkEnd w:id="135"/>
    </w:p>
    <w:p w14:paraId="691E48E8">
      <w:pPr>
        <w:pStyle w:val="39"/>
        <w:ind w:firstLine="482"/>
        <w:jc w:val="both"/>
        <w:rPr>
          <w:rFonts w:hint="eastAsia" w:cs="宋体"/>
        </w:rPr>
      </w:pPr>
      <w:r>
        <w:rPr>
          <w:rFonts w:hint="eastAsia" w:cs="宋体"/>
        </w:rPr>
        <w:t>名称：</w:t>
      </w:r>
      <w:r>
        <w:rPr>
          <w:rFonts w:hint="eastAsia" w:cs="宋体"/>
          <w:u w:val="single"/>
        </w:rPr>
        <w:t>新疆维吾尔自治区天山西部国有林管理局巩留分局</w:t>
      </w:r>
    </w:p>
    <w:p w14:paraId="49DFE2E4">
      <w:pPr>
        <w:pStyle w:val="39"/>
        <w:ind w:firstLine="482"/>
        <w:jc w:val="both"/>
        <w:rPr>
          <w:rFonts w:hint="eastAsia" w:cs="宋体"/>
        </w:rPr>
      </w:pPr>
      <w:r>
        <w:rPr>
          <w:rFonts w:hint="eastAsia" w:cs="宋体"/>
        </w:rPr>
        <w:t>地址：</w:t>
      </w:r>
      <w:r>
        <w:rPr>
          <w:rFonts w:hint="eastAsia" w:cs="宋体"/>
          <w:u w:val="single"/>
        </w:rPr>
        <w:t>伊犁哈萨克自治州巩留县新华路001号</w:t>
      </w:r>
    </w:p>
    <w:p w14:paraId="2D103346">
      <w:pPr>
        <w:pStyle w:val="39"/>
        <w:ind w:firstLine="482"/>
        <w:jc w:val="both"/>
        <w:rPr>
          <w:rFonts w:hint="eastAsia" w:cs="宋体"/>
        </w:rPr>
      </w:pPr>
      <w:r>
        <w:rPr>
          <w:rFonts w:hint="eastAsia" w:cs="宋体"/>
        </w:rPr>
        <w:t>联系方式：</w:t>
      </w:r>
      <w:bookmarkStart w:id="136" w:name="_Hlk46775675"/>
      <w:r>
        <w:rPr>
          <w:rFonts w:hint="eastAsia" w:cs="宋体"/>
        </w:rPr>
        <w:t>13899731788</w:t>
      </w:r>
    </w:p>
    <w:bookmarkEnd w:id="136"/>
    <w:p w14:paraId="618BD43A">
      <w:pPr>
        <w:pStyle w:val="39"/>
        <w:ind w:firstLine="482"/>
        <w:jc w:val="both"/>
        <w:rPr>
          <w:rFonts w:hint="eastAsia" w:cs="宋体"/>
        </w:rPr>
      </w:pPr>
      <w:bookmarkStart w:id="137" w:name="_Toc28359097"/>
      <w:bookmarkStart w:id="138" w:name="_Toc28359020"/>
      <w:bookmarkStart w:id="139" w:name="_Toc35393807"/>
      <w:bookmarkStart w:id="140" w:name="_Toc35393638"/>
      <w:r>
        <w:rPr>
          <w:rFonts w:hint="eastAsia" w:cs="宋体"/>
        </w:rPr>
        <w:t>2.采购代理机构信息</w:t>
      </w:r>
      <w:bookmarkEnd w:id="137"/>
      <w:bookmarkEnd w:id="138"/>
      <w:bookmarkEnd w:id="139"/>
      <w:bookmarkEnd w:id="140"/>
    </w:p>
    <w:p w14:paraId="4C59A011">
      <w:pPr>
        <w:pStyle w:val="39"/>
        <w:ind w:firstLine="482"/>
        <w:jc w:val="both"/>
        <w:rPr>
          <w:rFonts w:hint="eastAsia" w:cs="宋体"/>
        </w:rPr>
      </w:pPr>
      <w:r>
        <w:rPr>
          <w:rFonts w:hint="eastAsia" w:cs="宋体"/>
        </w:rPr>
        <w:t>名称：</w:t>
      </w:r>
      <w:r>
        <w:rPr>
          <w:rFonts w:hint="eastAsia" w:cs="宋体"/>
          <w:u w:val="single"/>
        </w:rPr>
        <w:t>中通服供应链股份有限公司新疆分公司</w:t>
      </w:r>
    </w:p>
    <w:p w14:paraId="255E94B4">
      <w:pPr>
        <w:pStyle w:val="39"/>
        <w:ind w:firstLine="482"/>
        <w:jc w:val="both"/>
        <w:rPr>
          <w:rFonts w:hint="eastAsia" w:cs="宋体"/>
        </w:rPr>
      </w:pPr>
      <w:r>
        <w:rPr>
          <w:rFonts w:hint="eastAsia" w:cs="宋体"/>
        </w:rPr>
        <w:t>地址：</w:t>
      </w:r>
      <w:r>
        <w:rPr>
          <w:rFonts w:hint="eastAsia" w:cs="宋体"/>
          <w:u w:val="single"/>
          <w:lang w:val="en-US"/>
        </w:rPr>
        <w:t>电信九鼎库房-中通服供应链新疆维吾尔自治区乌鲁木齐市沙依巴克区经四路与纬一路交叉口东北约100米</w:t>
      </w:r>
    </w:p>
    <w:p w14:paraId="387B7FC7">
      <w:pPr>
        <w:pStyle w:val="39"/>
        <w:ind w:firstLine="482"/>
        <w:jc w:val="both"/>
        <w:rPr>
          <w:rFonts w:hint="eastAsia" w:cs="宋体"/>
          <w:lang w:val="en-US"/>
        </w:rPr>
      </w:pPr>
      <w:r>
        <w:rPr>
          <w:rFonts w:hint="eastAsia" w:cs="宋体"/>
        </w:rPr>
        <w:t>联系方式：</w:t>
      </w:r>
      <w:r>
        <w:rPr>
          <w:rFonts w:hint="eastAsia" w:cs="宋体"/>
          <w:u w:val="single"/>
          <w:lang w:val="en-US"/>
        </w:rPr>
        <w:t>15899450214</w:t>
      </w:r>
    </w:p>
    <w:p w14:paraId="74E1CC95">
      <w:pPr>
        <w:pStyle w:val="39"/>
        <w:ind w:firstLine="482"/>
        <w:jc w:val="both"/>
        <w:rPr>
          <w:rFonts w:hint="eastAsia" w:cs="宋体"/>
          <w:szCs w:val="24"/>
          <w:lang w:val="en-US"/>
        </w:rPr>
      </w:pPr>
      <w:bookmarkStart w:id="141" w:name="_Toc35393639"/>
      <w:bookmarkStart w:id="142" w:name="_Toc28359021"/>
      <w:bookmarkStart w:id="143" w:name="_Toc35393808"/>
      <w:bookmarkStart w:id="144" w:name="_Toc28359098"/>
      <w:r>
        <w:rPr>
          <w:rFonts w:hint="eastAsia" w:cs="宋体"/>
          <w:lang w:val="en-US"/>
        </w:rPr>
        <w:t>3</w:t>
      </w:r>
      <w:r>
        <w:rPr>
          <w:rFonts w:hint="eastAsia" w:cs="宋体"/>
        </w:rPr>
        <w:t>.</w:t>
      </w:r>
      <w:r>
        <w:rPr>
          <w:rFonts w:hint="eastAsia" w:cs="宋体"/>
          <w:lang w:val="en-US"/>
        </w:rPr>
        <w:t>项目联系方式</w:t>
      </w:r>
    </w:p>
    <w:p w14:paraId="1572616C">
      <w:pPr>
        <w:pStyle w:val="39"/>
        <w:ind w:firstLine="482"/>
        <w:jc w:val="both"/>
        <w:rPr>
          <w:rFonts w:hint="eastAsia" w:cs="宋体"/>
        </w:rPr>
      </w:pPr>
      <w:r>
        <w:rPr>
          <w:rFonts w:hint="eastAsia" w:cs="宋体"/>
          <w:szCs w:val="24"/>
          <w:lang w:val="en-US"/>
        </w:rPr>
        <w:t>项目</w:t>
      </w:r>
      <w:r>
        <w:rPr>
          <w:rFonts w:hint="eastAsia" w:cs="宋体"/>
          <w:szCs w:val="24"/>
        </w:rPr>
        <w:t>联系人：</w:t>
      </w:r>
      <w:r>
        <w:rPr>
          <w:rFonts w:hint="eastAsia" w:cs="宋体"/>
          <w:szCs w:val="24"/>
          <w:u w:val="single"/>
          <w:lang w:val="en-US"/>
        </w:rPr>
        <w:t>陈志豪</w:t>
      </w:r>
    </w:p>
    <w:bookmarkEnd w:id="141"/>
    <w:bookmarkEnd w:id="142"/>
    <w:bookmarkEnd w:id="143"/>
    <w:bookmarkEnd w:id="144"/>
    <w:p w14:paraId="694C305E">
      <w:pPr>
        <w:pStyle w:val="39"/>
        <w:ind w:firstLine="482"/>
        <w:jc w:val="both"/>
        <w:rPr>
          <w:rFonts w:hint="eastAsia" w:cs="宋体"/>
        </w:rPr>
      </w:pPr>
      <w:r>
        <w:rPr>
          <w:rFonts w:hint="eastAsia" w:cs="宋体"/>
          <w:szCs w:val="24"/>
          <w:lang w:val="en-US"/>
        </w:rPr>
        <w:t>电话：</w:t>
      </w:r>
      <w:r>
        <w:rPr>
          <w:rFonts w:hint="eastAsia" w:cs="宋体"/>
          <w:u w:val="single"/>
          <w:lang w:val="en-US"/>
        </w:rPr>
        <w:t>15899450214</w:t>
      </w:r>
    </w:p>
    <w:p w14:paraId="2AE87CE9">
      <w:pPr>
        <w:rPr>
          <w:rFonts w:hint="eastAsia" w:cs="宋体"/>
        </w:rPr>
      </w:pPr>
    </w:p>
    <w:p w14:paraId="6A145D50">
      <w:pPr>
        <w:rPr>
          <w:rFonts w:hint="eastAsia" w:cs="宋体"/>
        </w:rPr>
      </w:pPr>
    </w:p>
    <w:p w14:paraId="2A4CB1D0">
      <w:pPr>
        <w:rPr>
          <w:rFonts w:hint="eastAsia" w:cs="宋体"/>
        </w:rPr>
        <w:sectPr>
          <w:footerReference r:id="rId7" w:type="default"/>
          <w:pgSz w:w="11906" w:h="16838"/>
          <w:pgMar w:top="1440" w:right="1800" w:bottom="1440" w:left="1800" w:header="851" w:footer="992" w:gutter="0"/>
          <w:pgNumType w:fmt="numberInDash" w:start="1"/>
          <w:cols w:space="425" w:num="1"/>
          <w:docGrid w:type="lines" w:linePitch="312" w:charSpace="0"/>
        </w:sectPr>
      </w:pPr>
    </w:p>
    <w:p w14:paraId="5B4E33AE">
      <w:pPr>
        <w:pStyle w:val="3"/>
        <w:spacing w:before="220" w:after="220" w:line="480" w:lineRule="auto"/>
        <w:ind w:left="420" w:hanging="420"/>
        <w:rPr>
          <w:rFonts w:hint="eastAsia" w:eastAsia="宋体" w:cs="宋体"/>
          <w:sz w:val="36"/>
          <w:szCs w:val="36"/>
        </w:rPr>
      </w:pPr>
      <w:bookmarkStart w:id="145" w:name="_Toc163492819"/>
      <w:bookmarkStart w:id="146" w:name="_Toc8818"/>
      <w:bookmarkStart w:id="147" w:name="_Toc155185867"/>
      <w:r>
        <w:rPr>
          <w:rFonts w:hint="eastAsia" w:eastAsia="宋体" w:cs="宋体"/>
          <w:sz w:val="36"/>
          <w:szCs w:val="36"/>
        </w:rPr>
        <w:t>第二章 投标人须知</w:t>
      </w:r>
      <w:bookmarkEnd w:id="145"/>
      <w:bookmarkEnd w:id="146"/>
      <w:bookmarkEnd w:id="147"/>
    </w:p>
    <w:bookmarkEnd w:id="3"/>
    <w:p w14:paraId="6221801D">
      <w:pPr>
        <w:pStyle w:val="4"/>
        <w:spacing w:before="80" w:after="80" w:line="360" w:lineRule="auto"/>
        <w:ind w:left="420" w:hanging="420"/>
        <w:rPr>
          <w:rFonts w:hint="eastAsia"/>
          <w:sz w:val="28"/>
          <w:szCs w:val="28"/>
        </w:rPr>
      </w:pPr>
      <w:bookmarkStart w:id="148" w:name="_Toc10367"/>
      <w:bookmarkStart w:id="149" w:name="_Toc163492820"/>
      <w:bookmarkStart w:id="150" w:name="_Toc155185868"/>
      <w:r>
        <w:rPr>
          <w:rFonts w:hint="eastAsia"/>
          <w:sz w:val="28"/>
          <w:szCs w:val="28"/>
        </w:rPr>
        <w:t>一、投标人须知前附表</w:t>
      </w:r>
      <w:bookmarkEnd w:id="148"/>
      <w:bookmarkEnd w:id="149"/>
      <w:bookmarkEnd w:id="150"/>
    </w:p>
    <w:p w14:paraId="3A3CB393">
      <w:pPr>
        <w:pStyle w:val="39"/>
        <w:rPr>
          <w:rFonts w:hint="eastAsia"/>
          <w:szCs w:val="24"/>
          <w:lang w:val="en-US"/>
        </w:rPr>
      </w:pPr>
      <w:r>
        <w:rPr>
          <w:rFonts w:hint="eastAsia"/>
          <w:szCs w:val="24"/>
        </w:rPr>
        <w:t>投标人应仔细阅读本招标文件的第二章“投标人须知”，下面所列资料是对“投标人须知”的具体补充和说明，如有矛盾，应以本表为准。</w:t>
      </w:r>
      <w:r>
        <w:rPr>
          <w:rFonts w:hint="eastAsia"/>
          <w:szCs w:val="24"/>
          <w:lang w:val="en-US"/>
        </w:rPr>
        <w:t>标记“☑”的选项意为适用于本项目，标记“□”的选项意为不适用于本项目。</w:t>
      </w:r>
    </w:p>
    <w:tbl>
      <w:tblPr>
        <w:tblStyle w:val="30"/>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7DB404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5C1DC7A">
            <w:pPr>
              <w:pStyle w:val="51"/>
              <w:jc w:val="center"/>
              <w:rPr>
                <w:rFonts w:hint="eastAsia" w:cs="宋体"/>
                <w:b/>
                <w:bCs/>
                <w:szCs w:val="24"/>
              </w:rPr>
            </w:pPr>
            <w:r>
              <w:rPr>
                <w:rFonts w:hint="eastAsia" w:cs="宋体"/>
                <w:b/>
                <w:bCs/>
                <w:szCs w:val="24"/>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9341880">
            <w:pPr>
              <w:pStyle w:val="51"/>
              <w:jc w:val="center"/>
              <w:rPr>
                <w:rFonts w:hint="eastAsia" w:cs="宋体"/>
                <w:b/>
                <w:bCs/>
                <w:szCs w:val="24"/>
              </w:rPr>
            </w:pPr>
            <w:r>
              <w:rPr>
                <w:rFonts w:hint="eastAsia" w:cs="宋体"/>
                <w:b/>
                <w:bCs/>
                <w:szCs w:val="24"/>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E9CBAB9">
            <w:pPr>
              <w:pStyle w:val="51"/>
              <w:jc w:val="center"/>
              <w:rPr>
                <w:rFonts w:hint="eastAsia" w:cs="宋体"/>
                <w:b/>
                <w:bCs/>
                <w:szCs w:val="24"/>
              </w:rPr>
            </w:pPr>
            <w:r>
              <w:rPr>
                <w:rFonts w:hint="eastAsia" w:cs="宋体"/>
                <w:b/>
                <w:bCs/>
                <w:szCs w:val="24"/>
              </w:rPr>
              <w:t>内  容</w:t>
            </w:r>
          </w:p>
        </w:tc>
      </w:tr>
      <w:tr w14:paraId="699D23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7E2FC661">
            <w:pPr>
              <w:pStyle w:val="51"/>
              <w:jc w:val="center"/>
              <w:rPr>
                <w:rFonts w:hint="eastAsia" w:cs="宋体"/>
                <w:szCs w:val="24"/>
              </w:rPr>
            </w:pPr>
            <w:r>
              <w:rPr>
                <w:rFonts w:hint="eastAsia" w:cs="宋体"/>
                <w:szCs w:val="24"/>
              </w:rPr>
              <w:t>2.5</w:t>
            </w:r>
          </w:p>
        </w:tc>
        <w:tc>
          <w:tcPr>
            <w:tcW w:w="1738" w:type="dxa"/>
            <w:vAlign w:val="center"/>
          </w:tcPr>
          <w:p w14:paraId="09DA763F">
            <w:pPr>
              <w:pStyle w:val="51"/>
              <w:rPr>
                <w:rFonts w:hint="eastAsia" w:cs="宋体"/>
                <w:szCs w:val="24"/>
              </w:rPr>
            </w:pPr>
            <w:r>
              <w:rPr>
                <w:rFonts w:hint="eastAsia" w:cs="宋体"/>
                <w:szCs w:val="24"/>
              </w:rPr>
              <w:t>核心产品</w:t>
            </w:r>
          </w:p>
        </w:tc>
        <w:tc>
          <w:tcPr>
            <w:tcW w:w="6700" w:type="dxa"/>
            <w:vAlign w:val="center"/>
          </w:tcPr>
          <w:p w14:paraId="1CF6FDDF">
            <w:pPr>
              <w:pStyle w:val="51"/>
              <w:rPr>
                <w:rFonts w:hint="eastAsia" w:cs="宋体"/>
                <w:szCs w:val="24"/>
              </w:rPr>
            </w:pPr>
            <w:r>
              <w:rPr>
                <w:rFonts w:hint="eastAsia" w:cs="宋体"/>
                <w:szCs w:val="24"/>
              </w:rPr>
              <w:t xml:space="preserve">□本项目第__包不适用。 </w:t>
            </w:r>
          </w:p>
          <w:p w14:paraId="4A760337">
            <w:pPr>
              <w:pStyle w:val="51"/>
              <w:rPr>
                <w:rFonts w:hint="eastAsia" w:cs="宋体"/>
                <w:szCs w:val="24"/>
              </w:rPr>
            </w:pPr>
            <w:r>
              <w:rPr>
                <w:rFonts w:hint="eastAsia" w:cs="宋体"/>
                <w:szCs w:val="24"/>
              </w:rPr>
              <w:t xml:space="preserve">□本项目第__包为单一产品采购项目。 </w:t>
            </w:r>
          </w:p>
          <w:p w14:paraId="2C663F75">
            <w:pPr>
              <w:pStyle w:val="51"/>
              <w:rPr>
                <w:rFonts w:hint="eastAsia" w:cs="宋体"/>
                <w:szCs w:val="24"/>
              </w:rPr>
            </w:pPr>
            <w:r>
              <w:rPr>
                <w:rFonts w:hint="eastAsia" w:cs="宋体"/>
                <w:szCs w:val="24"/>
              </w:rPr>
              <w:t>□本项目第__包为非单一产品采购项目，其中核心产品为：____。</w:t>
            </w:r>
          </w:p>
        </w:tc>
      </w:tr>
      <w:tr w14:paraId="295CC7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vAlign w:val="center"/>
          </w:tcPr>
          <w:p w14:paraId="4C5E2D7C">
            <w:pPr>
              <w:pStyle w:val="51"/>
              <w:jc w:val="center"/>
              <w:rPr>
                <w:rFonts w:hint="eastAsia" w:cs="宋体"/>
                <w:szCs w:val="24"/>
              </w:rPr>
            </w:pPr>
            <w:r>
              <w:rPr>
                <w:rFonts w:hint="eastAsia" w:cs="宋体"/>
                <w:szCs w:val="24"/>
              </w:rPr>
              <w:t>2.6</w:t>
            </w:r>
          </w:p>
        </w:tc>
        <w:tc>
          <w:tcPr>
            <w:tcW w:w="1738" w:type="dxa"/>
            <w:vAlign w:val="center"/>
          </w:tcPr>
          <w:p w14:paraId="5403C2B7">
            <w:pPr>
              <w:widowControl/>
              <w:spacing w:line="240" w:lineRule="auto"/>
              <w:rPr>
                <w:rFonts w:hint="eastAsia" w:cs="宋体"/>
                <w:szCs w:val="24"/>
              </w:rPr>
            </w:pPr>
            <w:r>
              <w:rPr>
                <w:rFonts w:hint="eastAsia" w:cs="宋体"/>
                <w:kern w:val="0"/>
                <w:szCs w:val="24"/>
                <w:lang w:bidi="ar"/>
              </w:rPr>
              <w:t>科研仪器设备</w:t>
            </w:r>
          </w:p>
        </w:tc>
        <w:tc>
          <w:tcPr>
            <w:tcW w:w="6700" w:type="dxa"/>
            <w:vAlign w:val="center"/>
          </w:tcPr>
          <w:p w14:paraId="2F51CA10">
            <w:pPr>
              <w:widowControl/>
              <w:spacing w:line="240" w:lineRule="auto"/>
              <w:rPr>
                <w:rFonts w:hint="eastAsia" w:cs="宋体"/>
                <w:kern w:val="0"/>
                <w:szCs w:val="24"/>
                <w:lang w:bidi="ar"/>
              </w:rPr>
            </w:pPr>
            <w:r>
              <w:rPr>
                <w:rFonts w:hint="eastAsia" w:cs="宋体"/>
                <w:kern w:val="0"/>
                <w:szCs w:val="24"/>
                <w:lang w:bidi="ar"/>
              </w:rPr>
              <w:t xml:space="preserve">是否属于科研仪器设备采购项目： </w:t>
            </w:r>
          </w:p>
          <w:p w14:paraId="6FC18AA5">
            <w:pPr>
              <w:widowControl/>
              <w:spacing w:line="240" w:lineRule="auto"/>
              <w:rPr>
                <w:rFonts w:hint="eastAsia" w:cs="宋体"/>
                <w:kern w:val="0"/>
                <w:szCs w:val="24"/>
                <w:lang w:bidi="ar"/>
              </w:rPr>
            </w:pPr>
            <w:r>
              <w:rPr>
                <w:rFonts w:hint="eastAsia" w:cs="宋体"/>
                <w:szCs w:val="24"/>
              </w:rPr>
              <w:t>□</w:t>
            </w:r>
            <w:r>
              <w:rPr>
                <w:rFonts w:hint="eastAsia" w:cs="宋体"/>
                <w:kern w:val="0"/>
                <w:szCs w:val="24"/>
                <w:lang w:bidi="ar"/>
              </w:rPr>
              <w:t xml:space="preserve">是 </w:t>
            </w:r>
          </w:p>
          <w:p w14:paraId="6EF0DD0A">
            <w:pPr>
              <w:widowControl/>
              <w:spacing w:line="240" w:lineRule="auto"/>
              <w:rPr>
                <w:rFonts w:hint="eastAsia" w:cs="宋体"/>
                <w:kern w:val="0"/>
                <w:szCs w:val="24"/>
                <w:lang w:bidi="ar"/>
              </w:rPr>
            </w:pPr>
            <w:r>
              <w:rPr>
                <w:rFonts w:hint="eastAsia" w:cs="宋体"/>
                <w:szCs w:val="24"/>
              </w:rPr>
              <w:t>☑</w:t>
            </w:r>
            <w:r>
              <w:rPr>
                <w:rFonts w:hint="eastAsia" w:cs="宋体"/>
                <w:kern w:val="0"/>
                <w:szCs w:val="24"/>
                <w:lang w:bidi="ar"/>
              </w:rPr>
              <w:t>否</w:t>
            </w:r>
          </w:p>
        </w:tc>
      </w:tr>
      <w:tr w14:paraId="4D335C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67638D8E">
            <w:pPr>
              <w:pStyle w:val="51"/>
              <w:jc w:val="center"/>
              <w:rPr>
                <w:rFonts w:hint="eastAsia" w:cs="宋体"/>
                <w:szCs w:val="24"/>
              </w:rPr>
            </w:pPr>
            <w:r>
              <w:rPr>
                <w:rFonts w:hint="eastAsia" w:cs="宋体"/>
                <w:szCs w:val="24"/>
              </w:rPr>
              <w:t>9.1</w:t>
            </w:r>
          </w:p>
        </w:tc>
        <w:tc>
          <w:tcPr>
            <w:tcW w:w="1738" w:type="dxa"/>
            <w:vAlign w:val="center"/>
          </w:tcPr>
          <w:p w14:paraId="713A7C84">
            <w:pPr>
              <w:pStyle w:val="51"/>
              <w:rPr>
                <w:rFonts w:hint="eastAsia" w:cs="宋体"/>
                <w:szCs w:val="24"/>
              </w:rPr>
            </w:pPr>
            <w:bookmarkStart w:id="151" w:name="_Hlk143529175"/>
            <w:r>
              <w:rPr>
                <w:rFonts w:hint="eastAsia" w:cs="宋体"/>
                <w:szCs w:val="24"/>
              </w:rPr>
              <w:t>现场考察</w:t>
            </w:r>
            <w:bookmarkEnd w:id="151"/>
          </w:p>
        </w:tc>
        <w:tc>
          <w:tcPr>
            <w:tcW w:w="6700" w:type="dxa"/>
            <w:vAlign w:val="center"/>
          </w:tcPr>
          <w:p w14:paraId="6BC7BE6D">
            <w:pPr>
              <w:pStyle w:val="51"/>
              <w:rPr>
                <w:rFonts w:hint="eastAsia" w:cs="宋体"/>
                <w:szCs w:val="24"/>
              </w:rPr>
            </w:pPr>
            <w:r>
              <w:rPr>
                <w:rFonts w:hint="eastAsia" w:cs="宋体"/>
                <w:szCs w:val="24"/>
              </w:rPr>
              <w:sym w:font="Wingdings" w:char="00FE"/>
            </w:r>
            <w:r>
              <w:rPr>
                <w:rFonts w:hint="eastAsia" w:cs="宋体"/>
                <w:szCs w:val="24"/>
              </w:rPr>
              <w:t>不组织，投标人自行前往。</w:t>
            </w:r>
          </w:p>
          <w:p w14:paraId="68E139C8">
            <w:pPr>
              <w:pStyle w:val="51"/>
              <w:rPr>
                <w:rFonts w:hint="eastAsia" w:cs="宋体"/>
                <w:szCs w:val="24"/>
              </w:rPr>
            </w:pPr>
            <w:r>
              <w:rPr>
                <w:rFonts w:hint="eastAsia" w:cs="宋体"/>
                <w:szCs w:val="24"/>
              </w:rPr>
              <w:sym w:font="Wingdings" w:char="00A8"/>
            </w:r>
            <w:r>
              <w:rPr>
                <w:rFonts w:hint="eastAsia" w:cs="宋体"/>
                <w:szCs w:val="24"/>
              </w:rPr>
              <w:t>组织</w:t>
            </w:r>
          </w:p>
          <w:p w14:paraId="237293EF">
            <w:pPr>
              <w:pStyle w:val="51"/>
              <w:ind w:firstLine="240" w:firstLineChars="100"/>
              <w:rPr>
                <w:rFonts w:hint="eastAsia" w:cs="宋体"/>
                <w:szCs w:val="24"/>
              </w:rPr>
            </w:pPr>
            <w:r>
              <w:rPr>
                <w:rFonts w:hint="eastAsia" w:cs="宋体"/>
                <w:szCs w:val="24"/>
              </w:rPr>
              <w:t>时间：</w:t>
            </w:r>
            <w:r>
              <w:rPr>
                <w:rFonts w:hint="eastAsia" w:cs="宋体"/>
                <w:szCs w:val="24"/>
                <w:u w:val="single"/>
              </w:rPr>
              <w:t xml:space="preserve">                     </w:t>
            </w:r>
            <w:r>
              <w:rPr>
                <w:rFonts w:hint="eastAsia" w:cs="宋体"/>
                <w:szCs w:val="24"/>
              </w:rPr>
              <w:t>。</w:t>
            </w:r>
          </w:p>
          <w:p w14:paraId="7DA20F56">
            <w:pPr>
              <w:pStyle w:val="51"/>
              <w:ind w:firstLine="240" w:firstLineChars="100"/>
              <w:rPr>
                <w:rFonts w:hint="eastAsia" w:cs="宋体"/>
                <w:szCs w:val="24"/>
              </w:rPr>
            </w:pPr>
            <w:r>
              <w:rPr>
                <w:rFonts w:hint="eastAsia" w:cs="宋体"/>
                <w:szCs w:val="24"/>
              </w:rPr>
              <w:t>地点：</w:t>
            </w:r>
            <w:r>
              <w:rPr>
                <w:rFonts w:hint="eastAsia" w:cs="宋体"/>
                <w:szCs w:val="24"/>
                <w:u w:val="single"/>
              </w:rPr>
              <w:t xml:space="preserve">                     </w:t>
            </w:r>
            <w:r>
              <w:rPr>
                <w:rFonts w:hint="eastAsia" w:cs="宋体"/>
                <w:szCs w:val="24"/>
              </w:rPr>
              <w:t>。</w:t>
            </w:r>
          </w:p>
        </w:tc>
      </w:tr>
      <w:tr w14:paraId="7540B5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466E1AD1">
            <w:pPr>
              <w:pStyle w:val="51"/>
              <w:jc w:val="center"/>
              <w:rPr>
                <w:rFonts w:hint="eastAsia" w:cs="宋体"/>
                <w:szCs w:val="24"/>
              </w:rPr>
            </w:pPr>
            <w:r>
              <w:rPr>
                <w:rFonts w:hint="eastAsia" w:cs="宋体"/>
                <w:szCs w:val="24"/>
              </w:rPr>
              <w:t>9.5</w:t>
            </w:r>
          </w:p>
        </w:tc>
        <w:tc>
          <w:tcPr>
            <w:tcW w:w="1738" w:type="dxa"/>
            <w:vAlign w:val="center"/>
          </w:tcPr>
          <w:p w14:paraId="09078D82">
            <w:pPr>
              <w:pStyle w:val="51"/>
              <w:rPr>
                <w:rFonts w:hint="eastAsia" w:cs="宋体"/>
                <w:szCs w:val="24"/>
              </w:rPr>
            </w:pPr>
            <w:r>
              <w:rPr>
                <w:rFonts w:hint="eastAsia" w:cs="宋体"/>
                <w:szCs w:val="24"/>
              </w:rPr>
              <w:t>答疑会</w:t>
            </w:r>
          </w:p>
        </w:tc>
        <w:tc>
          <w:tcPr>
            <w:tcW w:w="6700" w:type="dxa"/>
            <w:vAlign w:val="center"/>
          </w:tcPr>
          <w:p w14:paraId="01CC75F1">
            <w:pPr>
              <w:pStyle w:val="51"/>
              <w:rPr>
                <w:rFonts w:hint="eastAsia" w:cs="宋体"/>
                <w:szCs w:val="24"/>
              </w:rPr>
            </w:pPr>
            <w:r>
              <w:rPr>
                <w:rFonts w:hint="eastAsia" w:cs="宋体"/>
                <w:szCs w:val="24"/>
              </w:rPr>
              <w:sym w:font="Wingdings" w:char="00FE"/>
            </w:r>
            <w:r>
              <w:rPr>
                <w:rFonts w:hint="eastAsia" w:cs="宋体"/>
                <w:szCs w:val="24"/>
              </w:rPr>
              <w:t>不组织</w:t>
            </w:r>
          </w:p>
          <w:p w14:paraId="1BD55D7E">
            <w:pPr>
              <w:pStyle w:val="51"/>
              <w:rPr>
                <w:rFonts w:hint="eastAsia" w:cs="宋体"/>
                <w:szCs w:val="24"/>
              </w:rPr>
            </w:pPr>
            <w:r>
              <w:rPr>
                <w:rFonts w:hint="eastAsia" w:cs="宋体"/>
                <w:szCs w:val="24"/>
              </w:rPr>
              <w:sym w:font="Wingdings" w:char="00A8"/>
            </w:r>
            <w:r>
              <w:rPr>
                <w:rFonts w:hint="eastAsia" w:cs="宋体"/>
                <w:szCs w:val="24"/>
              </w:rPr>
              <w:t>组织</w:t>
            </w:r>
          </w:p>
          <w:p w14:paraId="6370746E">
            <w:pPr>
              <w:pStyle w:val="51"/>
              <w:ind w:firstLine="240" w:firstLineChars="100"/>
              <w:rPr>
                <w:rFonts w:hint="eastAsia" w:cs="宋体"/>
                <w:szCs w:val="24"/>
              </w:rPr>
            </w:pPr>
            <w:r>
              <w:rPr>
                <w:rFonts w:hint="eastAsia" w:cs="宋体"/>
                <w:szCs w:val="24"/>
              </w:rPr>
              <w:t>时间：</w:t>
            </w:r>
            <w:r>
              <w:rPr>
                <w:rFonts w:hint="eastAsia" w:cs="宋体"/>
                <w:szCs w:val="24"/>
                <w:u w:val="single"/>
              </w:rPr>
              <w:t xml:space="preserve">                     </w:t>
            </w:r>
            <w:r>
              <w:rPr>
                <w:rFonts w:hint="eastAsia" w:cs="宋体"/>
                <w:szCs w:val="24"/>
              </w:rPr>
              <w:t>。</w:t>
            </w:r>
          </w:p>
          <w:p w14:paraId="6C2F7FA4">
            <w:pPr>
              <w:pStyle w:val="51"/>
              <w:ind w:firstLine="240" w:firstLineChars="100"/>
              <w:rPr>
                <w:rFonts w:hint="eastAsia" w:cs="宋体"/>
                <w:szCs w:val="24"/>
              </w:rPr>
            </w:pPr>
            <w:r>
              <w:rPr>
                <w:rFonts w:hint="eastAsia" w:cs="宋体"/>
                <w:szCs w:val="24"/>
              </w:rPr>
              <w:t>地点：</w:t>
            </w:r>
            <w:r>
              <w:rPr>
                <w:rFonts w:hint="eastAsia" w:cs="宋体"/>
                <w:szCs w:val="24"/>
                <w:u w:val="single"/>
              </w:rPr>
              <w:t xml:space="preserve">                     </w:t>
            </w:r>
            <w:r>
              <w:rPr>
                <w:rFonts w:hint="eastAsia" w:cs="宋体"/>
                <w:szCs w:val="24"/>
              </w:rPr>
              <w:t>。</w:t>
            </w:r>
          </w:p>
        </w:tc>
      </w:tr>
      <w:tr w14:paraId="368710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4E6ECB4D">
            <w:pPr>
              <w:pStyle w:val="51"/>
              <w:jc w:val="center"/>
              <w:rPr>
                <w:rFonts w:hint="eastAsia" w:cs="宋体"/>
                <w:szCs w:val="24"/>
              </w:rPr>
            </w:pPr>
            <w:r>
              <w:rPr>
                <w:rFonts w:hint="eastAsia" w:cs="宋体"/>
                <w:szCs w:val="24"/>
              </w:rPr>
              <w:t>12.1</w:t>
            </w:r>
          </w:p>
        </w:tc>
        <w:tc>
          <w:tcPr>
            <w:tcW w:w="1738" w:type="dxa"/>
            <w:vAlign w:val="center"/>
          </w:tcPr>
          <w:p w14:paraId="0B7A3480">
            <w:pPr>
              <w:pStyle w:val="51"/>
              <w:rPr>
                <w:rFonts w:hint="eastAsia" w:cs="宋体"/>
                <w:szCs w:val="24"/>
              </w:rPr>
            </w:pPr>
            <w:r>
              <w:rPr>
                <w:rFonts w:hint="eastAsia" w:cs="宋体"/>
                <w:szCs w:val="24"/>
              </w:rPr>
              <w:t>招标文件的答疑澄清和修改</w:t>
            </w:r>
          </w:p>
        </w:tc>
        <w:tc>
          <w:tcPr>
            <w:tcW w:w="6700" w:type="dxa"/>
            <w:vAlign w:val="center"/>
          </w:tcPr>
          <w:p w14:paraId="6A3CB8B6">
            <w:pPr>
              <w:pStyle w:val="51"/>
              <w:rPr>
                <w:rFonts w:hint="eastAsia" w:cs="宋体"/>
                <w:szCs w:val="24"/>
              </w:rPr>
            </w:pPr>
            <w:r>
              <w:rPr>
                <w:rFonts w:hint="eastAsia" w:cs="宋体"/>
                <w:szCs w:val="24"/>
              </w:rPr>
              <w:t>提交投标文件截止之日前，采购人、采购代理机构或者采购小组可以对已发出的招标文件进行必要的澄清或者修改，澄清或者修改的内容作为招标文件的组成部分。澄清或者修改的内容可能影响投标文件编制的，采购人、采购代理机构应当在提交投标文件截止时间至少15日前，以书面形式通知所有获取招标文件的供应商；不足15日的，采购人、采购代理机构应当顺延提交投标文件截止时间。</w:t>
            </w:r>
          </w:p>
        </w:tc>
      </w:tr>
      <w:tr w14:paraId="543D72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768C5983">
            <w:pPr>
              <w:pStyle w:val="51"/>
              <w:jc w:val="center"/>
              <w:rPr>
                <w:rFonts w:hint="eastAsia" w:cs="宋体"/>
                <w:szCs w:val="24"/>
              </w:rPr>
            </w:pPr>
            <w:r>
              <w:rPr>
                <w:rFonts w:hint="eastAsia" w:cs="宋体"/>
                <w:szCs w:val="24"/>
              </w:rPr>
              <w:t>15.1</w:t>
            </w:r>
          </w:p>
        </w:tc>
        <w:tc>
          <w:tcPr>
            <w:tcW w:w="1738" w:type="dxa"/>
            <w:vAlign w:val="center"/>
          </w:tcPr>
          <w:p w14:paraId="0152F599">
            <w:pPr>
              <w:pStyle w:val="51"/>
              <w:rPr>
                <w:rFonts w:hint="eastAsia" w:cs="宋体"/>
                <w:szCs w:val="24"/>
              </w:rPr>
            </w:pPr>
            <w:r>
              <w:rPr>
                <w:rFonts w:hint="eastAsia" w:cs="宋体"/>
                <w:szCs w:val="24"/>
              </w:rPr>
              <w:t>投标有效期</w:t>
            </w:r>
          </w:p>
        </w:tc>
        <w:tc>
          <w:tcPr>
            <w:tcW w:w="6700" w:type="dxa"/>
            <w:vAlign w:val="center"/>
          </w:tcPr>
          <w:p w14:paraId="66A49D8F">
            <w:pPr>
              <w:pStyle w:val="51"/>
              <w:rPr>
                <w:rFonts w:hint="eastAsia" w:cs="宋体"/>
                <w:szCs w:val="24"/>
              </w:rPr>
            </w:pPr>
            <w:r>
              <w:rPr>
                <w:rFonts w:hint="eastAsia" w:cs="宋体"/>
                <w:szCs w:val="24"/>
              </w:rPr>
              <w:t>投标截止时间后</w:t>
            </w:r>
            <w:r>
              <w:rPr>
                <w:rFonts w:hint="eastAsia" w:cs="宋体"/>
                <w:szCs w:val="24"/>
                <w:u w:val="single"/>
              </w:rPr>
              <w:t>90</w:t>
            </w:r>
            <w:r>
              <w:rPr>
                <w:rFonts w:hint="eastAsia" w:cs="宋体"/>
                <w:szCs w:val="24"/>
              </w:rPr>
              <w:t>日历日。</w:t>
            </w:r>
          </w:p>
        </w:tc>
      </w:tr>
      <w:tr w14:paraId="149F25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674" w:hRule="atLeast"/>
        </w:trPr>
        <w:tc>
          <w:tcPr>
            <w:tcW w:w="970" w:type="dxa"/>
            <w:vAlign w:val="center"/>
          </w:tcPr>
          <w:p w14:paraId="546D17AD">
            <w:pPr>
              <w:pStyle w:val="51"/>
              <w:jc w:val="center"/>
              <w:rPr>
                <w:rFonts w:hint="eastAsia" w:cs="宋体"/>
                <w:szCs w:val="24"/>
              </w:rPr>
            </w:pPr>
            <w:r>
              <w:rPr>
                <w:rFonts w:hint="eastAsia" w:cs="宋体"/>
                <w:szCs w:val="24"/>
              </w:rPr>
              <w:t>17.1</w:t>
            </w:r>
          </w:p>
        </w:tc>
        <w:tc>
          <w:tcPr>
            <w:tcW w:w="1738" w:type="dxa"/>
            <w:vAlign w:val="center"/>
          </w:tcPr>
          <w:p w14:paraId="78321DF0">
            <w:pPr>
              <w:pStyle w:val="51"/>
              <w:rPr>
                <w:rFonts w:hint="eastAsia" w:cs="宋体"/>
                <w:szCs w:val="24"/>
              </w:rPr>
            </w:pPr>
            <w:r>
              <w:rPr>
                <w:rFonts w:hint="eastAsia" w:cs="宋体"/>
                <w:szCs w:val="24"/>
              </w:rPr>
              <w:t>投标保证金</w:t>
            </w:r>
          </w:p>
        </w:tc>
        <w:tc>
          <w:tcPr>
            <w:tcW w:w="6700" w:type="dxa"/>
            <w:vAlign w:val="center"/>
          </w:tcPr>
          <w:p w14:paraId="35B37514">
            <w:pPr>
              <w:pStyle w:val="55"/>
              <w:spacing w:line="340" w:lineRule="exact"/>
              <w:rPr>
                <w:rFonts w:hint="eastAsia" w:ascii="宋体" w:hAnsi="宋体" w:cs="宋体"/>
                <w:sz w:val="24"/>
                <w:szCs w:val="24"/>
              </w:rPr>
            </w:pPr>
            <w:r>
              <w:rPr>
                <w:rFonts w:hint="eastAsia" w:ascii="宋体" w:hAnsi="宋体" w:cs="宋体"/>
                <w:sz w:val="24"/>
                <w:szCs w:val="24"/>
              </w:rPr>
              <w:t>1.金额：</w:t>
            </w:r>
          </w:p>
          <w:p w14:paraId="409F4187">
            <w:pPr>
              <w:pStyle w:val="55"/>
              <w:spacing w:line="340" w:lineRule="exact"/>
              <w:ind w:firstLine="480" w:firstLineChars="200"/>
              <w:rPr>
                <w:rFonts w:hint="eastAsia" w:ascii="宋体" w:hAnsi="宋体" w:cs="宋体"/>
                <w:sz w:val="24"/>
                <w:szCs w:val="24"/>
              </w:rPr>
            </w:pPr>
            <w:r>
              <w:rPr>
                <w:rFonts w:hint="eastAsia" w:ascii="宋体" w:hAnsi="宋体" w:cs="宋体"/>
                <w:sz w:val="24"/>
                <w:szCs w:val="24"/>
              </w:rPr>
              <w:t>□免收</w:t>
            </w:r>
          </w:p>
          <w:p w14:paraId="38A1B9E6">
            <w:pPr>
              <w:pStyle w:val="55"/>
              <w:spacing w:line="340" w:lineRule="exact"/>
              <w:ind w:firstLine="480" w:firstLineChars="200"/>
              <w:rPr>
                <w:rFonts w:hint="eastAsia" w:ascii="宋体" w:hAnsi="宋体" w:cs="宋体"/>
                <w:sz w:val="24"/>
                <w:szCs w:val="24"/>
              </w:rPr>
            </w:pPr>
            <w:r>
              <w:rPr>
                <w:rFonts w:hint="eastAsia" w:ascii="宋体" w:hAnsi="宋体" w:cs="宋体"/>
                <w:sz w:val="24"/>
                <w:szCs w:val="24"/>
              </w:rPr>
              <w:t>□预算金额的   %。</w:t>
            </w:r>
          </w:p>
          <w:p w14:paraId="2F658EF0">
            <w:pPr>
              <w:pStyle w:val="55"/>
              <w:spacing w:line="340" w:lineRule="exact"/>
              <w:ind w:firstLine="480" w:firstLineChars="200"/>
              <w:rPr>
                <w:rFonts w:hint="eastAsia" w:ascii="宋体" w:hAnsi="宋体" w:cs="宋体"/>
                <w:sz w:val="24"/>
                <w:szCs w:val="24"/>
              </w:rPr>
            </w:pPr>
            <w:r>
              <w:rPr>
                <w:rFonts w:hint="eastAsia" w:ascii="宋体" w:hAnsi="宋体" w:cs="宋体"/>
                <w:sz w:val="24"/>
                <w:szCs w:val="24"/>
              </w:rPr>
              <w:t>☑定额收取：人民币</w:t>
            </w:r>
            <w:r>
              <w:rPr>
                <w:rFonts w:hint="eastAsia" w:ascii="宋体" w:hAnsi="宋体" w:cs="宋体"/>
                <w:sz w:val="24"/>
                <w:szCs w:val="24"/>
                <w:lang w:val="en-US" w:eastAsia="zh-CN"/>
              </w:rPr>
              <w:t>9</w:t>
            </w:r>
            <w:r>
              <w:rPr>
                <w:rFonts w:hint="eastAsia" w:ascii="宋体" w:hAnsi="宋体" w:cs="宋体"/>
                <w:sz w:val="24"/>
                <w:szCs w:val="24"/>
              </w:rPr>
              <w:t>0000.00元。</w:t>
            </w:r>
          </w:p>
          <w:p w14:paraId="6629539E">
            <w:pPr>
              <w:pStyle w:val="55"/>
              <w:spacing w:line="340" w:lineRule="exact"/>
              <w:rPr>
                <w:rFonts w:hint="eastAsia" w:ascii="宋体" w:hAnsi="宋体" w:cs="宋体"/>
                <w:sz w:val="24"/>
                <w:szCs w:val="24"/>
              </w:rPr>
            </w:pPr>
            <w:r>
              <w:rPr>
                <w:rFonts w:hint="eastAsia" w:ascii="宋体" w:hAnsi="宋体" w:cs="宋体"/>
                <w:sz w:val="24"/>
                <w:szCs w:val="24"/>
              </w:rPr>
              <w:t>2.支付方式：</w:t>
            </w:r>
          </w:p>
          <w:p w14:paraId="5A79CAB5">
            <w:pPr>
              <w:pStyle w:val="55"/>
              <w:spacing w:line="340" w:lineRule="exact"/>
              <w:ind w:firstLine="480" w:firstLineChars="200"/>
              <w:rPr>
                <w:rFonts w:hint="eastAsia" w:ascii="宋体" w:hAnsi="宋体" w:cs="宋体"/>
                <w:sz w:val="24"/>
                <w:szCs w:val="24"/>
              </w:rPr>
            </w:pPr>
            <w:r>
              <w:rPr>
                <w:rFonts w:hint="eastAsia" w:ascii="宋体" w:hAnsi="宋体" w:cs="宋体"/>
                <w:sz w:val="24"/>
                <w:szCs w:val="24"/>
              </w:rPr>
              <w:t>投标人可自主选择以支票、汇票、本票、电汇、转账、网银、保函等非现金形式缴纳或提交保证金。</w:t>
            </w:r>
          </w:p>
          <w:p w14:paraId="0D627AB1">
            <w:pPr>
              <w:pStyle w:val="55"/>
              <w:spacing w:line="340" w:lineRule="exact"/>
              <w:rPr>
                <w:rFonts w:hint="eastAsia" w:ascii="宋体" w:hAnsi="宋体" w:cs="宋体"/>
                <w:sz w:val="24"/>
                <w:szCs w:val="24"/>
              </w:rPr>
            </w:pPr>
            <w:r>
              <w:rPr>
                <w:rFonts w:hint="eastAsia" w:ascii="宋体" w:hAnsi="宋体" w:cs="宋体"/>
                <w:sz w:val="24"/>
                <w:szCs w:val="24"/>
              </w:rPr>
              <w:t>单位名称：中通服供应链股份有限公司新疆分公司</w:t>
            </w:r>
          </w:p>
          <w:p w14:paraId="16099239">
            <w:pPr>
              <w:pStyle w:val="55"/>
              <w:spacing w:line="340" w:lineRule="exact"/>
              <w:rPr>
                <w:rFonts w:hint="eastAsia" w:ascii="宋体" w:hAnsi="宋体" w:cs="宋体"/>
                <w:sz w:val="24"/>
                <w:szCs w:val="24"/>
              </w:rPr>
            </w:pPr>
            <w:r>
              <w:rPr>
                <w:rFonts w:hint="eastAsia" w:ascii="宋体" w:hAnsi="宋体" w:cs="宋体"/>
                <w:sz w:val="24"/>
                <w:szCs w:val="24"/>
              </w:rPr>
              <w:t>账号：990204012101021601</w:t>
            </w:r>
          </w:p>
          <w:p w14:paraId="083B57D9">
            <w:pPr>
              <w:pStyle w:val="55"/>
              <w:spacing w:line="340" w:lineRule="exact"/>
              <w:rPr>
                <w:rFonts w:hint="eastAsia" w:ascii="宋体" w:hAnsi="宋体" w:cs="宋体"/>
                <w:sz w:val="24"/>
                <w:szCs w:val="24"/>
              </w:rPr>
            </w:pPr>
            <w:r>
              <w:rPr>
                <w:rFonts w:hint="eastAsia" w:ascii="宋体" w:hAnsi="宋体" w:cs="宋体"/>
                <w:sz w:val="24"/>
                <w:szCs w:val="24"/>
              </w:rPr>
              <w:t>开户行：交通银行北京市分行营业部</w:t>
            </w:r>
          </w:p>
          <w:p w14:paraId="67A5C9B7">
            <w:pPr>
              <w:pStyle w:val="55"/>
              <w:spacing w:line="340" w:lineRule="exact"/>
              <w:rPr>
                <w:rFonts w:hint="eastAsia" w:ascii="宋体" w:hAnsi="宋体" w:cs="宋体"/>
                <w:sz w:val="24"/>
                <w:szCs w:val="24"/>
              </w:rPr>
            </w:pPr>
            <w:r>
              <w:rPr>
                <w:rFonts w:hint="eastAsia" w:ascii="宋体" w:hAnsi="宋体" w:cs="宋体"/>
                <w:sz w:val="24"/>
                <w:szCs w:val="24"/>
              </w:rPr>
              <w:t>行号：301100000023</w:t>
            </w:r>
          </w:p>
          <w:p w14:paraId="5E385FEC">
            <w:pPr>
              <w:pStyle w:val="55"/>
              <w:spacing w:line="340" w:lineRule="exact"/>
              <w:rPr>
                <w:rFonts w:hint="eastAsia" w:ascii="宋体" w:hAnsi="宋体" w:cs="宋体"/>
                <w:sz w:val="24"/>
                <w:szCs w:val="24"/>
              </w:rPr>
            </w:pPr>
            <w:r>
              <w:rPr>
                <w:rFonts w:hint="eastAsia" w:ascii="宋体" w:hAnsi="宋体" w:cs="宋体"/>
                <w:sz w:val="24"/>
                <w:szCs w:val="24"/>
              </w:rPr>
              <w:t>附注： XXX 项目投标保证金</w:t>
            </w:r>
          </w:p>
          <w:p w14:paraId="33C4D6E6">
            <w:pPr>
              <w:pStyle w:val="55"/>
              <w:spacing w:line="340" w:lineRule="exact"/>
              <w:rPr>
                <w:rFonts w:hint="eastAsia" w:ascii="宋体" w:hAnsi="宋体" w:cs="宋体"/>
                <w:sz w:val="24"/>
                <w:szCs w:val="24"/>
              </w:rPr>
            </w:pPr>
            <w:r>
              <w:rPr>
                <w:rFonts w:hint="eastAsia" w:ascii="宋体" w:hAnsi="宋体" w:cs="宋体"/>
                <w:b/>
                <w:bCs/>
                <w:sz w:val="24"/>
                <w:szCs w:val="24"/>
              </w:rPr>
              <w:t>注意事项：</w:t>
            </w:r>
          </w:p>
          <w:p w14:paraId="2174FA31">
            <w:pPr>
              <w:pStyle w:val="55"/>
              <w:spacing w:line="340" w:lineRule="exact"/>
              <w:ind w:firstLine="240" w:firstLineChars="100"/>
              <w:rPr>
                <w:rFonts w:hint="eastAsia" w:ascii="宋体" w:hAnsi="宋体" w:cs="宋体"/>
                <w:sz w:val="24"/>
                <w:szCs w:val="24"/>
              </w:rPr>
            </w:pPr>
            <w:r>
              <w:rPr>
                <w:rFonts w:hint="eastAsia" w:ascii="宋体" w:hAnsi="宋体" w:cs="宋体"/>
                <w:sz w:val="24"/>
                <w:szCs w:val="24"/>
              </w:rPr>
              <w:t>1.以上各类机构出具的以担保函、保证保险承担责任的方式均须满足无条件见索即付条件。</w:t>
            </w:r>
          </w:p>
          <w:p w14:paraId="1FAEEBF7">
            <w:pPr>
              <w:pStyle w:val="55"/>
              <w:spacing w:line="340" w:lineRule="exact"/>
              <w:ind w:firstLine="240" w:firstLineChars="100"/>
              <w:rPr>
                <w:rFonts w:hint="eastAsia" w:ascii="宋体" w:hAnsi="宋体" w:cs="宋体"/>
                <w:sz w:val="24"/>
                <w:szCs w:val="24"/>
              </w:rPr>
            </w:pPr>
            <w:r>
              <w:rPr>
                <w:rFonts w:hint="eastAsia" w:ascii="宋体" w:hAnsi="宋体" w:cs="宋体"/>
                <w:sz w:val="24"/>
                <w:szCs w:val="24"/>
              </w:rPr>
              <w:t>2.以担保函、保证保险形式缴纳投标保证金的，受益人和收取单位须为采购人。</w:t>
            </w:r>
          </w:p>
        </w:tc>
      </w:tr>
      <w:tr w14:paraId="7E0347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603" w:hRule="atLeast"/>
        </w:trPr>
        <w:tc>
          <w:tcPr>
            <w:tcW w:w="970" w:type="dxa"/>
            <w:vAlign w:val="center"/>
          </w:tcPr>
          <w:p w14:paraId="385FC731">
            <w:pPr>
              <w:pStyle w:val="51"/>
              <w:jc w:val="center"/>
              <w:rPr>
                <w:rFonts w:hint="eastAsia" w:cs="宋体"/>
                <w:szCs w:val="24"/>
              </w:rPr>
            </w:pPr>
            <w:r>
              <w:rPr>
                <w:rFonts w:hint="eastAsia" w:cs="宋体"/>
                <w:szCs w:val="24"/>
              </w:rPr>
              <w:t>22</w:t>
            </w:r>
          </w:p>
        </w:tc>
        <w:tc>
          <w:tcPr>
            <w:tcW w:w="1738" w:type="dxa"/>
            <w:vAlign w:val="center"/>
          </w:tcPr>
          <w:p w14:paraId="4D696DBB">
            <w:pPr>
              <w:pStyle w:val="51"/>
              <w:rPr>
                <w:rFonts w:hint="eastAsia" w:cs="宋体"/>
                <w:szCs w:val="24"/>
              </w:rPr>
            </w:pPr>
            <w:r>
              <w:rPr>
                <w:rFonts w:hint="eastAsia" w:cs="宋体"/>
                <w:szCs w:val="24"/>
              </w:rPr>
              <w:t>实物样品</w:t>
            </w:r>
          </w:p>
        </w:tc>
        <w:tc>
          <w:tcPr>
            <w:tcW w:w="6700" w:type="dxa"/>
            <w:vAlign w:val="center"/>
          </w:tcPr>
          <w:p w14:paraId="60A36AFC">
            <w:pPr>
              <w:pStyle w:val="51"/>
              <w:rPr>
                <w:rFonts w:hint="eastAsia" w:cs="宋体"/>
                <w:szCs w:val="24"/>
              </w:rPr>
            </w:pPr>
            <w:r>
              <w:rPr>
                <w:rFonts w:hint="eastAsia" w:cs="宋体"/>
                <w:szCs w:val="24"/>
              </w:rPr>
              <w:t xml:space="preserve">投标样品递交： </w:t>
            </w:r>
          </w:p>
          <w:p w14:paraId="784C2D65">
            <w:pPr>
              <w:pStyle w:val="51"/>
              <w:rPr>
                <w:rFonts w:hint="eastAsia" w:cs="宋体"/>
                <w:szCs w:val="24"/>
              </w:rPr>
            </w:pPr>
            <w:r>
              <w:rPr>
                <w:rFonts w:hint="eastAsia" w:cs="宋体"/>
                <w:szCs w:val="24"/>
              </w:rPr>
              <w:t xml:space="preserve">☑不需要 </w:t>
            </w:r>
          </w:p>
          <w:p w14:paraId="1D767275">
            <w:pPr>
              <w:pStyle w:val="51"/>
              <w:rPr>
                <w:rFonts w:hint="eastAsia" w:cs="宋体"/>
                <w:szCs w:val="24"/>
              </w:rPr>
            </w:pPr>
            <w:r>
              <w:rPr>
                <w:rFonts w:hint="eastAsia" w:cs="宋体"/>
                <w:szCs w:val="24"/>
              </w:rPr>
              <w:t xml:space="preserve">□需要，具体要求如下： </w:t>
            </w:r>
          </w:p>
          <w:p w14:paraId="6411A23B">
            <w:pPr>
              <w:pStyle w:val="51"/>
              <w:rPr>
                <w:rFonts w:hint="eastAsia" w:cs="宋体"/>
                <w:szCs w:val="24"/>
              </w:rPr>
            </w:pPr>
            <w:r>
              <w:rPr>
                <w:rFonts w:hint="eastAsia" w:cs="宋体"/>
                <w:szCs w:val="24"/>
              </w:rPr>
              <w:t xml:space="preserve">  1.样品制作的标准和要求：_________； </w:t>
            </w:r>
          </w:p>
          <w:p w14:paraId="1389A653">
            <w:pPr>
              <w:pStyle w:val="51"/>
              <w:rPr>
                <w:rFonts w:hint="eastAsia" w:cs="宋体"/>
                <w:szCs w:val="24"/>
              </w:rPr>
            </w:pPr>
            <w:r>
              <w:rPr>
                <w:rFonts w:hint="eastAsia" w:cs="宋体"/>
                <w:szCs w:val="24"/>
              </w:rPr>
              <w:t xml:space="preserve">  2.是否需要随样品提交相关检测报告： </w:t>
            </w:r>
          </w:p>
          <w:p w14:paraId="22BE7F6B">
            <w:pPr>
              <w:pStyle w:val="51"/>
              <w:ind w:firstLine="480" w:firstLineChars="200"/>
              <w:rPr>
                <w:rFonts w:hint="eastAsia" w:cs="宋体"/>
                <w:szCs w:val="24"/>
              </w:rPr>
            </w:pPr>
            <w:r>
              <w:rPr>
                <w:rFonts w:hint="eastAsia" w:cs="宋体"/>
                <w:szCs w:val="24"/>
              </w:rPr>
              <w:t xml:space="preserve">□不需要 </w:t>
            </w:r>
          </w:p>
          <w:p w14:paraId="012AE75E">
            <w:pPr>
              <w:pStyle w:val="51"/>
              <w:ind w:firstLine="480" w:firstLineChars="200"/>
              <w:rPr>
                <w:rFonts w:hint="eastAsia" w:cs="宋体"/>
                <w:szCs w:val="24"/>
              </w:rPr>
            </w:pPr>
            <w:r>
              <w:rPr>
                <w:rFonts w:hint="eastAsia" w:cs="宋体"/>
                <w:szCs w:val="24"/>
              </w:rPr>
              <w:t xml:space="preserve">□需要 </w:t>
            </w:r>
          </w:p>
          <w:p w14:paraId="65FABD2A">
            <w:pPr>
              <w:pStyle w:val="51"/>
              <w:ind w:firstLine="240" w:firstLineChars="100"/>
              <w:rPr>
                <w:rFonts w:hint="eastAsia" w:cs="宋体"/>
                <w:szCs w:val="24"/>
              </w:rPr>
            </w:pPr>
            <w:r>
              <w:rPr>
                <w:rFonts w:hint="eastAsia" w:cs="宋体"/>
                <w:szCs w:val="24"/>
              </w:rPr>
              <w:t>3.样品递交要求：递交时间：</w:t>
            </w:r>
            <w:r>
              <w:rPr>
                <w:rFonts w:hint="eastAsia" w:cs="宋体"/>
                <w:szCs w:val="24"/>
                <w:u w:val="single"/>
              </w:rPr>
              <w:t xml:space="preserve">                       </w:t>
            </w:r>
            <w:r>
              <w:rPr>
                <w:rFonts w:hint="eastAsia" w:cs="宋体"/>
                <w:szCs w:val="24"/>
              </w:rPr>
              <w:t xml:space="preserve"> ，</w:t>
            </w:r>
          </w:p>
          <w:p w14:paraId="5F37E10E">
            <w:pPr>
              <w:pStyle w:val="51"/>
              <w:rPr>
                <w:rFonts w:hint="eastAsia" w:cs="宋体"/>
                <w:szCs w:val="24"/>
              </w:rPr>
            </w:pPr>
            <w:r>
              <w:rPr>
                <w:rFonts w:hint="eastAsia" w:cs="宋体"/>
                <w:szCs w:val="24"/>
              </w:rPr>
              <w:t>递交地点：</w:t>
            </w:r>
            <w:r>
              <w:rPr>
                <w:rFonts w:hint="eastAsia" w:cs="宋体"/>
                <w:szCs w:val="24"/>
                <w:u w:val="single"/>
              </w:rPr>
              <w:t xml:space="preserve">                 </w:t>
            </w:r>
            <w:r>
              <w:rPr>
                <w:rFonts w:hint="eastAsia" w:cs="宋体"/>
                <w:szCs w:val="24"/>
              </w:rPr>
              <w:t xml:space="preserve">，逾期提供的样品将不予接受。 </w:t>
            </w:r>
          </w:p>
          <w:p w14:paraId="7DC1B17F">
            <w:pPr>
              <w:pStyle w:val="51"/>
              <w:rPr>
                <w:rFonts w:hint="eastAsia" w:cs="宋体"/>
                <w:szCs w:val="24"/>
              </w:rPr>
            </w:pPr>
            <w:r>
              <w:rPr>
                <w:rFonts w:hint="eastAsia" w:cs="宋体"/>
                <w:szCs w:val="24"/>
              </w:rPr>
              <w:t xml:space="preserve">  4.未中标人样品退还：</w:t>
            </w:r>
            <w:r>
              <w:rPr>
                <w:rFonts w:hint="eastAsia" w:cs="宋体"/>
                <w:szCs w:val="24"/>
                <w:u w:val="single"/>
              </w:rPr>
              <w:t xml:space="preserve">  </w:t>
            </w:r>
            <w:r>
              <w:rPr>
                <w:rFonts w:hint="eastAsia" w:cs="宋体"/>
                <w:szCs w:val="24"/>
              </w:rPr>
              <w:t xml:space="preserve">； </w:t>
            </w:r>
          </w:p>
          <w:p w14:paraId="0AC3460F">
            <w:pPr>
              <w:pStyle w:val="51"/>
              <w:rPr>
                <w:rFonts w:hint="eastAsia" w:cs="宋体"/>
                <w:szCs w:val="24"/>
              </w:rPr>
            </w:pPr>
            <w:r>
              <w:rPr>
                <w:rFonts w:hint="eastAsia" w:cs="宋体"/>
                <w:szCs w:val="24"/>
              </w:rPr>
              <w:t xml:space="preserve">  5.中标人样品保管、封存及退还：_________； </w:t>
            </w:r>
          </w:p>
          <w:p w14:paraId="006356BD">
            <w:pPr>
              <w:pStyle w:val="51"/>
              <w:rPr>
                <w:rFonts w:hint="eastAsia" w:cs="宋体"/>
                <w:szCs w:val="24"/>
              </w:rPr>
            </w:pPr>
            <w:r>
              <w:rPr>
                <w:rFonts w:hint="eastAsia" w:cs="宋体"/>
                <w:szCs w:val="24"/>
              </w:rPr>
              <w:t xml:space="preserve">  6.其他要求（如有）：_________。 </w:t>
            </w:r>
          </w:p>
        </w:tc>
      </w:tr>
      <w:tr w14:paraId="1B8D71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ED55ED3">
            <w:pPr>
              <w:pStyle w:val="51"/>
              <w:jc w:val="center"/>
              <w:rPr>
                <w:rFonts w:hint="eastAsia" w:cs="宋体"/>
                <w:szCs w:val="24"/>
              </w:rPr>
            </w:pPr>
            <w:r>
              <w:rPr>
                <w:rFonts w:hint="eastAsia" w:cs="宋体"/>
                <w:szCs w:val="24"/>
              </w:rPr>
              <w:t>23.1</w:t>
            </w:r>
          </w:p>
        </w:tc>
        <w:tc>
          <w:tcPr>
            <w:tcW w:w="1738" w:type="dxa"/>
            <w:vAlign w:val="center"/>
          </w:tcPr>
          <w:p w14:paraId="3AA3BB1D">
            <w:pPr>
              <w:pStyle w:val="51"/>
              <w:rPr>
                <w:rFonts w:hint="eastAsia" w:cs="宋体"/>
                <w:szCs w:val="24"/>
              </w:rPr>
            </w:pPr>
            <w:r>
              <w:rPr>
                <w:rFonts w:hint="eastAsia" w:cs="宋体"/>
                <w:szCs w:val="24"/>
              </w:rPr>
              <w:t>演示</w:t>
            </w:r>
          </w:p>
        </w:tc>
        <w:tc>
          <w:tcPr>
            <w:tcW w:w="6700" w:type="dxa"/>
            <w:vAlign w:val="center"/>
          </w:tcPr>
          <w:p w14:paraId="364E280B">
            <w:pPr>
              <w:pStyle w:val="51"/>
              <w:rPr>
                <w:rFonts w:hint="eastAsia" w:cs="宋体"/>
                <w:szCs w:val="24"/>
              </w:rPr>
            </w:pPr>
            <w:r>
              <w:rPr>
                <w:rFonts w:hint="eastAsia" w:cs="宋体"/>
                <w:szCs w:val="24"/>
              </w:rPr>
              <w:sym w:font="Wingdings" w:char="00FE"/>
            </w:r>
            <w:r>
              <w:rPr>
                <w:rFonts w:hint="eastAsia" w:cs="宋体"/>
                <w:szCs w:val="24"/>
              </w:rPr>
              <w:t>不进行</w:t>
            </w:r>
          </w:p>
          <w:p w14:paraId="6F630609">
            <w:pPr>
              <w:pStyle w:val="51"/>
              <w:rPr>
                <w:rFonts w:hint="eastAsia" w:cs="宋体"/>
                <w:szCs w:val="24"/>
              </w:rPr>
            </w:pPr>
            <w:r>
              <w:rPr>
                <w:rFonts w:hint="eastAsia" w:cs="宋体"/>
                <w:szCs w:val="24"/>
              </w:rPr>
              <w:sym w:font="Wingdings" w:char="00A8"/>
            </w:r>
            <w:r>
              <w:rPr>
                <w:rFonts w:hint="eastAsia" w:cs="宋体"/>
                <w:szCs w:val="24"/>
              </w:rPr>
              <w:t>进行，远程线上演示/现场演示</w:t>
            </w:r>
          </w:p>
          <w:p w14:paraId="44EB7185">
            <w:pPr>
              <w:pStyle w:val="51"/>
              <w:ind w:firstLine="240" w:firstLineChars="100"/>
              <w:rPr>
                <w:rFonts w:hint="eastAsia" w:cs="宋体"/>
                <w:szCs w:val="24"/>
              </w:rPr>
            </w:pPr>
            <w:r>
              <w:rPr>
                <w:rFonts w:hint="eastAsia" w:cs="宋体"/>
                <w:szCs w:val="24"/>
              </w:rPr>
              <w:t>1.演示时间不得超过</w:t>
            </w:r>
            <w:r>
              <w:rPr>
                <w:rFonts w:hint="eastAsia" w:cs="宋体"/>
                <w:szCs w:val="24"/>
                <w:u w:val="single"/>
              </w:rPr>
              <w:t xml:space="preserve">   </w:t>
            </w:r>
            <w:r>
              <w:rPr>
                <w:rFonts w:hint="eastAsia" w:cs="宋体"/>
                <w:szCs w:val="24"/>
              </w:rPr>
              <w:t>分钟；</w:t>
            </w:r>
          </w:p>
          <w:p w14:paraId="176EC4AD">
            <w:pPr>
              <w:pStyle w:val="51"/>
              <w:ind w:firstLine="240" w:firstLineChars="100"/>
              <w:rPr>
                <w:rFonts w:hint="eastAsia" w:cs="宋体"/>
                <w:szCs w:val="24"/>
              </w:rPr>
            </w:pPr>
            <w:r>
              <w:rPr>
                <w:rFonts w:hint="eastAsia" w:cs="宋体"/>
                <w:szCs w:val="24"/>
              </w:rPr>
              <w:t>2.进行远程线上演示的，投标人应提前自行准备好演示的软硬配置环境和网络环境，做好演示的各项准备工作。因投标人自身原因无法演示或者演示效果不理想的，导致的后果由投标人自行承担；</w:t>
            </w:r>
          </w:p>
          <w:p w14:paraId="0F7BCDA8">
            <w:pPr>
              <w:pStyle w:val="51"/>
              <w:ind w:firstLine="240" w:firstLineChars="100"/>
              <w:rPr>
                <w:rFonts w:hint="eastAsia" w:cs="宋体"/>
                <w:szCs w:val="24"/>
              </w:rPr>
            </w:pPr>
            <w:r>
              <w:rPr>
                <w:rFonts w:hint="eastAsia" w:cs="宋体"/>
                <w:szCs w:val="24"/>
              </w:rPr>
              <w:t>3.进行现场演示的，演示人员不得超过</w:t>
            </w:r>
            <w:r>
              <w:rPr>
                <w:rFonts w:hint="eastAsia" w:cs="宋体"/>
                <w:szCs w:val="24"/>
                <w:u w:val="single"/>
              </w:rPr>
              <w:t xml:space="preserve">  </w:t>
            </w:r>
            <w:r>
              <w:rPr>
                <w:rFonts w:hint="eastAsia" w:cs="宋体"/>
                <w:szCs w:val="24"/>
              </w:rPr>
              <w:t>人，演示现场提供</w:t>
            </w:r>
            <w:r>
              <w:rPr>
                <w:rFonts w:hint="eastAsia" w:cs="宋体"/>
                <w:szCs w:val="24"/>
                <w:u w:val="single"/>
              </w:rPr>
              <w:t xml:space="preserve">       </w:t>
            </w:r>
            <w:r>
              <w:rPr>
                <w:rFonts w:hint="eastAsia" w:cs="宋体"/>
                <w:szCs w:val="24"/>
              </w:rPr>
              <w:t>。</w:t>
            </w:r>
          </w:p>
        </w:tc>
      </w:tr>
      <w:tr w14:paraId="745666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1C41B8C6">
            <w:pPr>
              <w:pStyle w:val="51"/>
              <w:jc w:val="center"/>
              <w:rPr>
                <w:rFonts w:hint="eastAsia" w:cs="宋体"/>
                <w:szCs w:val="24"/>
              </w:rPr>
            </w:pPr>
            <w:r>
              <w:rPr>
                <w:rFonts w:hint="eastAsia" w:cs="宋体"/>
                <w:szCs w:val="24"/>
              </w:rPr>
              <w:t>25.3</w:t>
            </w:r>
          </w:p>
        </w:tc>
        <w:tc>
          <w:tcPr>
            <w:tcW w:w="1738" w:type="dxa"/>
            <w:vAlign w:val="center"/>
          </w:tcPr>
          <w:p w14:paraId="205A572D">
            <w:pPr>
              <w:pStyle w:val="51"/>
              <w:rPr>
                <w:rFonts w:hint="eastAsia" w:cs="宋体"/>
                <w:szCs w:val="24"/>
              </w:rPr>
            </w:pPr>
            <w:r>
              <w:rPr>
                <w:rFonts w:hint="eastAsia" w:cs="宋体"/>
                <w:szCs w:val="24"/>
              </w:rPr>
              <w:t>解密投标文件的时限</w:t>
            </w:r>
          </w:p>
        </w:tc>
        <w:tc>
          <w:tcPr>
            <w:tcW w:w="6700" w:type="dxa"/>
            <w:vAlign w:val="center"/>
          </w:tcPr>
          <w:p w14:paraId="44CF2B9E">
            <w:pPr>
              <w:pStyle w:val="51"/>
              <w:rPr>
                <w:rFonts w:hint="eastAsia" w:cs="宋体"/>
                <w:szCs w:val="24"/>
              </w:rPr>
            </w:pPr>
            <w:r>
              <w:rPr>
                <w:rFonts w:hint="eastAsia" w:cs="宋体"/>
                <w:szCs w:val="24"/>
              </w:rPr>
              <w:t>不见面开标默认解密时长：</w:t>
            </w:r>
            <w:r>
              <w:rPr>
                <w:rFonts w:hint="eastAsia" w:cs="宋体"/>
                <w:szCs w:val="24"/>
                <w:u w:val="single"/>
              </w:rPr>
              <w:t>30</w:t>
            </w:r>
            <w:r>
              <w:rPr>
                <w:rFonts w:hint="eastAsia" w:cs="宋体"/>
                <w:szCs w:val="24"/>
              </w:rPr>
              <w:t xml:space="preserve">分钟。 </w:t>
            </w:r>
          </w:p>
          <w:p w14:paraId="5AC9372C">
            <w:pPr>
              <w:pStyle w:val="51"/>
              <w:rPr>
                <w:rFonts w:hint="eastAsia" w:cs="宋体"/>
                <w:szCs w:val="24"/>
              </w:rPr>
            </w:pPr>
            <w:r>
              <w:rPr>
                <w:rFonts w:hint="eastAsia" w:cs="宋体"/>
                <w:szCs w:val="24"/>
              </w:rPr>
              <w:t>除因交易平台发生故障导致投标文件无法按时解密外，投标文件未按时解密的，视为未按规定提交投标文件。</w:t>
            </w:r>
          </w:p>
        </w:tc>
      </w:tr>
      <w:tr w14:paraId="1DD847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31AB170F">
            <w:pPr>
              <w:pStyle w:val="51"/>
              <w:jc w:val="center"/>
              <w:rPr>
                <w:rFonts w:hint="eastAsia" w:cs="宋体"/>
                <w:szCs w:val="24"/>
              </w:rPr>
            </w:pPr>
            <w:r>
              <w:rPr>
                <w:rFonts w:hint="eastAsia" w:cs="宋体"/>
                <w:szCs w:val="24"/>
              </w:rPr>
              <w:t>29.1</w:t>
            </w:r>
          </w:p>
        </w:tc>
        <w:tc>
          <w:tcPr>
            <w:tcW w:w="1738" w:type="dxa"/>
            <w:vAlign w:val="center"/>
          </w:tcPr>
          <w:p w14:paraId="0BA070B2">
            <w:pPr>
              <w:pStyle w:val="51"/>
              <w:rPr>
                <w:rFonts w:hint="eastAsia" w:cs="宋体"/>
                <w:szCs w:val="24"/>
              </w:rPr>
            </w:pPr>
            <w:r>
              <w:rPr>
                <w:rFonts w:hint="eastAsia" w:cs="宋体"/>
                <w:szCs w:val="24"/>
              </w:rPr>
              <w:t>评标方法</w:t>
            </w:r>
          </w:p>
        </w:tc>
        <w:tc>
          <w:tcPr>
            <w:tcW w:w="6700" w:type="dxa"/>
            <w:vAlign w:val="center"/>
          </w:tcPr>
          <w:p w14:paraId="251012C4">
            <w:pPr>
              <w:pStyle w:val="51"/>
              <w:rPr>
                <w:rFonts w:hint="eastAsia" w:cs="宋体"/>
                <w:szCs w:val="24"/>
              </w:rPr>
            </w:pPr>
            <w:r>
              <w:rPr>
                <w:rFonts w:hint="eastAsia" w:cs="宋体"/>
                <w:szCs w:val="24"/>
              </w:rPr>
              <w:sym w:font="Wingdings" w:char="00FE"/>
            </w:r>
            <w:r>
              <w:rPr>
                <w:rFonts w:hint="eastAsia" w:cs="宋体"/>
                <w:szCs w:val="24"/>
              </w:rPr>
              <w:t>综合评分法</w:t>
            </w:r>
          </w:p>
          <w:p w14:paraId="74ACA238">
            <w:pPr>
              <w:pStyle w:val="51"/>
              <w:rPr>
                <w:rFonts w:hint="eastAsia" w:cs="宋体"/>
                <w:szCs w:val="24"/>
              </w:rPr>
            </w:pPr>
            <w:r>
              <w:rPr>
                <w:rFonts w:hint="eastAsia" w:cs="宋体"/>
                <w:szCs w:val="24"/>
              </w:rPr>
              <w:sym w:font="Wingdings" w:char="00A8"/>
            </w:r>
            <w:r>
              <w:rPr>
                <w:rFonts w:hint="eastAsia" w:cs="宋体"/>
                <w:szCs w:val="24"/>
              </w:rPr>
              <w:t>最低评标价法</w:t>
            </w:r>
          </w:p>
        </w:tc>
      </w:tr>
      <w:tr w14:paraId="3E0C21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5" w:hRule="atLeast"/>
        </w:trPr>
        <w:tc>
          <w:tcPr>
            <w:tcW w:w="970" w:type="dxa"/>
            <w:vAlign w:val="center"/>
          </w:tcPr>
          <w:p w14:paraId="0D34A367">
            <w:pPr>
              <w:pStyle w:val="51"/>
              <w:jc w:val="center"/>
              <w:rPr>
                <w:rFonts w:hint="eastAsia" w:cs="宋体"/>
                <w:szCs w:val="24"/>
              </w:rPr>
            </w:pPr>
            <w:r>
              <w:rPr>
                <w:rFonts w:hint="eastAsia" w:cs="宋体"/>
                <w:szCs w:val="24"/>
              </w:rPr>
              <w:t>29.3</w:t>
            </w:r>
          </w:p>
        </w:tc>
        <w:tc>
          <w:tcPr>
            <w:tcW w:w="1738" w:type="dxa"/>
            <w:vAlign w:val="center"/>
          </w:tcPr>
          <w:p w14:paraId="376D6A01">
            <w:pPr>
              <w:pStyle w:val="51"/>
              <w:rPr>
                <w:rFonts w:hint="eastAsia" w:cs="宋体"/>
                <w:szCs w:val="24"/>
              </w:rPr>
            </w:pPr>
            <w:r>
              <w:rPr>
                <w:rFonts w:hint="eastAsia" w:cs="宋体"/>
                <w:szCs w:val="24"/>
              </w:rPr>
              <w:t>推荐中标候选人</w:t>
            </w:r>
          </w:p>
        </w:tc>
        <w:tc>
          <w:tcPr>
            <w:tcW w:w="6700" w:type="dxa"/>
            <w:vAlign w:val="center"/>
          </w:tcPr>
          <w:p w14:paraId="7B887C0E">
            <w:pPr>
              <w:pStyle w:val="51"/>
              <w:rPr>
                <w:rFonts w:hint="eastAsia" w:cs="宋体"/>
                <w:szCs w:val="24"/>
              </w:rPr>
            </w:pPr>
            <w:r>
              <w:rPr>
                <w:rFonts w:hint="eastAsia" w:cs="宋体"/>
                <w:szCs w:val="24"/>
              </w:rPr>
              <w:t>中标候选人数量</w:t>
            </w:r>
            <w:r>
              <w:rPr>
                <w:rFonts w:hint="eastAsia" w:cs="宋体"/>
                <w:szCs w:val="24"/>
                <w:u w:val="single"/>
              </w:rPr>
              <w:t>3</w:t>
            </w:r>
            <w:r>
              <w:rPr>
                <w:rFonts w:hint="eastAsia" w:cs="宋体"/>
                <w:szCs w:val="24"/>
              </w:rPr>
              <w:t>家</w:t>
            </w:r>
          </w:p>
        </w:tc>
      </w:tr>
      <w:tr w14:paraId="2ADD46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726140AA">
            <w:pPr>
              <w:pStyle w:val="51"/>
              <w:jc w:val="center"/>
              <w:rPr>
                <w:rFonts w:hint="eastAsia" w:cs="宋体"/>
                <w:szCs w:val="24"/>
              </w:rPr>
            </w:pPr>
            <w:r>
              <w:rPr>
                <w:rFonts w:hint="eastAsia" w:cs="宋体"/>
                <w:szCs w:val="24"/>
              </w:rPr>
              <w:t>30.1</w:t>
            </w:r>
          </w:p>
        </w:tc>
        <w:tc>
          <w:tcPr>
            <w:tcW w:w="1738" w:type="dxa"/>
            <w:vAlign w:val="center"/>
          </w:tcPr>
          <w:p w14:paraId="17FAB5FE">
            <w:pPr>
              <w:pStyle w:val="51"/>
              <w:rPr>
                <w:rFonts w:hint="eastAsia" w:cs="宋体"/>
                <w:szCs w:val="24"/>
              </w:rPr>
            </w:pPr>
            <w:r>
              <w:rPr>
                <w:rFonts w:hint="eastAsia" w:cs="宋体"/>
                <w:szCs w:val="24"/>
              </w:rPr>
              <w:t>确定中标人</w:t>
            </w:r>
          </w:p>
        </w:tc>
        <w:tc>
          <w:tcPr>
            <w:tcW w:w="6700" w:type="dxa"/>
            <w:vAlign w:val="center"/>
          </w:tcPr>
          <w:p w14:paraId="08248B0C">
            <w:pPr>
              <w:pStyle w:val="51"/>
              <w:rPr>
                <w:rFonts w:hint="eastAsia" w:cs="宋体"/>
                <w:szCs w:val="24"/>
              </w:rPr>
            </w:pPr>
            <w:r>
              <w:rPr>
                <w:rFonts w:hint="eastAsia" w:cs="宋体"/>
                <w:szCs w:val="24"/>
              </w:rPr>
              <w:sym w:font="Wingdings" w:char="00FE"/>
            </w:r>
            <w:r>
              <w:rPr>
                <w:rFonts w:hint="eastAsia" w:cs="宋体"/>
                <w:szCs w:val="24"/>
              </w:rPr>
              <w:t>采购人按评审报告中推荐的中标候选人排序确定中标人。</w:t>
            </w:r>
          </w:p>
          <w:p w14:paraId="7CF7008E">
            <w:pPr>
              <w:pStyle w:val="51"/>
              <w:rPr>
                <w:rFonts w:hint="eastAsia" w:cs="宋体"/>
                <w:szCs w:val="24"/>
              </w:rPr>
            </w:pPr>
            <w:r>
              <w:rPr>
                <w:rFonts w:hint="eastAsia" w:cs="宋体"/>
                <w:szCs w:val="24"/>
              </w:rPr>
              <w:sym w:font="Wingdings" w:char="00A8"/>
            </w:r>
            <w:r>
              <w:rPr>
                <w:rFonts w:hint="eastAsia" w:cs="宋体"/>
                <w:szCs w:val="24"/>
              </w:rPr>
              <w:t>采购人委托评标委员会直接确定中标人。</w:t>
            </w:r>
          </w:p>
        </w:tc>
      </w:tr>
      <w:tr w14:paraId="0AA5EB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trPr>
        <w:tc>
          <w:tcPr>
            <w:tcW w:w="970" w:type="dxa"/>
            <w:vAlign w:val="center"/>
          </w:tcPr>
          <w:p w14:paraId="05E42476">
            <w:pPr>
              <w:pStyle w:val="51"/>
              <w:jc w:val="center"/>
              <w:rPr>
                <w:rFonts w:hint="eastAsia" w:cs="宋体"/>
                <w:szCs w:val="24"/>
              </w:rPr>
            </w:pPr>
            <w:r>
              <w:rPr>
                <w:rFonts w:hint="eastAsia" w:cs="宋体"/>
                <w:szCs w:val="24"/>
              </w:rPr>
              <w:t>30.2</w:t>
            </w:r>
          </w:p>
          <w:p w14:paraId="1C577A51">
            <w:pPr>
              <w:pStyle w:val="51"/>
              <w:jc w:val="center"/>
              <w:rPr>
                <w:rFonts w:hint="eastAsia" w:cs="宋体"/>
                <w:szCs w:val="24"/>
              </w:rPr>
            </w:pPr>
            <w:r>
              <w:rPr>
                <w:rFonts w:hint="eastAsia" w:cs="宋体"/>
                <w:szCs w:val="24"/>
              </w:rPr>
              <w:t>30.3</w:t>
            </w:r>
          </w:p>
        </w:tc>
        <w:tc>
          <w:tcPr>
            <w:tcW w:w="1738" w:type="dxa"/>
            <w:vAlign w:val="center"/>
          </w:tcPr>
          <w:p w14:paraId="62FC38C9">
            <w:pPr>
              <w:pStyle w:val="51"/>
              <w:rPr>
                <w:rFonts w:hint="eastAsia" w:cs="宋体"/>
                <w:szCs w:val="24"/>
              </w:rPr>
            </w:pPr>
            <w:r>
              <w:rPr>
                <w:rFonts w:hint="eastAsia" w:cs="宋体"/>
                <w:kern w:val="0"/>
                <w:szCs w:val="24"/>
                <w:lang w:bidi="ar"/>
              </w:rPr>
              <w:t>提供相同品牌产品的不同投标人确定中标候选人的规定</w:t>
            </w:r>
          </w:p>
        </w:tc>
        <w:tc>
          <w:tcPr>
            <w:tcW w:w="6700" w:type="dxa"/>
            <w:vAlign w:val="center"/>
          </w:tcPr>
          <w:p w14:paraId="011B5C2D">
            <w:pPr>
              <w:pStyle w:val="51"/>
              <w:ind w:firstLine="480" w:firstLineChars="200"/>
              <w:rPr>
                <w:rFonts w:hint="eastAsia" w:cs="宋体"/>
                <w:kern w:val="0"/>
                <w:szCs w:val="24"/>
                <w:lang w:bidi="ar"/>
              </w:rPr>
            </w:pPr>
            <w:r>
              <w:rPr>
                <w:rFonts w:hint="eastAsia" w:cs="宋体"/>
                <w:szCs w:val="24"/>
              </w:rPr>
              <w:sym w:font="Wingdings" w:char="00FE"/>
            </w:r>
            <w:r>
              <w:rPr>
                <w:rFonts w:hint="eastAsia" w:cs="宋体"/>
                <w:kern w:val="0"/>
                <w:szCs w:val="24"/>
                <w:lang w:bidi="ar"/>
              </w:rPr>
              <w:t>综合评分法的采购项目，提供相同品牌产品且通过资格审查、符合性审查的不同投标人参加同一合同项下投标的，按一家投标人计算，评审后得分相同的，按照</w:t>
            </w:r>
            <w:r>
              <w:rPr>
                <w:rFonts w:hint="eastAsia" w:cs="宋体"/>
                <w:kern w:val="0"/>
                <w:szCs w:val="24"/>
                <w:u w:val="single"/>
                <w:lang w:bidi="ar"/>
              </w:rPr>
              <w:t>商务技术得分最优的</w:t>
            </w:r>
            <w:r>
              <w:rPr>
                <w:rFonts w:hint="eastAsia" w:cs="宋体"/>
                <w:kern w:val="0"/>
                <w:szCs w:val="24"/>
                <w:lang w:bidi="ar"/>
              </w:rPr>
              <w:t>方式确定一个投标人获得中标人推荐资格，其他同品牌投标人不作为中标候选人。</w:t>
            </w:r>
          </w:p>
          <w:p w14:paraId="11ABE612">
            <w:pPr>
              <w:pStyle w:val="51"/>
              <w:ind w:firstLine="480" w:firstLineChars="200"/>
              <w:rPr>
                <w:rFonts w:hint="eastAsia" w:cs="宋体"/>
                <w:kern w:val="0"/>
                <w:szCs w:val="24"/>
                <w:lang w:bidi="ar"/>
              </w:rPr>
            </w:pPr>
            <w:r>
              <w:rPr>
                <w:rFonts w:hint="eastAsia" w:cs="宋体"/>
                <w:szCs w:val="24"/>
              </w:rPr>
              <w:sym w:font="Wingdings" w:char="00A8"/>
            </w:r>
            <w:r>
              <w:rPr>
                <w:rFonts w:hint="eastAsia" w:cs="宋体"/>
                <w:kern w:val="0"/>
                <w:szCs w:val="24"/>
                <w:lang w:bidi="ar"/>
              </w:rPr>
              <w:t>最低评标价法的采购项目，提供相同品牌产品的不同投标人参加同一合同项下投标的，以其中通过资格审查、符合性审查且报价最低的参加评标；报价相同的，按照</w:t>
            </w:r>
            <w:r>
              <w:rPr>
                <w:rFonts w:hint="eastAsia" w:cs="宋体"/>
                <w:kern w:val="0"/>
                <w:szCs w:val="24"/>
                <w:u w:val="single"/>
                <w:lang w:bidi="ar"/>
              </w:rPr>
              <w:t xml:space="preserve">     </w:t>
            </w:r>
            <w:r>
              <w:rPr>
                <w:rFonts w:hint="eastAsia" w:cs="宋体"/>
                <w:kern w:val="0"/>
                <w:szCs w:val="24"/>
                <w:lang w:bidi="ar"/>
              </w:rPr>
              <w:t>方式确定一个参加评标的投标人，其他投标无效。</w:t>
            </w:r>
          </w:p>
        </w:tc>
      </w:tr>
      <w:tr w14:paraId="4DFC86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641" w:hRule="atLeast"/>
        </w:trPr>
        <w:tc>
          <w:tcPr>
            <w:tcW w:w="970" w:type="dxa"/>
            <w:vAlign w:val="center"/>
          </w:tcPr>
          <w:p w14:paraId="1A390A05">
            <w:pPr>
              <w:pStyle w:val="51"/>
              <w:jc w:val="center"/>
              <w:rPr>
                <w:rFonts w:hint="eastAsia" w:cs="宋体"/>
                <w:szCs w:val="24"/>
              </w:rPr>
            </w:pPr>
            <w:r>
              <w:rPr>
                <w:rFonts w:hint="eastAsia" w:cs="宋体"/>
                <w:szCs w:val="24"/>
              </w:rPr>
              <w:t>33.1</w:t>
            </w:r>
          </w:p>
        </w:tc>
        <w:tc>
          <w:tcPr>
            <w:tcW w:w="1738" w:type="dxa"/>
            <w:vAlign w:val="center"/>
          </w:tcPr>
          <w:p w14:paraId="19421B2D">
            <w:pPr>
              <w:pStyle w:val="51"/>
              <w:rPr>
                <w:rFonts w:hint="eastAsia" w:cs="宋体"/>
                <w:szCs w:val="24"/>
              </w:rPr>
            </w:pPr>
            <w:r>
              <w:rPr>
                <w:rFonts w:hint="eastAsia" w:cs="宋体"/>
                <w:szCs w:val="24"/>
              </w:rPr>
              <w:t>履约保证金</w:t>
            </w:r>
          </w:p>
        </w:tc>
        <w:tc>
          <w:tcPr>
            <w:tcW w:w="6700" w:type="dxa"/>
            <w:vAlign w:val="center"/>
          </w:tcPr>
          <w:p w14:paraId="181955C5">
            <w:pPr>
              <w:pStyle w:val="51"/>
              <w:rPr>
                <w:rFonts w:hint="eastAsia" w:cs="宋体"/>
                <w:szCs w:val="24"/>
              </w:rPr>
            </w:pPr>
            <w:r>
              <w:rPr>
                <w:rFonts w:hint="eastAsia" w:cs="宋体"/>
                <w:szCs w:val="24"/>
              </w:rPr>
              <w:t xml:space="preserve"> 1.金额：</w:t>
            </w:r>
          </w:p>
          <w:p w14:paraId="1EFC1C2E">
            <w:pPr>
              <w:pStyle w:val="51"/>
              <w:ind w:firstLine="480" w:firstLineChars="200"/>
              <w:rPr>
                <w:rFonts w:hint="eastAsia" w:cs="宋体"/>
                <w:szCs w:val="24"/>
              </w:rPr>
            </w:pPr>
            <w:r>
              <w:rPr>
                <w:rFonts w:hint="eastAsia" w:cs="宋体"/>
                <w:szCs w:val="24"/>
              </w:rPr>
              <w:t>□免收</w:t>
            </w:r>
          </w:p>
          <w:p w14:paraId="48D1D5FB">
            <w:pPr>
              <w:pStyle w:val="51"/>
              <w:ind w:firstLine="480" w:firstLineChars="200"/>
              <w:rPr>
                <w:rFonts w:hint="eastAsia" w:cs="宋体"/>
                <w:szCs w:val="24"/>
              </w:rPr>
            </w:pPr>
            <w:r>
              <w:rPr>
                <w:rFonts w:hint="eastAsia" w:cs="宋体"/>
                <w:szCs w:val="24"/>
                <w:lang w:eastAsia="zh-CN"/>
              </w:rPr>
              <w:t>☑</w:t>
            </w:r>
            <w:r>
              <w:rPr>
                <w:rFonts w:hint="eastAsia" w:cs="宋体"/>
                <w:szCs w:val="24"/>
              </w:rPr>
              <w:t>合同价的10%</w:t>
            </w:r>
          </w:p>
          <w:p w14:paraId="350AE865">
            <w:pPr>
              <w:pStyle w:val="51"/>
              <w:ind w:firstLine="480" w:firstLineChars="200"/>
              <w:rPr>
                <w:rFonts w:hint="eastAsia" w:cs="宋体"/>
                <w:szCs w:val="24"/>
              </w:rPr>
            </w:pPr>
            <w:r>
              <w:rPr>
                <w:rFonts w:hint="eastAsia" w:cs="宋体"/>
                <w:szCs w:val="24"/>
              </w:rPr>
              <w:t>□定额收取：人民币              元</w:t>
            </w:r>
          </w:p>
          <w:p w14:paraId="7E82438E">
            <w:pPr>
              <w:pStyle w:val="51"/>
              <w:rPr>
                <w:rFonts w:hint="eastAsia" w:cs="宋体"/>
                <w:szCs w:val="24"/>
              </w:rPr>
            </w:pPr>
            <w:r>
              <w:rPr>
                <w:rFonts w:hint="eastAsia" w:cs="宋体"/>
                <w:szCs w:val="24"/>
              </w:rPr>
              <w:t xml:space="preserve"> 2.支付方式：</w:t>
            </w:r>
          </w:p>
          <w:p w14:paraId="666688C2">
            <w:pPr>
              <w:pStyle w:val="55"/>
              <w:spacing w:line="340" w:lineRule="exact"/>
              <w:ind w:firstLine="480" w:firstLineChars="200"/>
              <w:rPr>
                <w:rFonts w:hint="eastAsia" w:ascii="宋体" w:hAnsi="宋体" w:cs="宋体"/>
                <w:sz w:val="24"/>
                <w:szCs w:val="24"/>
              </w:rPr>
            </w:pPr>
            <w:r>
              <w:rPr>
                <w:rFonts w:hint="eastAsia" w:ascii="宋体" w:hAnsi="宋体" w:cs="宋体"/>
                <w:kern w:val="2"/>
                <w:sz w:val="24"/>
                <w:szCs w:val="24"/>
              </w:rPr>
              <w:t>投标人可自主选择以支票、汇票、本票、电汇、转账、网银、保函等非现金形式缴纳或提交保证金。</w:t>
            </w:r>
          </w:p>
          <w:p w14:paraId="06996328">
            <w:pPr>
              <w:pStyle w:val="51"/>
              <w:rPr>
                <w:rFonts w:hint="eastAsia" w:cs="宋体"/>
                <w:szCs w:val="24"/>
              </w:rPr>
            </w:pPr>
            <w:r>
              <w:rPr>
                <w:rFonts w:hint="eastAsia" w:cs="宋体"/>
                <w:szCs w:val="24"/>
              </w:rPr>
              <w:t xml:space="preserve"> 3.收取单位：                            </w:t>
            </w:r>
          </w:p>
          <w:p w14:paraId="457D9F7E">
            <w:pPr>
              <w:pStyle w:val="51"/>
              <w:rPr>
                <w:rFonts w:hint="eastAsia" w:cs="宋体"/>
                <w:szCs w:val="24"/>
              </w:rPr>
            </w:pPr>
            <w:r>
              <w:rPr>
                <w:rFonts w:hint="eastAsia" w:cs="宋体"/>
                <w:szCs w:val="24"/>
              </w:rPr>
              <w:t xml:space="preserve"> 4.收取账号：              </w:t>
            </w:r>
          </w:p>
          <w:p w14:paraId="7F5C73D2">
            <w:pPr>
              <w:pStyle w:val="51"/>
              <w:rPr>
                <w:rFonts w:hint="eastAsia" w:cs="宋体"/>
                <w:szCs w:val="24"/>
              </w:rPr>
            </w:pPr>
            <w:r>
              <w:rPr>
                <w:rFonts w:hint="eastAsia" w:cs="宋体"/>
                <w:szCs w:val="24"/>
              </w:rPr>
              <w:t xml:space="preserve"> 5.退还时间：              </w:t>
            </w:r>
          </w:p>
          <w:p w14:paraId="18D43155">
            <w:pPr>
              <w:pStyle w:val="51"/>
              <w:rPr>
                <w:rFonts w:hint="eastAsia" w:cs="宋体"/>
                <w:b/>
                <w:bCs/>
                <w:szCs w:val="24"/>
              </w:rPr>
            </w:pPr>
            <w:r>
              <w:rPr>
                <w:rFonts w:hint="eastAsia" w:cs="宋体"/>
                <w:b/>
                <w:bCs/>
                <w:szCs w:val="24"/>
              </w:rPr>
              <w:t>注意事项：</w:t>
            </w:r>
          </w:p>
          <w:p w14:paraId="1F754F0A">
            <w:pPr>
              <w:pStyle w:val="51"/>
              <w:rPr>
                <w:rFonts w:hint="eastAsia" w:cs="宋体"/>
                <w:szCs w:val="24"/>
              </w:rPr>
            </w:pPr>
            <w:r>
              <w:rPr>
                <w:rFonts w:hint="eastAsia" w:cs="宋体"/>
                <w:szCs w:val="24"/>
              </w:rPr>
              <w:t xml:space="preserve">  1.以上各类机构出具的以担保函、保证保险承担责任的方式均须满足无条件见索即付条件。</w:t>
            </w:r>
          </w:p>
          <w:p w14:paraId="7265FF35">
            <w:pPr>
              <w:pStyle w:val="51"/>
              <w:rPr>
                <w:rFonts w:hint="eastAsia" w:cs="宋体"/>
                <w:szCs w:val="24"/>
              </w:rPr>
            </w:pPr>
            <w:r>
              <w:rPr>
                <w:rFonts w:hint="eastAsia" w:cs="宋体"/>
                <w:szCs w:val="24"/>
              </w:rPr>
              <w:t xml:space="preserve">  2.以担保函、保证保险形式缴纳履约保证金的，受益人和收取单位须为采购人。</w:t>
            </w:r>
          </w:p>
        </w:tc>
      </w:tr>
      <w:tr w14:paraId="536FE2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6BC1764E">
            <w:pPr>
              <w:pStyle w:val="51"/>
              <w:jc w:val="center"/>
              <w:rPr>
                <w:rFonts w:hint="eastAsia" w:cs="宋体"/>
                <w:szCs w:val="24"/>
              </w:rPr>
            </w:pPr>
            <w:r>
              <w:rPr>
                <w:rFonts w:hint="eastAsia" w:cs="宋体"/>
                <w:szCs w:val="24"/>
              </w:rPr>
              <w:t>34.5</w:t>
            </w:r>
          </w:p>
        </w:tc>
        <w:tc>
          <w:tcPr>
            <w:tcW w:w="1738" w:type="dxa"/>
            <w:vAlign w:val="center"/>
          </w:tcPr>
          <w:p w14:paraId="77E46DF1">
            <w:pPr>
              <w:pStyle w:val="51"/>
              <w:rPr>
                <w:rFonts w:hint="eastAsia" w:cs="宋体"/>
                <w:szCs w:val="24"/>
              </w:rPr>
            </w:pPr>
            <w:r>
              <w:rPr>
                <w:rFonts w:hint="eastAsia" w:cs="宋体"/>
                <w:szCs w:val="24"/>
              </w:rPr>
              <w:t>中标后分包</w:t>
            </w:r>
          </w:p>
        </w:tc>
        <w:tc>
          <w:tcPr>
            <w:tcW w:w="6700" w:type="dxa"/>
            <w:vAlign w:val="center"/>
          </w:tcPr>
          <w:p w14:paraId="249E2400">
            <w:pPr>
              <w:pStyle w:val="51"/>
              <w:rPr>
                <w:rFonts w:hint="eastAsia" w:cs="宋体"/>
                <w:szCs w:val="24"/>
              </w:rPr>
            </w:pPr>
            <w:r>
              <w:rPr>
                <w:rFonts w:hint="eastAsia" w:cs="宋体"/>
                <w:szCs w:val="24"/>
              </w:rPr>
              <w:t xml:space="preserve">本项目的非主体、非关键性工作是否允许分包： </w:t>
            </w:r>
          </w:p>
          <w:p w14:paraId="61D7CC1F">
            <w:pPr>
              <w:pStyle w:val="51"/>
              <w:ind w:firstLine="480" w:firstLineChars="200"/>
              <w:rPr>
                <w:rFonts w:hint="eastAsia" w:cs="宋体"/>
                <w:szCs w:val="24"/>
              </w:rPr>
            </w:pPr>
            <w:r>
              <w:rPr>
                <w:rFonts w:hint="eastAsia" w:cs="宋体"/>
                <w:szCs w:val="24"/>
              </w:rPr>
              <w:t xml:space="preserve">□不允许 </w:t>
            </w:r>
          </w:p>
          <w:p w14:paraId="7D0567E6">
            <w:pPr>
              <w:pStyle w:val="51"/>
              <w:ind w:firstLine="480" w:firstLineChars="200"/>
              <w:rPr>
                <w:rFonts w:hint="eastAsia" w:cs="宋体"/>
                <w:szCs w:val="24"/>
              </w:rPr>
            </w:pPr>
            <w:r>
              <w:rPr>
                <w:rFonts w:hint="eastAsia" w:cs="宋体"/>
                <w:szCs w:val="24"/>
                <w:lang w:eastAsia="zh-CN"/>
              </w:rPr>
              <w:t>☑</w:t>
            </w:r>
            <w:r>
              <w:rPr>
                <w:rFonts w:hint="eastAsia" w:cs="宋体"/>
                <w:szCs w:val="24"/>
                <w:lang w:val="en-US" w:eastAsia="zh-CN"/>
              </w:rPr>
              <w:t>允许，分包要求</w:t>
            </w:r>
          </w:p>
        </w:tc>
      </w:tr>
      <w:tr w14:paraId="7EB6F1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6411F77">
            <w:pPr>
              <w:pStyle w:val="51"/>
              <w:jc w:val="center"/>
              <w:rPr>
                <w:rFonts w:hint="eastAsia" w:cs="宋体"/>
                <w:szCs w:val="24"/>
              </w:rPr>
            </w:pPr>
            <w:r>
              <w:rPr>
                <w:rFonts w:hint="eastAsia" w:cs="宋体"/>
                <w:szCs w:val="24"/>
              </w:rPr>
              <w:t>35.1</w:t>
            </w:r>
          </w:p>
        </w:tc>
        <w:tc>
          <w:tcPr>
            <w:tcW w:w="1738" w:type="dxa"/>
            <w:vAlign w:val="center"/>
          </w:tcPr>
          <w:p w14:paraId="0B60D7EC">
            <w:pPr>
              <w:pStyle w:val="51"/>
              <w:rPr>
                <w:rFonts w:hint="eastAsia" w:cs="宋体"/>
                <w:szCs w:val="24"/>
              </w:rPr>
            </w:pPr>
            <w:r>
              <w:rPr>
                <w:rFonts w:hint="eastAsia" w:cs="宋体"/>
                <w:szCs w:val="24"/>
              </w:rPr>
              <w:t>质疑</w:t>
            </w:r>
          </w:p>
        </w:tc>
        <w:tc>
          <w:tcPr>
            <w:tcW w:w="6700" w:type="dxa"/>
            <w:vAlign w:val="center"/>
          </w:tcPr>
          <w:p w14:paraId="1D483B59">
            <w:pPr>
              <w:pStyle w:val="60"/>
              <w:autoSpaceDE w:val="0"/>
              <w:autoSpaceDN w:val="0"/>
              <w:adjustRightInd w:val="0"/>
              <w:rPr>
                <w:rFonts w:hint="eastAsia" w:ascii="宋体" w:hAnsi="宋体" w:cs="宋体"/>
                <w:sz w:val="24"/>
                <w:lang w:val="zh-CN"/>
              </w:rPr>
            </w:pPr>
            <w:r>
              <w:rPr>
                <w:rFonts w:hint="eastAsia" w:ascii="宋体" w:hAnsi="宋体" w:cs="宋体"/>
                <w:sz w:val="24"/>
                <w:lang w:val="zh-CN"/>
              </w:rPr>
              <w:t>递交方式：</w:t>
            </w:r>
            <w:r>
              <w:rPr>
                <w:rFonts w:hint="eastAsia" w:ascii="宋体" w:hAnsi="宋体" w:cs="宋体"/>
                <w:sz w:val="24"/>
                <w:u w:val="single"/>
              </w:rPr>
              <w:t>纸质版递交</w:t>
            </w:r>
            <w:r>
              <w:rPr>
                <w:rFonts w:hint="eastAsia" w:ascii="宋体" w:hAnsi="宋体" w:cs="宋体"/>
                <w:sz w:val="24"/>
                <w:lang w:val="zh-CN"/>
              </w:rPr>
              <w:t xml:space="preserve">              </w:t>
            </w:r>
          </w:p>
          <w:p w14:paraId="77198B2A">
            <w:pPr>
              <w:pStyle w:val="60"/>
              <w:autoSpaceDE w:val="0"/>
              <w:autoSpaceDN w:val="0"/>
              <w:adjustRightInd w:val="0"/>
              <w:rPr>
                <w:rFonts w:hint="eastAsia" w:ascii="宋体" w:hAnsi="宋体" w:cs="宋体"/>
                <w:sz w:val="24"/>
                <w:lang w:val="zh-CN"/>
              </w:rPr>
            </w:pPr>
            <w:r>
              <w:rPr>
                <w:rFonts w:hint="eastAsia" w:ascii="宋体" w:hAnsi="宋体" w:cs="宋体"/>
                <w:sz w:val="24"/>
                <w:lang w:val="zh-CN"/>
              </w:rPr>
              <w:t>接收部门：</w:t>
            </w:r>
            <w:r>
              <w:rPr>
                <w:rFonts w:hint="eastAsia" w:ascii="宋体" w:hAnsi="宋体" w:cs="宋体"/>
                <w:sz w:val="24"/>
                <w:u w:val="single"/>
              </w:rPr>
              <w:t>中通服供应链股份有限公司新疆分公司招标业务部</w:t>
            </w:r>
            <w:r>
              <w:rPr>
                <w:rFonts w:hint="eastAsia" w:ascii="宋体" w:hAnsi="宋体" w:cs="宋体"/>
                <w:sz w:val="24"/>
                <w:lang w:val="zh-CN"/>
              </w:rPr>
              <w:t xml:space="preserve">              </w:t>
            </w:r>
          </w:p>
          <w:p w14:paraId="29FCAF30">
            <w:pPr>
              <w:pStyle w:val="60"/>
              <w:autoSpaceDE w:val="0"/>
              <w:autoSpaceDN w:val="0"/>
              <w:adjustRightInd w:val="0"/>
              <w:rPr>
                <w:rFonts w:hint="eastAsia" w:ascii="宋体" w:hAnsi="宋体" w:cs="宋体"/>
                <w:sz w:val="24"/>
                <w:lang w:val="zh-CN"/>
              </w:rPr>
            </w:pPr>
            <w:r>
              <w:rPr>
                <w:rFonts w:hint="eastAsia" w:ascii="宋体" w:hAnsi="宋体" w:cs="宋体"/>
                <w:sz w:val="24"/>
                <w:lang w:val="zh-CN"/>
              </w:rPr>
              <w:t>联系电话：</w:t>
            </w:r>
            <w:r>
              <w:rPr>
                <w:rFonts w:hint="eastAsia" w:ascii="宋体" w:hAnsi="宋体" w:cs="宋体"/>
                <w:sz w:val="24"/>
                <w:u w:val="single"/>
              </w:rPr>
              <w:t>15899450214</w:t>
            </w:r>
            <w:r>
              <w:rPr>
                <w:rFonts w:hint="eastAsia" w:ascii="宋体" w:hAnsi="宋体" w:cs="宋体"/>
                <w:sz w:val="24"/>
                <w:lang w:val="zh-CN"/>
              </w:rPr>
              <w:t xml:space="preserve">              </w:t>
            </w:r>
          </w:p>
          <w:p w14:paraId="5DD991B0">
            <w:pPr>
              <w:pStyle w:val="60"/>
              <w:autoSpaceDE w:val="0"/>
              <w:autoSpaceDN w:val="0"/>
              <w:adjustRightInd w:val="0"/>
              <w:rPr>
                <w:rFonts w:hint="eastAsia" w:ascii="宋体" w:hAnsi="宋体" w:cs="宋体"/>
                <w:sz w:val="24"/>
                <w:lang w:val="zh-CN"/>
              </w:rPr>
            </w:pPr>
            <w:r>
              <w:rPr>
                <w:rFonts w:hint="eastAsia" w:ascii="宋体" w:hAnsi="宋体" w:cs="宋体"/>
                <w:sz w:val="24"/>
                <w:lang w:val="zh-CN"/>
              </w:rPr>
              <w:t>通讯地址：</w:t>
            </w:r>
            <w:r>
              <w:rPr>
                <w:rFonts w:hint="eastAsia" w:ascii="宋体" w:hAnsi="宋体" w:cs="宋体"/>
                <w:sz w:val="24"/>
                <w:u w:val="single"/>
                <w:lang w:val="zh-CN"/>
              </w:rPr>
              <w:t>电信九鼎库房-中通服供应链（办公楼二楼招标中心）新疆维吾尔自治区乌鲁木齐市沙依巴克区经四路与纬一路交叉口东北约100米。</w:t>
            </w:r>
            <w:r>
              <w:rPr>
                <w:rFonts w:hint="eastAsia" w:ascii="宋体" w:hAnsi="宋体" w:cs="宋体"/>
                <w:sz w:val="24"/>
                <w:lang w:val="zh-CN"/>
              </w:rPr>
              <w:t xml:space="preserve">              </w:t>
            </w:r>
          </w:p>
        </w:tc>
      </w:tr>
      <w:tr w14:paraId="7C91AB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970" w:type="dxa"/>
            <w:vAlign w:val="center"/>
          </w:tcPr>
          <w:p w14:paraId="4B4FBFFD">
            <w:pPr>
              <w:pStyle w:val="51"/>
              <w:jc w:val="center"/>
              <w:rPr>
                <w:rFonts w:hint="eastAsia" w:cs="宋体"/>
                <w:szCs w:val="24"/>
              </w:rPr>
            </w:pPr>
            <w:r>
              <w:rPr>
                <w:rFonts w:hint="eastAsia" w:cs="宋体"/>
                <w:szCs w:val="24"/>
              </w:rPr>
              <w:t>38.1</w:t>
            </w:r>
          </w:p>
        </w:tc>
        <w:tc>
          <w:tcPr>
            <w:tcW w:w="1738" w:type="dxa"/>
            <w:vAlign w:val="center"/>
          </w:tcPr>
          <w:p w14:paraId="4D8528FF">
            <w:pPr>
              <w:pStyle w:val="51"/>
              <w:rPr>
                <w:rFonts w:hint="eastAsia" w:cs="宋体"/>
                <w:szCs w:val="24"/>
              </w:rPr>
            </w:pPr>
            <w:r>
              <w:rPr>
                <w:rFonts w:hint="eastAsia" w:cs="宋体"/>
                <w:szCs w:val="24"/>
              </w:rPr>
              <w:t>采购代理服务费</w:t>
            </w:r>
          </w:p>
        </w:tc>
        <w:tc>
          <w:tcPr>
            <w:tcW w:w="6700" w:type="dxa"/>
            <w:vAlign w:val="center"/>
          </w:tcPr>
          <w:p w14:paraId="0882A18C">
            <w:pPr>
              <w:pStyle w:val="51"/>
              <w:rPr>
                <w:rFonts w:hint="eastAsia" w:cs="宋体"/>
                <w:szCs w:val="24"/>
              </w:rPr>
            </w:pPr>
            <w:r>
              <w:rPr>
                <w:rFonts w:hint="eastAsia" w:cs="宋体"/>
                <w:szCs w:val="24"/>
              </w:rPr>
              <w:t>1.收费对象：</w:t>
            </w:r>
            <w:r>
              <w:rPr>
                <w:rFonts w:hint="eastAsia" w:cs="宋体"/>
                <w:szCs w:val="24"/>
              </w:rPr>
              <w:sym w:font="Wingdings" w:char="00A8"/>
            </w:r>
            <w:r>
              <w:rPr>
                <w:rFonts w:hint="eastAsia" w:cs="宋体"/>
                <w:szCs w:val="24"/>
              </w:rPr>
              <w:t xml:space="preserve">采购人支付 </w:t>
            </w:r>
            <w:r>
              <w:rPr>
                <w:rFonts w:hint="eastAsia" w:cs="宋体"/>
                <w:szCs w:val="24"/>
              </w:rPr>
              <w:sym w:font="Wingdings" w:char="00FE"/>
            </w:r>
            <w:r>
              <w:rPr>
                <w:rFonts w:hint="eastAsia" w:cs="宋体"/>
                <w:szCs w:val="24"/>
              </w:rPr>
              <w:t xml:space="preserve">中标人支付 </w:t>
            </w:r>
          </w:p>
          <w:p w14:paraId="167C2259">
            <w:pPr>
              <w:pStyle w:val="51"/>
              <w:rPr>
                <w:rFonts w:hint="eastAsia" w:cs="宋体"/>
                <w:szCs w:val="24"/>
              </w:rPr>
            </w:pPr>
            <w:r>
              <w:rPr>
                <w:rFonts w:hint="eastAsia" w:cs="宋体"/>
                <w:szCs w:val="24"/>
              </w:rPr>
              <w:t>2.收费标准：</w:t>
            </w:r>
            <w:r>
              <w:rPr>
                <w:rFonts w:hint="eastAsia" w:cs="宋体"/>
                <w:szCs w:val="24"/>
                <w:u w:val="single"/>
              </w:rPr>
              <w:t>以中标金额为基数，由中标人向招标代理机构按照参照原国家发展计划委员会文件（计价格[2002]1980号文）下浮10%向代理机构支付</w:t>
            </w:r>
          </w:p>
          <w:p w14:paraId="333E636F">
            <w:pPr>
              <w:pStyle w:val="51"/>
              <w:rPr>
                <w:rFonts w:hint="eastAsia" w:cs="宋体"/>
                <w:szCs w:val="24"/>
              </w:rPr>
            </w:pPr>
            <w:r>
              <w:rPr>
                <w:rFonts w:hint="eastAsia" w:cs="宋体"/>
                <w:szCs w:val="24"/>
              </w:rPr>
              <w:t>3.收取时间：</w:t>
            </w:r>
            <w:r>
              <w:rPr>
                <w:rFonts w:hint="eastAsia" w:cs="宋体"/>
                <w:szCs w:val="24"/>
                <w:u w:val="single"/>
              </w:rPr>
              <w:t>中标人在领取中标通知书前</w:t>
            </w:r>
          </w:p>
          <w:p w14:paraId="7B796E84">
            <w:pPr>
              <w:pStyle w:val="51"/>
              <w:rPr>
                <w:rFonts w:hint="eastAsia" w:cs="宋体"/>
                <w:szCs w:val="24"/>
              </w:rPr>
            </w:pPr>
            <w:r>
              <w:rPr>
                <w:rFonts w:hint="eastAsia" w:cs="宋体"/>
                <w:szCs w:val="24"/>
              </w:rPr>
              <w:t>4.收取方式：</w:t>
            </w:r>
            <w:r>
              <w:rPr>
                <w:rFonts w:hint="eastAsia" w:cs="宋体"/>
                <w:szCs w:val="24"/>
                <w:u w:val="single"/>
              </w:rPr>
              <w:t>银行转账</w:t>
            </w:r>
          </w:p>
        </w:tc>
      </w:tr>
      <w:tr w14:paraId="336F80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27" w:hRule="atLeast"/>
        </w:trPr>
        <w:tc>
          <w:tcPr>
            <w:tcW w:w="970" w:type="dxa"/>
            <w:vAlign w:val="center"/>
          </w:tcPr>
          <w:p w14:paraId="7B7E55A0">
            <w:pPr>
              <w:pStyle w:val="51"/>
              <w:jc w:val="center"/>
              <w:rPr>
                <w:rFonts w:hint="eastAsia" w:cs="宋体"/>
                <w:szCs w:val="24"/>
              </w:rPr>
            </w:pPr>
            <w:r>
              <w:rPr>
                <w:rFonts w:hint="eastAsia" w:cs="宋体"/>
                <w:szCs w:val="24"/>
              </w:rPr>
              <w:t>41.1</w:t>
            </w:r>
          </w:p>
        </w:tc>
        <w:tc>
          <w:tcPr>
            <w:tcW w:w="1738" w:type="dxa"/>
            <w:vAlign w:val="center"/>
          </w:tcPr>
          <w:p w14:paraId="38A7DEED">
            <w:pPr>
              <w:pStyle w:val="51"/>
              <w:jc w:val="center"/>
              <w:rPr>
                <w:rFonts w:hint="eastAsia" w:cs="宋体"/>
                <w:szCs w:val="24"/>
              </w:rPr>
            </w:pPr>
            <w:r>
              <w:rPr>
                <w:rFonts w:hint="eastAsia" w:cs="宋体"/>
                <w:szCs w:val="24"/>
              </w:rPr>
              <w:t>支持本国产品政策</w:t>
            </w:r>
          </w:p>
        </w:tc>
        <w:tc>
          <w:tcPr>
            <w:tcW w:w="6700" w:type="dxa"/>
            <w:vAlign w:val="center"/>
          </w:tcPr>
          <w:p w14:paraId="1B1FF10F">
            <w:pPr>
              <w:pStyle w:val="73"/>
              <w:widowControl w:val="0"/>
              <w:spacing w:before="0" w:beforeAutospacing="0" w:after="0" w:afterAutospacing="0" w:line="240" w:lineRule="auto"/>
              <w:jc w:val="both"/>
              <w:rPr>
                <w:rFonts w:hint="eastAsia" w:cs="宋体"/>
                <w:sz w:val="24"/>
                <w:szCs w:val="24"/>
              </w:rPr>
            </w:pPr>
            <w:r>
              <w:rPr>
                <w:rFonts w:hint="eastAsia" w:cs="宋体"/>
                <w:b w:val="0"/>
                <w:sz w:val="24"/>
                <w:szCs w:val="24"/>
              </w:rPr>
              <w:t>对符合本国产品标准的，依法对本国产品给予价格评审优惠，用扣除后的价格参与评审。</w:t>
            </w:r>
          </w:p>
        </w:tc>
      </w:tr>
      <w:tr w14:paraId="78694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579F97DD">
            <w:pPr>
              <w:pStyle w:val="51"/>
              <w:jc w:val="center"/>
              <w:rPr>
                <w:rFonts w:hint="eastAsia" w:cs="宋体"/>
                <w:szCs w:val="24"/>
              </w:rPr>
            </w:pPr>
            <w:r>
              <w:rPr>
                <w:rFonts w:hint="eastAsia" w:cs="宋体"/>
                <w:szCs w:val="24"/>
              </w:rPr>
              <w:t>41.2</w:t>
            </w:r>
          </w:p>
        </w:tc>
        <w:tc>
          <w:tcPr>
            <w:tcW w:w="1738" w:type="dxa"/>
            <w:vAlign w:val="center"/>
          </w:tcPr>
          <w:p w14:paraId="2091DC31">
            <w:pPr>
              <w:pStyle w:val="51"/>
              <w:rPr>
                <w:rFonts w:hint="eastAsia" w:cs="宋体"/>
                <w:szCs w:val="24"/>
              </w:rPr>
            </w:pPr>
            <w:r>
              <w:rPr>
                <w:rFonts w:hint="eastAsia" w:cs="宋体"/>
                <w:szCs w:val="24"/>
                <w:lang w:val="zh-CN"/>
              </w:rPr>
              <w:t>是否接受进口产品</w:t>
            </w:r>
          </w:p>
        </w:tc>
        <w:tc>
          <w:tcPr>
            <w:tcW w:w="6700" w:type="dxa"/>
            <w:vAlign w:val="center"/>
          </w:tcPr>
          <w:p w14:paraId="16B914A7">
            <w:pPr>
              <w:pStyle w:val="51"/>
              <w:rPr>
                <w:rFonts w:hint="eastAsia" w:cs="宋体"/>
                <w:szCs w:val="24"/>
              </w:rPr>
            </w:pPr>
            <w:r>
              <w:rPr>
                <w:rFonts w:hint="eastAsia" w:cs="宋体"/>
                <w:szCs w:val="24"/>
              </w:rPr>
              <w:sym w:font="Wingdings" w:char="00FE"/>
            </w:r>
            <w:r>
              <w:rPr>
                <w:rFonts w:hint="eastAsia" w:cs="宋体"/>
                <w:szCs w:val="24"/>
              </w:rPr>
              <w:t>不接受</w:t>
            </w:r>
          </w:p>
          <w:p w14:paraId="5559FDC5">
            <w:pPr>
              <w:pStyle w:val="51"/>
              <w:rPr>
                <w:rFonts w:hint="eastAsia" w:cs="宋体"/>
                <w:szCs w:val="24"/>
              </w:rPr>
            </w:pPr>
            <w:r>
              <w:rPr>
                <w:rFonts w:hint="eastAsia" w:cs="宋体"/>
                <w:szCs w:val="24"/>
              </w:rPr>
              <w:sym w:font="Wingdings" w:char="00A8"/>
            </w:r>
            <w:r>
              <w:rPr>
                <w:rFonts w:hint="eastAsia" w:cs="宋体"/>
                <w:szCs w:val="24"/>
                <w:lang w:val="zh-CN"/>
              </w:rPr>
              <w:t>接受</w:t>
            </w:r>
          </w:p>
        </w:tc>
      </w:tr>
      <w:tr w14:paraId="3078FA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970" w:type="dxa"/>
            <w:vAlign w:val="center"/>
          </w:tcPr>
          <w:p w14:paraId="79595778">
            <w:pPr>
              <w:pStyle w:val="51"/>
              <w:jc w:val="center"/>
              <w:rPr>
                <w:rFonts w:hint="eastAsia" w:cs="宋体"/>
                <w:szCs w:val="24"/>
              </w:rPr>
            </w:pPr>
            <w:r>
              <w:rPr>
                <w:rFonts w:hint="eastAsia" w:cs="宋体"/>
                <w:szCs w:val="24"/>
              </w:rPr>
              <w:t>43.5</w:t>
            </w:r>
          </w:p>
        </w:tc>
        <w:tc>
          <w:tcPr>
            <w:tcW w:w="1738" w:type="dxa"/>
            <w:vAlign w:val="center"/>
          </w:tcPr>
          <w:p w14:paraId="737D894E">
            <w:pPr>
              <w:pStyle w:val="51"/>
              <w:rPr>
                <w:rFonts w:hint="eastAsia" w:cs="宋体"/>
                <w:szCs w:val="24"/>
              </w:rPr>
            </w:pPr>
            <w:r>
              <w:rPr>
                <w:rFonts w:hint="eastAsia" w:cs="宋体"/>
                <w:szCs w:val="24"/>
              </w:rPr>
              <w:t>优先采购创新节能环保产品</w:t>
            </w:r>
          </w:p>
        </w:tc>
        <w:tc>
          <w:tcPr>
            <w:tcW w:w="6700" w:type="dxa"/>
            <w:vAlign w:val="center"/>
          </w:tcPr>
          <w:p w14:paraId="32097923">
            <w:pPr>
              <w:pStyle w:val="51"/>
              <w:rPr>
                <w:rFonts w:hint="eastAsia" w:cs="宋体"/>
                <w:szCs w:val="24"/>
              </w:rPr>
            </w:pPr>
            <w:r>
              <w:rPr>
                <w:rFonts w:hint="eastAsia" w:cs="宋体"/>
                <w:szCs w:val="24"/>
              </w:rPr>
              <w:t>所投产品纳入创新产品应用示范推荐目录内企业、所投产品获得节能产品或环境标志产品认证证书的供应商给予</w:t>
            </w:r>
            <w:r>
              <w:rPr>
                <w:rFonts w:hint="eastAsia" w:cs="宋体"/>
                <w:szCs w:val="24"/>
                <w:u w:val="single"/>
              </w:rPr>
              <w:t>10%</w:t>
            </w:r>
            <w:r>
              <w:rPr>
                <w:rFonts w:hint="eastAsia" w:cs="宋体"/>
                <w:szCs w:val="24"/>
              </w:rPr>
              <w:t>评审优惠。</w:t>
            </w:r>
          </w:p>
        </w:tc>
      </w:tr>
      <w:tr w14:paraId="4D0474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379" w:hRule="atLeast"/>
        </w:trPr>
        <w:tc>
          <w:tcPr>
            <w:tcW w:w="970" w:type="dxa"/>
            <w:tcBorders>
              <w:right w:val="single" w:color="auto" w:sz="4" w:space="0"/>
            </w:tcBorders>
            <w:vAlign w:val="center"/>
          </w:tcPr>
          <w:p w14:paraId="2C3572D9">
            <w:pPr>
              <w:pStyle w:val="51"/>
              <w:jc w:val="center"/>
              <w:rPr>
                <w:rFonts w:hint="eastAsia" w:cs="宋体"/>
                <w:szCs w:val="24"/>
              </w:rPr>
            </w:pPr>
            <w:r>
              <w:rPr>
                <w:rFonts w:hint="eastAsia" w:cs="宋体"/>
                <w:szCs w:val="24"/>
              </w:rPr>
              <w:t>47.1</w:t>
            </w:r>
          </w:p>
        </w:tc>
        <w:tc>
          <w:tcPr>
            <w:tcW w:w="1738" w:type="dxa"/>
            <w:tcBorders>
              <w:left w:val="single" w:color="auto" w:sz="4" w:space="0"/>
              <w:right w:val="single" w:color="auto" w:sz="4" w:space="0"/>
            </w:tcBorders>
            <w:vAlign w:val="center"/>
          </w:tcPr>
          <w:p w14:paraId="1983CAEC">
            <w:pPr>
              <w:pStyle w:val="51"/>
              <w:rPr>
                <w:rFonts w:hint="eastAsia" w:cs="宋体"/>
                <w:szCs w:val="24"/>
              </w:rPr>
            </w:pPr>
            <w:r>
              <w:rPr>
                <w:rFonts w:hint="eastAsia" w:cs="宋体"/>
                <w:szCs w:val="24"/>
              </w:rPr>
              <w:t>政府采购</w:t>
            </w:r>
          </w:p>
          <w:p w14:paraId="700C7C46">
            <w:pPr>
              <w:pStyle w:val="51"/>
              <w:rPr>
                <w:rFonts w:hint="eastAsia" w:cs="宋体"/>
                <w:szCs w:val="24"/>
              </w:rPr>
            </w:pPr>
            <w:r>
              <w:rPr>
                <w:rFonts w:hint="eastAsia" w:cs="宋体"/>
                <w:szCs w:val="24"/>
              </w:rPr>
              <w:t>合同融资政策</w:t>
            </w:r>
          </w:p>
        </w:tc>
        <w:tc>
          <w:tcPr>
            <w:tcW w:w="6700" w:type="dxa"/>
            <w:tcBorders>
              <w:left w:val="single" w:color="auto" w:sz="4" w:space="0"/>
            </w:tcBorders>
            <w:vAlign w:val="center"/>
          </w:tcPr>
          <w:p w14:paraId="2A0880A4">
            <w:pPr>
              <w:pStyle w:val="51"/>
              <w:rPr>
                <w:rFonts w:hint="eastAsia" w:cs="宋体"/>
                <w:szCs w:val="24"/>
              </w:rPr>
            </w:pPr>
            <w:r>
              <w:rPr>
                <w:rFonts w:hint="eastAsia" w:cs="宋体"/>
                <w:szCs w:val="24"/>
              </w:rPr>
              <w:t xml:space="preserve">  1.有融资需求的中标人在获得政府采购中标通知书后，即可向开展“政采贷”业务的金融机构提出申请，金融机构依据政府采购中标通知书和政府采购合同，为中小微企业提供融资服务。</w:t>
            </w:r>
          </w:p>
          <w:p w14:paraId="233BED1F">
            <w:pPr>
              <w:pStyle w:val="51"/>
              <w:rPr>
                <w:rFonts w:hint="eastAsia" w:cs="宋体"/>
                <w:szCs w:val="24"/>
              </w:rPr>
            </w:pPr>
            <w:r>
              <w:rPr>
                <w:rFonts w:hint="eastAsia" w:cs="宋体"/>
                <w:szCs w:val="24"/>
              </w:rPr>
              <w:t xml:space="preserve">  2.“政采贷”融资指引：在取得政府采购中标通知书后，可访问“ 政采贷融资服务平台”，查看和联系第三方平台或者金融机构，商洽融资事项，确定融资意向。中标人签署政府采购中标合同后，登录“ 政采贷融资服务平台”，选择意向产品进行申请，并填写相关信息，“ 政采贷融资服务平台”将中标人融资申请信息推送第三方平台、意向金融机构。</w:t>
            </w:r>
          </w:p>
        </w:tc>
      </w:tr>
      <w:tr w14:paraId="481915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vAlign w:val="center"/>
          </w:tcPr>
          <w:p w14:paraId="3EE54D53">
            <w:pPr>
              <w:pStyle w:val="51"/>
              <w:jc w:val="center"/>
              <w:rPr>
                <w:rFonts w:hint="eastAsia" w:cs="宋体"/>
                <w:szCs w:val="24"/>
              </w:rPr>
            </w:pPr>
            <w:r>
              <w:rPr>
                <w:rFonts w:hint="eastAsia" w:cs="宋体"/>
                <w:szCs w:val="24"/>
              </w:rPr>
              <w:t>48.1</w:t>
            </w:r>
          </w:p>
        </w:tc>
        <w:tc>
          <w:tcPr>
            <w:tcW w:w="1738" w:type="dxa"/>
            <w:tcBorders>
              <w:right w:val="single" w:color="auto" w:sz="4" w:space="0"/>
            </w:tcBorders>
            <w:vAlign w:val="center"/>
          </w:tcPr>
          <w:p w14:paraId="7DD435E0">
            <w:pPr>
              <w:pStyle w:val="51"/>
              <w:rPr>
                <w:rFonts w:hint="eastAsia" w:cs="宋体"/>
                <w:szCs w:val="24"/>
              </w:rPr>
            </w:pPr>
            <w:r>
              <w:rPr>
                <w:rFonts w:hint="eastAsia" w:cs="宋体"/>
                <w:szCs w:val="24"/>
              </w:rPr>
              <w:t>低于成本价不正当竞争预防措施</w:t>
            </w:r>
          </w:p>
        </w:tc>
        <w:tc>
          <w:tcPr>
            <w:tcW w:w="6700" w:type="dxa"/>
            <w:tcBorders>
              <w:left w:val="single" w:color="auto" w:sz="4" w:space="0"/>
            </w:tcBorders>
            <w:vAlign w:val="center"/>
          </w:tcPr>
          <w:p w14:paraId="5123D294">
            <w:pPr>
              <w:pStyle w:val="51"/>
              <w:rPr>
                <w:rFonts w:hint="eastAsia" w:cs="宋体"/>
                <w:szCs w:val="24"/>
              </w:rPr>
            </w:pPr>
            <w:r>
              <w:rPr>
                <w:rFonts w:hint="eastAsia" w:cs="宋体"/>
                <w:szCs w:val="24"/>
              </w:rPr>
              <w:t>1.投标（响应）报价低于全部通过符合性审查供应商投标（响应）报价平均值50%的，即投标（响应）报价&lt;全部通过符合性审查供应商投标（响应）报价平均值×50%；</w:t>
            </w:r>
          </w:p>
          <w:p w14:paraId="66524983">
            <w:pPr>
              <w:pStyle w:val="51"/>
              <w:rPr>
                <w:rFonts w:hint="eastAsia" w:cs="宋体"/>
                <w:szCs w:val="24"/>
              </w:rPr>
            </w:pPr>
            <w:r>
              <w:rPr>
                <w:rFonts w:hint="eastAsia" w:cs="宋体"/>
                <w:szCs w:val="24"/>
              </w:rPr>
              <w:t>2.投标（响应）报价低于通过符合性审查的次低报价供应商投标（响应）报价50%的，即投标（响应）报价&lt;通过符合性审查的次低报价供应商投标（响应）报价×50%；</w:t>
            </w:r>
          </w:p>
          <w:p w14:paraId="7DDB06F2">
            <w:pPr>
              <w:pStyle w:val="51"/>
              <w:rPr>
                <w:rFonts w:hint="eastAsia" w:cs="宋体"/>
                <w:szCs w:val="24"/>
              </w:rPr>
            </w:pPr>
            <w:r>
              <w:rPr>
                <w:rFonts w:hint="eastAsia" w:cs="宋体"/>
                <w:szCs w:val="24"/>
              </w:rPr>
              <w:t>3.投标（响应）报价低于采购项目最高限价45%的，即投标（响应）报价&lt;采购项目最高限价×45%；</w:t>
            </w:r>
          </w:p>
          <w:p w14:paraId="56A66261">
            <w:pPr>
              <w:pStyle w:val="51"/>
              <w:rPr>
                <w:rFonts w:hint="eastAsia" w:ascii="方正仿宋_GBK" w:hAnsi="仿宋" w:eastAsia="方正仿宋_GBK"/>
                <w:szCs w:val="24"/>
              </w:rPr>
            </w:pPr>
            <w:r>
              <w:rPr>
                <w:rFonts w:hint="eastAsia" w:cs="宋体"/>
                <w:szCs w:val="24"/>
              </w:rPr>
              <w:t>4.评审委员会基于专业判断，认为供应商报价过低，有可能影响产品质量或者不能诚信履约的其他情形。采购人可以结合具体项目实际情况，提高上述第 1 项至第 3 项中启动异常低价投标（响应）审查的数值标准，但是最高不得超过65%。相关法律法规对供应商报价有规定的，从其规定。”</w:t>
            </w:r>
          </w:p>
        </w:tc>
      </w:tr>
      <w:tr w14:paraId="6AA4CF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vAlign w:val="center"/>
          </w:tcPr>
          <w:p w14:paraId="0508BD80">
            <w:pPr>
              <w:pStyle w:val="51"/>
              <w:jc w:val="center"/>
              <w:rPr>
                <w:rFonts w:hint="eastAsia" w:cs="宋体"/>
                <w:szCs w:val="24"/>
              </w:rPr>
            </w:pPr>
          </w:p>
        </w:tc>
        <w:tc>
          <w:tcPr>
            <w:tcW w:w="1738" w:type="dxa"/>
            <w:tcBorders>
              <w:right w:val="single" w:color="auto" w:sz="4" w:space="0"/>
            </w:tcBorders>
            <w:vAlign w:val="center"/>
          </w:tcPr>
          <w:p w14:paraId="758B60B1">
            <w:pPr>
              <w:pStyle w:val="51"/>
              <w:rPr>
                <w:rFonts w:hint="eastAsia" w:ascii="宋体" w:hAnsi="宋体" w:eastAsia="宋体" w:cs="宋体"/>
                <w:szCs w:val="24"/>
              </w:rPr>
            </w:pPr>
            <w:r>
              <w:rPr>
                <w:rFonts w:hint="eastAsia" w:ascii="宋体" w:hAnsi="宋体" w:eastAsia="宋体" w:cs="宋体"/>
                <w:szCs w:val="24"/>
                <w:lang w:val="en-US" w:eastAsia="zh-CN"/>
              </w:rPr>
              <w:t>本项目采购标的对应的中小企业划分标准所属行业：</w:t>
            </w:r>
          </w:p>
        </w:tc>
        <w:tc>
          <w:tcPr>
            <w:tcW w:w="6700" w:type="dxa"/>
            <w:tcBorders>
              <w:left w:val="single" w:color="auto" w:sz="4" w:space="0"/>
            </w:tcBorders>
            <w:vAlign w:val="center"/>
          </w:tcPr>
          <w:p w14:paraId="6B0AA109">
            <w:pPr>
              <w:pStyle w:val="51"/>
              <w:rPr>
                <w:rFonts w:hint="default" w:cs="宋体"/>
                <w:szCs w:val="24"/>
                <w:u w:val="none"/>
                <w:lang w:val="en-US"/>
              </w:rPr>
            </w:pPr>
            <w:r>
              <w:rPr>
                <w:rFonts w:hint="eastAsia" w:cs="宋体"/>
                <w:szCs w:val="24"/>
                <w:lang w:val="en-US" w:eastAsia="zh-CN"/>
              </w:rPr>
              <w:t>根据工业和信息化部、国家统计局、国家发展 和改革委员会、财政部《关于印发中小企业划型标准规定的通知》 （工信部联企业〔2011〕300 号），本项目中小企业所属行业为</w:t>
            </w:r>
            <w:r>
              <w:rPr>
                <w:rFonts w:hint="eastAsia" w:cs="宋体"/>
                <w:szCs w:val="24"/>
                <w:u w:val="single"/>
                <w:lang w:val="en-US" w:eastAsia="zh-CN"/>
              </w:rPr>
              <w:t>制造业</w:t>
            </w:r>
            <w:r>
              <w:rPr>
                <w:rFonts w:hint="eastAsia" w:cs="宋体"/>
                <w:szCs w:val="24"/>
                <w:u w:val="none"/>
                <w:lang w:val="en-US" w:eastAsia="zh-CN"/>
              </w:rPr>
              <w:t>。</w:t>
            </w:r>
          </w:p>
        </w:tc>
      </w:tr>
      <w:tr w14:paraId="4A2CE8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vAlign w:val="center"/>
          </w:tcPr>
          <w:p w14:paraId="20F09C20">
            <w:pPr>
              <w:pStyle w:val="51"/>
              <w:jc w:val="center"/>
              <w:rPr>
                <w:rFonts w:hint="default" w:eastAsia="宋体" w:cs="宋体"/>
                <w:szCs w:val="24"/>
                <w:lang w:val="en-US" w:eastAsia="zh-CN"/>
              </w:rPr>
            </w:pPr>
            <w:r>
              <w:rPr>
                <w:rFonts w:hint="eastAsia" w:cs="宋体"/>
                <w:szCs w:val="24"/>
                <w:lang w:val="en-US" w:eastAsia="zh-CN"/>
              </w:rPr>
              <w:t>13.4</w:t>
            </w:r>
          </w:p>
        </w:tc>
        <w:tc>
          <w:tcPr>
            <w:tcW w:w="1738" w:type="dxa"/>
            <w:tcBorders>
              <w:right w:val="single" w:color="auto" w:sz="4" w:space="0"/>
            </w:tcBorders>
            <w:vAlign w:val="center"/>
          </w:tcPr>
          <w:p w14:paraId="53A1898F">
            <w:pPr>
              <w:pStyle w:val="51"/>
              <w:rPr>
                <w:rFonts w:hint="default" w:ascii="宋体" w:hAnsi="宋体" w:eastAsia="宋体" w:cs="宋体"/>
                <w:szCs w:val="24"/>
                <w:lang w:val="en-US" w:eastAsia="zh-CN"/>
              </w:rPr>
            </w:pPr>
            <w:r>
              <w:rPr>
                <w:rFonts w:hint="eastAsia" w:cs="宋体"/>
                <w:szCs w:val="24"/>
                <w:lang w:val="en-US" w:eastAsia="zh-CN"/>
              </w:rPr>
              <w:t>价格扣除</w:t>
            </w:r>
          </w:p>
        </w:tc>
        <w:tc>
          <w:tcPr>
            <w:tcW w:w="6700" w:type="dxa"/>
            <w:tcBorders>
              <w:left w:val="single" w:color="auto" w:sz="4" w:space="0"/>
            </w:tcBorders>
            <w:vAlign w:val="center"/>
          </w:tcPr>
          <w:p w14:paraId="396C1762">
            <w:pPr>
              <w:pStyle w:val="51"/>
              <w:numPr>
                <w:ilvl w:val="0"/>
                <w:numId w:val="3"/>
              </w:numPr>
              <w:rPr>
                <w:rFonts w:hint="eastAsia" w:cs="宋体"/>
                <w:szCs w:val="24"/>
                <w:lang w:val="en-US" w:eastAsia="zh-CN"/>
              </w:rPr>
            </w:pPr>
            <w:r>
              <w:rPr>
                <w:rFonts w:hint="eastAsia" w:cs="宋体"/>
                <w:szCs w:val="24"/>
                <w:lang w:val="en-US" w:eastAsia="zh-CN"/>
              </w:rPr>
              <w:t xml:space="preserve">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 </w:t>
            </w:r>
            <w:r>
              <w:rPr>
                <w:rFonts w:hint="eastAsia" w:cs="宋体"/>
                <w:szCs w:val="24"/>
                <w:u w:val="single"/>
                <w:lang w:val="en-US" w:eastAsia="zh-CN"/>
              </w:rPr>
              <w:t>10 %</w:t>
            </w:r>
            <w:r>
              <w:rPr>
                <w:rFonts w:hint="eastAsia" w:cs="宋体"/>
                <w:szCs w:val="24"/>
                <w:lang w:val="en-US" w:eastAsia="zh-CN"/>
              </w:rPr>
              <w:t xml:space="preserve"> 后参与评审。对于同时属于小微企业、监狱企业或残疾人福利性单位的，不重复进行投标报价扣除。</w:t>
            </w:r>
          </w:p>
          <w:p w14:paraId="4A7AA594">
            <w:pPr>
              <w:pStyle w:val="51"/>
              <w:numPr>
                <w:ilvl w:val="0"/>
                <w:numId w:val="3"/>
              </w:numPr>
              <w:rPr>
                <w:rFonts w:hint="eastAsia" w:cs="宋体"/>
                <w:szCs w:val="24"/>
                <w:lang w:val="en-US" w:eastAsia="zh-CN"/>
              </w:rPr>
            </w:pPr>
            <w:r>
              <w:rPr>
                <w:rFonts w:hint="eastAsia" w:cs="宋体"/>
                <w:szCs w:val="24"/>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30 %以上的联合体或者大中型企业的报价给予</w:t>
            </w:r>
            <w:r>
              <w:rPr>
                <w:rFonts w:hint="eastAsia" w:cs="宋体"/>
                <w:szCs w:val="24"/>
                <w:u w:val="single"/>
                <w:lang w:val="en-US" w:eastAsia="zh-CN"/>
              </w:rPr>
              <w:t xml:space="preserve"> 4% </w:t>
            </w:r>
            <w:r>
              <w:rPr>
                <w:rFonts w:hint="eastAsia" w:cs="宋体"/>
                <w:szCs w:val="24"/>
                <w:lang w:val="en-US" w:eastAsia="zh-CN"/>
              </w:rPr>
              <w:t>的扣除，用扣除后的价格参加评审。</w:t>
            </w:r>
          </w:p>
        </w:tc>
      </w:tr>
      <w:tr w14:paraId="226397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05664F44">
            <w:pPr>
              <w:pStyle w:val="51"/>
              <w:rPr>
                <w:rFonts w:hint="eastAsia" w:cs="宋体"/>
                <w:szCs w:val="24"/>
              </w:rPr>
            </w:pPr>
            <w:r>
              <w:rPr>
                <w:rFonts w:hint="eastAsia" w:cs="宋体"/>
                <w:szCs w:val="24"/>
              </w:rPr>
              <w:t>备注：</w:t>
            </w:r>
          </w:p>
          <w:p w14:paraId="40FB857F">
            <w:pPr>
              <w:pStyle w:val="51"/>
              <w:rPr>
                <w:rFonts w:hint="eastAsia" w:cs="宋体"/>
                <w:szCs w:val="24"/>
              </w:rPr>
            </w:pPr>
            <w:r>
              <w:rPr>
                <w:rFonts w:hint="eastAsia" w:cs="宋体"/>
                <w:szCs w:val="24"/>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0C3D2FE8">
            <w:pPr>
              <w:pStyle w:val="51"/>
              <w:rPr>
                <w:rFonts w:hint="eastAsia" w:cs="宋体"/>
                <w:szCs w:val="24"/>
              </w:rPr>
            </w:pPr>
            <w:r>
              <w:rPr>
                <w:rFonts w:hint="eastAsia" w:cs="宋体"/>
                <w:szCs w:val="24"/>
              </w:rPr>
              <w:t>2. 本招标文件所称的“以上”、“以下”、“内”、“以内”，包括本数；所称的“不足”，不包括本数。</w:t>
            </w:r>
          </w:p>
        </w:tc>
      </w:tr>
    </w:tbl>
    <w:p w14:paraId="61C32FA5">
      <w:pPr>
        <w:rPr>
          <w:rFonts w:hint="eastAsia"/>
        </w:rPr>
      </w:pPr>
      <w:r>
        <w:br w:type="page"/>
      </w:r>
    </w:p>
    <w:p w14:paraId="1807B22C">
      <w:pPr>
        <w:pStyle w:val="4"/>
        <w:spacing w:before="80" w:after="80" w:line="360" w:lineRule="auto"/>
        <w:ind w:left="420" w:hanging="420"/>
        <w:jc w:val="both"/>
        <w:rPr>
          <w:rFonts w:hint="eastAsia"/>
          <w:sz w:val="28"/>
          <w:szCs w:val="28"/>
        </w:rPr>
      </w:pPr>
      <w:bookmarkStart w:id="152" w:name="_Toc9176"/>
      <w:bookmarkStart w:id="153" w:name="_Toc163492821"/>
      <w:bookmarkStart w:id="154" w:name="_Toc155185869"/>
      <w:r>
        <w:rPr>
          <w:rFonts w:hint="eastAsia"/>
          <w:sz w:val="28"/>
          <w:szCs w:val="28"/>
        </w:rPr>
        <w:t>二、投标人须知</w:t>
      </w:r>
      <w:bookmarkEnd w:id="152"/>
      <w:bookmarkEnd w:id="153"/>
      <w:bookmarkEnd w:id="154"/>
    </w:p>
    <w:p w14:paraId="7A4B04AB">
      <w:pPr>
        <w:pStyle w:val="5"/>
        <w:keepNext w:val="0"/>
        <w:keepLines w:val="0"/>
        <w:spacing w:before="180" w:after="180" w:line="240" w:lineRule="auto"/>
        <w:ind w:left="420" w:hanging="420"/>
        <w:jc w:val="both"/>
        <w:rPr>
          <w:rFonts w:hint="eastAsia" w:cs="宋体"/>
          <w:sz w:val="24"/>
        </w:rPr>
      </w:pPr>
      <w:bookmarkStart w:id="155" w:name="_Toc163492822"/>
      <w:bookmarkStart w:id="156" w:name="_Toc155185870"/>
      <w:r>
        <w:rPr>
          <w:rFonts w:hint="eastAsia" w:cs="宋体"/>
          <w:sz w:val="24"/>
        </w:rPr>
        <w:t>（一）总则</w:t>
      </w:r>
      <w:bookmarkEnd w:id="155"/>
      <w:bookmarkEnd w:id="156"/>
    </w:p>
    <w:p w14:paraId="2AFF074A">
      <w:pPr>
        <w:pStyle w:val="6"/>
        <w:keepNext w:val="0"/>
        <w:keepLines w:val="0"/>
        <w:spacing w:before="80" w:after="60" w:line="240" w:lineRule="auto"/>
        <w:ind w:left="420" w:hanging="420"/>
        <w:jc w:val="both"/>
        <w:rPr>
          <w:rFonts w:hint="eastAsia" w:ascii="宋体" w:hAnsi="宋体" w:cs="宋体"/>
          <w:sz w:val="24"/>
        </w:rPr>
      </w:pPr>
      <w:bookmarkStart w:id="157" w:name="_Toc109899631"/>
      <w:bookmarkStart w:id="158" w:name="_Toc155095689"/>
      <w:bookmarkStart w:id="159" w:name="_Toc163492823"/>
      <w:bookmarkStart w:id="160" w:name="_Toc109900050"/>
      <w:bookmarkStart w:id="161" w:name="_Toc109900469"/>
      <w:bookmarkStart w:id="162" w:name="_Toc109897532"/>
      <w:bookmarkStart w:id="163" w:name="_Toc31233"/>
      <w:r>
        <w:rPr>
          <w:rFonts w:hint="eastAsia" w:ascii="宋体" w:hAnsi="宋体" w:cs="宋体"/>
          <w:sz w:val="24"/>
        </w:rPr>
        <w:t>1.适用范围</w:t>
      </w:r>
      <w:bookmarkEnd w:id="157"/>
      <w:bookmarkEnd w:id="158"/>
      <w:bookmarkEnd w:id="159"/>
      <w:bookmarkEnd w:id="160"/>
      <w:bookmarkEnd w:id="161"/>
      <w:bookmarkEnd w:id="162"/>
      <w:bookmarkEnd w:id="163"/>
    </w:p>
    <w:p w14:paraId="14C75C68">
      <w:pPr>
        <w:pStyle w:val="39"/>
        <w:jc w:val="both"/>
        <w:rPr>
          <w:rFonts w:hint="eastAsia" w:cs="宋体"/>
          <w:snapToGrid w:val="0"/>
        </w:rPr>
      </w:pPr>
      <w:r>
        <w:rPr>
          <w:rFonts w:hint="eastAsia" w:cs="宋体"/>
          <w:snapToGrid w:val="0"/>
        </w:rPr>
        <w:t>1.1本招标文件仅适用于本项目的采购活动。</w:t>
      </w:r>
    </w:p>
    <w:p w14:paraId="3F30AFF0">
      <w:pPr>
        <w:pStyle w:val="6"/>
        <w:keepNext w:val="0"/>
        <w:keepLines w:val="0"/>
        <w:spacing w:before="80" w:after="60" w:line="240" w:lineRule="auto"/>
        <w:ind w:left="420" w:hanging="420"/>
        <w:jc w:val="both"/>
        <w:rPr>
          <w:rFonts w:hint="eastAsia" w:ascii="宋体" w:hAnsi="宋体" w:cs="宋体"/>
          <w:sz w:val="24"/>
        </w:rPr>
      </w:pPr>
      <w:bookmarkStart w:id="164" w:name="_Toc163492824"/>
      <w:r>
        <w:rPr>
          <w:rFonts w:hint="eastAsia" w:ascii="宋体" w:hAnsi="宋体" w:cs="宋体"/>
          <w:sz w:val="24"/>
        </w:rPr>
        <w:t>2.基本定义</w:t>
      </w:r>
      <w:bookmarkEnd w:id="164"/>
    </w:p>
    <w:p w14:paraId="49DA5FD5">
      <w:pPr>
        <w:pStyle w:val="39"/>
        <w:jc w:val="both"/>
        <w:rPr>
          <w:rFonts w:hint="eastAsia" w:cs="宋体"/>
        </w:rPr>
      </w:pPr>
      <w:r>
        <w:rPr>
          <w:rFonts w:hint="eastAsia" w:cs="宋体"/>
        </w:rPr>
        <w:t>2.1根据《中华人民共和国政府采购法》及其实施条例等有关法律、法规和规章的规定，制定本招标文件。</w:t>
      </w:r>
    </w:p>
    <w:p w14:paraId="599B3975">
      <w:pPr>
        <w:ind w:firstLine="480" w:firstLineChars="200"/>
        <w:jc w:val="both"/>
        <w:rPr>
          <w:rFonts w:hint="eastAsia"/>
        </w:rPr>
      </w:pPr>
      <w:r>
        <w:rPr>
          <w:rFonts w:hint="eastAsia"/>
        </w:rPr>
        <w:t>2.2采购人：</w:t>
      </w:r>
      <w:r>
        <w:rPr>
          <w:rFonts w:hint="eastAsia" w:cs="宋体"/>
          <w:kern w:val="0"/>
          <w:szCs w:val="24"/>
          <w:lang w:bidi="ar"/>
        </w:rPr>
        <w:t>指依法进行政府采购的国家机关、事业单位、团体组织</w:t>
      </w:r>
      <w:r>
        <w:rPr>
          <w:rFonts w:hint="eastAsia"/>
        </w:rPr>
        <w:t>。</w:t>
      </w:r>
    </w:p>
    <w:p w14:paraId="32F8177E">
      <w:pPr>
        <w:ind w:firstLine="480" w:firstLineChars="200"/>
        <w:jc w:val="both"/>
        <w:rPr>
          <w:rFonts w:hint="eastAsia"/>
        </w:rPr>
      </w:pPr>
      <w:r>
        <w:rPr>
          <w:rFonts w:hint="eastAsia"/>
        </w:rPr>
        <w:t>2.3采购代理机构：</w:t>
      </w:r>
      <w:r>
        <w:rPr>
          <w:rFonts w:hint="eastAsia" w:cs="宋体"/>
          <w:kern w:val="0"/>
          <w:szCs w:val="24"/>
          <w:lang w:bidi="ar"/>
        </w:rPr>
        <w:t>指依法进行政府采购的国家机关、事业单位、团体组织</w:t>
      </w:r>
      <w:r>
        <w:rPr>
          <w:rFonts w:hint="eastAsia"/>
        </w:rPr>
        <w:t>委托的采购代理机构。</w:t>
      </w:r>
    </w:p>
    <w:p w14:paraId="72AA1C61">
      <w:pPr>
        <w:pStyle w:val="39"/>
        <w:jc w:val="both"/>
        <w:rPr>
          <w:rFonts w:hint="eastAsia"/>
        </w:rPr>
      </w:pPr>
      <w:r>
        <w:rPr>
          <w:rFonts w:hint="eastAsia"/>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030FACC1">
      <w:pPr>
        <w:pStyle w:val="39"/>
        <w:jc w:val="both"/>
        <w:rPr>
          <w:rFonts w:hint="eastAsia"/>
          <w:lang w:val="en-US"/>
        </w:rPr>
      </w:pPr>
      <w:r>
        <w:rPr>
          <w:rFonts w:hint="eastAsia"/>
          <w:lang w:val="en-US"/>
        </w:rPr>
        <w:t>2.5 核心产品见</w:t>
      </w:r>
      <w:r>
        <w:rPr>
          <w:rFonts w:hint="eastAsia"/>
        </w:rPr>
        <w:t>“投标人须知前附表”</w:t>
      </w:r>
      <w:r>
        <w:rPr>
          <w:rFonts w:hint="eastAsia"/>
          <w:lang w:val="en-US"/>
        </w:rPr>
        <w:t>。</w:t>
      </w:r>
    </w:p>
    <w:p w14:paraId="0B6310CE">
      <w:pPr>
        <w:pStyle w:val="39"/>
        <w:jc w:val="both"/>
        <w:rPr>
          <w:rFonts w:hint="eastAsia"/>
          <w:lang w:val="en-US"/>
        </w:rPr>
      </w:pPr>
      <w:r>
        <w:rPr>
          <w:rFonts w:hint="eastAsia"/>
          <w:lang w:val="en-US"/>
        </w:rPr>
        <w:t>2.6是否属于</w:t>
      </w:r>
      <w:r>
        <w:rPr>
          <w:rFonts w:ascii="方正书宋_GBK" w:hAnsi="方正书宋_GBK" w:cs="方正书宋_GBK"/>
          <w:kern w:val="0"/>
          <w:szCs w:val="24"/>
          <w:lang w:val="en-US" w:bidi="ar"/>
        </w:rPr>
        <w:t>科研仪器设备</w:t>
      </w:r>
      <w:r>
        <w:rPr>
          <w:rFonts w:hint="eastAsia" w:ascii="方正书宋_GBK" w:hAnsi="方正书宋_GBK" w:cs="方正书宋_GBK"/>
          <w:kern w:val="0"/>
          <w:szCs w:val="24"/>
          <w:lang w:val="en-US" w:bidi="ar"/>
        </w:rPr>
        <w:t>采购</w:t>
      </w:r>
      <w:r>
        <w:rPr>
          <w:rFonts w:hint="eastAsia"/>
          <w:lang w:val="en-US"/>
        </w:rPr>
        <w:t>见</w:t>
      </w:r>
      <w:r>
        <w:rPr>
          <w:rFonts w:hint="eastAsia"/>
        </w:rPr>
        <w:t>“</w:t>
      </w:r>
      <w:r>
        <w:rPr>
          <w:rFonts w:hint="eastAsia"/>
          <w:lang w:val="en-US"/>
        </w:rPr>
        <w:t>投标人</w:t>
      </w:r>
      <w:r>
        <w:rPr>
          <w:rFonts w:hint="eastAsia"/>
        </w:rPr>
        <w:t>须知前附表”</w:t>
      </w:r>
      <w:r>
        <w:rPr>
          <w:rFonts w:hint="eastAsia"/>
          <w:lang w:val="en-US"/>
        </w:rPr>
        <w:t>。</w:t>
      </w:r>
    </w:p>
    <w:p w14:paraId="72885426">
      <w:pPr>
        <w:ind w:firstLine="480" w:firstLineChars="200"/>
        <w:jc w:val="both"/>
        <w:rPr>
          <w:rFonts w:hint="eastAsia"/>
        </w:rPr>
      </w:pPr>
      <w:r>
        <w:rPr>
          <w:rFonts w:hint="eastAsia"/>
          <w:iCs/>
          <w:shd w:val="clear" w:color="auto" w:fill="FFFFFF" w:themeFill="background1"/>
        </w:rPr>
        <w:t>2.7投标人（也称“供应商”、“申请人”）：指向采购人提供货物、工程或者服务的法人、其他组织或者自然人。</w:t>
      </w:r>
      <w:r>
        <w:rPr>
          <w:rFonts w:hint="eastAsia"/>
        </w:rPr>
        <w:t>分支机构不得参加政府采购活动，但银行、保险、石油石化、电力、电信等有行业特殊情况的除外。</w:t>
      </w:r>
      <w:r>
        <w:t>本项目的投标人须满足以下条件：</w:t>
      </w:r>
    </w:p>
    <w:p w14:paraId="7311382B">
      <w:pPr>
        <w:ind w:firstLine="480" w:firstLineChars="200"/>
        <w:jc w:val="both"/>
        <w:rPr>
          <w:rFonts w:hint="eastAsia"/>
        </w:rPr>
      </w:pPr>
      <w:r>
        <w:rPr>
          <w:rFonts w:hint="eastAsia"/>
        </w:rPr>
        <w:t>2.7</w:t>
      </w:r>
      <w:r>
        <w:t>.</w:t>
      </w:r>
      <w:r>
        <w:rPr>
          <w:rFonts w:hint="eastAsia"/>
        </w:rPr>
        <w:t>1</w:t>
      </w:r>
      <w:r>
        <w:t>具备《中华人民共和国政府采购法》第二十二条规定的</w:t>
      </w:r>
      <w:r>
        <w:rPr>
          <w:rFonts w:hint="eastAsia"/>
        </w:rPr>
        <w:t>条件</w:t>
      </w:r>
      <w:r>
        <w:t>，遵守本项目采购人本级和上级财政部门政府采购的有关规定。</w:t>
      </w:r>
    </w:p>
    <w:p w14:paraId="76A4BCC8">
      <w:pPr>
        <w:ind w:firstLine="480" w:firstLineChars="200"/>
        <w:jc w:val="both"/>
        <w:rPr>
          <w:rFonts w:hint="eastAsia"/>
        </w:rPr>
      </w:pPr>
      <w:r>
        <w:rPr>
          <w:rFonts w:hint="eastAsia"/>
        </w:rPr>
        <w:t>2.7.2以招标公告中发布的方式依法获得了本项目的招标文件。</w:t>
      </w:r>
    </w:p>
    <w:p w14:paraId="28EB4BE7">
      <w:pPr>
        <w:ind w:firstLine="480" w:firstLineChars="200"/>
        <w:jc w:val="both"/>
        <w:rPr>
          <w:rFonts w:hint="eastAsia"/>
        </w:rPr>
      </w:pPr>
      <w:r>
        <w:rPr>
          <w:rFonts w:hint="eastAsia"/>
        </w:rPr>
        <w:t>2.7.3符合本招标文件规定并参加投标的供应商。</w:t>
      </w:r>
    </w:p>
    <w:p w14:paraId="65CBB183">
      <w:pPr>
        <w:ind w:firstLine="480" w:firstLineChars="200"/>
        <w:jc w:val="both"/>
        <w:rPr>
          <w:rFonts w:hint="eastAsia"/>
        </w:rPr>
      </w:pPr>
      <w:r>
        <w:rPr>
          <w:rFonts w:hint="eastAsia"/>
        </w:rPr>
        <w:t>2.8</w:t>
      </w:r>
      <w:r>
        <w:rPr>
          <w:rFonts w:hint="eastAsia"/>
          <w:iCs/>
          <w:shd w:val="clear" w:color="auto" w:fill="FFFFFF" w:themeFill="background1"/>
        </w:rPr>
        <w:t>潜在投标人、潜在供应商：指</w:t>
      </w:r>
      <w:r>
        <w:rPr>
          <w:rFonts w:hint="eastAsia"/>
        </w:rPr>
        <w:t>符合本招标文件规定的供应商。</w:t>
      </w:r>
    </w:p>
    <w:p w14:paraId="5265CB33">
      <w:pPr>
        <w:pStyle w:val="6"/>
        <w:keepNext w:val="0"/>
        <w:keepLines w:val="0"/>
        <w:spacing w:before="80" w:after="60" w:line="240" w:lineRule="auto"/>
        <w:ind w:left="420" w:hanging="420"/>
        <w:jc w:val="both"/>
        <w:rPr>
          <w:rFonts w:hint="eastAsia" w:ascii="宋体" w:hAnsi="宋体" w:cs="宋体"/>
          <w:sz w:val="24"/>
        </w:rPr>
      </w:pPr>
      <w:bookmarkStart w:id="165" w:name="_Toc140132758"/>
      <w:bookmarkStart w:id="166" w:name="_Toc163492825"/>
      <w:r>
        <w:rPr>
          <w:rFonts w:hint="eastAsia" w:ascii="宋体" w:hAnsi="宋体" w:cs="宋体"/>
          <w:sz w:val="24"/>
        </w:rPr>
        <w:t>3.资金来源</w:t>
      </w:r>
      <w:bookmarkEnd w:id="165"/>
      <w:bookmarkEnd w:id="166"/>
    </w:p>
    <w:p w14:paraId="263150DA">
      <w:pPr>
        <w:pStyle w:val="39"/>
        <w:jc w:val="both"/>
        <w:rPr>
          <w:rFonts w:hint="eastAsia"/>
        </w:rPr>
      </w:pPr>
      <w:r>
        <w:rPr>
          <w:rFonts w:hint="eastAsia"/>
        </w:rPr>
        <w:t>3.1资金来源：</w:t>
      </w:r>
      <w:r>
        <w:rPr>
          <w:rFonts w:hint="eastAsia"/>
          <w:lang w:val="en-US"/>
        </w:rPr>
        <w:t>为财政性资金即</w:t>
      </w:r>
      <w:r>
        <w:rPr>
          <w:rFonts w:hint="eastAsia"/>
        </w:rPr>
        <w:t>纳入预算管理的资金。以财政性资金作为还款来源的借贷资金，视同财政性资金。财政性资金与非财政性资金无法分割采购的，统一适用《中华人民共和国政府采购法》及其实施条例。</w:t>
      </w:r>
    </w:p>
    <w:p w14:paraId="4CF76F32">
      <w:pPr>
        <w:pStyle w:val="6"/>
        <w:keepNext w:val="0"/>
        <w:keepLines w:val="0"/>
        <w:spacing w:before="80" w:after="60" w:line="240" w:lineRule="auto"/>
        <w:ind w:left="420" w:hanging="420"/>
        <w:jc w:val="both"/>
        <w:rPr>
          <w:rFonts w:hint="eastAsia" w:ascii="宋体" w:hAnsi="宋体" w:cs="宋体"/>
          <w:sz w:val="24"/>
        </w:rPr>
      </w:pPr>
      <w:bookmarkStart w:id="167" w:name="_Toc163492826"/>
      <w:bookmarkStart w:id="168" w:name="_Toc140132760"/>
      <w:r>
        <w:rPr>
          <w:rFonts w:hint="eastAsia" w:ascii="宋体" w:hAnsi="宋体" w:cs="宋体"/>
          <w:sz w:val="24"/>
        </w:rPr>
        <w:t>4.投标人资格要求</w:t>
      </w:r>
      <w:bookmarkEnd w:id="167"/>
      <w:bookmarkEnd w:id="168"/>
    </w:p>
    <w:p w14:paraId="4B71AD40">
      <w:pPr>
        <w:pStyle w:val="39"/>
        <w:jc w:val="both"/>
        <w:rPr>
          <w:rFonts w:hint="eastAsia"/>
        </w:rPr>
      </w:pPr>
      <w:r>
        <w:rPr>
          <w:rFonts w:hint="eastAsia"/>
        </w:rPr>
        <w:t>4.1投标人资格要求：见“</w:t>
      </w:r>
      <w:r>
        <w:rPr>
          <w:rFonts w:hint="eastAsia"/>
          <w:lang w:val="en-US"/>
        </w:rPr>
        <w:t>第一章 招标公告</w:t>
      </w:r>
      <w:r>
        <w:rPr>
          <w:rFonts w:hint="eastAsia"/>
        </w:rPr>
        <w:t>”；</w:t>
      </w:r>
    </w:p>
    <w:p w14:paraId="63105327">
      <w:pPr>
        <w:pStyle w:val="39"/>
        <w:jc w:val="both"/>
        <w:rPr>
          <w:rFonts w:hint="eastAsia"/>
        </w:rPr>
      </w:pPr>
      <w:r>
        <w:rPr>
          <w:rFonts w:hint="eastAsia"/>
          <w:lang w:val="en-US"/>
        </w:rPr>
        <w:t>4</w:t>
      </w:r>
      <w:r>
        <w:rPr>
          <w:rFonts w:hint="eastAsia"/>
        </w:rPr>
        <w:t>.</w:t>
      </w:r>
      <w:r>
        <w:rPr>
          <w:rFonts w:hint="eastAsia"/>
          <w:lang w:val="en-US"/>
        </w:rPr>
        <w:t>2</w:t>
      </w:r>
      <w:r>
        <w:rPr>
          <w:rFonts w:hint="eastAsia"/>
        </w:rPr>
        <w:t>“</w:t>
      </w:r>
      <w:r>
        <w:rPr>
          <w:rFonts w:hint="eastAsia"/>
          <w:lang w:val="en-US"/>
        </w:rPr>
        <w:t>第一章 招标公告</w:t>
      </w:r>
      <w:r>
        <w:rPr>
          <w:rFonts w:hint="eastAsia"/>
        </w:rPr>
        <w:t>”规定接受联合体投标的，还应遵守以下规定：</w:t>
      </w:r>
    </w:p>
    <w:p w14:paraId="0452F662">
      <w:pPr>
        <w:pStyle w:val="39"/>
        <w:jc w:val="both"/>
        <w:rPr>
          <w:rFonts w:hint="eastAsia"/>
        </w:rPr>
      </w:pPr>
      <w:r>
        <w:rPr>
          <w:rFonts w:hint="eastAsia"/>
          <w:lang w:val="en-US"/>
        </w:rPr>
        <w:t>4</w:t>
      </w:r>
      <w:r>
        <w:rPr>
          <w:rFonts w:hint="eastAsia"/>
        </w:rPr>
        <w:t>.</w:t>
      </w:r>
      <w:r>
        <w:rPr>
          <w:rFonts w:hint="eastAsia"/>
          <w:lang w:val="en-US"/>
        </w:rPr>
        <w:t>2.</w:t>
      </w:r>
      <w:r>
        <w:rPr>
          <w:rFonts w:hint="eastAsia"/>
        </w:rPr>
        <w:t>1两个以上的自然人、法人或者其他组织可以组成一个联合体，以一个</w:t>
      </w:r>
      <w:r>
        <w:rPr>
          <w:rFonts w:hint="eastAsia"/>
          <w:lang w:val="en-US"/>
        </w:rPr>
        <w:t>投标人</w:t>
      </w:r>
      <w:r>
        <w:rPr>
          <w:rFonts w:hint="eastAsia"/>
        </w:rPr>
        <w:t>的身份共同参加政府采购。以联合体形式进行政府采购的，参加联合体的供应商均应当具备《中华人民共和国政府采购法》第二十二条规定的条件。</w:t>
      </w:r>
    </w:p>
    <w:p w14:paraId="7DC2C0B3">
      <w:pPr>
        <w:pStyle w:val="39"/>
        <w:jc w:val="both"/>
        <w:rPr>
          <w:rFonts w:hint="eastAsia"/>
        </w:rPr>
      </w:pPr>
      <w:r>
        <w:rPr>
          <w:rFonts w:hint="eastAsia"/>
          <w:lang w:val="en-US"/>
        </w:rPr>
        <w:t>4</w:t>
      </w:r>
      <w:r>
        <w:rPr>
          <w:rFonts w:hint="eastAsia"/>
        </w:rPr>
        <w:t>.</w:t>
      </w:r>
      <w:r>
        <w:rPr>
          <w:rFonts w:hint="eastAsia"/>
          <w:lang w:val="en-US"/>
        </w:rPr>
        <w:t>2.2</w:t>
      </w:r>
      <w:r>
        <w:rPr>
          <w:rFonts w:hint="eastAsia"/>
        </w:rPr>
        <w:t>联合体各方应按招标文件提供的格式签订联合</w:t>
      </w:r>
      <w:r>
        <w:rPr>
          <w:rFonts w:hint="eastAsia"/>
          <w:lang w:val="en-US"/>
        </w:rPr>
        <w:t>体</w:t>
      </w:r>
      <w:r>
        <w:rPr>
          <w:rFonts w:hint="eastAsia"/>
        </w:rPr>
        <w:t>协议</w:t>
      </w:r>
      <w:r>
        <w:rPr>
          <w:rFonts w:hint="eastAsia"/>
          <w:lang w:val="en-US"/>
        </w:rPr>
        <w:t>书</w:t>
      </w:r>
      <w:r>
        <w:rPr>
          <w:rFonts w:hint="eastAsia"/>
        </w:rPr>
        <w:t>，明确约定联合体各方承担的工作和相应的责任，并将联合</w:t>
      </w:r>
      <w:r>
        <w:rPr>
          <w:rFonts w:hint="eastAsia"/>
          <w:lang w:val="en-US"/>
        </w:rPr>
        <w:t>体</w:t>
      </w:r>
      <w:r>
        <w:rPr>
          <w:rFonts w:hint="eastAsia"/>
        </w:rPr>
        <w:t>协议</w:t>
      </w:r>
      <w:r>
        <w:rPr>
          <w:rFonts w:hint="eastAsia"/>
          <w:lang w:val="en-US"/>
        </w:rPr>
        <w:t>书</w:t>
      </w:r>
      <w:r>
        <w:rPr>
          <w:rFonts w:hint="eastAsia"/>
        </w:rPr>
        <w:t>作为投标文件的一部分提交，该协议书对联合</w:t>
      </w:r>
      <w:r>
        <w:rPr>
          <w:rFonts w:hint="eastAsia"/>
          <w:lang w:val="en-US"/>
        </w:rPr>
        <w:t>体所有成员</w:t>
      </w:r>
      <w:r>
        <w:rPr>
          <w:rFonts w:hint="eastAsia"/>
        </w:rPr>
        <w:t>均具有法律约束力。</w:t>
      </w:r>
    </w:p>
    <w:p w14:paraId="33678E96">
      <w:pPr>
        <w:pStyle w:val="39"/>
        <w:jc w:val="both"/>
        <w:rPr>
          <w:rFonts w:hint="eastAsia"/>
        </w:rPr>
      </w:pPr>
      <w:r>
        <w:rPr>
          <w:rFonts w:hint="eastAsia"/>
          <w:lang w:val="en-US"/>
        </w:rPr>
        <w:t>4.2.3</w:t>
      </w:r>
      <w:r>
        <w:rPr>
          <w:rFonts w:hint="eastAsia"/>
        </w:rPr>
        <w:t>联合体中有同类资质的供应商按照联合体分工承担相同工作的，应当按照资质等级较低的供应商确定资质等级。</w:t>
      </w:r>
    </w:p>
    <w:p w14:paraId="26D5D833">
      <w:pPr>
        <w:pStyle w:val="39"/>
        <w:jc w:val="both"/>
        <w:rPr>
          <w:rFonts w:hint="eastAsia"/>
        </w:rPr>
      </w:pPr>
      <w:r>
        <w:rPr>
          <w:rFonts w:hint="eastAsia"/>
          <w:lang w:val="en-US"/>
        </w:rPr>
        <w:t>4.2</w:t>
      </w:r>
      <w:r>
        <w:rPr>
          <w:rFonts w:hint="eastAsia"/>
        </w:rPr>
        <w:t>.</w:t>
      </w:r>
      <w:r>
        <w:rPr>
          <w:rFonts w:hint="eastAsia"/>
          <w:lang w:val="en-US"/>
        </w:rPr>
        <w:t>4</w:t>
      </w:r>
      <w:r>
        <w:rPr>
          <w:rFonts w:hint="eastAsia"/>
        </w:rPr>
        <w:t>以联合体形式参加政府采购活动的，联合体各方不得再单独参加或者与其他供应商另外组成联合体参加</w:t>
      </w:r>
      <w:r>
        <w:rPr>
          <w:rFonts w:hint="eastAsia"/>
          <w:lang w:val="en-US"/>
        </w:rPr>
        <w:t>同一合同项下的</w:t>
      </w:r>
      <w:r>
        <w:rPr>
          <w:rFonts w:hint="eastAsia"/>
        </w:rPr>
        <w:t>投标，否则相关投标将被认定为</w:t>
      </w:r>
      <w:r>
        <w:rPr>
          <w:rFonts w:hint="eastAsia"/>
          <w:b/>
          <w:bCs/>
        </w:rPr>
        <w:t>投标无效</w:t>
      </w:r>
      <w:r>
        <w:rPr>
          <w:rFonts w:hint="eastAsia"/>
        </w:rPr>
        <w:t>。</w:t>
      </w:r>
    </w:p>
    <w:p w14:paraId="74D3EFD8">
      <w:pPr>
        <w:pStyle w:val="39"/>
        <w:jc w:val="both"/>
        <w:rPr>
          <w:rFonts w:hint="eastAsia"/>
        </w:rPr>
      </w:pPr>
      <w:r>
        <w:rPr>
          <w:rFonts w:hint="eastAsia"/>
          <w:lang w:val="en-US"/>
        </w:rPr>
        <w:t>4.2</w:t>
      </w:r>
      <w:r>
        <w:rPr>
          <w:rFonts w:hint="eastAsia"/>
        </w:rPr>
        <w:t>.5大中型企业、其他自然人、法人或者非法人组织与小型、微型企业组成联合体共同参加投标</w:t>
      </w:r>
      <w:r>
        <w:rPr>
          <w:rFonts w:hint="eastAsia"/>
          <w:lang w:val="en-US"/>
        </w:rPr>
        <w:t>的</w:t>
      </w:r>
      <w:r>
        <w:rPr>
          <w:rFonts w:hint="eastAsia"/>
        </w:rPr>
        <w:t>，联合</w:t>
      </w:r>
      <w:r>
        <w:rPr>
          <w:rFonts w:hint="eastAsia"/>
          <w:lang w:val="en-US"/>
        </w:rPr>
        <w:t>体</w:t>
      </w:r>
      <w:r>
        <w:rPr>
          <w:rFonts w:hint="eastAsia"/>
        </w:rPr>
        <w:t>协议</w:t>
      </w:r>
      <w:r>
        <w:rPr>
          <w:rFonts w:hint="eastAsia"/>
          <w:lang w:val="en-US"/>
        </w:rPr>
        <w:t>书</w:t>
      </w:r>
      <w:r>
        <w:rPr>
          <w:rFonts w:hint="eastAsia"/>
        </w:rPr>
        <w:t>中应写明小型、微型企业的合同金额占到联合</w:t>
      </w:r>
      <w:r>
        <w:rPr>
          <w:rFonts w:hint="eastAsia"/>
          <w:lang w:val="en-US"/>
        </w:rPr>
        <w:t>体</w:t>
      </w:r>
      <w:r>
        <w:rPr>
          <w:rFonts w:hint="eastAsia"/>
        </w:rPr>
        <w:t>投标</w:t>
      </w:r>
      <w:r>
        <w:rPr>
          <w:rFonts w:hint="eastAsia"/>
          <w:lang w:val="en-US"/>
        </w:rPr>
        <w:t>合同</w:t>
      </w:r>
      <w:r>
        <w:rPr>
          <w:rFonts w:hint="eastAsia"/>
        </w:rPr>
        <w:t>总金额的比例。</w:t>
      </w:r>
    </w:p>
    <w:p w14:paraId="01A53113">
      <w:pPr>
        <w:pStyle w:val="39"/>
        <w:jc w:val="both"/>
        <w:rPr>
          <w:rFonts w:hint="eastAsia"/>
        </w:rPr>
      </w:pPr>
      <w:r>
        <w:rPr>
          <w:rFonts w:hint="eastAsia"/>
        </w:rPr>
        <w:t>4.2</w:t>
      </w:r>
      <w:r>
        <w:rPr>
          <w:rFonts w:hint="eastAsia"/>
          <w:lang w:val="en-US"/>
        </w:rPr>
        <w:t>.6</w:t>
      </w:r>
      <w:r>
        <w:rPr>
          <w:rFonts w:hint="eastAsia"/>
        </w:rPr>
        <w:t>联合体中标</w:t>
      </w:r>
      <w:r>
        <w:rPr>
          <w:rFonts w:hint="eastAsia"/>
          <w:lang w:val="en-US"/>
        </w:rPr>
        <w:t>的</w:t>
      </w:r>
      <w:r>
        <w:rPr>
          <w:rFonts w:hint="eastAsia"/>
        </w:rPr>
        <w:t>，</w:t>
      </w:r>
      <w:r>
        <w:rPr>
          <w:rFonts w:hint="eastAsia"/>
          <w:lang w:val="en-US"/>
        </w:rPr>
        <w:t>采购</w:t>
      </w:r>
      <w:r>
        <w:rPr>
          <w:rFonts w:hint="eastAsia"/>
        </w:rPr>
        <w:t>合同应由</w:t>
      </w:r>
      <w:r>
        <w:rPr>
          <w:rFonts w:hint="eastAsia"/>
          <w:lang w:val="en-US"/>
        </w:rPr>
        <w:t>联合体</w:t>
      </w:r>
      <w:r>
        <w:rPr>
          <w:rFonts w:hint="eastAsia"/>
        </w:rPr>
        <w:t>各成员的合法授权代表签字</w:t>
      </w:r>
      <w:r>
        <w:rPr>
          <w:rFonts w:hint="eastAsia"/>
          <w:lang w:val="en-US"/>
        </w:rPr>
        <w:t>及</w:t>
      </w:r>
      <w:r>
        <w:rPr>
          <w:rFonts w:hint="eastAsia"/>
        </w:rPr>
        <w:t>加盖</w:t>
      </w:r>
      <w:r>
        <w:rPr>
          <w:rFonts w:hint="eastAsia"/>
          <w:lang w:val="en-US"/>
        </w:rPr>
        <w:t>联合体</w:t>
      </w:r>
      <w:r>
        <w:rPr>
          <w:rFonts w:hint="eastAsia"/>
        </w:rPr>
        <w:t>各成员公章，</w:t>
      </w:r>
      <w:r>
        <w:rPr>
          <w:rFonts w:hint="eastAsia"/>
          <w:lang w:val="en-US"/>
        </w:rPr>
        <w:t>并</w:t>
      </w:r>
      <w:r>
        <w:rPr>
          <w:rFonts w:hint="eastAsi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39586644">
      <w:pPr>
        <w:pStyle w:val="39"/>
        <w:jc w:val="both"/>
        <w:rPr>
          <w:rFonts w:hint="eastAsia"/>
        </w:rPr>
      </w:pPr>
      <w:r>
        <w:rPr>
          <w:rFonts w:hint="eastAsia"/>
        </w:rPr>
        <w:t>4.2</w:t>
      </w:r>
      <w:r>
        <w:rPr>
          <w:rFonts w:hint="eastAsia"/>
          <w:lang w:val="en-US"/>
        </w:rPr>
        <w:t>.7</w:t>
      </w:r>
      <w:r>
        <w:rPr>
          <w:rFonts w:hint="eastAsia"/>
        </w:rPr>
        <w:t>联合体或其成员不得将其在合同项下的权利或义务全部或部分转让给第三人，有关分包事项须事先取得采购</w:t>
      </w:r>
      <w:r>
        <w:rPr>
          <w:rFonts w:hint="eastAsia"/>
          <w:lang w:val="en-US"/>
        </w:rPr>
        <w:t>人</w:t>
      </w:r>
      <w:r>
        <w:rPr>
          <w:rFonts w:hint="eastAsia"/>
        </w:rPr>
        <w:t>书面同意并且须遵守相关法律、法规、本次招标的全部相关规定。</w:t>
      </w:r>
    </w:p>
    <w:p w14:paraId="0F5819AC">
      <w:pPr>
        <w:pStyle w:val="39"/>
        <w:jc w:val="both"/>
        <w:rPr>
          <w:rFonts w:hint="eastAsia"/>
        </w:rPr>
      </w:pPr>
      <w:r>
        <w:rPr>
          <w:rFonts w:hint="eastAsia"/>
          <w:lang w:val="en-US"/>
        </w:rPr>
        <w:t>4.2</w:t>
      </w:r>
      <w:r>
        <w:rPr>
          <w:rFonts w:hint="eastAsia"/>
        </w:rPr>
        <w:t>.</w:t>
      </w:r>
      <w:r>
        <w:rPr>
          <w:rFonts w:hint="eastAsia"/>
          <w:lang w:val="en-US"/>
        </w:rPr>
        <w:t>8</w:t>
      </w:r>
      <w:r>
        <w:rPr>
          <w:rFonts w:hint="eastAsia"/>
        </w:rPr>
        <w:t>对联合体投标的其他资格要求见“</w:t>
      </w:r>
      <w:r>
        <w:rPr>
          <w:rFonts w:hint="eastAsia"/>
          <w:lang w:val="en-US"/>
        </w:rPr>
        <w:t>第一章 招标公告</w:t>
      </w:r>
      <w:r>
        <w:rPr>
          <w:rFonts w:hint="eastAsia"/>
        </w:rPr>
        <w:t>”</w:t>
      </w:r>
      <w:r>
        <w:rPr>
          <w:rFonts w:hint="eastAsia"/>
          <w:lang w:val="en-US"/>
        </w:rPr>
        <w:t>中的“二、申请人的</w:t>
      </w:r>
      <w:r>
        <w:rPr>
          <w:rFonts w:hint="eastAsia"/>
        </w:rPr>
        <w:t>资格</w:t>
      </w:r>
      <w:r>
        <w:rPr>
          <w:rFonts w:hint="eastAsia"/>
          <w:lang w:val="en-US"/>
        </w:rPr>
        <w:t>要求”</w:t>
      </w:r>
      <w:r>
        <w:rPr>
          <w:rFonts w:hint="eastAsia"/>
        </w:rPr>
        <w:t>。</w:t>
      </w:r>
    </w:p>
    <w:p w14:paraId="41DD87B1">
      <w:pPr>
        <w:pStyle w:val="6"/>
        <w:keepNext w:val="0"/>
        <w:keepLines w:val="0"/>
        <w:spacing w:before="80" w:after="60" w:line="240" w:lineRule="auto"/>
        <w:ind w:left="420" w:hanging="420"/>
        <w:jc w:val="both"/>
        <w:rPr>
          <w:rFonts w:hint="eastAsia" w:ascii="宋体" w:hAnsi="宋体" w:cs="宋体"/>
          <w:sz w:val="24"/>
        </w:rPr>
      </w:pPr>
      <w:bookmarkStart w:id="169" w:name="_Toc163492827"/>
      <w:r>
        <w:rPr>
          <w:rFonts w:hint="eastAsia" w:ascii="宋体" w:hAnsi="宋体" w:cs="宋体"/>
          <w:sz w:val="24"/>
        </w:rPr>
        <w:t>5.费用承担</w:t>
      </w:r>
      <w:bookmarkEnd w:id="169"/>
    </w:p>
    <w:p w14:paraId="6AAB7195">
      <w:pPr>
        <w:pStyle w:val="39"/>
        <w:jc w:val="both"/>
        <w:rPr>
          <w:rFonts w:hint="eastAsia"/>
        </w:rPr>
      </w:pPr>
      <w:r>
        <w:rPr>
          <w:rFonts w:hint="eastAsia"/>
        </w:rPr>
        <w:t>5.1</w:t>
      </w:r>
      <w:r>
        <w:rPr>
          <w:rFonts w:hint="eastAsia"/>
          <w:lang w:val="en-US"/>
        </w:rPr>
        <w:t>不论投标的结果如何，投标人应承担所有与准备和参加投标有关的费用。</w:t>
      </w:r>
    </w:p>
    <w:p w14:paraId="4E314AA1">
      <w:pPr>
        <w:pStyle w:val="6"/>
        <w:keepNext w:val="0"/>
        <w:keepLines w:val="0"/>
        <w:spacing w:before="80" w:after="60" w:line="240" w:lineRule="auto"/>
        <w:ind w:left="420" w:hanging="420"/>
        <w:jc w:val="both"/>
        <w:rPr>
          <w:rFonts w:hint="eastAsia" w:ascii="宋体" w:hAnsi="宋体" w:cs="宋体"/>
          <w:sz w:val="24"/>
        </w:rPr>
      </w:pPr>
      <w:bookmarkStart w:id="170" w:name="_Toc163492828"/>
      <w:bookmarkStart w:id="171" w:name="_Toc140132761"/>
      <w:r>
        <w:rPr>
          <w:rFonts w:hint="eastAsia" w:ascii="宋体" w:hAnsi="宋体" w:cs="宋体"/>
          <w:sz w:val="24"/>
        </w:rPr>
        <w:t>6.保密</w:t>
      </w:r>
      <w:bookmarkEnd w:id="170"/>
      <w:bookmarkEnd w:id="171"/>
    </w:p>
    <w:p w14:paraId="5408D2BC">
      <w:pPr>
        <w:pStyle w:val="39"/>
        <w:jc w:val="both"/>
        <w:rPr>
          <w:rFonts w:hint="eastAsia"/>
        </w:rPr>
      </w:pPr>
      <w:r>
        <w:rPr>
          <w:rFonts w:hint="eastAsia"/>
        </w:rPr>
        <w:t>6.1</w:t>
      </w:r>
      <w:r>
        <w:rPr>
          <w:rFonts w:hint="eastAsia"/>
          <w:lang w:val="en-US"/>
        </w:rPr>
        <w:t xml:space="preserve"> </w:t>
      </w:r>
      <w:r>
        <w:rPr>
          <w:rFonts w:hint="eastAsia"/>
        </w:rPr>
        <w:t>参与招标投标活动的各方应对招标文件和投标文件中的商业和技术等秘密保密，否则应承担相应的法律责任。</w:t>
      </w:r>
    </w:p>
    <w:p w14:paraId="718964BD">
      <w:pPr>
        <w:pStyle w:val="56"/>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EEA9CD3">
      <w:pPr>
        <w:pStyle w:val="56"/>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6.3 采购代理机构有权将投标人提供的所有资料向有关政府部门或评审投标文件的有关人员披露。</w:t>
      </w:r>
    </w:p>
    <w:p w14:paraId="498F0F5D">
      <w:pPr>
        <w:pStyle w:val="56"/>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6.4 各级人民政府财政部门对政府采购活动进行监督检查，有权查阅、复制有关文件、资料，相关单位和人员应当予以配合。</w:t>
      </w:r>
    </w:p>
    <w:p w14:paraId="104D2BEB">
      <w:pPr>
        <w:pStyle w:val="6"/>
        <w:keepNext w:val="0"/>
        <w:keepLines w:val="0"/>
        <w:spacing w:before="80" w:after="60" w:line="240" w:lineRule="auto"/>
        <w:ind w:left="420" w:hanging="420"/>
        <w:jc w:val="both"/>
        <w:rPr>
          <w:rFonts w:hint="eastAsia" w:ascii="宋体" w:hAnsi="宋体" w:cs="宋体"/>
          <w:sz w:val="24"/>
        </w:rPr>
      </w:pPr>
      <w:bookmarkStart w:id="172" w:name="_Toc163492829"/>
      <w:bookmarkStart w:id="173" w:name="_Toc140132762"/>
      <w:r>
        <w:rPr>
          <w:rFonts w:hint="eastAsia" w:ascii="宋体" w:hAnsi="宋体" w:cs="宋体"/>
          <w:sz w:val="24"/>
        </w:rPr>
        <w:t>7.语言文字</w:t>
      </w:r>
      <w:bookmarkEnd w:id="172"/>
      <w:bookmarkEnd w:id="173"/>
    </w:p>
    <w:p w14:paraId="7B9A94A2">
      <w:pPr>
        <w:pStyle w:val="39"/>
        <w:jc w:val="both"/>
        <w:rPr>
          <w:rFonts w:hint="eastAsia"/>
        </w:rPr>
      </w:pPr>
      <w:r>
        <w:rPr>
          <w:rFonts w:hint="eastAsia"/>
        </w:rPr>
        <w:t>7.1招标投标</w:t>
      </w:r>
      <w:r>
        <w:rPr>
          <w:rFonts w:hint="eastAsia"/>
          <w:lang w:val="en-US"/>
        </w:rPr>
        <w:t>过程</w:t>
      </w:r>
      <w:r>
        <w:rPr>
          <w:rFonts w:hint="eastAsia"/>
        </w:rPr>
        <w:t>文件使用的语言文字为中文。专用术语使用外文的，应附有中文注释。</w:t>
      </w:r>
      <w:r>
        <w:rPr>
          <w:rFonts w:hint="eastAsia"/>
          <w:lang w:val="en-US"/>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744508E1">
      <w:pPr>
        <w:pStyle w:val="6"/>
        <w:keepNext w:val="0"/>
        <w:keepLines w:val="0"/>
        <w:spacing w:before="80" w:after="60" w:line="240" w:lineRule="auto"/>
        <w:ind w:left="420" w:hanging="420"/>
        <w:jc w:val="both"/>
        <w:rPr>
          <w:rFonts w:hint="eastAsia" w:ascii="宋体" w:hAnsi="宋体" w:cs="宋体"/>
          <w:sz w:val="24"/>
        </w:rPr>
      </w:pPr>
      <w:bookmarkStart w:id="174" w:name="_Toc140132763"/>
      <w:bookmarkStart w:id="175" w:name="_Toc163492830"/>
      <w:r>
        <w:rPr>
          <w:rFonts w:hint="eastAsia" w:ascii="宋体" w:hAnsi="宋体" w:cs="宋体"/>
          <w:sz w:val="24"/>
        </w:rPr>
        <w:t>8.计量单位</w:t>
      </w:r>
      <w:bookmarkEnd w:id="174"/>
      <w:bookmarkEnd w:id="175"/>
    </w:p>
    <w:p w14:paraId="17728DA9">
      <w:pPr>
        <w:pStyle w:val="39"/>
        <w:jc w:val="both"/>
        <w:rPr>
          <w:rFonts w:hint="eastAsia"/>
        </w:rPr>
      </w:pPr>
      <w:r>
        <w:rPr>
          <w:rFonts w:hint="eastAsia"/>
        </w:rPr>
        <w:t>8.1所有计量均采用中华人民共和国法定计量单位。</w:t>
      </w:r>
    </w:p>
    <w:p w14:paraId="20B151DB">
      <w:pPr>
        <w:pStyle w:val="6"/>
        <w:keepNext w:val="0"/>
        <w:keepLines w:val="0"/>
        <w:spacing w:before="80" w:after="60" w:line="240" w:lineRule="auto"/>
        <w:ind w:left="420" w:hanging="420"/>
        <w:jc w:val="both"/>
        <w:rPr>
          <w:rFonts w:hint="eastAsia" w:ascii="宋体" w:hAnsi="宋体" w:cs="宋体"/>
          <w:sz w:val="24"/>
        </w:rPr>
      </w:pPr>
      <w:bookmarkStart w:id="176" w:name="_Toc140132764"/>
      <w:bookmarkStart w:id="177" w:name="_Toc163492831"/>
      <w:r>
        <w:rPr>
          <w:rFonts w:hint="eastAsia" w:ascii="宋体" w:hAnsi="宋体" w:cs="宋体"/>
          <w:sz w:val="24"/>
        </w:rPr>
        <w:t>9.现场考察和答疑会</w:t>
      </w:r>
      <w:bookmarkEnd w:id="176"/>
      <w:bookmarkEnd w:id="177"/>
    </w:p>
    <w:p w14:paraId="4D9E00A5">
      <w:pPr>
        <w:pStyle w:val="39"/>
        <w:jc w:val="both"/>
        <w:rPr>
          <w:rFonts w:hint="eastAsia"/>
        </w:rPr>
      </w:pPr>
      <w:bookmarkStart w:id="178" w:name="_Hlk143529198"/>
      <w:r>
        <w:rPr>
          <w:rFonts w:hint="eastAsia"/>
        </w:rPr>
        <w:t xml:space="preserve">9.1 “投标人须知前附表”规定组织现场考察的，采购代理机构按“投标人须知前附表”规定的时间、地点组织投标人项目现场考察。 </w:t>
      </w:r>
    </w:p>
    <w:p w14:paraId="418B9BB9">
      <w:pPr>
        <w:pStyle w:val="39"/>
        <w:jc w:val="both"/>
        <w:rPr>
          <w:rFonts w:hint="eastAsia"/>
        </w:rPr>
      </w:pPr>
      <w:r>
        <w:rPr>
          <w:rFonts w:hint="eastAsia"/>
        </w:rPr>
        <w:t>9.2 投标人现场考察发生的费用自理。</w:t>
      </w:r>
    </w:p>
    <w:p w14:paraId="23E1E39F">
      <w:pPr>
        <w:pStyle w:val="39"/>
        <w:jc w:val="both"/>
        <w:rPr>
          <w:rFonts w:hint="eastAsia"/>
        </w:rPr>
      </w:pPr>
      <w:r>
        <w:rPr>
          <w:rFonts w:hint="eastAsia"/>
        </w:rPr>
        <w:t>9.3 在现场考察中，因投标人自身原因发生的人员伤亡和财产损失，由投标人自行负责。</w:t>
      </w:r>
    </w:p>
    <w:p w14:paraId="2BE61551">
      <w:pPr>
        <w:pStyle w:val="39"/>
        <w:jc w:val="both"/>
        <w:rPr>
          <w:rFonts w:hint="eastAsia"/>
        </w:rPr>
      </w:pPr>
      <w:r>
        <w:rPr>
          <w:rFonts w:hint="eastAsia"/>
        </w:rPr>
        <w:t>9.4 采购人在现场考察中介绍的项目场地和相关的周边环境情况，仅供投标人在编制投标文件时参考，采购人和采购代理机构不对投标人据此作出的判断和决策负责。</w:t>
      </w:r>
    </w:p>
    <w:p w14:paraId="34CC9400">
      <w:pPr>
        <w:pStyle w:val="39"/>
        <w:jc w:val="both"/>
        <w:rPr>
          <w:rFonts w:hint="eastAsia"/>
        </w:rPr>
      </w:pPr>
      <w:r>
        <w:rPr>
          <w:rFonts w:hint="eastAsia"/>
        </w:rPr>
        <w:t>9.5 “投标人须知前附表”规定召开答疑会的，采购代理机构按“投标人须知前附表”规定的时间和地点召开答疑会，澄清投标人提出的问题。</w:t>
      </w:r>
    </w:p>
    <w:p w14:paraId="27569A18">
      <w:pPr>
        <w:pStyle w:val="39"/>
        <w:jc w:val="both"/>
        <w:rPr>
          <w:rFonts w:hint="eastAsia"/>
          <w:lang w:val="en-US"/>
        </w:rPr>
      </w:pPr>
      <w:r>
        <w:rPr>
          <w:rFonts w:hint="eastAsia"/>
          <w:lang w:val="en-US"/>
        </w:rPr>
        <w:t>9.6 由于未参加现场考察或未参加标前答疑会而导致对项目实际情况不了解，影响投标文件编制、投标报价准确性、综合因素响应不全面等问题的，由投标人自行承担不利评审后果。</w:t>
      </w:r>
    </w:p>
    <w:bookmarkEnd w:id="178"/>
    <w:p w14:paraId="4062593E">
      <w:pPr>
        <w:pStyle w:val="6"/>
        <w:keepNext w:val="0"/>
        <w:keepLines w:val="0"/>
        <w:spacing w:before="80" w:after="60" w:line="240" w:lineRule="auto"/>
        <w:ind w:left="420" w:hanging="420"/>
        <w:jc w:val="both"/>
        <w:rPr>
          <w:rFonts w:hint="eastAsia" w:ascii="宋体" w:hAnsi="宋体" w:cs="宋体"/>
          <w:sz w:val="24"/>
        </w:rPr>
      </w:pPr>
      <w:bookmarkStart w:id="179" w:name="_Toc155185858"/>
      <w:bookmarkStart w:id="180" w:name="_Toc163492833"/>
      <w:bookmarkStart w:id="181" w:name="_Toc155185871"/>
      <w:r>
        <w:rPr>
          <w:rFonts w:hint="eastAsia" w:ascii="宋体" w:hAnsi="宋体" w:cs="宋体"/>
          <w:sz w:val="24"/>
        </w:rPr>
        <w:t>10.电子投标说明</w:t>
      </w:r>
      <w:bookmarkEnd w:id="179"/>
      <w:bookmarkEnd w:id="180"/>
      <w:r>
        <w:rPr>
          <w:rFonts w:hint="eastAsia" w:ascii="宋体" w:hAnsi="宋体" w:cs="宋体"/>
          <w:sz w:val="24"/>
        </w:rPr>
        <w:t xml:space="preserve">   </w:t>
      </w:r>
    </w:p>
    <w:p w14:paraId="18068727">
      <w:pPr>
        <w:pStyle w:val="39"/>
        <w:jc w:val="both"/>
        <w:rPr>
          <w:rFonts w:hint="eastAsia"/>
          <w:lang w:val="en-US"/>
        </w:rPr>
      </w:pPr>
      <w:r>
        <w:rPr>
          <w:rFonts w:hint="eastAsia"/>
          <w:lang w:val="en-US"/>
        </w:rPr>
        <w:t xml:space="preserve">10.1 </w:t>
      </w:r>
      <w:r>
        <w:rPr>
          <w:rFonts w:hint="eastAsia"/>
        </w:rPr>
        <w:t>本次采购采用电子交易方式，电子交易平台为</w:t>
      </w:r>
      <w:r>
        <w:rPr>
          <w:rFonts w:hint="eastAsia"/>
          <w:lang w:val="en-US"/>
        </w:rPr>
        <w:t xml:space="preserve"> </w:t>
      </w:r>
      <w:r>
        <w:rPr>
          <w:rFonts w:hint="eastAsia"/>
        </w:rPr>
        <w:t>政府采购</w:t>
      </w:r>
      <w:r>
        <w:rPr>
          <w:rFonts w:hint="eastAsia"/>
          <w:lang w:val="en-US"/>
        </w:rPr>
        <w:t>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。投标人参与本项目电子交易活动前，应</w:t>
      </w:r>
      <w:r>
        <w:rPr>
          <w:rFonts w:hint="eastAsia"/>
          <w:lang w:val="en-US"/>
        </w:rPr>
        <w:t>在</w:t>
      </w:r>
      <w:r>
        <w:rPr>
          <w:rFonts w:hint="eastAsia"/>
        </w:rPr>
        <w:t>政</w:t>
      </w:r>
      <w:r>
        <w:rPr>
          <w:rFonts w:hint="eastAsia"/>
          <w:lang w:val="en-US"/>
        </w:rPr>
        <w:t>采云</w:t>
      </w:r>
      <w:r>
        <w:rPr>
          <w:rFonts w:hint="eastAsia"/>
        </w:rPr>
        <w:t>平台</w:t>
      </w:r>
      <w:r>
        <w:rPr>
          <w:rFonts w:hint="eastAsia"/>
          <w:lang w:val="en-US"/>
        </w:rPr>
        <w:t>上</w:t>
      </w:r>
      <w:r>
        <w:rPr>
          <w:rFonts w:hint="eastAsia"/>
        </w:rPr>
        <w:t>注册</w:t>
      </w:r>
      <w:r>
        <w:rPr>
          <w:rFonts w:hint="eastAsia"/>
          <w:lang w:val="en-US"/>
        </w:rPr>
        <w:t>供应商账号</w:t>
      </w:r>
      <w:r>
        <w:rPr>
          <w:rFonts w:hint="eastAsia"/>
        </w:rPr>
        <w:t>。编制电子</w:t>
      </w:r>
      <w:r>
        <w:rPr>
          <w:rFonts w:hint="eastAsia"/>
          <w:lang w:val="en-US"/>
        </w:rPr>
        <w:t>投标</w:t>
      </w:r>
      <w:r>
        <w:rPr>
          <w:rFonts w:hint="eastAsia"/>
        </w:rPr>
        <w:t>文件前还需</w:t>
      </w:r>
      <w:r>
        <w:rPr>
          <w:rFonts w:hint="eastAsia"/>
          <w:lang w:val="en-US"/>
        </w:rPr>
        <w:t>申领CA证书并绑定账号。投标人应充分考虑完成平台注册、申领CA证书等所需的时间。</w:t>
      </w:r>
      <w:r>
        <w:rPr>
          <w:rFonts w:hint="eastAsia"/>
        </w:rPr>
        <w:t>潜在投标人领取文件须提前完成注册、CA证书和电子签章申领和绑定、下载“投标客户端”。因未办理CA数字证书、CA证书故障、操作不当等原因造成无法投标或投标失败等后果由投标人自行承担。</w:t>
      </w:r>
      <w:r>
        <w:rPr>
          <w:rFonts w:hint="eastAsia"/>
          <w:lang w:val="en-US"/>
        </w:rPr>
        <w:t>投标人</w:t>
      </w:r>
      <w:r>
        <w:rPr>
          <w:rFonts w:hint="eastAsia"/>
        </w:rPr>
        <w:t>登录 政府采购网“供应商注册”—“政府采购供应商入驻登记”—“立即登记”进行自助注册绑定。</w:t>
      </w:r>
    </w:p>
    <w:p w14:paraId="4D7B9EA9">
      <w:pPr>
        <w:pStyle w:val="39"/>
        <w:jc w:val="both"/>
        <w:rPr>
          <w:rFonts w:hint="eastAsia"/>
        </w:rPr>
      </w:pPr>
      <w:r>
        <w:rPr>
          <w:rFonts w:hint="eastAsia"/>
          <w:lang w:val="en-US"/>
        </w:rPr>
        <w:t>10.</w:t>
      </w:r>
      <w:r>
        <w:rPr>
          <w:rFonts w:hint="eastAsia"/>
        </w:rPr>
        <w:t>2</w:t>
      </w:r>
      <w:r>
        <w:rPr>
          <w:rFonts w:hint="eastAsia"/>
          <w:lang w:val="en-US"/>
        </w:rPr>
        <w:t xml:space="preserve"> </w:t>
      </w:r>
      <w:r>
        <w:rPr>
          <w:rFonts w:hint="eastAsia"/>
        </w:rPr>
        <w:t>投标人将</w:t>
      </w:r>
      <w:r>
        <w:rPr>
          <w:rFonts w:hint="eastAsia"/>
          <w:lang w:val="en-US"/>
        </w:rPr>
        <w:t xml:space="preserve"> </w:t>
      </w:r>
      <w:r>
        <w:rPr>
          <w:rFonts w:hint="eastAsia"/>
        </w:rPr>
        <w:t>政府采购</w:t>
      </w:r>
      <w:r>
        <w:rPr>
          <w:rFonts w:hint="eastAsia"/>
          <w:lang w:val="en-US"/>
        </w:rPr>
        <w:t>电子交易云</w:t>
      </w:r>
      <w:r>
        <w:rPr>
          <w:rFonts w:hint="eastAsia"/>
        </w:rPr>
        <w:t>平台电子交易客户端下载、安装完成后，可通过账号密码或CA登录客户端进行投标文件制作。在使用政采云“投标客户端”时，建议使用WIN7及以上操作系统。</w:t>
      </w:r>
      <w:r>
        <w:rPr>
          <w:rFonts w:hint="eastAsia"/>
          <w:lang w:val="en-US"/>
        </w:rPr>
        <w:t>投标人</w:t>
      </w:r>
      <w:r>
        <w:rPr>
          <w:rFonts w:hint="eastAsia"/>
        </w:rPr>
        <w:t>登录 政府采购网“下载专区”—“电子招投标客户端下载”下载相关客户端，如有问题可拨打政采云客户服务热线95763进行咨询。</w:t>
      </w:r>
    </w:p>
    <w:p w14:paraId="1A829BC7">
      <w:pPr>
        <w:pStyle w:val="39"/>
        <w:jc w:val="both"/>
        <w:rPr>
          <w:rFonts w:hint="eastAsia"/>
        </w:rPr>
      </w:pPr>
      <w:r>
        <w:rPr>
          <w:rFonts w:hint="eastAsia"/>
          <w:lang w:val="en-US"/>
        </w:rPr>
        <w:t>10.</w:t>
      </w:r>
      <w:r>
        <w:rPr>
          <w:rFonts w:hint="eastAsia"/>
        </w:rPr>
        <w:t>3</w:t>
      </w:r>
      <w:r>
        <w:rPr>
          <w:rFonts w:hint="eastAsia"/>
          <w:lang w:val="en-US"/>
        </w:rPr>
        <w:t xml:space="preserve"> </w:t>
      </w:r>
      <w:r>
        <w:rPr>
          <w:rFonts w:hint="eastAsia"/>
        </w:rPr>
        <w:t>加密的电子投标文件应在投标文件递交截止时间前通过政采云平台上传完成。逾期上传或者未上传指定地点的投标文件，不予受理。</w:t>
      </w:r>
    </w:p>
    <w:p w14:paraId="1F9EE7BA">
      <w:pPr>
        <w:pStyle w:val="39"/>
        <w:jc w:val="both"/>
        <w:rPr>
          <w:rFonts w:hint="eastAsia"/>
        </w:rPr>
      </w:pPr>
      <w:r>
        <w:rPr>
          <w:rFonts w:hint="eastAsia"/>
          <w:lang w:val="en-US"/>
        </w:rPr>
        <w:t>10.</w:t>
      </w:r>
      <w:r>
        <w:rPr>
          <w:rFonts w:hint="eastAsia"/>
        </w:rPr>
        <w:t>4</w:t>
      </w:r>
      <w:r>
        <w:rPr>
          <w:rFonts w:hint="eastAsia"/>
          <w:lang w:val="en-US"/>
        </w:rPr>
        <w:t xml:space="preserve"> </w:t>
      </w:r>
      <w:r>
        <w:rPr>
          <w:rFonts w:hint="eastAsia"/>
        </w:rPr>
        <w:t>投标人在开标前须提前配置好电脑</w:t>
      </w:r>
      <w:r>
        <w:rPr>
          <w:rFonts w:hint="eastAsia"/>
          <w:lang w:val="en-US"/>
        </w:rPr>
        <w:t>及</w:t>
      </w:r>
      <w:r>
        <w:rPr>
          <w:rFonts w:hint="eastAsia"/>
        </w:rPr>
        <w:t>浏览器，开标时请使用制作加密电子投标文件的CA锁进行解密及报价确认。本项目投标文件解密时间</w:t>
      </w:r>
      <w:r>
        <w:rPr>
          <w:rFonts w:hint="eastAsia"/>
          <w:lang w:val="en-US"/>
        </w:rPr>
        <w:t>详见“投标人须知前附表”</w:t>
      </w:r>
      <w:r>
        <w:rPr>
          <w:rFonts w:hint="eastAsia"/>
        </w:rPr>
        <w:t>，如因自身原因导致无法正常解密，后果由投标人自行承担。</w:t>
      </w:r>
    </w:p>
    <w:p w14:paraId="2E2C9A85">
      <w:pPr>
        <w:pStyle w:val="39"/>
        <w:jc w:val="both"/>
        <w:rPr>
          <w:rFonts w:hint="eastAsia"/>
        </w:rPr>
      </w:pPr>
      <w:r>
        <w:rPr>
          <w:rFonts w:hint="eastAsia"/>
          <w:lang w:val="en-US"/>
        </w:rPr>
        <w:t>10.</w:t>
      </w:r>
      <w:r>
        <w:rPr>
          <w:rFonts w:hint="eastAsia"/>
        </w:rPr>
        <w:t>5</w:t>
      </w:r>
      <w:r>
        <w:rPr>
          <w:rFonts w:hint="eastAsia"/>
          <w:lang w:val="en-US"/>
        </w:rPr>
        <w:t xml:space="preserve"> </w:t>
      </w:r>
      <w:r>
        <w:rPr>
          <w:rFonts w:hint="eastAsia"/>
        </w:rPr>
        <w:t>如遇“</w:t>
      </w:r>
      <w:r>
        <w:rPr>
          <w:rFonts w:hint="eastAsia"/>
          <w:lang w:val="en-US"/>
        </w:rPr>
        <w:t xml:space="preserve"> </w:t>
      </w:r>
      <w:r>
        <w:rPr>
          <w:rFonts w:hint="eastAsia"/>
        </w:rPr>
        <w:t>政府采购</w:t>
      </w:r>
      <w:r>
        <w:rPr>
          <w:rFonts w:hint="eastAsia"/>
          <w:lang w:val="en-US"/>
        </w:rPr>
        <w:t>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”电子交易规则调整，以最新要求为准。</w:t>
      </w:r>
    </w:p>
    <w:p w14:paraId="0030B2E4">
      <w:pPr>
        <w:pStyle w:val="39"/>
        <w:jc w:val="both"/>
        <w:rPr>
          <w:rFonts w:hint="eastAsia"/>
          <w:lang w:val="en-US"/>
        </w:rPr>
      </w:pPr>
      <w:r>
        <w:rPr>
          <w:rFonts w:hint="eastAsia"/>
          <w:lang w:val="en-US"/>
        </w:rPr>
        <w:t>10.6 电子交易系统咨询：投标人应当充分考虑到电子投标可能会发生的各种问题和风险，特别是投标文件签署、提交等问题，可按照“第一章 招标公告”的联系方式咨询相关人员。</w:t>
      </w:r>
    </w:p>
    <w:p w14:paraId="674B8EBF">
      <w:pPr>
        <w:pStyle w:val="39"/>
        <w:jc w:val="both"/>
        <w:rPr>
          <w:rFonts w:hint="eastAsia"/>
          <w:lang w:val="en-US"/>
        </w:rPr>
      </w:pPr>
      <w:r>
        <w:rPr>
          <w:rFonts w:hint="eastAsia"/>
          <w:lang w:val="en-US"/>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58B01EE3">
      <w:pPr>
        <w:pStyle w:val="5"/>
        <w:keepNext w:val="0"/>
        <w:keepLines w:val="0"/>
        <w:spacing w:before="180" w:after="180" w:line="240" w:lineRule="auto"/>
        <w:ind w:left="420" w:hanging="420"/>
        <w:jc w:val="both"/>
        <w:rPr>
          <w:rFonts w:hint="eastAsia" w:cs="宋体"/>
          <w:sz w:val="24"/>
        </w:rPr>
      </w:pPr>
      <w:bookmarkStart w:id="182" w:name="_Toc163492834"/>
      <w:r>
        <w:rPr>
          <w:rFonts w:hint="eastAsia" w:cs="宋体"/>
          <w:sz w:val="24"/>
        </w:rPr>
        <w:t>（二）招标文件</w:t>
      </w:r>
      <w:bookmarkEnd w:id="181"/>
      <w:bookmarkEnd w:id="182"/>
    </w:p>
    <w:p w14:paraId="779DC919">
      <w:pPr>
        <w:pStyle w:val="6"/>
        <w:keepNext w:val="0"/>
        <w:keepLines w:val="0"/>
        <w:spacing w:before="80" w:after="60" w:line="240" w:lineRule="auto"/>
        <w:ind w:left="420" w:hanging="420"/>
        <w:jc w:val="both"/>
        <w:rPr>
          <w:rFonts w:hint="eastAsia" w:ascii="宋体" w:hAnsi="宋体" w:cs="宋体"/>
          <w:sz w:val="24"/>
        </w:rPr>
      </w:pPr>
      <w:bookmarkStart w:id="183" w:name="_Toc140132768"/>
      <w:bookmarkStart w:id="184" w:name="_Toc163492835"/>
      <w:r>
        <w:rPr>
          <w:rFonts w:hint="eastAsia" w:ascii="宋体" w:hAnsi="宋体" w:cs="宋体"/>
          <w:sz w:val="24"/>
        </w:rPr>
        <w:t>11.招标文件的组成</w:t>
      </w:r>
      <w:bookmarkEnd w:id="183"/>
      <w:bookmarkEnd w:id="184"/>
    </w:p>
    <w:p w14:paraId="7B38ADBA">
      <w:pPr>
        <w:ind w:firstLine="480" w:firstLineChars="200"/>
        <w:jc w:val="both"/>
        <w:rPr>
          <w:rFonts w:hint="eastAsia" w:cs="仿宋_GB2312"/>
          <w:szCs w:val="24"/>
        </w:rPr>
      </w:pPr>
      <w:r>
        <w:rPr>
          <w:rFonts w:cs="仿宋_GB2312"/>
          <w:szCs w:val="24"/>
        </w:rPr>
        <w:t>1</w:t>
      </w:r>
      <w:r>
        <w:rPr>
          <w:rFonts w:hint="eastAsia" w:cs="仿宋_GB2312"/>
          <w:szCs w:val="24"/>
        </w:rPr>
        <w:t>1.1本招标文件包括下列文件及根据本章第9款、第</w:t>
      </w:r>
      <w:r>
        <w:rPr>
          <w:rFonts w:cs="仿宋_GB2312"/>
          <w:szCs w:val="24"/>
        </w:rPr>
        <w:t>1</w:t>
      </w:r>
      <w:r>
        <w:rPr>
          <w:rFonts w:hint="eastAsia" w:cs="仿宋_GB2312"/>
          <w:szCs w:val="24"/>
        </w:rPr>
        <w:t>2款对招标文件所作的澄清或者修改。</w:t>
      </w:r>
    </w:p>
    <w:p w14:paraId="486DBD45">
      <w:pPr>
        <w:ind w:firstLine="480" w:firstLineChars="200"/>
        <w:jc w:val="both"/>
        <w:rPr>
          <w:rFonts w:hint="eastAsia" w:cs="仿宋_GB2312"/>
          <w:szCs w:val="24"/>
        </w:rPr>
      </w:pPr>
      <w:r>
        <w:rPr>
          <w:rFonts w:hint="eastAsia" w:cs="仿宋_GB2312"/>
          <w:szCs w:val="24"/>
        </w:rPr>
        <w:t xml:space="preserve">第一章 </w:t>
      </w:r>
      <w:r>
        <w:rPr>
          <w:rFonts w:hint="eastAsia"/>
        </w:rPr>
        <w:t>招标公告</w:t>
      </w:r>
    </w:p>
    <w:p w14:paraId="3502CDEB">
      <w:pPr>
        <w:ind w:firstLine="480" w:firstLineChars="200"/>
        <w:jc w:val="both"/>
        <w:rPr>
          <w:rFonts w:hint="eastAsia" w:cs="仿宋_GB2312"/>
          <w:szCs w:val="24"/>
        </w:rPr>
      </w:pPr>
      <w:r>
        <w:rPr>
          <w:rFonts w:hint="eastAsia" w:cs="仿宋_GB2312"/>
          <w:szCs w:val="24"/>
        </w:rPr>
        <w:t>第二章 投标人须知</w:t>
      </w:r>
    </w:p>
    <w:p w14:paraId="47A27FA5">
      <w:pPr>
        <w:ind w:firstLine="480" w:firstLineChars="200"/>
        <w:jc w:val="both"/>
        <w:rPr>
          <w:rFonts w:hint="eastAsia" w:cs="仿宋_GB2312"/>
          <w:szCs w:val="24"/>
        </w:rPr>
      </w:pPr>
      <w:r>
        <w:rPr>
          <w:rFonts w:hint="eastAsia" w:cs="仿宋_GB2312"/>
          <w:szCs w:val="24"/>
        </w:rPr>
        <w:t>第三章 采购需求</w:t>
      </w:r>
    </w:p>
    <w:p w14:paraId="4007BD86">
      <w:pPr>
        <w:ind w:firstLine="480" w:firstLineChars="200"/>
        <w:jc w:val="both"/>
        <w:rPr>
          <w:rFonts w:hint="eastAsia" w:cs="仿宋_GB2312"/>
          <w:szCs w:val="24"/>
        </w:rPr>
      </w:pPr>
      <w:r>
        <w:rPr>
          <w:rFonts w:hint="eastAsia" w:cs="仿宋_GB2312"/>
          <w:szCs w:val="24"/>
        </w:rPr>
        <w:t>第四章 资格审查</w:t>
      </w:r>
    </w:p>
    <w:p w14:paraId="03FE9CB1">
      <w:pPr>
        <w:ind w:firstLine="480" w:firstLineChars="200"/>
        <w:jc w:val="both"/>
        <w:rPr>
          <w:rFonts w:hint="eastAsia" w:cs="仿宋_GB2312"/>
          <w:szCs w:val="24"/>
        </w:rPr>
      </w:pPr>
      <w:r>
        <w:rPr>
          <w:rFonts w:hint="eastAsia" w:cs="仿宋_GB2312"/>
          <w:szCs w:val="24"/>
        </w:rPr>
        <w:t>第五章 评标方法及标准</w:t>
      </w:r>
    </w:p>
    <w:p w14:paraId="59CDF210">
      <w:pPr>
        <w:ind w:firstLine="480" w:firstLineChars="200"/>
        <w:jc w:val="both"/>
        <w:rPr>
          <w:rFonts w:hint="eastAsia" w:cs="仿宋_GB2312"/>
          <w:szCs w:val="24"/>
        </w:rPr>
      </w:pPr>
      <w:r>
        <w:rPr>
          <w:rFonts w:hint="eastAsia" w:cs="仿宋_GB2312"/>
          <w:szCs w:val="24"/>
        </w:rPr>
        <w:t>第六章 合同草案</w:t>
      </w:r>
    </w:p>
    <w:p w14:paraId="4CCC3FC1">
      <w:pPr>
        <w:ind w:firstLine="480" w:firstLineChars="200"/>
        <w:jc w:val="both"/>
        <w:rPr>
          <w:rFonts w:hint="eastAsia" w:cs="仿宋_GB2312"/>
          <w:szCs w:val="24"/>
        </w:rPr>
      </w:pPr>
      <w:r>
        <w:rPr>
          <w:rFonts w:hint="eastAsia" w:cs="仿宋_GB2312"/>
          <w:szCs w:val="24"/>
        </w:rPr>
        <w:t>第七章 投标文件的格式</w:t>
      </w:r>
    </w:p>
    <w:p w14:paraId="52B6B730">
      <w:pPr>
        <w:pStyle w:val="6"/>
        <w:keepNext w:val="0"/>
        <w:keepLines w:val="0"/>
        <w:spacing w:before="80" w:after="60" w:line="240" w:lineRule="auto"/>
        <w:ind w:left="420" w:hanging="420"/>
        <w:jc w:val="both"/>
        <w:rPr>
          <w:rFonts w:hint="eastAsia" w:ascii="宋体" w:hAnsi="宋体" w:cs="宋体"/>
          <w:sz w:val="24"/>
        </w:rPr>
      </w:pPr>
      <w:bookmarkStart w:id="185" w:name="_Toc140132769"/>
      <w:bookmarkStart w:id="186" w:name="_Toc163492836"/>
      <w:r>
        <w:rPr>
          <w:rFonts w:hint="eastAsia" w:ascii="宋体" w:hAnsi="宋体" w:cs="宋体"/>
          <w:sz w:val="24"/>
        </w:rPr>
        <w:t>12.招标文件的询问、澄清或者修改</w:t>
      </w:r>
      <w:bookmarkEnd w:id="185"/>
      <w:bookmarkEnd w:id="186"/>
    </w:p>
    <w:p w14:paraId="469E91BE">
      <w:pPr>
        <w:ind w:firstLine="480" w:firstLineChars="200"/>
        <w:jc w:val="both"/>
        <w:rPr>
          <w:rFonts w:hint="eastAsia" w:cs="仿宋_GB2312"/>
          <w:szCs w:val="24"/>
        </w:rPr>
      </w:pPr>
      <w:r>
        <w:rPr>
          <w:rFonts w:hint="eastAsia" w:cs="仿宋_GB2312"/>
          <w:szCs w:val="24"/>
        </w:rPr>
        <w:t>12</w:t>
      </w:r>
      <w:r>
        <w:rPr>
          <w:rFonts w:cs="仿宋_GB2312"/>
          <w:szCs w:val="24"/>
        </w:rPr>
        <w:t>.</w:t>
      </w:r>
      <w:r>
        <w:rPr>
          <w:rFonts w:hint="eastAsia" w:cs="仿宋_GB2312"/>
          <w:szCs w:val="24"/>
        </w:rPr>
        <w:t>1</w:t>
      </w:r>
      <w:r>
        <w:rPr>
          <w:rFonts w:cs="仿宋_GB2312"/>
          <w:szCs w:val="24"/>
        </w:rPr>
        <w:t>投标人如对招标文件内容有疑问，须在</w:t>
      </w:r>
      <w:r>
        <w:rPr>
          <w:rFonts w:hint="eastAsia" w:cs="仿宋_GB2312"/>
          <w:szCs w:val="24"/>
        </w:rPr>
        <w:t>“</w:t>
      </w:r>
      <w:r>
        <w:rPr>
          <w:rFonts w:cs="仿宋_GB2312"/>
          <w:szCs w:val="24"/>
        </w:rPr>
        <w:t>投标人须知前附表</w:t>
      </w:r>
      <w:r>
        <w:rPr>
          <w:rFonts w:hint="eastAsia" w:cs="仿宋_GB2312"/>
          <w:szCs w:val="24"/>
        </w:rPr>
        <w:t>”</w:t>
      </w:r>
      <w:r>
        <w:rPr>
          <w:rFonts w:cs="仿宋_GB2312"/>
          <w:szCs w:val="24"/>
        </w:rPr>
        <w:t>规定的</w:t>
      </w:r>
      <w:r>
        <w:rPr>
          <w:rFonts w:hint="eastAsia" w:cs="仿宋_GB2312"/>
          <w:szCs w:val="24"/>
        </w:rPr>
        <w:t>询问方式和</w:t>
      </w:r>
      <w:r>
        <w:rPr>
          <w:rFonts w:cs="仿宋_GB2312"/>
          <w:szCs w:val="24"/>
        </w:rPr>
        <w:t>时间提交给</w:t>
      </w:r>
      <w:r>
        <w:rPr>
          <w:rFonts w:hint="eastAsia" w:cs="仿宋_GB2312"/>
          <w:szCs w:val="24"/>
        </w:rPr>
        <w:t>采购人或</w:t>
      </w:r>
      <w:r>
        <w:rPr>
          <w:rFonts w:cs="仿宋_GB2312"/>
          <w:szCs w:val="24"/>
        </w:rPr>
        <w:t>采购代理机构。</w:t>
      </w:r>
    </w:p>
    <w:p w14:paraId="4C49EFAD">
      <w:pPr>
        <w:ind w:firstLine="480" w:firstLineChars="200"/>
        <w:jc w:val="both"/>
        <w:rPr>
          <w:rFonts w:hint="eastAsia" w:cs="仿宋_GB2312"/>
          <w:szCs w:val="24"/>
        </w:rPr>
      </w:pPr>
      <w:r>
        <w:rPr>
          <w:rFonts w:hint="eastAsia" w:cs="仿宋_GB2312"/>
          <w:szCs w:val="24"/>
        </w:rPr>
        <w:t>12</w:t>
      </w:r>
      <w:r>
        <w:rPr>
          <w:rFonts w:cs="仿宋_GB2312"/>
          <w:szCs w:val="24"/>
        </w:rPr>
        <w:t>.</w:t>
      </w:r>
      <w:r>
        <w:rPr>
          <w:rFonts w:hint="eastAsia" w:cs="仿宋_GB2312"/>
          <w:szCs w:val="24"/>
        </w:rPr>
        <w:t>2采购人可主动地或在答复投标人提出的询问时对招标文件进行澄清与修改。</w:t>
      </w:r>
      <w:r>
        <w:rPr>
          <w:rFonts w:cs="仿宋_GB2312"/>
          <w:szCs w:val="24"/>
        </w:rPr>
        <w:t>采购代理机构将</w:t>
      </w:r>
      <w:r>
        <w:rPr>
          <w:rFonts w:hint="eastAsia" w:cs="仿宋_GB2312"/>
          <w:szCs w:val="24"/>
        </w:rPr>
        <w:t>在 政府采购云平台以发布更正公告的方式澄清或修改招标文件，更正公告的</w:t>
      </w:r>
      <w:r>
        <w:rPr>
          <w:rFonts w:cs="仿宋_GB2312"/>
          <w:szCs w:val="24"/>
        </w:rPr>
        <w:t>内容</w:t>
      </w:r>
      <w:r>
        <w:rPr>
          <w:rFonts w:hint="eastAsia" w:cs="仿宋_GB2312"/>
          <w:szCs w:val="24"/>
        </w:rPr>
        <w:t>作</w:t>
      </w:r>
      <w:r>
        <w:rPr>
          <w:rFonts w:cs="仿宋_GB2312"/>
          <w:szCs w:val="24"/>
        </w:rPr>
        <w:t>为招标文件</w:t>
      </w:r>
      <w:r>
        <w:rPr>
          <w:rFonts w:hint="eastAsia" w:cs="仿宋_GB2312"/>
          <w:szCs w:val="24"/>
        </w:rPr>
        <w:t>的</w:t>
      </w:r>
      <w:r>
        <w:rPr>
          <w:rFonts w:cs="仿宋_GB2312"/>
          <w:szCs w:val="24"/>
        </w:rPr>
        <w:t>组成部分，对投标人起约束作用</w:t>
      </w:r>
      <w:r>
        <w:rPr>
          <w:rFonts w:hint="eastAsia" w:cs="仿宋_GB2312"/>
          <w:szCs w:val="24"/>
        </w:rPr>
        <w:t>。投标人应主动上网查询。采购代理机构不承担投标人未及时关注相关信息引发的相关责任。</w:t>
      </w:r>
    </w:p>
    <w:p w14:paraId="4B7CAEE4">
      <w:pPr>
        <w:ind w:firstLine="480" w:firstLineChars="200"/>
        <w:jc w:val="both"/>
        <w:rPr>
          <w:rFonts w:hint="eastAsia" w:cs="仿宋_GB2312"/>
          <w:szCs w:val="24"/>
        </w:rPr>
      </w:pPr>
      <w:r>
        <w:rPr>
          <w:rFonts w:cs="仿宋_GB2312"/>
          <w:szCs w:val="24"/>
        </w:rPr>
        <w:t>1</w:t>
      </w:r>
      <w:r>
        <w:rPr>
          <w:rFonts w:hint="eastAsia" w:cs="仿宋_GB2312"/>
          <w:szCs w:val="24"/>
        </w:rPr>
        <w:t>2.3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094E4204">
      <w:pPr>
        <w:ind w:firstLine="480" w:firstLineChars="200"/>
        <w:jc w:val="both"/>
        <w:rPr>
          <w:rFonts w:hint="eastAsia" w:cs="仿宋_GB2312"/>
          <w:szCs w:val="24"/>
        </w:rPr>
      </w:pPr>
      <w:r>
        <w:rPr>
          <w:rFonts w:hint="eastAsia" w:cs="仿宋_GB2312"/>
          <w:szCs w:val="24"/>
        </w:rPr>
        <w:t>12.4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1A47371F">
      <w:pPr>
        <w:ind w:firstLine="480" w:firstLineChars="200"/>
        <w:jc w:val="both"/>
        <w:rPr>
          <w:rFonts w:hint="eastAsia" w:cs="仿宋_GB2312"/>
          <w:szCs w:val="24"/>
        </w:rPr>
      </w:pPr>
      <w:r>
        <w:rPr>
          <w:rFonts w:hint="eastAsia" w:cs="仿宋_GB2312"/>
          <w:szCs w:val="24"/>
        </w:rPr>
        <w:t>12.5</w:t>
      </w:r>
      <w:r>
        <w:rPr>
          <w:rFonts w:cs="仿宋_GB2312"/>
          <w:szCs w:val="24"/>
        </w:rPr>
        <w:t>对于没有提出</w:t>
      </w:r>
      <w:r>
        <w:rPr>
          <w:rFonts w:hint="eastAsia" w:cs="仿宋_GB2312"/>
          <w:szCs w:val="24"/>
        </w:rPr>
        <w:t>疑问</w:t>
      </w:r>
      <w:r>
        <w:rPr>
          <w:rFonts w:cs="仿宋_GB2312"/>
          <w:szCs w:val="24"/>
        </w:rPr>
        <w:t>又参与了</w:t>
      </w:r>
      <w:r>
        <w:rPr>
          <w:rFonts w:hint="eastAsia" w:cs="仿宋_GB2312"/>
          <w:szCs w:val="24"/>
        </w:rPr>
        <w:t>本</w:t>
      </w:r>
      <w:r>
        <w:rPr>
          <w:rFonts w:cs="仿宋_GB2312"/>
          <w:szCs w:val="24"/>
        </w:rPr>
        <w:t>项目投标的</w:t>
      </w:r>
      <w:r>
        <w:rPr>
          <w:rFonts w:hint="eastAsia" w:cs="仿宋_GB2312"/>
          <w:szCs w:val="24"/>
        </w:rPr>
        <w:t>投标人</w:t>
      </w:r>
      <w:r>
        <w:rPr>
          <w:rFonts w:cs="仿宋_GB2312"/>
          <w:szCs w:val="24"/>
        </w:rPr>
        <w:t>将被视为完全认同</w:t>
      </w:r>
      <w:r>
        <w:rPr>
          <w:rFonts w:hint="eastAsia" w:cs="仿宋_GB2312"/>
          <w:szCs w:val="24"/>
        </w:rPr>
        <w:t>本</w:t>
      </w:r>
      <w:r>
        <w:rPr>
          <w:rFonts w:cs="仿宋_GB2312"/>
          <w:szCs w:val="24"/>
        </w:rPr>
        <w:t>招标文件（含</w:t>
      </w:r>
      <w:r>
        <w:rPr>
          <w:rFonts w:hint="eastAsia" w:cs="仿宋_GB2312"/>
          <w:szCs w:val="24"/>
        </w:rPr>
        <w:t>更正公告的</w:t>
      </w:r>
      <w:r>
        <w:rPr>
          <w:rFonts w:cs="仿宋_GB2312"/>
          <w:szCs w:val="24"/>
        </w:rPr>
        <w:t>内容）</w:t>
      </w:r>
      <w:r>
        <w:rPr>
          <w:rFonts w:hint="eastAsia" w:cs="仿宋_GB2312"/>
          <w:szCs w:val="24"/>
        </w:rPr>
        <w:t>。</w:t>
      </w:r>
    </w:p>
    <w:p w14:paraId="391A656C">
      <w:pPr>
        <w:pStyle w:val="39"/>
        <w:jc w:val="both"/>
        <w:rPr>
          <w:rFonts w:hint="eastAsia"/>
        </w:rPr>
      </w:pPr>
      <w:r>
        <w:t>1</w:t>
      </w:r>
      <w:r>
        <w:rPr>
          <w:rFonts w:hint="eastAsia"/>
          <w:lang w:val="en-US"/>
        </w:rPr>
        <w:t>2</w:t>
      </w:r>
      <w:r>
        <w:t>.</w:t>
      </w:r>
      <w:r>
        <w:rPr>
          <w:rFonts w:hint="eastAsia"/>
          <w:lang w:val="en-US"/>
        </w:rPr>
        <w:t>6</w:t>
      </w:r>
      <w:r>
        <w:rPr>
          <w:rFonts w:hint="eastAsia"/>
        </w:rPr>
        <w:t xml:space="preserve"> </w:t>
      </w:r>
      <w:r>
        <w:rPr>
          <w:rFonts w:hint="eastAsia" w:cs="仿宋_GB2312"/>
          <w:szCs w:val="24"/>
          <w:lang w:val="en-US"/>
        </w:rPr>
        <w:t>“</w:t>
      </w:r>
      <w:r>
        <w:rPr>
          <w:rFonts w:hint="eastAsia" w:cs="仿宋_GB2312"/>
          <w:szCs w:val="24"/>
        </w:rPr>
        <w:t>投标人须知”所称“</w:t>
      </w:r>
      <w:r>
        <w:rPr>
          <w:rFonts w:hint="eastAsia"/>
        </w:rPr>
        <w:t>书面形式</w:t>
      </w:r>
      <w:r>
        <w:rPr>
          <w:rFonts w:hint="eastAsia" w:cs="仿宋_GB2312"/>
          <w:szCs w:val="24"/>
        </w:rPr>
        <w:t>”</w:t>
      </w:r>
      <w:r>
        <w:rPr>
          <w:rFonts w:hint="eastAsia"/>
        </w:rPr>
        <w:t>包括系统消息、政府采购</w:t>
      </w:r>
      <w:r>
        <w:rPr>
          <w:rFonts w:hint="eastAsia"/>
          <w:lang w:val="en-US"/>
        </w:rPr>
        <w:t>云平台</w:t>
      </w:r>
      <w:r>
        <w:rPr>
          <w:rFonts w:hint="eastAsia"/>
        </w:rPr>
        <w:t>发布的公告。</w:t>
      </w:r>
    </w:p>
    <w:p w14:paraId="44B1ACD0">
      <w:pPr>
        <w:pStyle w:val="56"/>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12.7当招标文件的澄清、修改及其他答复等就同一内容的表述不一致时，以最后发布的内容为准。</w:t>
      </w:r>
    </w:p>
    <w:p w14:paraId="6F3F7376">
      <w:pPr>
        <w:pStyle w:val="5"/>
        <w:keepNext w:val="0"/>
        <w:keepLines w:val="0"/>
        <w:spacing w:before="180" w:after="180" w:line="240" w:lineRule="auto"/>
        <w:ind w:left="420" w:hanging="420"/>
        <w:jc w:val="both"/>
        <w:rPr>
          <w:rFonts w:hint="eastAsia" w:cs="宋体"/>
          <w:sz w:val="24"/>
        </w:rPr>
      </w:pPr>
      <w:bookmarkStart w:id="187" w:name="_Toc163492837"/>
      <w:bookmarkStart w:id="188" w:name="_Toc155185872"/>
      <w:r>
        <w:rPr>
          <w:rFonts w:hint="eastAsia" w:cs="宋体"/>
          <w:sz w:val="24"/>
        </w:rPr>
        <w:t>（三）投标文件</w:t>
      </w:r>
      <w:bookmarkEnd w:id="187"/>
      <w:bookmarkEnd w:id="188"/>
    </w:p>
    <w:p w14:paraId="703D7624">
      <w:pPr>
        <w:pStyle w:val="6"/>
        <w:keepNext w:val="0"/>
        <w:keepLines w:val="0"/>
        <w:spacing w:before="80" w:after="60" w:line="240" w:lineRule="auto"/>
        <w:ind w:left="420" w:hanging="420"/>
        <w:jc w:val="both"/>
        <w:rPr>
          <w:rFonts w:hint="eastAsia" w:ascii="宋体" w:hAnsi="宋体" w:cs="宋体"/>
          <w:sz w:val="24"/>
        </w:rPr>
      </w:pPr>
      <w:bookmarkStart w:id="189" w:name="_Toc163492838"/>
      <w:r>
        <w:rPr>
          <w:rFonts w:hint="eastAsia" w:ascii="宋体" w:hAnsi="宋体" w:cs="宋体"/>
          <w:sz w:val="24"/>
        </w:rPr>
        <w:t>13.投标文件的组成</w:t>
      </w:r>
      <w:bookmarkEnd w:id="189"/>
    </w:p>
    <w:p w14:paraId="00EA4216">
      <w:pPr>
        <w:pStyle w:val="56"/>
        <w:spacing w:line="360" w:lineRule="auto"/>
        <w:ind w:firstLine="480" w:firstLineChars="200"/>
        <w:rPr>
          <w:rFonts w:hint="eastAsia" w:ascii="宋体" w:hAnsi="宋体" w:eastAsia="宋体" w:cs="宋体"/>
          <w:kern w:val="2"/>
          <w:sz w:val="24"/>
          <w:szCs w:val="22"/>
        </w:rPr>
      </w:pPr>
      <w:bookmarkStart w:id="190" w:name="_Toc163492839"/>
      <w:bookmarkStart w:id="191" w:name="_Toc140132772"/>
      <w:r>
        <w:rPr>
          <w:rFonts w:hint="eastAsia" w:ascii="宋体" w:hAnsi="宋体" w:eastAsia="宋体" w:cs="宋体"/>
          <w:kern w:val="2"/>
          <w:sz w:val="24"/>
          <w:szCs w:val="22"/>
        </w:rPr>
        <w:t>13.1投标人应完整地按招标文件提供的投标文件格式及要求编写投标文件，具体内容详见“第七章 投标文件格式”的相关内容。</w:t>
      </w:r>
    </w:p>
    <w:p w14:paraId="35F5F4F9">
      <w:pPr>
        <w:pStyle w:val="56"/>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13.2投标人应提交招标文件要求的证明文件，证明其投标内容符合招标文件规定，该证明文件是投标文件的一部分。证明文件形式可以是文字资料、图纸和数据</w:t>
      </w:r>
      <w:bookmarkStart w:id="192" w:name="_Hlk11703583"/>
      <w:r>
        <w:rPr>
          <w:rFonts w:hint="eastAsia" w:ascii="宋体" w:hAnsi="宋体" w:eastAsia="宋体" w:cs="宋体"/>
          <w:kern w:val="2"/>
          <w:sz w:val="24"/>
          <w:szCs w:val="22"/>
        </w:rPr>
        <w:t>等。</w:t>
      </w:r>
    </w:p>
    <w:bookmarkEnd w:id="192"/>
    <w:p w14:paraId="37C3CA07">
      <w:pPr>
        <w:pStyle w:val="56"/>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13.3为保证公平公正，除非本招标文件另有规定或说明，投标人对同一项目投标时，不得同时提供备选投标方案。</w:t>
      </w:r>
    </w:p>
    <w:p w14:paraId="6D2A3E1D">
      <w:pPr>
        <w:pStyle w:val="6"/>
        <w:keepNext w:val="0"/>
        <w:keepLines w:val="0"/>
        <w:spacing w:before="80" w:after="60" w:line="240" w:lineRule="auto"/>
        <w:ind w:left="420" w:hanging="420"/>
        <w:jc w:val="both"/>
        <w:rPr>
          <w:rFonts w:hint="eastAsia" w:ascii="宋体" w:hAnsi="宋体" w:cs="宋体"/>
          <w:sz w:val="24"/>
        </w:rPr>
      </w:pPr>
      <w:r>
        <w:rPr>
          <w:rFonts w:hint="eastAsia" w:ascii="宋体" w:hAnsi="宋体" w:cs="宋体"/>
          <w:sz w:val="24"/>
        </w:rPr>
        <w:t>14.投标报价</w:t>
      </w:r>
      <w:bookmarkEnd w:id="190"/>
      <w:bookmarkEnd w:id="191"/>
    </w:p>
    <w:p w14:paraId="089DDAFF">
      <w:pPr>
        <w:ind w:firstLine="480" w:firstLineChars="200"/>
        <w:jc w:val="both"/>
        <w:rPr>
          <w:rFonts w:hint="eastAsia" w:cs="宋体"/>
          <w:snapToGrid w:val="0"/>
          <w:szCs w:val="24"/>
          <w:lang w:val="zh-CN"/>
        </w:rPr>
      </w:pPr>
      <w:r>
        <w:rPr>
          <w:rFonts w:cs="宋体"/>
          <w:snapToGrid w:val="0"/>
          <w:szCs w:val="24"/>
        </w:rPr>
        <w:t>1</w:t>
      </w:r>
      <w:r>
        <w:rPr>
          <w:rFonts w:hint="eastAsia" w:cs="宋体"/>
          <w:snapToGrid w:val="0"/>
          <w:szCs w:val="24"/>
        </w:rPr>
        <w:t xml:space="preserve">4.1 </w:t>
      </w:r>
      <w:r>
        <w:rPr>
          <w:rFonts w:hint="eastAsia" w:cs="宋体"/>
          <w:snapToGrid w:val="0"/>
          <w:szCs w:val="24"/>
          <w:lang w:val="zh-CN"/>
        </w:rPr>
        <w:t>投标人的报价均应以人民币进行报价。</w:t>
      </w:r>
    </w:p>
    <w:p w14:paraId="2AE710E0">
      <w:pPr>
        <w:ind w:firstLine="480" w:firstLineChars="200"/>
        <w:jc w:val="both"/>
        <w:rPr>
          <w:rFonts w:hint="eastAsia" w:cs="宋体"/>
          <w:snapToGrid w:val="0"/>
          <w:szCs w:val="24"/>
        </w:rPr>
      </w:pPr>
      <w:r>
        <w:rPr>
          <w:rFonts w:cs="宋体"/>
          <w:snapToGrid w:val="0"/>
          <w:szCs w:val="24"/>
        </w:rPr>
        <w:t>1</w:t>
      </w:r>
      <w:r>
        <w:rPr>
          <w:rFonts w:hint="eastAsia" w:cs="宋体"/>
          <w:snapToGrid w:val="0"/>
          <w:szCs w:val="24"/>
        </w:rPr>
        <w:t>4.2 投标人应按照本招标文件规定的报价方式进行报价，投标报价中不得包含招标文件要求以外的内容，也不得缺漏招标文件所要求的内容，否则其</w:t>
      </w:r>
      <w:r>
        <w:rPr>
          <w:rFonts w:hint="eastAsia" w:cs="宋体"/>
          <w:b/>
          <w:bCs/>
          <w:snapToGrid w:val="0"/>
          <w:szCs w:val="24"/>
        </w:rPr>
        <w:t>投标无效</w:t>
      </w:r>
      <w:r>
        <w:rPr>
          <w:rFonts w:hint="eastAsia" w:cs="宋体"/>
          <w:snapToGrid w:val="0"/>
          <w:szCs w:val="24"/>
        </w:rPr>
        <w:t>。</w:t>
      </w:r>
    </w:p>
    <w:p w14:paraId="7D7F299A">
      <w:pPr>
        <w:ind w:firstLine="480" w:firstLineChars="200"/>
        <w:jc w:val="both"/>
        <w:rPr>
          <w:rFonts w:hint="eastAsia" w:cs="宋体"/>
        </w:rPr>
      </w:pPr>
      <w:r>
        <w:rPr>
          <w:rFonts w:hint="eastAsia" w:cs="宋体"/>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126BFD0C">
      <w:pPr>
        <w:pStyle w:val="11"/>
        <w:ind w:firstLine="480"/>
        <w:jc w:val="both"/>
        <w:rPr>
          <w:rFonts w:cs="宋体"/>
        </w:rPr>
      </w:pPr>
      <w:r>
        <w:rPr>
          <w:rFonts w:hint="eastAsia" w:cs="宋体"/>
        </w:rPr>
        <w:t xml:space="preserve">投标人的报价应包括但不限于下列内容： </w:t>
      </w:r>
    </w:p>
    <w:p w14:paraId="53D771D3">
      <w:pPr>
        <w:pStyle w:val="11"/>
        <w:ind w:firstLine="480"/>
        <w:jc w:val="both"/>
        <w:rPr>
          <w:rFonts w:cs="宋体"/>
        </w:rPr>
      </w:pPr>
      <w:r>
        <w:rPr>
          <w:rFonts w:hint="eastAsia" w:ascii="宋体" w:hAnsi="宋体" w:cs="宋体"/>
          <w:snapToGrid w:val="0"/>
          <w:szCs w:val="24"/>
        </w:rPr>
        <w:t>14.2.1 投标货物及标准附件、备品备件、专用工具等的出厂价（包括已在中</w:t>
      </w:r>
      <w:r>
        <w:rPr>
          <w:rFonts w:hint="eastAsia" w:cs="宋体"/>
        </w:rPr>
        <w:t xml:space="preserve">国国内的进口货物完税后的仓库交货价、展室交货价或货架交货价）和运至最终目的地的运输费和保险费，安装调试、检验、技术服务、培训、质量保证、售后服务、税费等； </w:t>
      </w:r>
    </w:p>
    <w:p w14:paraId="0B369BE6">
      <w:pPr>
        <w:pStyle w:val="11"/>
        <w:ind w:firstLine="480"/>
        <w:jc w:val="both"/>
        <w:rPr>
          <w:rFonts w:hint="eastAsia" w:ascii="宋体" w:hAnsi="宋体" w:cs="宋体"/>
          <w:snapToGrid w:val="0"/>
          <w:szCs w:val="24"/>
        </w:rPr>
      </w:pPr>
      <w:r>
        <w:rPr>
          <w:rFonts w:hint="eastAsia" w:ascii="宋体" w:hAnsi="宋体" w:cs="宋体"/>
          <w:snapToGrid w:val="0"/>
          <w:szCs w:val="24"/>
        </w:rPr>
        <w:t>14.2.2 按照招标文件要求完成本项目的全部相关费用。</w:t>
      </w:r>
    </w:p>
    <w:p w14:paraId="49077DC7">
      <w:pPr>
        <w:ind w:firstLine="480" w:firstLineChars="200"/>
        <w:jc w:val="both"/>
        <w:rPr>
          <w:rFonts w:hint="eastAsia" w:cs="宋体"/>
          <w:snapToGrid w:val="0"/>
          <w:szCs w:val="24"/>
          <w:lang w:val="zh-CN"/>
        </w:rPr>
      </w:pPr>
      <w:r>
        <w:rPr>
          <w:rFonts w:cs="宋体"/>
          <w:snapToGrid w:val="0"/>
          <w:szCs w:val="24"/>
        </w:rPr>
        <w:t>1</w:t>
      </w:r>
      <w:r>
        <w:rPr>
          <w:rFonts w:hint="eastAsia" w:cs="宋体"/>
          <w:snapToGrid w:val="0"/>
          <w:szCs w:val="24"/>
        </w:rPr>
        <w:t xml:space="preserve">4.3 </w:t>
      </w:r>
      <w:r>
        <w:rPr>
          <w:rFonts w:hint="eastAsia" w:cs="宋体"/>
        </w:rPr>
        <w:t>投标人须严格按照分项报价表规定的内容填写货物单价以及其他事项。</w:t>
      </w:r>
      <w:r>
        <w:rPr>
          <w:rFonts w:hint="eastAsia" w:cs="宋体"/>
          <w:snapToGrid w:val="0"/>
          <w:szCs w:val="24"/>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cs="宋体"/>
          <w:snapToGrid w:val="0"/>
          <w:szCs w:val="24"/>
        </w:rPr>
        <w:t>缴</w:t>
      </w:r>
      <w:r>
        <w:rPr>
          <w:rFonts w:hint="eastAsia" w:cs="宋体"/>
          <w:snapToGrid w:val="0"/>
          <w:szCs w:val="24"/>
          <w:lang w:val="zh-CN"/>
        </w:rPr>
        <w:t>纳的费用都应包括在投标人提交的投标报价中。</w:t>
      </w:r>
    </w:p>
    <w:p w14:paraId="3F71101D">
      <w:pPr>
        <w:ind w:firstLine="480" w:firstLineChars="200"/>
        <w:jc w:val="both"/>
        <w:rPr>
          <w:rFonts w:hint="eastAsia" w:cs="宋体"/>
          <w:snapToGrid w:val="0"/>
          <w:szCs w:val="24"/>
        </w:rPr>
      </w:pPr>
      <w:r>
        <w:rPr>
          <w:rFonts w:cs="宋体"/>
          <w:snapToGrid w:val="0"/>
          <w:szCs w:val="24"/>
        </w:rPr>
        <w:t>1</w:t>
      </w:r>
      <w:r>
        <w:rPr>
          <w:rFonts w:hint="eastAsia" w:cs="宋体"/>
          <w:snapToGrid w:val="0"/>
          <w:szCs w:val="24"/>
        </w:rPr>
        <w:t>4.4 投标人在投标文件中注明免费的项目将视为包含在投标报价中。</w:t>
      </w:r>
    </w:p>
    <w:p w14:paraId="6F83F3B0">
      <w:pPr>
        <w:pStyle w:val="11"/>
        <w:ind w:firstLine="480"/>
        <w:jc w:val="both"/>
      </w:pPr>
      <w:r>
        <w:rPr>
          <w:rFonts w:ascii="宋体" w:hAnsi="宋体" w:cs="宋体"/>
          <w:snapToGrid w:val="0"/>
          <w:szCs w:val="24"/>
        </w:rPr>
        <w:t>1</w:t>
      </w:r>
      <w:r>
        <w:rPr>
          <w:rFonts w:hint="eastAsia" w:ascii="宋体" w:hAnsi="宋体" w:cs="宋体"/>
          <w:snapToGrid w:val="0"/>
          <w:szCs w:val="24"/>
        </w:rPr>
        <w:t>4.5 每一</w:t>
      </w:r>
      <w:r>
        <w:rPr>
          <w:rFonts w:hint="eastAsia" w:cs="宋体"/>
          <w:snapToGrid w:val="0"/>
          <w:szCs w:val="24"/>
        </w:rPr>
        <w:t>种采购内容只允许有一个报价，否则其</w:t>
      </w:r>
      <w:r>
        <w:rPr>
          <w:rFonts w:hint="eastAsia" w:cs="宋体"/>
          <w:b/>
          <w:bCs/>
          <w:snapToGrid w:val="0"/>
          <w:szCs w:val="24"/>
        </w:rPr>
        <w:t>投标无效</w:t>
      </w:r>
      <w:r>
        <w:rPr>
          <w:rFonts w:hint="eastAsia" w:cs="宋体"/>
          <w:snapToGrid w:val="0"/>
          <w:szCs w:val="24"/>
        </w:rPr>
        <w:t>。</w:t>
      </w:r>
      <w:r>
        <w:rPr>
          <w:rFonts w:hint="eastAsia" w:ascii="宋体" w:hAnsi="宋体" w:cs="宋体"/>
        </w:rPr>
        <w:t>除非招标文件另有规定，不接受可选择或可调整的投标方案和报价，任何有选择的或可调整的投标方案和报价将被视为非实质性响应招标文件，其</w:t>
      </w:r>
      <w:r>
        <w:rPr>
          <w:rFonts w:hint="eastAsia" w:cs="宋体"/>
          <w:b/>
          <w:bCs/>
          <w:snapToGrid w:val="0"/>
          <w:szCs w:val="24"/>
        </w:rPr>
        <w:t>投标无效</w:t>
      </w:r>
      <w:r>
        <w:rPr>
          <w:rFonts w:hint="eastAsia" w:ascii="宋体" w:hAnsi="宋体" w:cs="宋体"/>
        </w:rPr>
        <w:t>。</w:t>
      </w:r>
    </w:p>
    <w:p w14:paraId="342887E5">
      <w:pPr>
        <w:ind w:firstLine="480" w:firstLineChars="200"/>
        <w:jc w:val="both"/>
        <w:rPr>
          <w:rFonts w:hint="eastAsia" w:cs="仿宋_GB2312"/>
          <w:szCs w:val="24"/>
        </w:rPr>
      </w:pPr>
      <w:r>
        <w:rPr>
          <w:rFonts w:cs="仿宋_GB2312"/>
          <w:szCs w:val="24"/>
        </w:rPr>
        <w:t>1</w:t>
      </w:r>
      <w:r>
        <w:rPr>
          <w:rFonts w:hint="eastAsia" w:cs="仿宋_GB2312"/>
          <w:szCs w:val="24"/>
        </w:rPr>
        <w:t>4</w:t>
      </w:r>
      <w:r>
        <w:rPr>
          <w:rFonts w:cs="仿宋_GB2312"/>
          <w:szCs w:val="24"/>
        </w:rPr>
        <w:t>.</w:t>
      </w:r>
      <w:r>
        <w:rPr>
          <w:rFonts w:hint="eastAsia" w:cs="仿宋_GB2312"/>
          <w:szCs w:val="24"/>
        </w:rPr>
        <w:t>6 投标报价不得超过“</w:t>
      </w:r>
      <w:r>
        <w:rPr>
          <w:rFonts w:hint="eastAsia"/>
        </w:rPr>
        <w:t>第一章 招标公告</w:t>
      </w:r>
      <w:r>
        <w:rPr>
          <w:rFonts w:hint="eastAsia" w:cs="仿宋_GB2312"/>
          <w:szCs w:val="24"/>
        </w:rPr>
        <w:t>”中规定的最高投标限价</w:t>
      </w:r>
      <w:r>
        <w:rPr>
          <w:rFonts w:hint="eastAsia"/>
        </w:rPr>
        <w:t>或者预算金额</w:t>
      </w:r>
      <w:r>
        <w:rPr>
          <w:rFonts w:hint="eastAsia" w:cs="仿宋_GB2312"/>
          <w:szCs w:val="24"/>
        </w:rPr>
        <w:t>，否则</w:t>
      </w:r>
      <w:r>
        <w:rPr>
          <w:rFonts w:cs="仿宋_GB2312"/>
          <w:szCs w:val="24"/>
        </w:rPr>
        <w:t>评标委员会将</w:t>
      </w:r>
      <w:r>
        <w:rPr>
          <w:rFonts w:hint="eastAsia" w:cs="仿宋_GB2312"/>
          <w:szCs w:val="24"/>
        </w:rPr>
        <w:t>对</w:t>
      </w:r>
      <w:r>
        <w:rPr>
          <w:rFonts w:cs="仿宋_GB2312"/>
          <w:szCs w:val="24"/>
        </w:rPr>
        <w:t>其</w:t>
      </w:r>
      <w:r>
        <w:rPr>
          <w:rFonts w:hint="eastAsia" w:cs="仿宋_GB2312"/>
          <w:szCs w:val="24"/>
        </w:rPr>
        <w:t>作</w:t>
      </w:r>
      <w:r>
        <w:rPr>
          <w:rFonts w:hint="eastAsia" w:cs="仿宋_GB2312"/>
          <w:b/>
          <w:bCs/>
          <w:szCs w:val="24"/>
        </w:rPr>
        <w:t>无效</w:t>
      </w:r>
      <w:r>
        <w:rPr>
          <w:rFonts w:cs="仿宋_GB2312"/>
          <w:b/>
          <w:bCs/>
          <w:szCs w:val="24"/>
        </w:rPr>
        <w:t>投标</w:t>
      </w:r>
      <w:r>
        <w:rPr>
          <w:rFonts w:hint="eastAsia" w:cs="仿宋_GB2312"/>
          <w:b/>
          <w:bCs/>
          <w:szCs w:val="24"/>
        </w:rPr>
        <w:t>处理</w:t>
      </w:r>
      <w:r>
        <w:rPr>
          <w:rFonts w:cs="仿宋_GB2312"/>
          <w:szCs w:val="24"/>
        </w:rPr>
        <w:t>。</w:t>
      </w:r>
    </w:p>
    <w:p w14:paraId="11F237D5">
      <w:pPr>
        <w:pStyle w:val="56"/>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14.7 投标人对投标报价若有说明应在投标文件中显著处注明。</w:t>
      </w:r>
    </w:p>
    <w:p w14:paraId="14549F7A">
      <w:pPr>
        <w:pStyle w:val="56"/>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除政策性文件规定以外，投标人所报价格在合同实施期间不因市场变化因素而变动。</w:t>
      </w:r>
    </w:p>
    <w:p w14:paraId="0D76CE89">
      <w:pPr>
        <w:pStyle w:val="56"/>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14.8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21DE0EA0">
      <w:pPr>
        <w:pStyle w:val="56"/>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14.9 最低报价不能作为中标的保证。</w:t>
      </w:r>
    </w:p>
    <w:p w14:paraId="5EE3D415">
      <w:pPr>
        <w:ind w:firstLine="480" w:firstLineChars="200"/>
        <w:jc w:val="both"/>
        <w:rPr>
          <w:rFonts w:hint="eastAsia" w:cs="宋体"/>
        </w:rPr>
      </w:pPr>
      <w:r>
        <w:rPr>
          <w:rFonts w:hint="eastAsia" w:cs="宋体"/>
        </w:rPr>
        <w:t>14.10</w:t>
      </w:r>
      <w:r>
        <w:rPr>
          <w:rFonts w:hint="eastAsia" w:cs="宋体"/>
          <w:kern w:val="0"/>
          <w:szCs w:val="24"/>
          <w:lang w:bidi="ar"/>
        </w:rPr>
        <w:t>采购人不得向投标人索要或者接受其给予的赠品、回扣或者与采购无关的其他商品、服务。</w:t>
      </w:r>
    </w:p>
    <w:p w14:paraId="654C202A">
      <w:pPr>
        <w:pStyle w:val="6"/>
        <w:keepNext w:val="0"/>
        <w:keepLines w:val="0"/>
        <w:spacing w:before="80" w:after="60" w:line="240" w:lineRule="auto"/>
        <w:ind w:left="420" w:hanging="420"/>
        <w:jc w:val="both"/>
        <w:rPr>
          <w:rFonts w:hint="eastAsia" w:ascii="宋体" w:hAnsi="宋体" w:cs="宋体"/>
          <w:sz w:val="24"/>
        </w:rPr>
      </w:pPr>
      <w:bookmarkStart w:id="193" w:name="_Toc163492840"/>
      <w:bookmarkStart w:id="194" w:name="_Toc140132773"/>
      <w:r>
        <w:rPr>
          <w:rFonts w:hint="eastAsia" w:ascii="宋体" w:hAnsi="宋体" w:cs="宋体"/>
          <w:sz w:val="24"/>
        </w:rPr>
        <w:t>15.投标有效期</w:t>
      </w:r>
      <w:bookmarkEnd w:id="193"/>
      <w:bookmarkEnd w:id="194"/>
    </w:p>
    <w:p w14:paraId="347AD2BC">
      <w:pPr>
        <w:ind w:firstLine="480" w:firstLineChars="200"/>
        <w:jc w:val="both"/>
        <w:rPr>
          <w:rFonts w:hint="eastAsia" w:cs="仿宋_GB2312"/>
          <w:szCs w:val="24"/>
        </w:rPr>
      </w:pPr>
      <w:r>
        <w:rPr>
          <w:rFonts w:cs="仿宋_GB2312"/>
          <w:szCs w:val="24"/>
        </w:rPr>
        <w:t>1</w:t>
      </w:r>
      <w:r>
        <w:rPr>
          <w:rFonts w:hint="eastAsia" w:cs="仿宋_GB2312"/>
          <w:szCs w:val="24"/>
        </w:rPr>
        <w:t xml:space="preserve">5.1 </w:t>
      </w:r>
      <w:r>
        <w:rPr>
          <w:rFonts w:ascii="Arial" w:hAnsi="Arial" w:cs="Arial"/>
          <w:kern w:val="0"/>
          <w:szCs w:val="21"/>
          <w:lang w:val="en"/>
        </w:rPr>
        <w:t>投标有效期</w:t>
      </w:r>
      <w:r>
        <w:rPr>
          <w:rFonts w:hint="eastAsia" w:cs="仿宋_GB2312"/>
          <w:szCs w:val="24"/>
        </w:rPr>
        <w:t xml:space="preserve">见“第二章 </w:t>
      </w:r>
      <w:r>
        <w:rPr>
          <w:rFonts w:cs="仿宋_GB2312"/>
          <w:szCs w:val="24"/>
        </w:rPr>
        <w:t>投标人须知前附表</w:t>
      </w:r>
      <w:r>
        <w:rPr>
          <w:rFonts w:hint="eastAsia" w:cs="仿宋_GB2312"/>
          <w:szCs w:val="24"/>
        </w:rPr>
        <w:t>”，投标人承诺的投标有效期</w:t>
      </w:r>
      <w:r>
        <w:rPr>
          <w:rFonts w:hint="eastAsia"/>
          <w:snapToGrid w:val="0"/>
          <w:lang w:val="zh-CN"/>
        </w:rPr>
        <w:t>少于</w:t>
      </w:r>
      <w:r>
        <w:rPr>
          <w:rFonts w:hint="eastAsia"/>
          <w:snapToGrid w:val="0"/>
        </w:rPr>
        <w:t>招标</w:t>
      </w:r>
      <w:r>
        <w:rPr>
          <w:rFonts w:hint="eastAsia"/>
          <w:snapToGrid w:val="0"/>
          <w:lang w:val="zh-CN"/>
        </w:rPr>
        <w:t>文件规定期限的，其</w:t>
      </w:r>
      <w:r>
        <w:rPr>
          <w:rFonts w:hint="eastAsia"/>
          <w:b/>
          <w:bCs/>
          <w:snapToGrid w:val="0"/>
        </w:rPr>
        <w:t>投标</w:t>
      </w:r>
      <w:r>
        <w:rPr>
          <w:rFonts w:hint="eastAsia"/>
          <w:b/>
          <w:bCs/>
          <w:snapToGrid w:val="0"/>
          <w:lang w:val="zh-CN"/>
        </w:rPr>
        <w:t>无效</w:t>
      </w:r>
      <w:r>
        <w:rPr>
          <w:rFonts w:hint="eastAsia"/>
          <w:snapToGrid w:val="0"/>
          <w:lang w:val="zh-CN"/>
        </w:rPr>
        <w:t>。</w:t>
      </w:r>
    </w:p>
    <w:p w14:paraId="66F34A37">
      <w:pPr>
        <w:ind w:firstLine="480" w:firstLineChars="200"/>
        <w:jc w:val="both"/>
        <w:rPr>
          <w:rFonts w:hint="eastAsia" w:cs="仿宋_GB2312"/>
          <w:szCs w:val="24"/>
        </w:rPr>
      </w:pPr>
      <w:r>
        <w:rPr>
          <w:rFonts w:hint="eastAsia" w:cs="仿宋_GB2312"/>
          <w:szCs w:val="24"/>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1E730A9B">
      <w:pPr>
        <w:ind w:firstLine="480" w:firstLineChars="200"/>
        <w:jc w:val="both"/>
        <w:rPr>
          <w:rFonts w:hint="eastAsia" w:cs="仿宋_GB2312"/>
          <w:szCs w:val="24"/>
        </w:rPr>
      </w:pPr>
      <w:r>
        <w:rPr>
          <w:rFonts w:cs="仿宋_GB2312"/>
          <w:szCs w:val="24"/>
        </w:rPr>
        <w:t>1</w:t>
      </w:r>
      <w:r>
        <w:rPr>
          <w:rFonts w:hint="eastAsia" w:cs="仿宋_GB2312"/>
          <w:szCs w:val="24"/>
        </w:rPr>
        <w:t>5</w:t>
      </w:r>
      <w:r>
        <w:rPr>
          <w:rFonts w:cs="仿宋_GB2312"/>
          <w:szCs w:val="24"/>
        </w:rPr>
        <w:t>.</w:t>
      </w:r>
      <w:r>
        <w:rPr>
          <w:rFonts w:hint="eastAsia" w:cs="仿宋_GB2312"/>
          <w:szCs w:val="24"/>
        </w:rPr>
        <w:t>3</w:t>
      </w:r>
      <w:r>
        <w:rPr>
          <w:rFonts w:cs="仿宋_GB2312"/>
          <w:szCs w:val="24"/>
        </w:rPr>
        <w:t>特殊情况下，在原</w:t>
      </w:r>
      <w:r>
        <w:rPr>
          <w:rFonts w:hint="eastAsia" w:cs="仿宋_GB2312"/>
          <w:szCs w:val="24"/>
        </w:rPr>
        <w:t>投标文件</w:t>
      </w:r>
      <w:r>
        <w:rPr>
          <w:rFonts w:cs="仿宋_GB2312"/>
          <w:szCs w:val="24"/>
        </w:rPr>
        <w:t>有效期截止之前，采购代理机构或采购人可要求</w:t>
      </w:r>
      <w:r>
        <w:rPr>
          <w:rFonts w:hint="eastAsia" w:cs="仿宋_GB2312"/>
          <w:szCs w:val="24"/>
        </w:rPr>
        <w:t>投标人</w:t>
      </w:r>
      <w:r>
        <w:rPr>
          <w:rFonts w:cs="仿宋_GB2312"/>
          <w:szCs w:val="24"/>
        </w:rPr>
        <w:t>延长</w:t>
      </w:r>
      <w:r>
        <w:rPr>
          <w:rFonts w:hint="eastAsia" w:cs="仿宋_GB2312"/>
          <w:szCs w:val="24"/>
        </w:rPr>
        <w:t>投标</w:t>
      </w:r>
      <w:r>
        <w:rPr>
          <w:rFonts w:cs="仿宋_GB2312"/>
          <w:szCs w:val="24"/>
        </w:rPr>
        <w:t>有效期。需要延长</w:t>
      </w:r>
      <w:r>
        <w:rPr>
          <w:rFonts w:hint="eastAsia" w:cs="仿宋_GB2312"/>
          <w:szCs w:val="24"/>
        </w:rPr>
        <w:t>投标</w:t>
      </w:r>
      <w:r>
        <w:rPr>
          <w:rFonts w:cs="仿宋_GB2312"/>
          <w:szCs w:val="24"/>
        </w:rPr>
        <w:t>有效期时，采购代理机构或采购人将以书面形式通知所有</w:t>
      </w:r>
      <w:r>
        <w:rPr>
          <w:rFonts w:hint="eastAsia" w:cs="仿宋_GB2312"/>
          <w:szCs w:val="24"/>
        </w:rPr>
        <w:t>投标人</w:t>
      </w:r>
      <w:r>
        <w:rPr>
          <w:rFonts w:cs="仿宋_GB2312"/>
          <w:szCs w:val="24"/>
        </w:rPr>
        <w:t>，</w:t>
      </w:r>
      <w:r>
        <w:rPr>
          <w:rFonts w:hint="eastAsia" w:cs="仿宋_GB2312"/>
          <w:szCs w:val="24"/>
        </w:rPr>
        <w:t>投标人</w:t>
      </w:r>
      <w:r>
        <w:rPr>
          <w:rFonts w:cs="仿宋_GB2312"/>
          <w:szCs w:val="24"/>
        </w:rPr>
        <w:t>应以书面形式答复是否同意延长</w:t>
      </w:r>
      <w:r>
        <w:rPr>
          <w:rFonts w:hint="eastAsia" w:cs="仿宋_GB2312"/>
          <w:szCs w:val="24"/>
        </w:rPr>
        <w:t>投标</w:t>
      </w:r>
      <w:r>
        <w:rPr>
          <w:rFonts w:cs="仿宋_GB2312"/>
          <w:szCs w:val="24"/>
        </w:rPr>
        <w:t>有效期。</w:t>
      </w:r>
    </w:p>
    <w:p w14:paraId="3E6AA1FE">
      <w:pPr>
        <w:ind w:firstLine="480" w:firstLineChars="200"/>
        <w:jc w:val="both"/>
        <w:rPr>
          <w:rFonts w:hint="eastAsia" w:cs="仿宋_GB2312"/>
          <w:szCs w:val="24"/>
        </w:rPr>
      </w:pPr>
      <w:r>
        <w:rPr>
          <w:rFonts w:cs="仿宋_GB2312"/>
          <w:szCs w:val="24"/>
        </w:rPr>
        <w:t>1</w:t>
      </w:r>
      <w:r>
        <w:rPr>
          <w:rFonts w:hint="eastAsia" w:cs="仿宋_GB2312"/>
          <w:szCs w:val="24"/>
        </w:rPr>
        <w:t>5</w:t>
      </w:r>
      <w:r>
        <w:rPr>
          <w:rFonts w:cs="仿宋_GB2312"/>
          <w:szCs w:val="24"/>
        </w:rPr>
        <w:t>.</w:t>
      </w:r>
      <w:r>
        <w:rPr>
          <w:rFonts w:hint="eastAsia" w:cs="仿宋_GB2312"/>
          <w:szCs w:val="24"/>
        </w:rPr>
        <w:t>4投标人</w:t>
      </w:r>
      <w:r>
        <w:rPr>
          <w:rFonts w:cs="仿宋_GB2312"/>
          <w:szCs w:val="24"/>
        </w:rPr>
        <w:t>同意延长的，</w:t>
      </w:r>
      <w:r>
        <w:rPr>
          <w:rFonts w:hint="eastAsia" w:cs="宋体"/>
        </w:rPr>
        <w:t>其投标保证金的有效期也相应延长，但</w:t>
      </w:r>
      <w:r>
        <w:rPr>
          <w:rFonts w:cs="仿宋_GB2312"/>
          <w:szCs w:val="24"/>
        </w:rPr>
        <w:t>不得要求或被允许修改或撤销其</w:t>
      </w:r>
      <w:r>
        <w:rPr>
          <w:rFonts w:hint="eastAsia" w:cs="仿宋_GB2312"/>
          <w:szCs w:val="24"/>
        </w:rPr>
        <w:t>投标文件</w:t>
      </w:r>
      <w:r>
        <w:rPr>
          <w:rFonts w:cs="仿宋_GB2312"/>
          <w:szCs w:val="24"/>
        </w:rPr>
        <w:t>；</w:t>
      </w:r>
      <w:r>
        <w:rPr>
          <w:rFonts w:hint="eastAsia" w:cs="仿宋_GB2312"/>
          <w:szCs w:val="24"/>
        </w:rPr>
        <w:t>投标人</w:t>
      </w:r>
      <w:r>
        <w:rPr>
          <w:rFonts w:cs="仿宋_GB2312"/>
          <w:szCs w:val="24"/>
        </w:rPr>
        <w:t>拒绝延长的，其</w:t>
      </w:r>
      <w:r>
        <w:rPr>
          <w:rFonts w:hint="eastAsia" w:cs="仿宋_GB2312"/>
          <w:szCs w:val="24"/>
        </w:rPr>
        <w:t>投标文件</w:t>
      </w:r>
      <w:r>
        <w:rPr>
          <w:rFonts w:cs="仿宋_GB2312"/>
          <w:szCs w:val="24"/>
        </w:rPr>
        <w:t>在原</w:t>
      </w:r>
      <w:r>
        <w:rPr>
          <w:rFonts w:hint="eastAsia" w:cs="仿宋_GB2312"/>
          <w:szCs w:val="24"/>
        </w:rPr>
        <w:t>投标</w:t>
      </w:r>
      <w:r>
        <w:rPr>
          <w:rFonts w:cs="仿宋_GB2312"/>
          <w:szCs w:val="24"/>
        </w:rPr>
        <w:t>有效期满后将不再有效</w:t>
      </w:r>
      <w:r>
        <w:rPr>
          <w:rFonts w:hint="eastAsia" w:cs="仿宋_GB2312"/>
          <w:szCs w:val="24"/>
        </w:rPr>
        <w:t>，但其提交的投标保证金可予以退还</w:t>
      </w:r>
      <w:r>
        <w:rPr>
          <w:rFonts w:cs="仿宋_GB2312"/>
          <w:szCs w:val="24"/>
        </w:rPr>
        <w:t>。</w:t>
      </w:r>
    </w:p>
    <w:p w14:paraId="1BD56445">
      <w:pPr>
        <w:pStyle w:val="6"/>
        <w:keepNext w:val="0"/>
        <w:keepLines w:val="0"/>
        <w:spacing w:before="80" w:after="60" w:line="240" w:lineRule="auto"/>
        <w:ind w:left="420" w:hanging="420"/>
        <w:jc w:val="both"/>
        <w:rPr>
          <w:rFonts w:hint="eastAsia" w:ascii="宋体" w:hAnsi="宋体" w:cs="宋体"/>
          <w:sz w:val="24"/>
        </w:rPr>
      </w:pPr>
      <w:bookmarkStart w:id="195" w:name="_Toc140132774"/>
      <w:bookmarkStart w:id="196" w:name="_Toc163492841"/>
      <w:r>
        <w:rPr>
          <w:rFonts w:hint="eastAsia" w:ascii="宋体" w:hAnsi="宋体" w:cs="宋体"/>
          <w:sz w:val="24"/>
        </w:rPr>
        <w:t>16.投标文件的编制</w:t>
      </w:r>
      <w:bookmarkEnd w:id="195"/>
      <w:bookmarkEnd w:id="196"/>
    </w:p>
    <w:p w14:paraId="64745A1F">
      <w:pPr>
        <w:ind w:firstLine="480" w:firstLineChars="200"/>
        <w:jc w:val="both"/>
        <w:rPr>
          <w:rFonts w:hint="eastAsia" w:cs="仿宋_GB2312"/>
          <w:szCs w:val="24"/>
        </w:rPr>
      </w:pPr>
      <w:r>
        <w:rPr>
          <w:rFonts w:cs="仿宋_GB2312"/>
          <w:szCs w:val="24"/>
        </w:rPr>
        <w:t>1</w:t>
      </w:r>
      <w:r>
        <w:rPr>
          <w:rFonts w:hint="eastAsia" w:cs="仿宋_GB2312"/>
          <w:szCs w:val="24"/>
        </w:rPr>
        <w:t>6.1投标文件应在</w:t>
      </w:r>
      <w:r>
        <w:rPr>
          <w:rFonts w:hint="eastAsia" w:cs="宋体"/>
          <w:szCs w:val="24"/>
        </w:rPr>
        <w:t>“</w:t>
      </w:r>
      <w:r>
        <w:rPr>
          <w:rFonts w:hint="eastAsia" w:cs="仿宋_GB2312"/>
          <w:szCs w:val="24"/>
        </w:rPr>
        <w:t>投标客户端”中进行编制，在投标文件中要求加盖印章的，除有特殊说明之外，可使用电子签章签署。</w:t>
      </w:r>
    </w:p>
    <w:p w14:paraId="5EB233CC">
      <w:pPr>
        <w:pStyle w:val="39"/>
        <w:jc w:val="both"/>
        <w:rPr>
          <w:rFonts w:hint="eastAsia"/>
        </w:rPr>
      </w:pPr>
      <w:r>
        <w:t>1</w:t>
      </w:r>
      <w:r>
        <w:rPr>
          <w:rFonts w:hint="eastAsia"/>
          <w:lang w:val="en-US"/>
        </w:rPr>
        <w:t>6</w:t>
      </w:r>
      <w:r>
        <w:rPr>
          <w:rFonts w:hint="eastAsia"/>
        </w:rPr>
        <w:t>.</w:t>
      </w:r>
      <w:bookmarkStart w:id="197" w:name="_Hlk143528557"/>
      <w:r>
        <w:t>2</w:t>
      </w:r>
      <w:r>
        <w:rPr>
          <w:rFonts w:hint="eastAsia"/>
        </w:rPr>
        <w:t>投标人在</w:t>
      </w:r>
      <w:r>
        <w:rPr>
          <w:rFonts w:hint="eastAsia" w:cs="宋体"/>
          <w:szCs w:val="24"/>
        </w:rPr>
        <w:t>“</w:t>
      </w:r>
      <w:r>
        <w:rPr>
          <w:rFonts w:hint="eastAsia" w:cs="仿宋_GB2312"/>
          <w:szCs w:val="24"/>
          <w:lang w:val="en-US"/>
        </w:rPr>
        <w:t>投标</w:t>
      </w:r>
      <w:r>
        <w:rPr>
          <w:rFonts w:hint="eastAsia" w:cs="仿宋_GB2312"/>
          <w:szCs w:val="24"/>
        </w:rPr>
        <w:t>客户端”</w:t>
      </w:r>
      <w:r>
        <w:rPr>
          <w:rFonts w:hint="eastAsia"/>
        </w:rPr>
        <w:t>中按照</w:t>
      </w:r>
      <w:r>
        <w:rPr>
          <w:rFonts w:hint="eastAsia" w:cs="宋体"/>
          <w:szCs w:val="24"/>
        </w:rPr>
        <w:t>“</w:t>
      </w:r>
      <w:r>
        <w:rPr>
          <w:rFonts w:hint="eastAsia" w:cs="仿宋_GB2312"/>
          <w:szCs w:val="24"/>
          <w:lang w:val="en-US"/>
        </w:rPr>
        <w:t>投标</w:t>
      </w:r>
      <w:r>
        <w:rPr>
          <w:rFonts w:hint="eastAsia" w:cs="仿宋_GB2312"/>
          <w:szCs w:val="24"/>
        </w:rPr>
        <w:t>客户端”</w:t>
      </w:r>
      <w:r>
        <w:rPr>
          <w:rFonts w:hint="eastAsia"/>
        </w:rPr>
        <w:t>中的格式要求填写响应内容后，生成投标文件。投标人须按照招标文件的要求使用电子签章对要求加盖印章的部分逐一进行签章。</w:t>
      </w:r>
      <w:bookmarkEnd w:id="197"/>
    </w:p>
    <w:p w14:paraId="7579FF75">
      <w:pPr>
        <w:pStyle w:val="39"/>
        <w:jc w:val="both"/>
        <w:rPr>
          <w:rFonts w:hint="eastAsia"/>
        </w:rPr>
      </w:pPr>
      <w:r>
        <w:rPr>
          <w:rFonts w:hint="eastAsia"/>
        </w:rPr>
        <w:t>1</w:t>
      </w:r>
      <w:r>
        <w:rPr>
          <w:rFonts w:hint="eastAsia"/>
          <w:lang w:val="en-US"/>
        </w:rPr>
        <w:t>6</w:t>
      </w:r>
      <w:r>
        <w:rPr>
          <w:rFonts w:hint="eastAsia"/>
        </w:rPr>
        <w:t>.</w:t>
      </w:r>
      <w:r>
        <w:rPr>
          <w:rFonts w:hint="eastAsia"/>
          <w:lang w:val="en-US"/>
        </w:rPr>
        <w:t>3</w:t>
      </w:r>
      <w:r>
        <w:rPr>
          <w:rFonts w:hint="eastAsia"/>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b/>
          <w:bCs/>
        </w:rPr>
        <w:t>导致</w:t>
      </w:r>
      <w:r>
        <w:rPr>
          <w:rFonts w:hint="eastAsia"/>
          <w:b/>
          <w:bCs/>
          <w:lang w:val="en-US"/>
        </w:rPr>
        <w:t>其</w:t>
      </w:r>
      <w:r>
        <w:rPr>
          <w:rFonts w:hint="eastAsia"/>
          <w:b/>
          <w:bCs/>
        </w:rPr>
        <w:t>投标</w:t>
      </w:r>
      <w:r>
        <w:rPr>
          <w:rFonts w:hint="eastAsia"/>
          <w:b/>
          <w:bCs/>
          <w:lang w:val="en-US"/>
        </w:rPr>
        <w:t>无效</w:t>
      </w:r>
      <w:r>
        <w:rPr>
          <w:rFonts w:hint="eastAsia"/>
        </w:rPr>
        <w:t>。</w:t>
      </w:r>
    </w:p>
    <w:p w14:paraId="644A305A">
      <w:pPr>
        <w:pStyle w:val="39"/>
        <w:jc w:val="both"/>
        <w:rPr>
          <w:rFonts w:hint="eastAsia"/>
        </w:rPr>
      </w:pPr>
      <w:r>
        <w:rPr>
          <w:rFonts w:hint="eastAsia"/>
        </w:rPr>
        <w:t>1</w:t>
      </w:r>
      <w:r>
        <w:rPr>
          <w:rFonts w:hint="eastAsia"/>
          <w:lang w:val="en-US"/>
        </w:rPr>
        <w:t>6</w:t>
      </w:r>
      <w:r>
        <w:rPr>
          <w:rFonts w:hint="eastAsia"/>
        </w:rPr>
        <w:t>.</w:t>
      </w:r>
      <w:r>
        <w:rPr>
          <w:rFonts w:hint="eastAsia"/>
          <w:lang w:val="en-US"/>
        </w:rPr>
        <w:t>4</w:t>
      </w:r>
      <w:r>
        <w:rPr>
          <w:rFonts w:hint="eastAsia"/>
        </w:rPr>
        <w:t>投标文件须严格按照</w:t>
      </w:r>
      <w:r>
        <w:rPr>
          <w:rFonts w:hint="eastAsia"/>
          <w:lang w:val="en-US"/>
        </w:rPr>
        <w:t>本</w:t>
      </w:r>
      <w:r>
        <w:rPr>
          <w:rFonts w:hint="eastAsia"/>
        </w:rPr>
        <w:t>招标文件第</w:t>
      </w:r>
      <w:r>
        <w:rPr>
          <w:rFonts w:hint="eastAsia"/>
          <w:lang w:val="en-US"/>
        </w:rPr>
        <w:t>七章</w:t>
      </w:r>
      <w:r>
        <w:rPr>
          <w:rFonts w:hint="eastAsia"/>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0D2DC87C">
      <w:pPr>
        <w:pStyle w:val="39"/>
        <w:jc w:val="both"/>
        <w:rPr>
          <w:rFonts w:hint="eastAsia"/>
        </w:rPr>
      </w:pPr>
      <w:r>
        <w:rPr>
          <w:rFonts w:hint="eastAsia"/>
          <w:lang w:val="en-US"/>
        </w:rPr>
        <w:t>16.5货物的技术参数有具体数值要求的，且招标文件要求投标人提供响应产品彩页、检验检测报告、厂家使用说明书等证明材料，则投标人在技术参数响应表中须标注产品实际参数数值，照搬照抄招标文件参数、不注明实际数值者</w:t>
      </w:r>
      <w:r>
        <w:rPr>
          <w:rFonts w:hint="eastAsia"/>
          <w:b/>
          <w:bCs/>
          <w:lang w:val="en-US"/>
        </w:rPr>
        <w:t>视为未响应</w:t>
      </w:r>
      <w:r>
        <w:rPr>
          <w:rFonts w:hint="eastAsia"/>
          <w:lang w:val="en-US"/>
        </w:rPr>
        <w:t>。</w:t>
      </w:r>
    </w:p>
    <w:p w14:paraId="30710415">
      <w:pPr>
        <w:pStyle w:val="39"/>
        <w:jc w:val="both"/>
        <w:rPr>
          <w:rFonts w:hint="eastAsia"/>
        </w:rPr>
      </w:pPr>
      <w:r>
        <w:rPr>
          <w:rFonts w:hint="eastAsia"/>
        </w:rPr>
        <w:t>1</w:t>
      </w:r>
      <w:r>
        <w:rPr>
          <w:rFonts w:hint="eastAsia"/>
          <w:lang w:val="en-US"/>
        </w:rPr>
        <w:t>6</w:t>
      </w:r>
      <w:r>
        <w:rPr>
          <w:rFonts w:hint="eastAsia"/>
        </w:rPr>
        <w:t>.</w:t>
      </w:r>
      <w:r>
        <w:rPr>
          <w:rFonts w:hint="eastAsia"/>
          <w:lang w:val="en-US"/>
        </w:rPr>
        <w:t>6</w:t>
      </w:r>
      <w:r>
        <w:rPr>
          <w:rFonts w:hint="eastAsia"/>
        </w:rPr>
        <w:t>开标一览表为在开标</w:t>
      </w:r>
      <w:r>
        <w:rPr>
          <w:rFonts w:hint="eastAsia"/>
          <w:lang w:val="en-US"/>
        </w:rPr>
        <w:t>时</w:t>
      </w:r>
      <w:r>
        <w:rPr>
          <w:rFonts w:hint="eastAsia"/>
        </w:rPr>
        <w:t>唱标的内容，要求按格式统一填写，不得自行增减内容。</w:t>
      </w:r>
    </w:p>
    <w:p w14:paraId="7AB65498">
      <w:pPr>
        <w:pStyle w:val="39"/>
        <w:jc w:val="both"/>
        <w:rPr>
          <w:rFonts w:hint="eastAsia"/>
        </w:rPr>
      </w:pPr>
      <w:r>
        <w:rPr>
          <w:rFonts w:hint="eastAsia"/>
        </w:rPr>
        <w:t>1</w:t>
      </w:r>
      <w:r>
        <w:rPr>
          <w:rFonts w:hint="eastAsia"/>
          <w:lang w:val="en-US"/>
        </w:rPr>
        <w:t>6</w:t>
      </w:r>
      <w:r>
        <w:rPr>
          <w:rFonts w:hint="eastAsia"/>
        </w:rPr>
        <w:t>.</w:t>
      </w:r>
      <w:r>
        <w:rPr>
          <w:rFonts w:hint="eastAsia"/>
          <w:lang w:val="en-US"/>
        </w:rPr>
        <w:t>7</w:t>
      </w:r>
      <w:r>
        <w:rPr>
          <w:rFonts w:hint="eastAsia"/>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lang w:val="en-US"/>
        </w:rPr>
        <w:t>按</w:t>
      </w:r>
      <w:r>
        <w:rPr>
          <w:rFonts w:hint="eastAsia"/>
          <w:b/>
          <w:bCs/>
          <w:lang w:val="en-US"/>
        </w:rPr>
        <w:t>无效投标</w:t>
      </w:r>
      <w:r>
        <w:rPr>
          <w:rFonts w:hint="eastAsia"/>
        </w:rPr>
        <w:t>处理。</w:t>
      </w:r>
    </w:p>
    <w:p w14:paraId="3FD8498C">
      <w:pPr>
        <w:pStyle w:val="39"/>
        <w:jc w:val="both"/>
        <w:rPr>
          <w:rFonts w:hint="eastAsia"/>
        </w:rPr>
      </w:pPr>
      <w:r>
        <w:rPr>
          <w:rFonts w:hint="eastAsia"/>
        </w:rPr>
        <w:t>1</w:t>
      </w:r>
      <w:r>
        <w:rPr>
          <w:rFonts w:hint="eastAsia"/>
          <w:lang w:val="en-US"/>
        </w:rPr>
        <w:t>6</w:t>
      </w:r>
      <w:r>
        <w:rPr>
          <w:rFonts w:hint="eastAsia"/>
        </w:rPr>
        <w:t>.</w:t>
      </w:r>
      <w:r>
        <w:rPr>
          <w:rFonts w:hint="eastAsia"/>
          <w:lang w:val="en-US"/>
        </w:rPr>
        <w:t>8</w:t>
      </w:r>
      <w:r>
        <w:rPr>
          <w:rFonts w:hint="eastAsia"/>
        </w:rPr>
        <w:t>投标人必须保证投标文件所提供的全部资料真实可靠，并接受采购</w:t>
      </w:r>
      <w:r>
        <w:rPr>
          <w:rFonts w:hint="eastAsia"/>
          <w:lang w:val="en-US"/>
        </w:rPr>
        <w:t>人、采购</w:t>
      </w:r>
      <w:r>
        <w:rPr>
          <w:rFonts w:hint="eastAsia"/>
        </w:rPr>
        <w:t>代理机构或评标委员会对其中任何资料进一步审查的要求。</w:t>
      </w:r>
    </w:p>
    <w:p w14:paraId="678A634A">
      <w:pPr>
        <w:pStyle w:val="39"/>
        <w:jc w:val="both"/>
        <w:rPr>
          <w:rFonts w:hint="eastAsia"/>
        </w:rPr>
      </w:pPr>
      <w:r>
        <w:rPr>
          <w:rFonts w:hint="eastAsia"/>
        </w:rPr>
        <w:t>1</w:t>
      </w:r>
      <w:r>
        <w:rPr>
          <w:rFonts w:hint="eastAsia"/>
          <w:lang w:val="en-US"/>
        </w:rPr>
        <w:t>6</w:t>
      </w:r>
      <w:r>
        <w:rPr>
          <w:rFonts w:hint="eastAsia"/>
        </w:rPr>
        <w:t>.</w:t>
      </w:r>
      <w:r>
        <w:rPr>
          <w:rFonts w:hint="eastAsia"/>
          <w:lang w:val="en-US"/>
        </w:rPr>
        <w:t>9</w:t>
      </w:r>
      <w:r>
        <w:rPr>
          <w:rFonts w:hint="eastAsia"/>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b/>
          <w:bCs/>
        </w:rPr>
        <w:t>无效投标</w:t>
      </w:r>
      <w:r>
        <w:rPr>
          <w:rFonts w:hint="eastAsia"/>
        </w:rPr>
        <w:t>处理。</w:t>
      </w:r>
    </w:p>
    <w:p w14:paraId="430FE925">
      <w:pPr>
        <w:pStyle w:val="56"/>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16.10电子投标文件的编制</w:t>
      </w:r>
    </w:p>
    <w:p w14:paraId="5470136C">
      <w:pPr>
        <w:pStyle w:val="56"/>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 xml:space="preserve">16.10.1电子投标文件需按招标文件要求进行制作编制。投标文件制作时，不同内容按标签提示制作导入，按照招标文件中明确的投标文件目录和格式进行编制，保证目录清晰、内容完整；           </w:t>
      </w:r>
    </w:p>
    <w:p w14:paraId="6AA5EE0C">
      <w:pPr>
        <w:pStyle w:val="56"/>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heme="minorBidi"/>
          <w:b/>
          <w:bCs/>
          <w:iCs/>
          <w:kern w:val="2"/>
          <w:sz w:val="24"/>
          <w:szCs w:val="22"/>
          <w:shd w:val="clear" w:color="auto" w:fill="FFFFFF" w:themeFill="background1"/>
        </w:rPr>
        <w:t>其投标无效</w:t>
      </w:r>
      <w:r>
        <w:rPr>
          <w:rFonts w:hint="eastAsia" w:ascii="宋体" w:hAnsi="宋体" w:eastAsia="宋体" w:cstheme="minorBidi"/>
          <w:iCs/>
          <w:kern w:val="2"/>
          <w:sz w:val="24"/>
          <w:szCs w:val="22"/>
          <w:shd w:val="clear" w:color="auto" w:fill="FFFFFF" w:themeFill="background1"/>
        </w:rPr>
        <w:t xml:space="preserve">。 </w:t>
      </w:r>
    </w:p>
    <w:p w14:paraId="7AAA3E10">
      <w:pPr>
        <w:pStyle w:val="5"/>
        <w:keepNext w:val="0"/>
        <w:keepLines w:val="0"/>
        <w:spacing w:before="180" w:after="180" w:line="240" w:lineRule="auto"/>
        <w:ind w:left="420" w:hanging="420"/>
        <w:jc w:val="both"/>
        <w:rPr>
          <w:rFonts w:hint="eastAsia" w:cs="宋体"/>
          <w:sz w:val="24"/>
        </w:rPr>
      </w:pPr>
      <w:bookmarkStart w:id="198" w:name="_Toc163492842"/>
      <w:bookmarkStart w:id="199" w:name="_Toc155185873"/>
      <w:r>
        <w:rPr>
          <w:rFonts w:hint="eastAsia" w:cs="宋体"/>
          <w:sz w:val="24"/>
        </w:rPr>
        <w:t>（四）投标</w:t>
      </w:r>
      <w:bookmarkEnd w:id="198"/>
      <w:bookmarkEnd w:id="199"/>
    </w:p>
    <w:p w14:paraId="701BE7BE">
      <w:pPr>
        <w:pStyle w:val="6"/>
        <w:keepNext w:val="0"/>
        <w:keepLines w:val="0"/>
        <w:spacing w:before="80" w:after="60" w:line="240" w:lineRule="auto"/>
        <w:ind w:left="420" w:hanging="420"/>
        <w:jc w:val="both"/>
        <w:rPr>
          <w:rFonts w:hint="eastAsia" w:ascii="宋体" w:hAnsi="宋体" w:cs="宋体"/>
          <w:sz w:val="24"/>
        </w:rPr>
      </w:pPr>
      <w:bookmarkStart w:id="200" w:name="_Toc163492843"/>
      <w:r>
        <w:rPr>
          <w:rFonts w:hint="eastAsia" w:ascii="宋体" w:hAnsi="宋体" w:cs="宋体"/>
          <w:sz w:val="24"/>
        </w:rPr>
        <w:t>17.投标保证金</w:t>
      </w:r>
    </w:p>
    <w:p w14:paraId="79964EA5">
      <w:pPr>
        <w:pStyle w:val="56"/>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17.1投标人应按照招标文件“第二章 投标人须知前附表”规定的金额及要求提交投标保证金。投标人自愿超额缴纳投标保证金的，投标文件不作无效处理。</w:t>
      </w:r>
    </w:p>
    <w:p w14:paraId="1653FC11">
      <w:pPr>
        <w:ind w:firstLine="480" w:firstLineChars="200"/>
        <w:jc w:val="both"/>
        <w:rPr>
          <w:rFonts w:hint="eastAsia" w:cs="宋体"/>
        </w:rPr>
      </w:pPr>
      <w:r>
        <w:rPr>
          <w:rFonts w:hint="eastAsia"/>
          <w:iCs/>
          <w:shd w:val="clear" w:color="auto" w:fill="FFFFFF" w:themeFill="background1"/>
        </w:rPr>
        <w:t>17.2提交投标保证金可采用的形式：政府采购法律法规接受的支票、汇票、本票、网上银行支付或者金融机构、担保机构出具的保函等非现金形式。</w:t>
      </w:r>
      <w:r>
        <w:rPr>
          <w:rFonts w:hint="eastAsia" w:cs="宋体"/>
        </w:rPr>
        <w:t>投标人未按照招标文件要求提交投标保证金的，其</w:t>
      </w:r>
      <w:r>
        <w:rPr>
          <w:rFonts w:hint="eastAsia" w:cs="宋体"/>
          <w:b/>
          <w:bCs/>
        </w:rPr>
        <w:t>投标无效</w:t>
      </w:r>
      <w:r>
        <w:rPr>
          <w:rFonts w:hint="eastAsia" w:cs="宋体"/>
        </w:rPr>
        <w:t>。</w:t>
      </w:r>
      <w:r>
        <w:rPr>
          <w:rFonts w:hint="eastAsia"/>
        </w:rPr>
        <w:t>投标保证金有效期同投标有效期。</w:t>
      </w:r>
    </w:p>
    <w:p w14:paraId="2EF9CFD9">
      <w:pPr>
        <w:pStyle w:val="11"/>
        <w:ind w:firstLine="480"/>
        <w:jc w:val="both"/>
        <w:rPr>
          <w:rFonts w:hint="eastAsia" w:ascii="宋体" w:hAnsi="宋体" w:cs="宋体"/>
        </w:rPr>
      </w:pPr>
      <w:r>
        <w:rPr>
          <w:rFonts w:hint="eastAsia" w:ascii="宋体" w:hAnsi="宋体" w:cs="宋体"/>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cs="宋体"/>
          <w:b/>
          <w:bCs/>
        </w:rPr>
        <w:t>投标无效</w:t>
      </w:r>
      <w:r>
        <w:rPr>
          <w:rFonts w:hint="eastAsia" w:ascii="宋体" w:hAnsi="宋体" w:cs="宋体"/>
        </w:rPr>
        <w:t>。</w:t>
      </w:r>
    </w:p>
    <w:p w14:paraId="40A79019">
      <w:pPr>
        <w:pStyle w:val="56"/>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4</w:t>
      </w:r>
      <w:r>
        <w:rPr>
          <w:rFonts w:ascii="宋体" w:hAnsi="宋体" w:eastAsia="宋体" w:cstheme="minorBidi"/>
          <w:iCs/>
          <w:kern w:val="2"/>
          <w:sz w:val="24"/>
          <w:szCs w:val="22"/>
          <w:shd w:val="clear" w:color="auto" w:fill="FFFFFF" w:themeFill="background1"/>
        </w:rPr>
        <w:t xml:space="preserve"> 投标人为联合体的，可以由联合体中的一方或者多方共同</w:t>
      </w:r>
      <w:r>
        <w:rPr>
          <w:rFonts w:hint="eastAsia" w:ascii="宋体" w:hAnsi="宋体" w:eastAsia="宋体" w:cstheme="minorBidi"/>
          <w:iCs/>
          <w:kern w:val="2"/>
          <w:sz w:val="24"/>
          <w:szCs w:val="22"/>
          <w:shd w:val="clear" w:color="auto" w:fill="FFFFFF" w:themeFill="background1"/>
        </w:rPr>
        <w:t>提交</w:t>
      </w:r>
      <w:r>
        <w:rPr>
          <w:rFonts w:ascii="宋体" w:hAnsi="宋体" w:eastAsia="宋体" w:cstheme="minorBidi"/>
          <w:iCs/>
          <w:kern w:val="2"/>
          <w:sz w:val="24"/>
          <w:szCs w:val="22"/>
          <w:shd w:val="clear" w:color="auto" w:fill="FFFFFF" w:themeFill="background1"/>
        </w:rPr>
        <w:t>投标保证金，其</w:t>
      </w:r>
      <w:r>
        <w:rPr>
          <w:rFonts w:hint="eastAsia" w:ascii="宋体" w:hAnsi="宋体" w:eastAsia="宋体" w:cstheme="minorBidi"/>
          <w:iCs/>
          <w:kern w:val="2"/>
          <w:sz w:val="24"/>
          <w:szCs w:val="22"/>
          <w:shd w:val="clear" w:color="auto" w:fill="FFFFFF" w:themeFill="background1"/>
        </w:rPr>
        <w:t>提交</w:t>
      </w:r>
      <w:r>
        <w:rPr>
          <w:rFonts w:ascii="宋体" w:hAnsi="宋体" w:eastAsia="宋体" w:cstheme="minorBidi"/>
          <w:iCs/>
          <w:kern w:val="2"/>
          <w:sz w:val="24"/>
          <w:szCs w:val="22"/>
          <w:shd w:val="clear" w:color="auto" w:fill="FFFFFF" w:themeFill="background1"/>
        </w:rPr>
        <w:t>的投标保证金对联合体各方均具有约束力。</w:t>
      </w:r>
    </w:p>
    <w:p w14:paraId="774FE7DE">
      <w:pPr>
        <w:pStyle w:val="56"/>
        <w:spacing w:line="360" w:lineRule="auto"/>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 xml:space="preserve">    17.5</w:t>
      </w:r>
      <w:r>
        <w:rPr>
          <w:rFonts w:ascii="宋体" w:hAnsi="宋体" w:eastAsia="宋体" w:cstheme="minorBidi"/>
          <w:iCs/>
          <w:kern w:val="2"/>
          <w:sz w:val="24"/>
          <w:szCs w:val="22"/>
          <w:shd w:val="clear" w:color="auto" w:fill="FFFFFF" w:themeFill="background1"/>
        </w:rPr>
        <w:t>采购人或者采购代理机构应当在采购活动结束后及时退还</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保证金，采用银行保函、担保机构担保函等形式递交的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保证金，经</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同意后采购人、采购代理机构可以不再退还，但因</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自身原因导致无法及时退还的除外。未</w:t>
      </w:r>
      <w:r>
        <w:rPr>
          <w:rFonts w:hint="eastAsia" w:ascii="宋体" w:hAnsi="宋体" w:eastAsia="宋体" w:cstheme="minorBidi"/>
          <w:iCs/>
          <w:kern w:val="2"/>
          <w:sz w:val="24"/>
          <w:szCs w:val="22"/>
          <w:shd w:val="clear" w:color="auto" w:fill="FFFFFF" w:themeFill="background1"/>
        </w:rPr>
        <w:t>中标投标人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保证金应当自中标通知书发出之日起 5 个工作日内退还，</w:t>
      </w:r>
      <w:r>
        <w:rPr>
          <w:rFonts w:hint="eastAsia" w:ascii="宋体" w:hAnsi="宋体" w:eastAsia="宋体" w:cstheme="minorBidi"/>
          <w:iCs/>
          <w:kern w:val="2"/>
          <w:sz w:val="24"/>
          <w:szCs w:val="22"/>
          <w:shd w:val="clear" w:color="auto" w:fill="FFFFFF" w:themeFill="background1"/>
        </w:rPr>
        <w:t>中标投标人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 xml:space="preserve">保证金应当自采购合同签订之日起 5 个工作日内退还。 </w:t>
      </w:r>
    </w:p>
    <w:p w14:paraId="4F7F3937">
      <w:pPr>
        <w:pStyle w:val="56"/>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6</w:t>
      </w:r>
      <w:r>
        <w:rPr>
          <w:rFonts w:ascii="宋体" w:hAnsi="宋体" w:eastAsia="宋体" w:cstheme="minorBidi"/>
          <w:iCs/>
          <w:kern w:val="2"/>
          <w:sz w:val="24"/>
          <w:szCs w:val="22"/>
          <w:shd w:val="clear" w:color="auto" w:fill="FFFFFF" w:themeFill="background1"/>
        </w:rPr>
        <w:t xml:space="preserve"> 投标人在投标截止时间前撤回已</w:t>
      </w:r>
      <w:r>
        <w:rPr>
          <w:rFonts w:hint="eastAsia" w:ascii="宋体" w:hAnsi="宋体" w:eastAsia="宋体" w:cstheme="minorBidi"/>
          <w:iCs/>
          <w:kern w:val="2"/>
          <w:sz w:val="24"/>
          <w:szCs w:val="22"/>
          <w:shd w:val="clear" w:color="auto" w:fill="FFFFFF" w:themeFill="background1"/>
        </w:rPr>
        <w:t>提</w:t>
      </w:r>
      <w:r>
        <w:rPr>
          <w:rFonts w:ascii="宋体" w:hAnsi="宋体" w:eastAsia="宋体" w:cstheme="minorBidi"/>
          <w:iCs/>
          <w:kern w:val="2"/>
          <w:sz w:val="24"/>
          <w:szCs w:val="22"/>
          <w:shd w:val="clear" w:color="auto" w:fill="FFFFFF" w:themeFill="background1"/>
        </w:rPr>
        <w:t>交的投标文件的，自收到投标人书面撤回通知之日起 5 个工作日内，退还已收取的投标保证金，但因投标人自身原因导致无法及时退还的除外</w:t>
      </w:r>
      <w:r>
        <w:rPr>
          <w:rFonts w:hint="eastAsia" w:ascii="宋体" w:hAnsi="宋体" w:eastAsia="宋体" w:cstheme="minorBidi"/>
          <w:iCs/>
          <w:kern w:val="2"/>
          <w:sz w:val="24"/>
          <w:szCs w:val="22"/>
          <w:shd w:val="clear" w:color="auto" w:fill="FFFFFF" w:themeFill="background1"/>
        </w:rPr>
        <w:t>。</w:t>
      </w:r>
      <w:r>
        <w:rPr>
          <w:rFonts w:ascii="宋体" w:hAnsi="宋体" w:eastAsia="宋体" w:cstheme="minorBidi"/>
          <w:iCs/>
          <w:kern w:val="2"/>
          <w:sz w:val="24"/>
          <w:szCs w:val="22"/>
          <w:shd w:val="clear" w:color="auto" w:fill="FFFFFF" w:themeFill="background1"/>
        </w:rPr>
        <w:t xml:space="preserve"> </w:t>
      </w:r>
    </w:p>
    <w:p w14:paraId="5EC2DFB3">
      <w:pPr>
        <w:pStyle w:val="56"/>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 xml:space="preserve"> 终止招标项目已经收取投标保证金的，自终止采购活动后 5 个工作日内退还已收取的投标保证金及其在银行产生的孳息。</w:t>
      </w:r>
    </w:p>
    <w:p w14:paraId="750CC55E">
      <w:pPr>
        <w:pStyle w:val="56"/>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 有下列情形之一的，采购人或采购代理机构可以不予退还投标保证金</w:t>
      </w:r>
      <w:r>
        <w:rPr>
          <w:rFonts w:hint="eastAsia" w:ascii="宋体" w:hAnsi="宋体" w:eastAsia="宋体" w:cstheme="minorBidi"/>
          <w:iCs/>
          <w:kern w:val="2"/>
          <w:sz w:val="24"/>
          <w:szCs w:val="22"/>
          <w:shd w:val="clear" w:color="auto" w:fill="FFFFFF" w:themeFill="background1"/>
        </w:rPr>
        <w:t>，</w:t>
      </w:r>
      <w:r>
        <w:rPr>
          <w:rFonts w:hint="eastAsia" w:ascii="宋体" w:hAnsi="宋体" w:eastAsia="宋体" w:cs="宋体"/>
          <w:kern w:val="2"/>
          <w:sz w:val="24"/>
          <w:szCs w:val="22"/>
        </w:rPr>
        <w:t>情节严重的将其列入不良记录名单</w:t>
      </w:r>
      <w:r>
        <w:rPr>
          <w:rFonts w:ascii="宋体" w:hAnsi="宋体" w:eastAsia="宋体" w:cstheme="minorBidi"/>
          <w:iCs/>
          <w:kern w:val="2"/>
          <w:sz w:val="24"/>
          <w:szCs w:val="22"/>
          <w:shd w:val="clear" w:color="auto" w:fill="FFFFFF" w:themeFill="background1"/>
        </w:rPr>
        <w:t xml:space="preserve">： </w:t>
      </w:r>
    </w:p>
    <w:p w14:paraId="05FCA435">
      <w:pPr>
        <w:pStyle w:val="56"/>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.1 </w:t>
      </w:r>
      <w:r>
        <w:rPr>
          <w:rFonts w:hint="eastAsia" w:ascii="宋体" w:hAnsi="宋体" w:eastAsia="宋体" w:cs="宋体"/>
          <w:kern w:val="2"/>
          <w:sz w:val="24"/>
          <w:szCs w:val="22"/>
        </w:rPr>
        <w:t>开标后在投标有效期内，投标人撤销其投标的；</w:t>
      </w:r>
      <w:r>
        <w:rPr>
          <w:rFonts w:ascii="宋体" w:hAnsi="宋体" w:eastAsia="宋体" w:cstheme="minorBidi"/>
          <w:iCs/>
          <w:kern w:val="2"/>
          <w:sz w:val="24"/>
          <w:szCs w:val="22"/>
          <w:shd w:val="clear" w:color="auto" w:fill="FFFFFF" w:themeFill="background1"/>
        </w:rPr>
        <w:t xml:space="preserve"> </w:t>
      </w:r>
    </w:p>
    <w:p w14:paraId="48343EE0">
      <w:pPr>
        <w:pStyle w:val="56"/>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.2 </w:t>
      </w:r>
      <w:r>
        <w:rPr>
          <w:rFonts w:hint="eastAsia" w:ascii="宋体" w:hAnsi="宋体" w:eastAsia="宋体" w:cs="宋体"/>
          <w:kern w:val="2"/>
          <w:sz w:val="24"/>
          <w:szCs w:val="22"/>
        </w:rPr>
        <w:t>中标后无正当理由不与采购人签订合同的；</w:t>
      </w:r>
    </w:p>
    <w:p w14:paraId="175CE501">
      <w:pPr>
        <w:pStyle w:val="56"/>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 xml:space="preserve">17.8.3 </w:t>
      </w:r>
      <w:r>
        <w:rPr>
          <w:rFonts w:hint="eastAsia" w:ascii="宋体" w:hAnsi="宋体" w:eastAsia="宋体" w:cs="宋体"/>
          <w:kern w:val="2"/>
          <w:sz w:val="24"/>
          <w:szCs w:val="22"/>
        </w:rPr>
        <w:t>中标人与采购人订立背离合同实质性内容的其他协议；</w:t>
      </w:r>
    </w:p>
    <w:p w14:paraId="61CA11BB">
      <w:pPr>
        <w:pStyle w:val="56"/>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4 将中标项目转让给他人，或者在投标文件中未说明，且未经采购人同意，将中标项目分包给他人的；</w:t>
      </w:r>
    </w:p>
    <w:p w14:paraId="20171FE2">
      <w:pPr>
        <w:pStyle w:val="56"/>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5 存在串通投标行为的；</w:t>
      </w:r>
    </w:p>
    <w:p w14:paraId="322ED8A0">
      <w:pPr>
        <w:pStyle w:val="56"/>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6 存在弄虚作假或提供虚假材料谋取中标的；</w:t>
      </w:r>
    </w:p>
    <w:p w14:paraId="4A393C74">
      <w:pPr>
        <w:pStyle w:val="56"/>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7 投标人其他未按招标文件规定和合同约定履行义务的行为。</w:t>
      </w:r>
    </w:p>
    <w:p w14:paraId="10D10F2D">
      <w:pPr>
        <w:pStyle w:val="56"/>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17.9如开标时投标人对本单位投标保证金缴纳情况有疑义，投标人应在开标结束前向采购人提交书面申请核实保证金缴纳情况。由银行或保险公司核实后出具书面材料予以答复。</w:t>
      </w:r>
    </w:p>
    <w:p w14:paraId="3F3FED71">
      <w:pPr>
        <w:pStyle w:val="56"/>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 政府采购网”—顶部通栏“信用融资”或者“ 政府采购网”首页“政采贷｜电子保函”快捷模块查看：</w:t>
      </w:r>
    </w:p>
    <w:p w14:paraId="1284D574">
      <w:pPr>
        <w:pStyle w:val="56"/>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直达链接（电子保函）：</w:t>
      </w:r>
    </w:p>
    <w:p w14:paraId="0CFD8EF9">
      <w:pPr>
        <w:pStyle w:val="56"/>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https://jinrong.zcygov.cn/luban/finance/xinjiang?utm=site.site-PC-4838.1473-pc-wsg-customFloatWindow-front.1.b9d627301e6311efb796b33a13fe0d0a</w:t>
      </w:r>
    </w:p>
    <w:p w14:paraId="76629309">
      <w:pPr>
        <w:pStyle w:val="56"/>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金融服务支撑热线：</w:t>
      </w:r>
      <w:r>
        <w:rPr>
          <w:rFonts w:hint="eastAsia" w:ascii="宋体" w:hAnsi="宋体" w:eastAsia="宋体" w:cstheme="minorBidi"/>
          <w:b/>
          <w:bCs/>
          <w:iCs/>
          <w:kern w:val="2"/>
          <w:sz w:val="24"/>
          <w:szCs w:val="22"/>
          <w:shd w:val="clear" w:color="auto" w:fill="FFFFFF" w:themeFill="background1"/>
        </w:rPr>
        <w:t>95763</w:t>
      </w:r>
      <w:r>
        <w:rPr>
          <w:rFonts w:hint="eastAsia" w:ascii="宋体" w:hAnsi="宋体" w:eastAsia="宋体" w:cstheme="minorBidi"/>
          <w:iCs/>
          <w:kern w:val="2"/>
          <w:sz w:val="24"/>
          <w:szCs w:val="22"/>
          <w:shd w:val="clear" w:color="auto" w:fill="FFFFFF" w:themeFill="background1"/>
        </w:rPr>
        <w:t xml:space="preserve">     </w:t>
      </w:r>
    </w:p>
    <w:p w14:paraId="3EAFC365">
      <w:pPr>
        <w:pStyle w:val="6"/>
        <w:keepNext w:val="0"/>
        <w:keepLines w:val="0"/>
        <w:spacing w:before="80" w:after="60" w:line="240" w:lineRule="auto"/>
        <w:ind w:left="420" w:hanging="420"/>
        <w:jc w:val="both"/>
        <w:rPr>
          <w:rFonts w:hint="eastAsia" w:ascii="宋体" w:hAnsi="宋体" w:cs="宋体"/>
          <w:sz w:val="24"/>
        </w:rPr>
      </w:pPr>
      <w:r>
        <w:rPr>
          <w:rFonts w:hint="eastAsia" w:ascii="宋体" w:hAnsi="宋体" w:cs="宋体"/>
          <w:sz w:val="24"/>
        </w:rPr>
        <w:t>18.投标文件的加密</w:t>
      </w:r>
      <w:bookmarkEnd w:id="200"/>
    </w:p>
    <w:p w14:paraId="77E7CEBB">
      <w:pPr>
        <w:ind w:firstLine="480" w:firstLineChars="200"/>
        <w:jc w:val="both"/>
        <w:rPr>
          <w:rFonts w:hint="eastAsia" w:cs="仿宋_GB2312"/>
          <w:szCs w:val="24"/>
          <w:u w:val="single"/>
        </w:rPr>
      </w:pPr>
      <w:bookmarkStart w:id="201" w:name="_Hlk143531864"/>
      <w:r>
        <w:rPr>
          <w:rFonts w:cs="仿宋_GB2312"/>
          <w:szCs w:val="24"/>
        </w:rPr>
        <w:t>1</w:t>
      </w:r>
      <w:r>
        <w:rPr>
          <w:rFonts w:hint="eastAsia" w:cs="仿宋_GB2312"/>
          <w:szCs w:val="24"/>
        </w:rPr>
        <w:t>8.1投标人在</w:t>
      </w:r>
      <w:r>
        <w:rPr>
          <w:rFonts w:hint="eastAsia" w:cs="宋体"/>
          <w:szCs w:val="24"/>
        </w:rPr>
        <w:t>“</w:t>
      </w:r>
      <w:r>
        <w:rPr>
          <w:rFonts w:hint="eastAsia" w:cs="仿宋_GB2312"/>
          <w:szCs w:val="24"/>
        </w:rPr>
        <w:t>投标客户端”中生成投标文件并完成签章之后，使用CA证书在</w:t>
      </w:r>
      <w:r>
        <w:rPr>
          <w:rFonts w:hint="eastAsia" w:cs="宋体"/>
          <w:szCs w:val="24"/>
        </w:rPr>
        <w:t>“</w:t>
      </w:r>
      <w:r>
        <w:rPr>
          <w:rFonts w:hint="eastAsia" w:cs="仿宋_GB2312"/>
          <w:szCs w:val="24"/>
        </w:rPr>
        <w:t>投标客户端”中对投标文件进行加密。</w:t>
      </w:r>
    </w:p>
    <w:p w14:paraId="12F2E25C">
      <w:pPr>
        <w:ind w:firstLine="480" w:firstLineChars="200"/>
        <w:jc w:val="both"/>
        <w:rPr>
          <w:rFonts w:hint="eastAsia" w:cs="仿宋_GB2312"/>
          <w:szCs w:val="24"/>
        </w:rPr>
      </w:pPr>
      <w:r>
        <w:rPr>
          <w:rFonts w:cs="仿宋_GB2312"/>
          <w:szCs w:val="24"/>
        </w:rPr>
        <w:t>1</w:t>
      </w:r>
      <w:r>
        <w:rPr>
          <w:rFonts w:hint="eastAsia" w:cs="仿宋_GB2312"/>
          <w:szCs w:val="24"/>
        </w:rPr>
        <w:t>8.2投标人应在</w:t>
      </w:r>
      <w:r>
        <w:rPr>
          <w:rFonts w:hint="eastAsia" w:cs="宋体"/>
          <w:szCs w:val="24"/>
        </w:rPr>
        <w:t>“</w:t>
      </w:r>
      <w:r>
        <w:rPr>
          <w:rFonts w:hint="eastAsia" w:cs="仿宋_GB2312"/>
          <w:szCs w:val="24"/>
        </w:rPr>
        <w:t>投标客户端”中对加密的投标文件进行解密验证，以防止投标文件加密异常，在开标时无法解密。</w:t>
      </w:r>
    </w:p>
    <w:p w14:paraId="0AE291CE">
      <w:pPr>
        <w:ind w:firstLine="480" w:firstLineChars="200"/>
        <w:jc w:val="both"/>
        <w:rPr>
          <w:rFonts w:hint="eastAsia" w:cs="仿宋_GB2312"/>
          <w:szCs w:val="24"/>
        </w:rPr>
      </w:pPr>
      <w:r>
        <w:rPr>
          <w:rFonts w:cs="仿宋_GB2312"/>
          <w:szCs w:val="24"/>
        </w:rPr>
        <w:t>1</w:t>
      </w:r>
      <w:r>
        <w:rPr>
          <w:rFonts w:hint="eastAsia" w:cs="仿宋_GB2312"/>
          <w:szCs w:val="24"/>
        </w:rPr>
        <w:t>8.3 投标人应保证加密投标文件的CA证书有效期在开标时间之前。若CA证书有效期临近开标时间，建议投标人提前办理CA证书续期，以免开标时无法进行解密。</w:t>
      </w:r>
    </w:p>
    <w:p w14:paraId="31005006">
      <w:pPr>
        <w:wordWrap w:val="0"/>
        <w:ind w:firstLine="480" w:firstLineChars="200"/>
        <w:jc w:val="both"/>
        <w:rPr>
          <w:rFonts w:hint="eastAsia" w:cs="仿宋_GB2312"/>
          <w:szCs w:val="24"/>
        </w:rPr>
      </w:pPr>
      <w:r>
        <w:rPr>
          <w:rFonts w:hint="eastAsia" w:cs="仿宋_GB2312"/>
          <w:szCs w:val="24"/>
        </w:rPr>
        <w:t>18.4投标人在投标文件递交截止时间前通过 政府采购网（http://www.ccgp-xinjiang.gov.cn/）的“政采云登录入口”登录后，将加密电子投标文件（为.jmbs后缀格式）上传到对应项目的指定位置，投标人认为有必要提交的其他资料请于投标截止时间前一并提交。</w:t>
      </w:r>
    </w:p>
    <w:p w14:paraId="740AB4E4">
      <w:pPr>
        <w:ind w:firstLine="480" w:firstLineChars="200"/>
        <w:jc w:val="both"/>
        <w:rPr>
          <w:rFonts w:hint="eastAsia" w:cs="仿宋_GB2312"/>
          <w:szCs w:val="24"/>
        </w:rPr>
      </w:pPr>
      <w:r>
        <w:rPr>
          <w:rFonts w:hint="eastAsia" w:cs="仿宋_GB2312"/>
          <w:szCs w:val="24"/>
        </w:rPr>
        <w:t>18.5如果投标人未按上述要求加密并上传，采购代理机构对投标文件的误投、无法解密、传输错误等问题概不负责。对由此造成无法正常开启的投标文件，采购代理机构有权予以拒绝，并退回投标人。</w:t>
      </w:r>
    </w:p>
    <w:p w14:paraId="59CA904E">
      <w:pPr>
        <w:ind w:firstLine="480" w:firstLineChars="200"/>
        <w:jc w:val="both"/>
        <w:rPr>
          <w:rFonts w:hint="eastAsia" w:cs="仿宋_GB2312"/>
          <w:szCs w:val="24"/>
        </w:rPr>
      </w:pPr>
      <w:r>
        <w:rPr>
          <w:rFonts w:hint="eastAsia" w:cs="仿宋_GB2312"/>
          <w:szCs w:val="24"/>
        </w:rPr>
        <w:t>18.6本项目采用不见面开标，无需提供电子投标文件U盘。</w:t>
      </w:r>
    </w:p>
    <w:bookmarkEnd w:id="201"/>
    <w:p w14:paraId="4B0ED561">
      <w:pPr>
        <w:pStyle w:val="6"/>
        <w:keepNext w:val="0"/>
        <w:keepLines w:val="0"/>
        <w:spacing w:before="80" w:after="60" w:line="240" w:lineRule="auto"/>
        <w:ind w:left="420" w:hanging="420"/>
        <w:jc w:val="both"/>
        <w:rPr>
          <w:rFonts w:hint="eastAsia" w:ascii="宋体" w:hAnsi="宋体" w:cs="宋体"/>
          <w:sz w:val="24"/>
        </w:rPr>
      </w:pPr>
      <w:bookmarkStart w:id="202" w:name="_Toc140132777"/>
      <w:bookmarkStart w:id="203" w:name="_Toc163492844"/>
      <w:r>
        <w:rPr>
          <w:rFonts w:hint="eastAsia" w:ascii="宋体" w:hAnsi="宋体" w:cs="宋体"/>
          <w:sz w:val="24"/>
        </w:rPr>
        <w:t>19.投标文件的递交</w:t>
      </w:r>
      <w:bookmarkEnd w:id="202"/>
      <w:r>
        <w:rPr>
          <w:rFonts w:hint="eastAsia" w:ascii="宋体" w:hAnsi="宋体" w:cs="宋体"/>
          <w:sz w:val="24"/>
        </w:rPr>
        <w:t>（上传）</w:t>
      </w:r>
      <w:bookmarkEnd w:id="203"/>
    </w:p>
    <w:p w14:paraId="131CCA4D">
      <w:pPr>
        <w:ind w:firstLine="480" w:firstLineChars="200"/>
        <w:jc w:val="both"/>
        <w:rPr>
          <w:rFonts w:hint="eastAsia" w:cs="仿宋_GB2312"/>
          <w:szCs w:val="24"/>
        </w:rPr>
      </w:pPr>
      <w:bookmarkStart w:id="204" w:name="_Hlk143531977"/>
      <w:r>
        <w:rPr>
          <w:rFonts w:hint="eastAsia" w:cs="仿宋_GB2312"/>
          <w:szCs w:val="24"/>
        </w:rPr>
        <w:t xml:space="preserve">19.1 投标人应在“第一章 </w:t>
      </w:r>
      <w:r>
        <w:rPr>
          <w:rFonts w:hint="eastAsia"/>
        </w:rPr>
        <w:t>招标公告</w:t>
      </w:r>
      <w:r>
        <w:rPr>
          <w:rFonts w:hint="eastAsia" w:cs="仿宋_GB2312"/>
          <w:szCs w:val="24"/>
        </w:rPr>
        <w:t>”规定的投标截止时间前递交（上传）投标文件。</w:t>
      </w:r>
    </w:p>
    <w:p w14:paraId="52899A34">
      <w:pPr>
        <w:ind w:firstLine="480" w:firstLineChars="200"/>
        <w:jc w:val="both"/>
        <w:rPr>
          <w:rFonts w:hint="eastAsia" w:cs="仿宋_GB2312"/>
          <w:szCs w:val="24"/>
        </w:rPr>
      </w:pPr>
      <w:r>
        <w:rPr>
          <w:rFonts w:hint="eastAsia" w:cs="仿宋_GB2312"/>
          <w:szCs w:val="24"/>
        </w:rPr>
        <w:t xml:space="preserve">19.2 投标人递交（上传）投标文件的地点见“第一章 </w:t>
      </w:r>
      <w:r>
        <w:rPr>
          <w:rFonts w:hint="eastAsia"/>
        </w:rPr>
        <w:t>招标公告</w:t>
      </w:r>
      <w:r>
        <w:rPr>
          <w:rFonts w:hint="eastAsia" w:cs="仿宋_GB2312"/>
          <w:szCs w:val="24"/>
        </w:rPr>
        <w:t>”。</w:t>
      </w:r>
    </w:p>
    <w:p w14:paraId="03ED9982">
      <w:pPr>
        <w:ind w:firstLine="480" w:firstLineChars="200"/>
        <w:jc w:val="both"/>
        <w:rPr>
          <w:rFonts w:hint="eastAsia" w:cs="仿宋_GB2312"/>
          <w:szCs w:val="24"/>
        </w:rPr>
      </w:pPr>
      <w:r>
        <w:rPr>
          <w:rFonts w:hint="eastAsia" w:cs="仿宋_GB2312"/>
          <w:szCs w:val="24"/>
        </w:rPr>
        <w:t>19.3投标人应充分评估集中同时投标带来的网络影响，尽量避开投标高峰时间，错峰进行电子投标。投标人递交全部的投标文件后可在政采云平台（项目采购—投标文件上传）中获取投标文件递交回执单。</w:t>
      </w:r>
    </w:p>
    <w:p w14:paraId="4D26B0D2">
      <w:pPr>
        <w:ind w:firstLine="480" w:firstLineChars="200"/>
        <w:jc w:val="both"/>
        <w:rPr>
          <w:rFonts w:hint="eastAsia" w:cs="仿宋_GB2312"/>
          <w:szCs w:val="24"/>
        </w:rPr>
      </w:pPr>
      <w:r>
        <w:rPr>
          <w:rFonts w:hint="eastAsia" w:cs="仿宋_GB2312"/>
          <w:szCs w:val="24"/>
        </w:rPr>
        <w:t>19.4 投标人应在</w:t>
      </w:r>
      <w:r>
        <w:rPr>
          <w:rFonts w:hint="eastAsia" w:cs="宋体"/>
          <w:szCs w:val="24"/>
        </w:rPr>
        <w:t>“</w:t>
      </w:r>
      <w:r>
        <w:rPr>
          <w:rFonts w:hint="eastAsia" w:cs="仿宋_GB2312"/>
          <w:szCs w:val="24"/>
        </w:rPr>
        <w:t>投标客户端”中下载未加密且完成签章的投标文件妥善保存，以便启动应急开标程序时使用。</w:t>
      </w:r>
    </w:p>
    <w:p w14:paraId="605A42A7">
      <w:pPr>
        <w:ind w:firstLine="480" w:firstLineChars="200"/>
        <w:jc w:val="both"/>
        <w:rPr>
          <w:rFonts w:hint="eastAsia" w:cs="仿宋_GB2312"/>
          <w:szCs w:val="24"/>
        </w:rPr>
      </w:pPr>
      <w:r>
        <w:rPr>
          <w:rFonts w:hint="eastAsia" w:cs="仿宋_GB2312"/>
          <w:szCs w:val="24"/>
        </w:rPr>
        <w:t>19.5投标人所递交的投标文件不予退还。</w:t>
      </w:r>
    </w:p>
    <w:bookmarkEnd w:id="204"/>
    <w:p w14:paraId="01BBDCC2">
      <w:pPr>
        <w:pStyle w:val="6"/>
        <w:keepNext w:val="0"/>
        <w:keepLines w:val="0"/>
        <w:spacing w:before="80" w:after="60" w:line="240" w:lineRule="auto"/>
        <w:ind w:left="420" w:hanging="420"/>
        <w:jc w:val="both"/>
        <w:rPr>
          <w:rFonts w:hint="eastAsia" w:ascii="宋体" w:hAnsi="宋体" w:cs="宋体"/>
          <w:sz w:val="24"/>
        </w:rPr>
      </w:pPr>
      <w:bookmarkStart w:id="205" w:name="_Toc163492845"/>
      <w:r>
        <w:rPr>
          <w:rFonts w:hint="eastAsia" w:ascii="宋体" w:hAnsi="宋体" w:cs="宋体"/>
          <w:sz w:val="24"/>
        </w:rPr>
        <w:t>20.拒收</w:t>
      </w:r>
      <w:bookmarkEnd w:id="205"/>
    </w:p>
    <w:p w14:paraId="1F10BB05">
      <w:pPr>
        <w:ind w:firstLine="480" w:firstLineChars="200"/>
        <w:jc w:val="both"/>
        <w:rPr>
          <w:rFonts w:hint="eastAsia" w:cs="仿宋_GB2312"/>
          <w:szCs w:val="24"/>
        </w:rPr>
      </w:pPr>
      <w:r>
        <w:rPr>
          <w:rFonts w:hint="eastAsia" w:cs="仿宋_GB2312"/>
          <w:szCs w:val="24"/>
        </w:rPr>
        <w:t>20.1 超过投标文件提交截止时间</w:t>
      </w:r>
      <w:bookmarkStart w:id="206" w:name="_Hlk143532404"/>
      <w:r>
        <w:rPr>
          <w:rFonts w:hint="eastAsia" w:cs="仿宋_GB2312"/>
          <w:szCs w:val="24"/>
        </w:rPr>
        <w:t>或者不按照本章要求加密的投标文件，交易系统应当拒收</w:t>
      </w:r>
      <w:bookmarkEnd w:id="206"/>
      <w:r>
        <w:rPr>
          <w:rFonts w:hint="eastAsia" w:cs="仿宋_GB2312"/>
          <w:szCs w:val="24"/>
        </w:rPr>
        <w:t>。</w:t>
      </w:r>
    </w:p>
    <w:p w14:paraId="5FE37FAA">
      <w:pPr>
        <w:pStyle w:val="6"/>
        <w:keepNext w:val="0"/>
        <w:keepLines w:val="0"/>
        <w:spacing w:before="80" w:after="80" w:line="240" w:lineRule="auto"/>
        <w:ind w:left="420" w:hanging="420"/>
        <w:jc w:val="both"/>
        <w:rPr>
          <w:rFonts w:hint="eastAsia" w:ascii="宋体" w:hAnsi="宋体" w:cs="宋体"/>
          <w:sz w:val="24"/>
        </w:rPr>
      </w:pPr>
      <w:bookmarkStart w:id="207" w:name="_Toc163492846"/>
      <w:bookmarkStart w:id="208" w:name="_Toc140132778"/>
      <w:r>
        <w:rPr>
          <w:rFonts w:hint="eastAsia" w:ascii="宋体" w:hAnsi="宋体" w:cs="宋体"/>
          <w:sz w:val="24"/>
        </w:rPr>
        <w:t>21.投标文件的修改与撤回</w:t>
      </w:r>
      <w:bookmarkEnd w:id="207"/>
      <w:bookmarkEnd w:id="208"/>
    </w:p>
    <w:p w14:paraId="35A58D3A">
      <w:pPr>
        <w:ind w:firstLine="480" w:firstLineChars="200"/>
        <w:jc w:val="both"/>
        <w:rPr>
          <w:rFonts w:hint="eastAsia" w:cs="仿宋_GB2312"/>
          <w:szCs w:val="24"/>
        </w:rPr>
      </w:pPr>
      <w:r>
        <w:rPr>
          <w:rFonts w:hint="eastAsia" w:cs="仿宋_GB2312"/>
          <w:szCs w:val="24"/>
        </w:rPr>
        <w:t>21.1</w:t>
      </w:r>
      <w:bookmarkStart w:id="209" w:name="_Hlk143532466"/>
      <w:r>
        <w:rPr>
          <w:rFonts w:hint="eastAsia" w:cs="仿宋_GB2312"/>
          <w:szCs w:val="24"/>
        </w:rPr>
        <w:t>投标人在“</w:t>
      </w:r>
      <w:r>
        <w:rPr>
          <w:rFonts w:hint="eastAsia"/>
        </w:rPr>
        <w:t>第一章 招标公告</w:t>
      </w:r>
      <w:r>
        <w:rPr>
          <w:rFonts w:hint="eastAsia" w:cs="仿宋_GB2312"/>
          <w:szCs w:val="24"/>
        </w:rPr>
        <w:t>”规定的投标文件递交截止时间之前，可在 政府采购电子交易云平台上随时撤回已上传的电子投标文件，将修改好的电子投标文件在投标文件递交截止时间前重新上传到 政府采购电子交易云平台的指定位置。</w:t>
      </w:r>
    </w:p>
    <w:bookmarkEnd w:id="209"/>
    <w:p w14:paraId="2B27B633">
      <w:pPr>
        <w:pStyle w:val="6"/>
        <w:keepNext w:val="0"/>
        <w:keepLines w:val="0"/>
        <w:spacing w:before="80" w:after="80" w:line="240" w:lineRule="auto"/>
        <w:ind w:left="420" w:hanging="420"/>
        <w:jc w:val="both"/>
        <w:rPr>
          <w:rFonts w:hint="eastAsia" w:ascii="宋体" w:hAnsi="宋体" w:cs="宋体"/>
          <w:sz w:val="24"/>
        </w:rPr>
      </w:pPr>
      <w:bookmarkStart w:id="210" w:name="_Toc155185874"/>
      <w:bookmarkStart w:id="211" w:name="_Toc163492847"/>
      <w:r>
        <w:rPr>
          <w:rFonts w:hint="eastAsia" w:ascii="宋体" w:hAnsi="宋体" w:cs="宋体"/>
          <w:sz w:val="24"/>
        </w:rPr>
        <w:t>22.实物样品</w:t>
      </w:r>
      <w:bookmarkEnd w:id="210"/>
      <w:bookmarkEnd w:id="211"/>
    </w:p>
    <w:p w14:paraId="2D858AFC">
      <w:pPr>
        <w:pStyle w:val="39"/>
        <w:jc w:val="both"/>
        <w:rPr>
          <w:rFonts w:hint="eastAsia"/>
        </w:rPr>
      </w:pPr>
      <w:r>
        <w:rPr>
          <w:rFonts w:hint="eastAsia"/>
        </w:rPr>
        <w:t>2</w:t>
      </w:r>
      <w:r>
        <w:rPr>
          <w:rFonts w:hint="eastAsia"/>
          <w:lang w:val="en-US"/>
        </w:rPr>
        <w:t>2</w:t>
      </w:r>
      <w:r>
        <w:rPr>
          <w:rFonts w:hint="eastAsia"/>
        </w:rPr>
        <w:t>.1“投标人须知前附表”要求提供样品的，样品的具体要求及评审详见“第三章 采购需求”和“第五章 评标</w:t>
      </w:r>
      <w:r>
        <w:rPr>
          <w:rFonts w:hint="eastAsia"/>
          <w:lang w:val="en-US"/>
        </w:rPr>
        <w:t>方</w:t>
      </w:r>
      <w:r>
        <w:rPr>
          <w:rFonts w:hint="eastAsia"/>
        </w:rPr>
        <w:t>法及标准”。</w:t>
      </w:r>
    </w:p>
    <w:p w14:paraId="7731B1D2">
      <w:pPr>
        <w:pStyle w:val="39"/>
        <w:jc w:val="both"/>
        <w:rPr>
          <w:rFonts w:hint="eastAsia" w:cs="仿宋_GB2312"/>
          <w:b/>
          <w:szCs w:val="24"/>
        </w:rPr>
      </w:pPr>
      <w:r>
        <w:t>2</w:t>
      </w:r>
      <w:r>
        <w:rPr>
          <w:rFonts w:hint="eastAsia"/>
          <w:lang w:val="en-US"/>
        </w:rPr>
        <w:t>2</w:t>
      </w:r>
      <w:r>
        <w:rPr>
          <w:rFonts w:hint="eastAsia"/>
        </w:rPr>
        <w:t>.2样品退还：未中标的投标人应</w:t>
      </w:r>
      <w:r>
        <w:rPr>
          <w:rFonts w:hint="eastAsia"/>
          <w:lang w:val="en-US"/>
        </w:rPr>
        <w:t>按照</w:t>
      </w:r>
      <w:r>
        <w:rPr>
          <w:rFonts w:hint="eastAsia"/>
        </w:rPr>
        <w:t>“投标人须知前附表”</w:t>
      </w:r>
      <w:r>
        <w:rPr>
          <w:rFonts w:hint="eastAsia"/>
          <w:lang w:val="en-US"/>
        </w:rPr>
        <w:t>要求</w:t>
      </w:r>
      <w:r>
        <w:rPr>
          <w:rFonts w:hint="eastAsia"/>
        </w:rPr>
        <w:t>自行联系采购人取回投标样品；中标人的样品由采购人进行保管、封存，并作为履约验收的参考（招标文件另有规定的从其规定）。</w:t>
      </w:r>
    </w:p>
    <w:p w14:paraId="487FC20B">
      <w:pPr>
        <w:pStyle w:val="6"/>
        <w:keepNext w:val="0"/>
        <w:keepLines w:val="0"/>
        <w:spacing w:before="80" w:after="80" w:line="240" w:lineRule="auto"/>
        <w:ind w:left="420" w:hanging="420"/>
        <w:jc w:val="both"/>
        <w:rPr>
          <w:rFonts w:hint="eastAsia" w:ascii="宋体" w:hAnsi="宋体" w:cs="宋体"/>
          <w:sz w:val="24"/>
        </w:rPr>
      </w:pPr>
      <w:bookmarkStart w:id="212" w:name="_Toc155185875"/>
      <w:bookmarkStart w:id="213" w:name="_Toc163492848"/>
      <w:r>
        <w:rPr>
          <w:rFonts w:hint="eastAsia" w:ascii="宋体" w:hAnsi="宋体" w:cs="宋体"/>
          <w:sz w:val="24"/>
        </w:rPr>
        <w:t>23.演示</w:t>
      </w:r>
      <w:bookmarkEnd w:id="212"/>
      <w:bookmarkEnd w:id="213"/>
    </w:p>
    <w:p w14:paraId="68440A78">
      <w:pPr>
        <w:pStyle w:val="39"/>
        <w:jc w:val="both"/>
        <w:rPr>
          <w:rFonts w:hint="eastAsia"/>
        </w:rPr>
      </w:pPr>
      <w:r>
        <w:t>2</w:t>
      </w:r>
      <w:r>
        <w:rPr>
          <w:rFonts w:hint="eastAsia"/>
          <w:lang w:val="en-US"/>
        </w:rPr>
        <w:t>3</w:t>
      </w:r>
      <w:r>
        <w:rPr>
          <w:rFonts w:hint="eastAsia"/>
        </w:rPr>
        <w:t>.1要求投标人进行演示的，演示要求详见“投标人须知前附表”。</w:t>
      </w:r>
    </w:p>
    <w:p w14:paraId="15527BB5">
      <w:pPr>
        <w:pStyle w:val="39"/>
        <w:jc w:val="both"/>
        <w:rPr>
          <w:rFonts w:hint="eastAsia"/>
        </w:rPr>
      </w:pPr>
      <w:r>
        <w:t>2</w:t>
      </w:r>
      <w:r>
        <w:rPr>
          <w:rFonts w:hint="eastAsia"/>
          <w:lang w:val="en-US"/>
        </w:rPr>
        <w:t>3</w:t>
      </w:r>
      <w:r>
        <w:rPr>
          <w:rFonts w:hint="eastAsia"/>
        </w:rPr>
        <w:t>.2演示的评审详见“第三章 采购需求”和“第五章 评标</w:t>
      </w:r>
      <w:r>
        <w:rPr>
          <w:rFonts w:hint="eastAsia"/>
          <w:lang w:val="en-US"/>
        </w:rPr>
        <w:t>方</w:t>
      </w:r>
      <w:r>
        <w:rPr>
          <w:rFonts w:hint="eastAsia"/>
        </w:rPr>
        <w:t>法及标准”。</w:t>
      </w:r>
    </w:p>
    <w:p w14:paraId="186087A1">
      <w:pPr>
        <w:pStyle w:val="5"/>
        <w:keepNext w:val="0"/>
        <w:keepLines w:val="0"/>
        <w:spacing w:before="180" w:after="180" w:line="240" w:lineRule="auto"/>
        <w:ind w:left="420" w:hanging="420"/>
        <w:jc w:val="both"/>
        <w:rPr>
          <w:rFonts w:hint="eastAsia" w:cs="宋体"/>
          <w:sz w:val="24"/>
        </w:rPr>
      </w:pPr>
      <w:bookmarkStart w:id="214" w:name="_Toc140132779"/>
      <w:bookmarkStart w:id="215" w:name="_Toc163492849"/>
      <w:bookmarkStart w:id="216" w:name="_Toc155185876"/>
      <w:r>
        <w:rPr>
          <w:rFonts w:hint="eastAsia" w:cs="宋体"/>
          <w:sz w:val="24"/>
        </w:rPr>
        <w:t>（五）开标</w:t>
      </w:r>
      <w:bookmarkEnd w:id="214"/>
      <w:bookmarkEnd w:id="215"/>
      <w:bookmarkEnd w:id="216"/>
    </w:p>
    <w:p w14:paraId="4A3FD9CB">
      <w:pPr>
        <w:pStyle w:val="6"/>
        <w:keepNext w:val="0"/>
        <w:keepLines w:val="0"/>
        <w:spacing w:before="80" w:after="80" w:line="240" w:lineRule="auto"/>
        <w:ind w:left="420" w:hanging="420"/>
        <w:jc w:val="both"/>
        <w:rPr>
          <w:rFonts w:hint="eastAsia" w:ascii="宋体" w:hAnsi="宋体" w:cs="宋体"/>
          <w:sz w:val="24"/>
        </w:rPr>
      </w:pPr>
      <w:bookmarkStart w:id="217" w:name="_Toc140132780"/>
      <w:bookmarkStart w:id="218" w:name="_Toc163492850"/>
      <w:r>
        <w:rPr>
          <w:rFonts w:hint="eastAsia" w:ascii="宋体" w:hAnsi="宋体" w:cs="宋体"/>
          <w:sz w:val="24"/>
        </w:rPr>
        <w:t>24.开标会议</w:t>
      </w:r>
      <w:bookmarkEnd w:id="217"/>
      <w:bookmarkEnd w:id="218"/>
    </w:p>
    <w:p w14:paraId="0E932454">
      <w:pPr>
        <w:ind w:firstLine="480" w:firstLineChars="200"/>
        <w:jc w:val="both"/>
        <w:rPr>
          <w:rFonts w:hint="eastAsia" w:cs="仿宋_GB2312"/>
          <w:szCs w:val="24"/>
        </w:rPr>
      </w:pPr>
      <w:bookmarkStart w:id="219" w:name="_Toc140132781"/>
      <w:r>
        <w:rPr>
          <w:rFonts w:cs="仿宋_GB2312"/>
          <w:szCs w:val="24"/>
        </w:rPr>
        <w:t>2</w:t>
      </w:r>
      <w:r>
        <w:rPr>
          <w:rFonts w:hint="eastAsia" w:cs="仿宋_GB2312"/>
          <w:szCs w:val="24"/>
        </w:rPr>
        <w:t xml:space="preserve">4.1开标会按“第一章 </w:t>
      </w:r>
      <w:r>
        <w:rPr>
          <w:rFonts w:hint="eastAsia"/>
        </w:rPr>
        <w:t>招标公告</w:t>
      </w:r>
      <w:r>
        <w:rPr>
          <w:rFonts w:hint="eastAsia" w:cs="仿宋_GB2312"/>
          <w:szCs w:val="24"/>
        </w:rPr>
        <w:t>”规定的开标时间和地点准时举行，采购人、采购代理机构邀请所有投标人准时参加开标会。</w:t>
      </w:r>
      <w:r>
        <w:rPr>
          <w:rFonts w:hint="eastAsia"/>
        </w:rPr>
        <w:t>投标人应按照招标文件的要求参与不见面开标。</w:t>
      </w:r>
    </w:p>
    <w:p w14:paraId="3DE56D5A">
      <w:pPr>
        <w:wordWrap w:val="0"/>
        <w:ind w:firstLine="480" w:firstLineChars="200"/>
        <w:jc w:val="both"/>
        <w:rPr>
          <w:rFonts w:hint="eastAsia" w:cs="宋体"/>
        </w:rPr>
      </w:pPr>
      <w:r>
        <w:t>2</w:t>
      </w:r>
      <w:r>
        <w:rPr>
          <w:rFonts w:hint="eastAsia"/>
        </w:rPr>
        <w:t xml:space="preserve">4.2 </w:t>
      </w:r>
      <w:bookmarkEnd w:id="219"/>
      <w:r>
        <w:rPr>
          <w:rFonts w:hint="eastAsia" w:cs="宋体"/>
        </w:rPr>
        <w:t>采购代理机构按照招标文件规定的时间、地点主持开标。采购人在规定的投标文件递交截止时间（开标时间）和地点进行不见面远程开标。投标人的法定代表人或其委托代理人无需到达开标现场，仅需在任意地点通过 政府采购电子交易云平台（网址：https://www.zcygov.cn/）的“政采云登录入口”登录后，进入“政采云远程开标大厅”参加开标会议，并使用CA密钥完成远程解密、提疑澄清、开标唱标、结果公布等交互环节。</w:t>
      </w:r>
    </w:p>
    <w:p w14:paraId="25A0F06F">
      <w:pPr>
        <w:ind w:firstLine="480" w:firstLineChars="200"/>
        <w:jc w:val="both"/>
        <w:rPr>
          <w:rFonts w:hint="eastAsia" w:cs="宋体"/>
        </w:rPr>
      </w:pPr>
      <w:r>
        <w:rPr>
          <w:rFonts w:hint="eastAsia" w:cs="宋体"/>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2A34AAE4">
      <w:pPr>
        <w:pStyle w:val="6"/>
        <w:keepNext w:val="0"/>
        <w:keepLines w:val="0"/>
        <w:spacing w:before="80" w:after="80" w:line="240" w:lineRule="auto"/>
        <w:ind w:left="420" w:hanging="420"/>
        <w:jc w:val="both"/>
        <w:rPr>
          <w:rFonts w:hint="eastAsia" w:ascii="宋体" w:hAnsi="宋体" w:cs="宋体"/>
          <w:sz w:val="24"/>
        </w:rPr>
      </w:pPr>
      <w:bookmarkStart w:id="220" w:name="_Toc163492852"/>
      <w:bookmarkStart w:id="221" w:name="_Toc140132783"/>
      <w:r>
        <w:rPr>
          <w:rFonts w:hint="eastAsia" w:ascii="宋体" w:hAnsi="宋体" w:cs="宋体"/>
          <w:sz w:val="24"/>
        </w:rPr>
        <w:t>25.开标程序</w:t>
      </w:r>
      <w:bookmarkEnd w:id="220"/>
      <w:bookmarkEnd w:id="221"/>
    </w:p>
    <w:p w14:paraId="418CBB21">
      <w:pPr>
        <w:ind w:firstLine="480" w:firstLineChars="200"/>
        <w:jc w:val="both"/>
        <w:rPr>
          <w:rFonts w:hint="eastAsia" w:cs="仿宋_GB2312"/>
          <w:szCs w:val="24"/>
        </w:rPr>
      </w:pPr>
      <w:r>
        <w:rPr>
          <w:rFonts w:cs="仿宋_GB2312"/>
          <w:szCs w:val="24"/>
        </w:rPr>
        <w:t>2</w:t>
      </w:r>
      <w:r>
        <w:rPr>
          <w:rFonts w:hint="eastAsia" w:cs="仿宋_GB2312"/>
          <w:szCs w:val="24"/>
        </w:rPr>
        <w:t>5.1 投标人不足3家的，不得开标。</w:t>
      </w:r>
    </w:p>
    <w:p w14:paraId="4EF3B3B5">
      <w:pPr>
        <w:ind w:firstLine="480" w:firstLineChars="200"/>
        <w:jc w:val="both"/>
        <w:rPr>
          <w:rFonts w:hint="eastAsia"/>
        </w:rPr>
      </w:pPr>
      <w:r>
        <w:rPr>
          <w:rFonts w:cs="仿宋_GB2312"/>
          <w:szCs w:val="24"/>
        </w:rPr>
        <w:t>2</w:t>
      </w:r>
      <w:r>
        <w:rPr>
          <w:rFonts w:hint="eastAsia" w:cs="仿宋_GB2312"/>
          <w:szCs w:val="24"/>
        </w:rPr>
        <w:t>5.2 评标委员会成员不得参加开标活动。</w:t>
      </w:r>
    </w:p>
    <w:p w14:paraId="764214F8">
      <w:pPr>
        <w:ind w:firstLine="480" w:firstLineChars="200"/>
        <w:jc w:val="both"/>
        <w:rPr>
          <w:rFonts w:hint="eastAsia" w:cs="仿宋_GB2312"/>
          <w:szCs w:val="24"/>
        </w:rPr>
      </w:pPr>
      <w:r>
        <w:rPr>
          <w:rFonts w:cs="仿宋_GB2312"/>
          <w:szCs w:val="24"/>
        </w:rPr>
        <w:t>2</w:t>
      </w:r>
      <w:r>
        <w:rPr>
          <w:rFonts w:hint="eastAsia" w:cs="仿宋_GB2312"/>
          <w:szCs w:val="24"/>
        </w:rPr>
        <w:t>5.3主持人按下列程序进行开标：</w:t>
      </w:r>
    </w:p>
    <w:p w14:paraId="602B75B6">
      <w:pPr>
        <w:ind w:firstLine="398" w:firstLineChars="166"/>
        <w:jc w:val="both"/>
        <w:rPr>
          <w:rFonts w:hint="eastAsia" w:cs="仿宋_GB2312"/>
          <w:szCs w:val="24"/>
        </w:rPr>
      </w:pPr>
      <w:r>
        <w:rPr>
          <w:rFonts w:hint="eastAsia" w:cs="仿宋_GB2312"/>
          <w:szCs w:val="24"/>
        </w:rPr>
        <w:t>（1）宣布开标会纪律；</w:t>
      </w:r>
    </w:p>
    <w:p w14:paraId="7E4FBEA0">
      <w:pPr>
        <w:ind w:firstLine="398" w:firstLineChars="166"/>
        <w:jc w:val="both"/>
        <w:rPr>
          <w:rFonts w:hint="eastAsia" w:cs="仿宋_GB2312"/>
          <w:szCs w:val="24"/>
        </w:rPr>
      </w:pPr>
      <w:r>
        <w:rPr>
          <w:rFonts w:hint="eastAsia" w:cs="仿宋_GB2312"/>
          <w:szCs w:val="24"/>
        </w:rPr>
        <w:t>（2）介绍参加开标会的单位和人员；</w:t>
      </w:r>
    </w:p>
    <w:p w14:paraId="5450F576">
      <w:pPr>
        <w:ind w:firstLine="398" w:firstLineChars="166"/>
        <w:jc w:val="both"/>
        <w:rPr>
          <w:rFonts w:hint="eastAsia" w:cs="仿宋_GB2312"/>
          <w:szCs w:val="24"/>
        </w:rPr>
      </w:pPr>
      <w:r>
        <w:rPr>
          <w:rFonts w:hint="eastAsia" w:cs="仿宋_GB2312"/>
          <w:szCs w:val="24"/>
        </w:rPr>
        <w:t>（3）发起投标文件解密。投标人应在“投标人须知前附表”规定的时间内使用加密投标文件的CA证书在系统中完成投标文件的解密；投标人不足3家的，不予解密；</w:t>
      </w:r>
    </w:p>
    <w:p w14:paraId="40E59B17">
      <w:pPr>
        <w:ind w:firstLine="398" w:firstLineChars="166"/>
        <w:jc w:val="both"/>
        <w:rPr>
          <w:rFonts w:hint="eastAsia" w:cs="仿宋_GB2312"/>
          <w:szCs w:val="24"/>
        </w:rPr>
      </w:pPr>
      <w:r>
        <w:rPr>
          <w:rFonts w:hint="eastAsia" w:cs="仿宋_GB2312"/>
          <w:szCs w:val="24"/>
        </w:rPr>
        <w:t>（4）解密完成后，系统自动显示投标人名称、投标价格和招标文件规定的需要宣布的其他内容；</w:t>
      </w:r>
    </w:p>
    <w:p w14:paraId="437B986C">
      <w:pPr>
        <w:ind w:left="564" w:leftChars="200" w:hanging="84" w:hangingChars="35"/>
        <w:jc w:val="both"/>
        <w:rPr>
          <w:rFonts w:hint="eastAsia" w:cs="仿宋_GB2312"/>
          <w:szCs w:val="24"/>
        </w:rPr>
      </w:pPr>
      <w:r>
        <w:rPr>
          <w:rFonts w:hint="eastAsia" w:cs="仿宋_GB2312"/>
          <w:szCs w:val="24"/>
        </w:rPr>
        <w:t>（5）系统自动生成开标记录表，投标人应在线对开标记录进行签署确认；</w:t>
      </w:r>
    </w:p>
    <w:p w14:paraId="7793439E">
      <w:pPr>
        <w:ind w:left="564" w:leftChars="200" w:hanging="84" w:hangingChars="35"/>
        <w:jc w:val="both"/>
        <w:rPr>
          <w:rFonts w:hint="eastAsia" w:cs="仿宋_GB2312"/>
          <w:szCs w:val="24"/>
        </w:rPr>
      </w:pPr>
      <w:r>
        <w:rPr>
          <w:rFonts w:hint="eastAsia" w:cs="仿宋_GB2312"/>
          <w:szCs w:val="24"/>
        </w:rPr>
        <w:t>（6）开标会结束。</w:t>
      </w:r>
      <w:bookmarkStart w:id="222" w:name="_Toc140132784"/>
      <w:bookmarkStart w:id="223" w:name="_Toc163492853"/>
    </w:p>
    <w:p w14:paraId="6796032D">
      <w:pPr>
        <w:pStyle w:val="6"/>
        <w:keepNext w:val="0"/>
        <w:keepLines w:val="0"/>
        <w:spacing w:before="80" w:after="80" w:line="240" w:lineRule="auto"/>
        <w:ind w:left="420" w:hanging="420"/>
        <w:jc w:val="both"/>
        <w:rPr>
          <w:rFonts w:hint="eastAsia" w:ascii="宋体" w:hAnsi="宋体" w:cs="宋体"/>
          <w:sz w:val="24"/>
        </w:rPr>
      </w:pPr>
      <w:r>
        <w:rPr>
          <w:rFonts w:hint="eastAsia" w:ascii="宋体" w:hAnsi="宋体" w:cs="宋体"/>
          <w:sz w:val="24"/>
        </w:rPr>
        <w:t>26.开标疑义及回避情形</w:t>
      </w:r>
      <w:bookmarkEnd w:id="222"/>
      <w:bookmarkEnd w:id="223"/>
    </w:p>
    <w:p w14:paraId="0104BC14">
      <w:pPr>
        <w:pStyle w:val="39"/>
        <w:jc w:val="both"/>
        <w:rPr>
          <w:rFonts w:hint="eastAsia"/>
        </w:rPr>
      </w:pPr>
      <w:r>
        <w:t>2</w:t>
      </w:r>
      <w:r>
        <w:rPr>
          <w:rFonts w:hint="eastAsia"/>
          <w:lang w:val="en-US"/>
        </w:rPr>
        <w:t>6</w:t>
      </w:r>
      <w:r>
        <w:rPr>
          <w:rFonts w:hint="eastAsia"/>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2DAFFFDE">
      <w:pPr>
        <w:pStyle w:val="39"/>
        <w:jc w:val="both"/>
        <w:rPr>
          <w:rFonts w:hint="eastAsia"/>
        </w:rPr>
      </w:pPr>
      <w:r>
        <w:rPr>
          <w:rFonts w:hint="eastAsia"/>
        </w:rPr>
        <w:t>2</w:t>
      </w:r>
      <w:r>
        <w:rPr>
          <w:rFonts w:hint="eastAsia"/>
          <w:lang w:val="en-US"/>
        </w:rPr>
        <w:t>6</w:t>
      </w:r>
      <w:r>
        <w:rPr>
          <w:rFonts w:hint="eastAsia"/>
        </w:rPr>
        <w:t>.2投标人未参加开标的，视同认可开标结果。</w:t>
      </w:r>
    </w:p>
    <w:p w14:paraId="53F7AEC1">
      <w:pPr>
        <w:pStyle w:val="5"/>
        <w:keepNext w:val="0"/>
        <w:keepLines w:val="0"/>
        <w:spacing w:before="180" w:after="180" w:line="240" w:lineRule="auto"/>
        <w:ind w:left="420" w:hanging="420"/>
        <w:jc w:val="both"/>
        <w:rPr>
          <w:rFonts w:hint="eastAsia" w:cs="宋体"/>
          <w:sz w:val="24"/>
        </w:rPr>
      </w:pPr>
      <w:bookmarkStart w:id="224" w:name="_Toc163492854"/>
      <w:bookmarkStart w:id="225" w:name="_Toc155185877"/>
      <w:bookmarkStart w:id="226" w:name="_Toc140132785"/>
      <w:r>
        <w:rPr>
          <w:rFonts w:hint="eastAsia" w:cs="宋体"/>
          <w:sz w:val="24"/>
        </w:rPr>
        <w:t>（六）资格审查</w:t>
      </w:r>
      <w:bookmarkEnd w:id="224"/>
      <w:bookmarkEnd w:id="225"/>
      <w:bookmarkEnd w:id="226"/>
    </w:p>
    <w:p w14:paraId="5FF815EA">
      <w:pPr>
        <w:pStyle w:val="6"/>
        <w:keepNext w:val="0"/>
        <w:keepLines w:val="0"/>
        <w:spacing w:before="80" w:after="80" w:line="240" w:lineRule="auto"/>
        <w:ind w:left="420" w:hanging="420"/>
        <w:jc w:val="both"/>
        <w:rPr>
          <w:rFonts w:hint="eastAsia" w:ascii="宋体" w:hAnsi="宋体" w:cs="宋体"/>
          <w:sz w:val="24"/>
        </w:rPr>
      </w:pPr>
      <w:bookmarkStart w:id="227" w:name="_Toc163492855"/>
      <w:r>
        <w:rPr>
          <w:rFonts w:hint="eastAsia" w:ascii="宋体" w:hAnsi="宋体" w:cs="宋体"/>
          <w:sz w:val="24"/>
        </w:rPr>
        <w:t>27.资格审查及审查主体</w:t>
      </w:r>
      <w:bookmarkEnd w:id="227"/>
    </w:p>
    <w:p w14:paraId="4B6D9477">
      <w:pPr>
        <w:pStyle w:val="39"/>
        <w:jc w:val="both"/>
        <w:rPr>
          <w:rFonts w:hint="eastAsia"/>
        </w:rPr>
      </w:pPr>
      <w:bookmarkStart w:id="228" w:name="_Toc140132786"/>
      <w:r>
        <w:rPr>
          <w:rFonts w:hint="eastAsia"/>
        </w:rPr>
        <w:t>2</w:t>
      </w:r>
      <w:r>
        <w:rPr>
          <w:rFonts w:hint="eastAsia"/>
          <w:lang w:val="en-US"/>
        </w:rPr>
        <w:t>7</w:t>
      </w:r>
      <w:r>
        <w:rPr>
          <w:rFonts w:hint="eastAsia"/>
        </w:rPr>
        <w:t>.1</w:t>
      </w:r>
      <w:bookmarkEnd w:id="228"/>
      <w:r>
        <w:rPr>
          <w:rFonts w:hint="eastAsia"/>
        </w:rPr>
        <w:t>开标结束后，采购人或者采购代理机构应当依法对投标人的资格进行审查。</w:t>
      </w:r>
    </w:p>
    <w:p w14:paraId="45E566A2">
      <w:pPr>
        <w:pStyle w:val="39"/>
        <w:jc w:val="both"/>
        <w:rPr>
          <w:rFonts w:hint="eastAsia"/>
        </w:rPr>
      </w:pPr>
      <w:bookmarkStart w:id="229" w:name="_Toc140132787"/>
      <w:r>
        <w:t>2</w:t>
      </w:r>
      <w:r>
        <w:rPr>
          <w:rFonts w:hint="eastAsia"/>
          <w:lang w:val="en-US"/>
        </w:rPr>
        <w:t>7</w:t>
      </w:r>
      <w:r>
        <w:rPr>
          <w:rFonts w:hint="eastAsia"/>
        </w:rPr>
        <w:t>.2</w:t>
      </w:r>
      <w:r>
        <w:t>资格审查</w:t>
      </w:r>
      <w:r>
        <w:rPr>
          <w:rFonts w:hint="eastAsia"/>
        </w:rPr>
        <w:t>按“第四章</w:t>
      </w:r>
      <w:r>
        <w:rPr>
          <w:rFonts w:hint="eastAsia"/>
          <w:lang w:val="en-US"/>
        </w:rPr>
        <w:t xml:space="preserve"> </w:t>
      </w:r>
      <w:r>
        <w:rPr>
          <w:rFonts w:hint="eastAsia"/>
        </w:rPr>
        <w:t>资格审查”的规定进行。</w:t>
      </w:r>
      <w:bookmarkEnd w:id="229"/>
    </w:p>
    <w:p w14:paraId="0C9F20AF">
      <w:pPr>
        <w:pStyle w:val="39"/>
        <w:jc w:val="both"/>
        <w:rPr>
          <w:rFonts w:hint="eastAsia"/>
        </w:rPr>
      </w:pPr>
      <w:bookmarkStart w:id="230" w:name="_Toc140132788"/>
      <w:r>
        <w:t>2</w:t>
      </w:r>
      <w:r>
        <w:rPr>
          <w:rFonts w:hint="eastAsia"/>
          <w:lang w:val="en-US"/>
        </w:rPr>
        <w:t>7</w:t>
      </w:r>
      <w:r>
        <w:rPr>
          <w:rFonts w:hint="eastAsia"/>
        </w:rPr>
        <w:t>.3</w:t>
      </w:r>
      <w:r>
        <w:t>资格审查结束后，应及时对资格审查结果进行复核，对资格审查错误进行及时纠正并记录。</w:t>
      </w:r>
      <w:bookmarkEnd w:id="230"/>
    </w:p>
    <w:p w14:paraId="4FB58628">
      <w:pPr>
        <w:pStyle w:val="39"/>
        <w:jc w:val="both"/>
        <w:rPr>
          <w:rFonts w:hint="eastAsia"/>
          <w:lang w:val="en-US"/>
        </w:rPr>
      </w:pPr>
      <w:r>
        <w:rPr>
          <w:rFonts w:hint="eastAsia"/>
          <w:lang w:val="en-US"/>
        </w:rPr>
        <w:t>27.4</w:t>
      </w:r>
      <w:r>
        <w:t>资格审查</w:t>
      </w:r>
      <w:r>
        <w:rPr>
          <w:rFonts w:hint="eastAsia"/>
        </w:rPr>
        <w:t>合格投标人不足3家的，不得评标。</w:t>
      </w:r>
    </w:p>
    <w:p w14:paraId="01E8894C">
      <w:pPr>
        <w:pStyle w:val="5"/>
        <w:keepNext w:val="0"/>
        <w:keepLines w:val="0"/>
        <w:spacing w:before="180" w:after="180" w:line="240" w:lineRule="auto"/>
        <w:ind w:left="420" w:hanging="420"/>
        <w:jc w:val="both"/>
        <w:rPr>
          <w:rFonts w:hint="eastAsia" w:cs="宋体"/>
          <w:sz w:val="24"/>
        </w:rPr>
      </w:pPr>
      <w:bookmarkStart w:id="231" w:name="_Toc140132789"/>
      <w:bookmarkStart w:id="232" w:name="_Toc163492856"/>
      <w:bookmarkStart w:id="233" w:name="_Toc155185878"/>
      <w:r>
        <w:rPr>
          <w:rFonts w:hint="eastAsia" w:cs="宋体"/>
          <w:sz w:val="24"/>
        </w:rPr>
        <w:t>（七）评标</w:t>
      </w:r>
      <w:bookmarkEnd w:id="231"/>
      <w:bookmarkEnd w:id="232"/>
      <w:bookmarkEnd w:id="233"/>
    </w:p>
    <w:p w14:paraId="50E7D724">
      <w:pPr>
        <w:pStyle w:val="6"/>
        <w:keepNext w:val="0"/>
        <w:keepLines w:val="0"/>
        <w:spacing w:before="80" w:after="80" w:line="240" w:lineRule="auto"/>
        <w:ind w:left="420" w:hanging="420"/>
        <w:jc w:val="both"/>
        <w:rPr>
          <w:rFonts w:hint="eastAsia" w:ascii="宋体" w:hAnsi="宋体" w:cs="宋体"/>
          <w:sz w:val="24"/>
        </w:rPr>
      </w:pPr>
      <w:bookmarkStart w:id="234" w:name="_Toc140132790"/>
      <w:bookmarkStart w:id="235" w:name="_Toc163492857"/>
      <w:r>
        <w:rPr>
          <w:rFonts w:hint="eastAsia" w:ascii="宋体" w:hAnsi="宋体" w:cs="宋体"/>
          <w:sz w:val="24"/>
        </w:rPr>
        <w:t>28.评标委员会</w:t>
      </w:r>
      <w:bookmarkEnd w:id="234"/>
      <w:bookmarkEnd w:id="235"/>
    </w:p>
    <w:p w14:paraId="69355233">
      <w:pPr>
        <w:pStyle w:val="39"/>
        <w:jc w:val="both"/>
        <w:rPr>
          <w:rFonts w:hint="eastAsia"/>
        </w:rPr>
      </w:pPr>
      <w:r>
        <w:t>2</w:t>
      </w:r>
      <w:r>
        <w:rPr>
          <w:rFonts w:hint="eastAsia"/>
          <w:lang w:val="en-US"/>
        </w:rPr>
        <w:t>8</w:t>
      </w:r>
      <w:r>
        <w:rPr>
          <w:rFonts w:hint="eastAsia"/>
        </w:rPr>
        <w:t>.1 评标由采购人依法组建的评标委员会负责。评标委员会由采购人代表和评审专家组成，</w:t>
      </w:r>
      <w:r>
        <w:rPr>
          <w:rFonts w:hint="eastAsia"/>
          <w:lang w:val="en-US"/>
        </w:rPr>
        <w:t>成员人数应当为5</w:t>
      </w:r>
      <w:r>
        <w:rPr>
          <w:rFonts w:hint="eastAsia"/>
        </w:rPr>
        <w:t>人以上单数，其中</w:t>
      </w:r>
      <w:r>
        <w:rPr>
          <w:rFonts w:hint="eastAsia"/>
          <w:lang w:val="en-US"/>
        </w:rPr>
        <w:t>评审</w:t>
      </w:r>
      <w:r>
        <w:rPr>
          <w:rFonts w:hint="eastAsia"/>
        </w:rPr>
        <w:t>专家不</w:t>
      </w:r>
      <w:r>
        <w:rPr>
          <w:rFonts w:hint="eastAsia"/>
          <w:lang w:val="en-US"/>
        </w:rPr>
        <w:t>得</w:t>
      </w:r>
      <w:r>
        <w:rPr>
          <w:rFonts w:hint="eastAsia"/>
        </w:rPr>
        <w:t>少于</w:t>
      </w:r>
      <w:r>
        <w:rPr>
          <w:rFonts w:hint="eastAsia"/>
          <w:lang w:val="en-US"/>
        </w:rPr>
        <w:t>成员总数的</w:t>
      </w:r>
      <w:r>
        <w:rPr>
          <w:rFonts w:hint="eastAsia"/>
        </w:rPr>
        <w:t>三分之二。</w:t>
      </w:r>
      <w:r>
        <w:rPr>
          <w:lang w:val="en-US"/>
        </w:rPr>
        <w:t>采购人或者采购代理机构应当从省级以上财政部门设立的政府采购评审专家库中，通过随机方式抽取评审专家。</w:t>
      </w:r>
    </w:p>
    <w:p w14:paraId="3D9F625E">
      <w:pPr>
        <w:pStyle w:val="39"/>
        <w:jc w:val="both"/>
        <w:rPr>
          <w:rFonts w:hint="eastAsia"/>
        </w:rPr>
      </w:pPr>
      <w:r>
        <w:rPr>
          <w:rFonts w:hint="eastAsia"/>
          <w:lang w:val="en-US"/>
        </w:rPr>
        <w:t xml:space="preserve">28.2 </w:t>
      </w:r>
      <w:r>
        <w:rPr>
          <w:lang w:val="en-US"/>
        </w:rPr>
        <w:t>采购项目符合下列情形之一的，评标委员会成员人数应当为7人以上单数：</w:t>
      </w:r>
    </w:p>
    <w:p w14:paraId="268D82F2">
      <w:pPr>
        <w:pStyle w:val="39"/>
        <w:jc w:val="both"/>
        <w:rPr>
          <w:rFonts w:hint="eastAsia"/>
        </w:rPr>
      </w:pPr>
      <w:r>
        <w:rPr>
          <w:lang w:val="en-US"/>
        </w:rPr>
        <w:t>（</w:t>
      </w:r>
      <w:r>
        <w:rPr>
          <w:rFonts w:hint="eastAsia"/>
          <w:lang w:val="en-US"/>
        </w:rPr>
        <w:t>1</w:t>
      </w:r>
      <w:r>
        <w:rPr>
          <w:lang w:val="en-US"/>
        </w:rPr>
        <w:t>）采购预算金额在1000万元以上；</w:t>
      </w:r>
    </w:p>
    <w:p w14:paraId="1DE54CBE">
      <w:pPr>
        <w:pStyle w:val="39"/>
        <w:jc w:val="both"/>
        <w:rPr>
          <w:rFonts w:hint="eastAsia"/>
        </w:rPr>
      </w:pPr>
      <w:r>
        <w:rPr>
          <w:lang w:val="en-US"/>
        </w:rPr>
        <w:t>（</w:t>
      </w:r>
      <w:r>
        <w:rPr>
          <w:rFonts w:hint="eastAsia"/>
          <w:lang w:val="en-US"/>
        </w:rPr>
        <w:t>2</w:t>
      </w:r>
      <w:r>
        <w:rPr>
          <w:lang w:val="en-US"/>
        </w:rPr>
        <w:t>）技术复杂；</w:t>
      </w:r>
    </w:p>
    <w:p w14:paraId="00BDCBCD">
      <w:pPr>
        <w:pStyle w:val="39"/>
        <w:jc w:val="both"/>
        <w:rPr>
          <w:rFonts w:hint="eastAsia"/>
        </w:rPr>
      </w:pPr>
      <w:r>
        <w:rPr>
          <w:lang w:val="en-US"/>
        </w:rPr>
        <w:t>（</w:t>
      </w:r>
      <w:r>
        <w:rPr>
          <w:rFonts w:hint="eastAsia"/>
          <w:lang w:val="en-US"/>
        </w:rPr>
        <w:t>3</w:t>
      </w:r>
      <w:r>
        <w:rPr>
          <w:lang w:val="en-US"/>
        </w:rPr>
        <w:t>）社会影响较大。</w:t>
      </w:r>
    </w:p>
    <w:p w14:paraId="0C40227C">
      <w:pPr>
        <w:pStyle w:val="39"/>
        <w:jc w:val="both"/>
        <w:rPr>
          <w:rFonts w:hint="eastAsia"/>
        </w:rPr>
      </w:pPr>
      <w:r>
        <w:rPr>
          <w:rFonts w:hint="eastAsia"/>
          <w:lang w:val="en-US"/>
        </w:rPr>
        <w:t>28.3</w:t>
      </w:r>
      <w:r>
        <w:rPr>
          <w:lang w:val="en-US"/>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1377AC91">
      <w:pPr>
        <w:pStyle w:val="39"/>
        <w:jc w:val="both"/>
        <w:rPr>
          <w:rFonts w:hint="eastAsia"/>
        </w:rPr>
      </w:pPr>
      <w:r>
        <w:rPr>
          <w:rFonts w:hint="eastAsia"/>
          <w:lang w:val="en-US"/>
        </w:rPr>
        <w:t>28.4</w:t>
      </w:r>
      <w:r>
        <w:rPr>
          <w:lang w:val="en-US"/>
        </w:rPr>
        <w:t>评标委员会成员名单在评标结果公告前应当保密。</w:t>
      </w:r>
    </w:p>
    <w:p w14:paraId="7123FA85">
      <w:pPr>
        <w:pStyle w:val="39"/>
        <w:jc w:val="both"/>
        <w:rPr>
          <w:rFonts w:hint="eastAsia"/>
          <w:lang w:val="en-US"/>
        </w:rPr>
      </w:pPr>
      <w:r>
        <w:rPr>
          <w:rFonts w:hint="eastAsia"/>
          <w:lang w:val="en-US"/>
        </w:rPr>
        <w:t>28.5</w:t>
      </w:r>
      <w:r>
        <w:rPr>
          <w:lang w:val="en-US"/>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0C4EBF96">
      <w:pPr>
        <w:pStyle w:val="39"/>
        <w:jc w:val="both"/>
        <w:rPr>
          <w:rFonts w:hint="eastAsia"/>
          <w:lang w:val="en-US"/>
        </w:rPr>
      </w:pPr>
      <w:r>
        <w:rPr>
          <w:rFonts w:hint="eastAsia"/>
          <w:lang w:val="en-US"/>
        </w:rPr>
        <w:t>28.6</w:t>
      </w:r>
      <w:r>
        <w:rPr>
          <w:lang w:val="en-US"/>
        </w:rPr>
        <w:t>无法及时补足评标委员会成员的，采购人或者采购代理机构应当停止评标活动，封存所有投标文件和开标、评标资料，依法重新组建评标委员会进行评标。原评标委员会所作出的评标意见无效。</w:t>
      </w:r>
    </w:p>
    <w:p w14:paraId="441891B8">
      <w:pPr>
        <w:pStyle w:val="39"/>
        <w:jc w:val="both"/>
        <w:rPr>
          <w:rFonts w:hint="eastAsia"/>
        </w:rPr>
      </w:pPr>
      <w:r>
        <w:t>2</w:t>
      </w:r>
      <w:r>
        <w:rPr>
          <w:rFonts w:hint="eastAsia"/>
          <w:lang w:val="en-US"/>
        </w:rPr>
        <w:t>8</w:t>
      </w:r>
      <w:r>
        <w:rPr>
          <w:rFonts w:hint="eastAsia"/>
        </w:rPr>
        <w:t>.</w:t>
      </w:r>
      <w:r>
        <w:rPr>
          <w:rFonts w:hint="eastAsia"/>
          <w:lang w:val="en-US"/>
        </w:rPr>
        <w:t>7</w:t>
      </w:r>
      <w:r>
        <w:rPr>
          <w:rFonts w:hint="eastAsia"/>
        </w:rPr>
        <w:t xml:space="preserve"> 评标委员会成员有下列情形之一的，应当回避：</w:t>
      </w:r>
    </w:p>
    <w:p w14:paraId="7D9B0A78">
      <w:pPr>
        <w:pStyle w:val="39"/>
        <w:jc w:val="both"/>
        <w:rPr>
          <w:rFonts w:hint="eastAsia"/>
        </w:rPr>
      </w:pPr>
      <w:r>
        <w:rPr>
          <w:rFonts w:hint="eastAsia"/>
        </w:rPr>
        <w:t>（1）参加采购活动前3年内与投标人存在劳动关系；</w:t>
      </w:r>
    </w:p>
    <w:p w14:paraId="3FED9A80">
      <w:pPr>
        <w:pStyle w:val="39"/>
        <w:jc w:val="both"/>
        <w:rPr>
          <w:rFonts w:hint="eastAsia"/>
        </w:rPr>
      </w:pPr>
      <w:r>
        <w:rPr>
          <w:rFonts w:hint="eastAsia"/>
        </w:rPr>
        <w:t>（2）参加采购活动前3年内担任投标人的董事、监事；</w:t>
      </w:r>
    </w:p>
    <w:p w14:paraId="194CF28D">
      <w:pPr>
        <w:pStyle w:val="39"/>
        <w:jc w:val="both"/>
        <w:rPr>
          <w:rFonts w:hint="eastAsia"/>
        </w:rPr>
      </w:pPr>
      <w:r>
        <w:rPr>
          <w:rFonts w:hint="eastAsia"/>
        </w:rPr>
        <w:t>（3）参加采购活动前3年内是投标人的控股股东或实际控制人；</w:t>
      </w:r>
    </w:p>
    <w:p w14:paraId="3801BABA">
      <w:pPr>
        <w:pStyle w:val="39"/>
        <w:jc w:val="both"/>
        <w:rPr>
          <w:rFonts w:hint="eastAsia"/>
        </w:rPr>
      </w:pPr>
      <w:r>
        <w:rPr>
          <w:rFonts w:hint="eastAsia"/>
        </w:rPr>
        <w:t>（4）与投标人的法定代表人或者负责人有夫妻、直系血亲、三代以内旁系血亲或者近姻亲关系；</w:t>
      </w:r>
    </w:p>
    <w:p w14:paraId="3565518E">
      <w:pPr>
        <w:pStyle w:val="39"/>
        <w:jc w:val="both"/>
        <w:rPr>
          <w:rFonts w:hint="eastAsia"/>
        </w:rPr>
      </w:pPr>
      <w:r>
        <w:rPr>
          <w:rFonts w:hint="eastAsia"/>
        </w:rPr>
        <w:t>（5）与投标人有其他可能影响采购活动公平、公正进行的关系。</w:t>
      </w:r>
    </w:p>
    <w:p w14:paraId="0AF68237">
      <w:pPr>
        <w:pStyle w:val="6"/>
        <w:keepNext w:val="0"/>
        <w:keepLines w:val="0"/>
        <w:spacing w:before="80" w:after="80" w:line="240" w:lineRule="auto"/>
        <w:ind w:left="420" w:hanging="420"/>
        <w:jc w:val="both"/>
        <w:rPr>
          <w:rFonts w:hint="eastAsia" w:ascii="宋体" w:hAnsi="宋体" w:cs="宋体"/>
          <w:sz w:val="24"/>
        </w:rPr>
      </w:pPr>
      <w:bookmarkStart w:id="236" w:name="_Toc163492858"/>
      <w:bookmarkStart w:id="237" w:name="_Toc140132791"/>
      <w:r>
        <w:rPr>
          <w:rFonts w:hint="eastAsia" w:ascii="宋体" w:hAnsi="宋体" w:cs="宋体"/>
          <w:sz w:val="24"/>
        </w:rPr>
        <w:t>29.评标</w:t>
      </w:r>
      <w:bookmarkEnd w:id="236"/>
      <w:bookmarkEnd w:id="237"/>
    </w:p>
    <w:p w14:paraId="2DEE325A">
      <w:pPr>
        <w:pStyle w:val="39"/>
        <w:jc w:val="both"/>
        <w:rPr>
          <w:rFonts w:hint="eastAsia"/>
        </w:rPr>
      </w:pPr>
      <w:r>
        <w:rPr>
          <w:rFonts w:hint="eastAsia"/>
          <w:lang w:val="en-US"/>
        </w:rPr>
        <w:t>29</w:t>
      </w:r>
      <w:r>
        <w:rPr>
          <w:rFonts w:hint="eastAsia"/>
        </w:rPr>
        <w:t>.1</w:t>
      </w:r>
      <w:r>
        <w:rPr>
          <w:rFonts w:hint="eastAsia"/>
          <w:lang w:val="en-US"/>
        </w:rPr>
        <w:t xml:space="preserve"> 评标方法分为综合评分法和</w:t>
      </w:r>
      <w:r>
        <w:t>最低评标价法</w:t>
      </w:r>
      <w:r>
        <w:rPr>
          <w:rFonts w:hint="eastAsia"/>
        </w:rPr>
        <w:t>，</w:t>
      </w:r>
      <w:r>
        <w:t>本项目</w:t>
      </w:r>
      <w:r>
        <w:rPr>
          <w:rFonts w:hint="eastAsia"/>
        </w:rPr>
        <w:t>评标</w:t>
      </w:r>
      <w:r>
        <w:rPr>
          <w:rFonts w:hint="eastAsia"/>
          <w:lang w:val="en-US"/>
        </w:rPr>
        <w:t>方法详见</w:t>
      </w:r>
      <w:r>
        <w:rPr>
          <w:rFonts w:hint="eastAsia"/>
        </w:rPr>
        <w:t>“投标人须知前附表”。</w:t>
      </w:r>
    </w:p>
    <w:p w14:paraId="260E6D48">
      <w:pPr>
        <w:pStyle w:val="39"/>
        <w:jc w:val="both"/>
        <w:rPr>
          <w:rFonts w:hint="eastAsia"/>
        </w:rPr>
      </w:pPr>
      <w:r>
        <w:t>2</w:t>
      </w:r>
      <w:r>
        <w:rPr>
          <w:rFonts w:hint="eastAsia"/>
          <w:lang w:val="en-US"/>
        </w:rPr>
        <w:t>9.1.1</w:t>
      </w:r>
      <w:r>
        <w:t>综合评分法，是指投标文件满足招标文件全部实质性要求</w:t>
      </w:r>
      <w:r>
        <w:rPr>
          <w:rFonts w:hint="eastAsia"/>
        </w:rPr>
        <w:t>，</w:t>
      </w:r>
      <w:r>
        <w:t>且按照评审因素的量化指标评审得分最高的投标人为中标候选人的评标方法。</w:t>
      </w:r>
    </w:p>
    <w:p w14:paraId="12831AAE">
      <w:pPr>
        <w:pStyle w:val="39"/>
        <w:jc w:val="both"/>
        <w:rPr>
          <w:rFonts w:hint="eastAsia"/>
          <w:lang w:val="en-US"/>
        </w:rPr>
      </w:pPr>
      <w:r>
        <w:rPr>
          <w:rFonts w:hint="eastAsia"/>
          <w:lang w:val="en-US"/>
        </w:rPr>
        <w:t>29.1.2.</w:t>
      </w:r>
      <w:r>
        <w:t>最低评标价法，是指投标文件满足招标文件全部实质性要求</w:t>
      </w:r>
      <w:r>
        <w:rPr>
          <w:rFonts w:hint="eastAsia"/>
        </w:rPr>
        <w:t>，</w:t>
      </w:r>
      <w:r>
        <w:t>且投标报价最低的投标人为中标候选人的评标方法。</w:t>
      </w:r>
    </w:p>
    <w:p w14:paraId="4AA34F8A">
      <w:pPr>
        <w:pStyle w:val="39"/>
        <w:jc w:val="both"/>
        <w:rPr>
          <w:rFonts w:hint="eastAsia"/>
        </w:rPr>
      </w:pPr>
      <w:r>
        <w:rPr>
          <w:rFonts w:hint="eastAsia"/>
          <w:lang w:val="en-US"/>
        </w:rPr>
        <w:t>29</w:t>
      </w:r>
      <w:r>
        <w:rPr>
          <w:rFonts w:hint="eastAsia"/>
        </w:rPr>
        <w:t>.</w:t>
      </w:r>
      <w:r>
        <w:rPr>
          <w:rFonts w:hint="eastAsia"/>
          <w:lang w:val="en-US"/>
        </w:rPr>
        <w:t xml:space="preserve">2 </w:t>
      </w:r>
      <w:r>
        <w:rPr>
          <w:rFonts w:hint="eastAsia"/>
        </w:rPr>
        <w:t>评标委员会按照“第五章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的</w:t>
      </w:r>
      <w:r>
        <w:rPr>
          <w:rFonts w:hint="eastAsia"/>
        </w:rPr>
        <w:t>规定对投标文件进行评审。“第五章</w:t>
      </w:r>
      <w:r>
        <w:rPr>
          <w:rFonts w:hint="eastAsia"/>
          <w:lang w:val="en-US"/>
        </w:rPr>
        <w:t xml:space="preserve"> </w:t>
      </w:r>
      <w:r>
        <w:rPr>
          <w:rFonts w:hint="eastAsia"/>
        </w:rPr>
        <w:t>评标</w:t>
      </w:r>
      <w:r>
        <w:rPr>
          <w:rFonts w:hint="eastAsia"/>
          <w:lang w:val="en-US"/>
        </w:rPr>
        <w:t>方</w:t>
      </w:r>
      <w:r>
        <w:rPr>
          <w:rFonts w:hint="eastAsia"/>
        </w:rPr>
        <w:t>法及标准”没有规定的方法、评审因素和标准，不作为评标依据。</w:t>
      </w:r>
    </w:p>
    <w:p w14:paraId="762F4229">
      <w:pPr>
        <w:pStyle w:val="39"/>
        <w:jc w:val="both"/>
        <w:rPr>
          <w:rFonts w:hint="eastAsia"/>
        </w:rPr>
      </w:pPr>
      <w:r>
        <w:rPr>
          <w:rFonts w:hint="eastAsia"/>
          <w:lang w:val="en-US"/>
        </w:rPr>
        <w:t>29</w:t>
      </w:r>
      <w:r>
        <w:rPr>
          <w:rFonts w:hint="eastAsia"/>
        </w:rPr>
        <w:t>.</w:t>
      </w:r>
      <w:r>
        <w:rPr>
          <w:rFonts w:hint="eastAsia"/>
          <w:lang w:val="en-US"/>
        </w:rPr>
        <w:t xml:space="preserve">3 </w:t>
      </w:r>
      <w:r>
        <w:rPr>
          <w:rFonts w:hint="eastAsia"/>
        </w:rPr>
        <w:t>评标委员会按“投标人须知前附表”规定的中标候选人数量在评标报告中向采购人推荐中标候选人。</w:t>
      </w:r>
    </w:p>
    <w:p w14:paraId="0E0A27B8">
      <w:pPr>
        <w:pStyle w:val="39"/>
        <w:jc w:val="both"/>
        <w:rPr>
          <w:rFonts w:hint="eastAsia"/>
          <w:lang w:val="en-US"/>
        </w:rPr>
      </w:pPr>
      <w:r>
        <w:rPr>
          <w:rFonts w:hint="eastAsia"/>
          <w:lang w:val="en-US"/>
        </w:rPr>
        <w:t>29.4 开标之后，直到签订合同止，凡是属于审查、澄清、评价和比较投标的有关资料以及定标意向等，均不得向投标人或者其他与评标无关的人员透露。</w:t>
      </w:r>
    </w:p>
    <w:p w14:paraId="36A26508">
      <w:pPr>
        <w:pStyle w:val="39"/>
        <w:jc w:val="both"/>
        <w:rPr>
          <w:rFonts w:hint="eastAsia"/>
          <w:lang w:val="en-US"/>
        </w:rPr>
      </w:pPr>
      <w:r>
        <w:rPr>
          <w:rFonts w:hint="eastAsia"/>
          <w:lang w:val="en-US"/>
        </w:rPr>
        <w:t>29.5 在确定中标人之前，投标人试图在投标文件审查、澄清、比较和评标时对评标委员会、采购人和采购代理机构施加任何影响都可能导致其</w:t>
      </w:r>
      <w:r>
        <w:rPr>
          <w:rFonts w:hint="eastAsia"/>
          <w:b/>
          <w:bCs/>
          <w:lang w:val="en-US"/>
        </w:rPr>
        <w:t>投标无效</w:t>
      </w:r>
      <w:r>
        <w:rPr>
          <w:rFonts w:hint="eastAsia"/>
          <w:lang w:val="en-US"/>
        </w:rPr>
        <w:t>。</w:t>
      </w:r>
    </w:p>
    <w:p w14:paraId="0F0ABDAC">
      <w:pPr>
        <w:pStyle w:val="39"/>
        <w:jc w:val="both"/>
        <w:rPr>
          <w:rFonts w:hint="eastAsia"/>
          <w:lang w:val="en-US"/>
        </w:rPr>
      </w:pPr>
      <w:r>
        <w:rPr>
          <w:rFonts w:hint="eastAsia"/>
          <w:lang w:val="en-US"/>
        </w:rPr>
        <w:t>29.6 电子招投标的应急措施</w:t>
      </w:r>
    </w:p>
    <w:p w14:paraId="2A1B3A31">
      <w:pPr>
        <w:pStyle w:val="39"/>
        <w:jc w:val="both"/>
        <w:rPr>
          <w:rFonts w:hint="eastAsia"/>
          <w:lang w:val="en-US"/>
        </w:rPr>
      </w:pPr>
      <w:r>
        <w:rPr>
          <w:rFonts w:hint="eastAsia"/>
          <w:lang w:val="en-US"/>
        </w:rPr>
        <w:t>29.6.1电子开标、评标如出现下列原因，导致系统无法正常运行或无法正常评标时，应采取应急措施。</w:t>
      </w:r>
    </w:p>
    <w:p w14:paraId="719420F2">
      <w:pPr>
        <w:pStyle w:val="39"/>
        <w:jc w:val="both"/>
        <w:rPr>
          <w:rFonts w:hint="eastAsia"/>
          <w:lang w:val="en-US"/>
        </w:rPr>
      </w:pPr>
      <w:r>
        <w:rPr>
          <w:rFonts w:hint="eastAsia"/>
          <w:lang w:val="en-US"/>
        </w:rPr>
        <w:t>（1）系统服务器发生故障，无法访问或无法使用系统；</w:t>
      </w:r>
    </w:p>
    <w:p w14:paraId="5AC0D820">
      <w:pPr>
        <w:pStyle w:val="39"/>
        <w:jc w:val="both"/>
        <w:rPr>
          <w:rFonts w:hint="eastAsia"/>
          <w:lang w:val="en-US"/>
        </w:rPr>
      </w:pPr>
      <w:r>
        <w:rPr>
          <w:rFonts w:hint="eastAsia"/>
          <w:lang w:val="en-US"/>
        </w:rPr>
        <w:t>（2）系统的软件或数据库出现错误，不能进行正常操作；</w:t>
      </w:r>
    </w:p>
    <w:p w14:paraId="33303957">
      <w:pPr>
        <w:pStyle w:val="39"/>
        <w:jc w:val="both"/>
        <w:rPr>
          <w:rFonts w:hint="eastAsia"/>
          <w:lang w:val="en-US"/>
        </w:rPr>
      </w:pPr>
      <w:r>
        <w:rPr>
          <w:rFonts w:hint="eastAsia"/>
          <w:lang w:val="en-US"/>
        </w:rPr>
        <w:t>（3）系统发现有安全漏洞，有潜在的泄密危险；</w:t>
      </w:r>
    </w:p>
    <w:p w14:paraId="5C147FCB">
      <w:pPr>
        <w:pStyle w:val="39"/>
        <w:jc w:val="both"/>
        <w:rPr>
          <w:rFonts w:hint="eastAsia"/>
          <w:lang w:val="en-US"/>
        </w:rPr>
      </w:pPr>
      <w:r>
        <w:rPr>
          <w:rFonts w:hint="eastAsia"/>
          <w:lang w:val="en-US"/>
        </w:rPr>
        <w:t>（4）病毒发作或受到外来病毒的攻击；</w:t>
      </w:r>
    </w:p>
    <w:p w14:paraId="197769A3">
      <w:pPr>
        <w:pStyle w:val="39"/>
        <w:jc w:val="both"/>
        <w:rPr>
          <w:rFonts w:hint="eastAsia"/>
          <w:lang w:val="en-US"/>
        </w:rPr>
      </w:pPr>
      <w:r>
        <w:rPr>
          <w:rFonts w:hint="eastAsia"/>
          <w:lang w:val="en-US"/>
        </w:rPr>
        <w:t>（5）出现其他不可抗拒的客观原因造成开评标系统无法正常使用。</w:t>
      </w:r>
    </w:p>
    <w:p w14:paraId="151C525B">
      <w:pPr>
        <w:pStyle w:val="39"/>
        <w:jc w:val="both"/>
        <w:rPr>
          <w:rFonts w:hint="eastAsia"/>
          <w:lang w:val="en-US"/>
        </w:rPr>
      </w:pPr>
      <w:r>
        <w:rPr>
          <w:rFonts w:hint="eastAsia"/>
          <w:lang w:val="en-US"/>
        </w:rPr>
        <w:t>出现上述情况时，应对未开标的暂停开标。已在系统内开标、评标的立即停止。采取应急措施时，必须对原有资料及信息作出妥善保密处理。</w:t>
      </w:r>
    </w:p>
    <w:p w14:paraId="7A90331D">
      <w:pPr>
        <w:pStyle w:val="39"/>
        <w:jc w:val="both"/>
        <w:rPr>
          <w:rFonts w:hint="eastAsia"/>
          <w:lang w:val="en-US"/>
        </w:rPr>
      </w:pPr>
      <w:r>
        <w:rPr>
          <w:rFonts w:hint="eastAsia"/>
          <w:lang w:val="en-US"/>
        </w:rPr>
        <w:t>29.6.2因系统原因导致投标人均无法解密电子投标文件时，采购代理机构可在开标现场直接导入投标人在投标截止时间前递交的未加密的电子投标文件进行开标、评标。</w:t>
      </w:r>
    </w:p>
    <w:p w14:paraId="0905D95F">
      <w:pPr>
        <w:pStyle w:val="39"/>
        <w:jc w:val="both"/>
        <w:rPr>
          <w:rFonts w:hint="eastAsia"/>
          <w:lang w:val="en-US"/>
        </w:rPr>
      </w:pPr>
      <w:r>
        <w:rPr>
          <w:rFonts w:hint="eastAsia"/>
          <w:lang w:val="en-US"/>
        </w:rPr>
        <w:t>29.7 投标人瑕疵滞后发现的处理规则</w:t>
      </w:r>
    </w:p>
    <w:p w14:paraId="4070D27A">
      <w:pPr>
        <w:pStyle w:val="39"/>
        <w:jc w:val="both"/>
        <w:rPr>
          <w:rFonts w:hint="eastAsia"/>
          <w:lang w:val="en-US"/>
        </w:rPr>
      </w:pPr>
      <w:r>
        <w:rPr>
          <w:rFonts w:hint="eastAsia"/>
          <w:lang w:val="en-US"/>
        </w:rPr>
        <w:t>29.7.1无论基于何种原因，各项本应作</w:t>
      </w:r>
      <w:r>
        <w:rPr>
          <w:rFonts w:hint="eastAsia"/>
          <w:b/>
          <w:bCs/>
          <w:lang w:val="en-US"/>
        </w:rPr>
        <w:t>无效投标</w:t>
      </w:r>
      <w:r>
        <w:rPr>
          <w:rFonts w:hint="eastAsia"/>
          <w:lang w:val="en-US"/>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4347584E">
      <w:pPr>
        <w:pStyle w:val="5"/>
        <w:keepNext w:val="0"/>
        <w:keepLines w:val="0"/>
        <w:spacing w:before="180" w:after="180" w:line="240" w:lineRule="auto"/>
        <w:ind w:left="420" w:hanging="420"/>
        <w:jc w:val="both"/>
        <w:rPr>
          <w:rFonts w:hint="eastAsia" w:cs="宋体"/>
          <w:sz w:val="24"/>
        </w:rPr>
      </w:pPr>
      <w:bookmarkStart w:id="238" w:name="_Toc140132792"/>
      <w:bookmarkStart w:id="239" w:name="_Toc155185879"/>
      <w:bookmarkStart w:id="240" w:name="_Toc163492859"/>
      <w:r>
        <w:rPr>
          <w:rFonts w:hint="eastAsia" w:cs="宋体"/>
          <w:sz w:val="24"/>
        </w:rPr>
        <w:t>（八）中标</w:t>
      </w:r>
      <w:bookmarkEnd w:id="238"/>
      <w:bookmarkEnd w:id="239"/>
      <w:bookmarkEnd w:id="240"/>
    </w:p>
    <w:p w14:paraId="231374D7">
      <w:pPr>
        <w:pStyle w:val="6"/>
        <w:keepNext w:val="0"/>
        <w:keepLines w:val="0"/>
        <w:spacing w:before="80" w:after="80" w:line="240" w:lineRule="auto"/>
        <w:ind w:left="420" w:hanging="420"/>
        <w:jc w:val="both"/>
        <w:rPr>
          <w:rFonts w:hint="eastAsia" w:ascii="宋体" w:hAnsi="宋体" w:cs="宋体"/>
          <w:sz w:val="24"/>
        </w:rPr>
      </w:pPr>
      <w:bookmarkStart w:id="241" w:name="_Toc163492860"/>
      <w:bookmarkStart w:id="242" w:name="_Toc140132793"/>
      <w:r>
        <w:rPr>
          <w:rFonts w:hint="eastAsia" w:ascii="宋体" w:hAnsi="宋体" w:cs="宋体"/>
          <w:sz w:val="24"/>
        </w:rPr>
        <w:t>30.确定中标人</w:t>
      </w:r>
      <w:bookmarkEnd w:id="241"/>
      <w:bookmarkEnd w:id="242"/>
    </w:p>
    <w:p w14:paraId="3C76210A">
      <w:pPr>
        <w:ind w:firstLine="480" w:firstLineChars="200"/>
        <w:jc w:val="both"/>
        <w:rPr>
          <w:rFonts w:hint="eastAsia" w:cs="宋体"/>
          <w:kern w:val="0"/>
          <w:szCs w:val="24"/>
          <w:lang w:bidi="ar"/>
        </w:rPr>
      </w:pPr>
      <w:r>
        <w:rPr>
          <w:rFonts w:hint="eastAsia"/>
        </w:rPr>
        <w:t>30.1</w:t>
      </w:r>
      <w:r>
        <w:rPr>
          <w:rFonts w:hint="eastAsia" w:cs="宋体"/>
          <w:kern w:val="0"/>
          <w:szCs w:val="24"/>
          <w:lang w:bidi="ar"/>
        </w:rPr>
        <w:t>采购人将在评标报告确定的中标候选人名单中按顺序确定中标人，中标候选人并列的，按照</w:t>
      </w:r>
      <w:r>
        <w:rPr>
          <w:rFonts w:hint="eastAsia"/>
        </w:rPr>
        <w:t>“投标人须知前附表”</w:t>
      </w:r>
      <w:r>
        <w:rPr>
          <w:rFonts w:hint="eastAsia" w:cs="宋体"/>
          <w:kern w:val="0"/>
          <w:szCs w:val="24"/>
          <w:lang w:bidi="ar"/>
        </w:rPr>
        <w:t>确定中标人；招标文件未规定的，采取随机抽取的方式确定。采购人是否委托评标委员会直接确定中标人，见</w:t>
      </w:r>
      <w:r>
        <w:rPr>
          <w:rFonts w:hint="eastAsia"/>
        </w:rPr>
        <w:t>“投标人须知前附表”</w:t>
      </w:r>
      <w:r>
        <w:rPr>
          <w:rFonts w:hint="eastAsia" w:cs="宋体"/>
          <w:kern w:val="0"/>
          <w:szCs w:val="24"/>
          <w:lang w:bidi="ar"/>
        </w:rPr>
        <w:t>。</w:t>
      </w:r>
    </w:p>
    <w:p w14:paraId="1ADE5AAC">
      <w:pPr>
        <w:ind w:firstLine="480" w:firstLineChars="200"/>
        <w:jc w:val="both"/>
        <w:rPr>
          <w:rFonts w:hint="eastAsia" w:cs="宋体"/>
          <w:kern w:val="0"/>
          <w:szCs w:val="24"/>
          <w:lang w:bidi="ar"/>
        </w:rPr>
      </w:pPr>
      <w:r>
        <w:rPr>
          <w:rFonts w:hint="eastAsia" w:cs="宋体"/>
          <w:kern w:val="0"/>
          <w:szCs w:val="24"/>
          <w:lang w:bidi="ar"/>
        </w:rPr>
        <w:t>30.2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rPr>
        <w:t>“投标人须知前附表”</w:t>
      </w:r>
      <w:r>
        <w:rPr>
          <w:rFonts w:hint="eastAsia" w:cs="宋体"/>
          <w:kern w:val="0"/>
          <w:szCs w:val="24"/>
          <w:lang w:bidi="ar"/>
        </w:rPr>
        <w:t>规定的方式确定一个投标人获得中标人推荐资格，招标文件未规定的采取随机抽取方式确定，其他同品牌投标人不作为中标候选人。</w:t>
      </w:r>
    </w:p>
    <w:p w14:paraId="5F492A63">
      <w:pPr>
        <w:ind w:firstLine="480" w:firstLineChars="200"/>
        <w:jc w:val="both"/>
        <w:rPr>
          <w:rFonts w:hint="eastAsia" w:cs="宋体"/>
          <w:kern w:val="0"/>
          <w:szCs w:val="24"/>
          <w:lang w:bidi="ar"/>
        </w:rPr>
      </w:pPr>
      <w:r>
        <w:rPr>
          <w:rFonts w:hint="eastAsia" w:cs="宋体"/>
          <w:kern w:val="0"/>
          <w:szCs w:val="24"/>
          <w:lang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rPr>
        <w:t>“投标人须知前附表”</w:t>
      </w:r>
      <w:r>
        <w:rPr>
          <w:rFonts w:hint="eastAsia" w:cs="宋体"/>
          <w:kern w:val="0"/>
          <w:szCs w:val="24"/>
          <w:lang w:bidi="ar"/>
        </w:rPr>
        <w:t>规定的方式确定一个参加评标的投标人，招标文件未规定的采取随机抽取方式确定，其他投标无效。</w:t>
      </w:r>
    </w:p>
    <w:p w14:paraId="14EBF0C2">
      <w:pPr>
        <w:ind w:firstLine="480" w:firstLineChars="200"/>
        <w:jc w:val="both"/>
        <w:rPr>
          <w:rFonts w:hint="eastAsia"/>
        </w:rPr>
      </w:pPr>
      <w:r>
        <w:rPr>
          <w:rFonts w:hint="eastAsia" w:cs="宋体"/>
          <w:kern w:val="0"/>
          <w:szCs w:val="24"/>
          <w:lang w:bidi="ar"/>
        </w:rPr>
        <w:t>30.4非单一产品采购项目，采购人应当根据采购项目技术构成、产品价格比重等合理确定核心产品，并在</w:t>
      </w:r>
      <w:r>
        <w:rPr>
          <w:rFonts w:hint="eastAsia"/>
        </w:rPr>
        <w:t>“投标人须知前附表”</w:t>
      </w:r>
      <w:r>
        <w:rPr>
          <w:rFonts w:hint="eastAsia" w:cs="宋体"/>
          <w:kern w:val="0"/>
          <w:szCs w:val="24"/>
          <w:lang w:bidi="ar"/>
        </w:rPr>
        <w:t xml:space="preserve">中载明。多家投标人提供的核心产品品牌相同的，按前两款规定处理。 </w:t>
      </w:r>
    </w:p>
    <w:p w14:paraId="3A7FFF52">
      <w:pPr>
        <w:pStyle w:val="6"/>
        <w:keepNext w:val="0"/>
        <w:keepLines w:val="0"/>
        <w:spacing w:before="80" w:after="80" w:line="240" w:lineRule="auto"/>
        <w:ind w:left="420" w:hanging="420"/>
        <w:jc w:val="both"/>
        <w:rPr>
          <w:rFonts w:hint="eastAsia" w:ascii="宋体" w:hAnsi="宋体" w:cs="宋体"/>
          <w:sz w:val="24"/>
        </w:rPr>
      </w:pPr>
      <w:bookmarkStart w:id="243" w:name="_Toc163492861"/>
      <w:bookmarkStart w:id="244" w:name="_Toc140132794"/>
      <w:r>
        <w:rPr>
          <w:rFonts w:hint="eastAsia" w:ascii="宋体" w:hAnsi="宋体" w:cs="宋体"/>
          <w:sz w:val="24"/>
        </w:rPr>
        <w:t>31.中标结果公告</w:t>
      </w:r>
      <w:bookmarkEnd w:id="243"/>
      <w:bookmarkEnd w:id="244"/>
    </w:p>
    <w:p w14:paraId="5B72B325">
      <w:pPr>
        <w:pStyle w:val="39"/>
        <w:jc w:val="both"/>
        <w:rPr>
          <w:rFonts w:hint="eastAsia"/>
        </w:rPr>
      </w:pPr>
      <w:r>
        <w:rPr>
          <w:bCs/>
        </w:rPr>
        <w:t>3</w:t>
      </w:r>
      <w:r>
        <w:rPr>
          <w:rFonts w:hint="eastAsia"/>
          <w:bCs/>
          <w:lang w:val="en-US"/>
        </w:rPr>
        <w:t>1</w:t>
      </w:r>
      <w:r>
        <w:rPr>
          <w:rFonts w:hint="eastAsia"/>
        </w:rPr>
        <w:t>.1</w:t>
      </w:r>
      <w:r>
        <w:rPr>
          <w:rFonts w:hint="eastAsia"/>
          <w:lang w:val="en-US"/>
        </w:rPr>
        <w:t>采购人或</w:t>
      </w:r>
      <w:r>
        <w:rPr>
          <w:rFonts w:hint="eastAsia"/>
        </w:rPr>
        <w:t>采购代理机构应当自中标人确定之日起2个工作日内，在</w:t>
      </w:r>
      <w:r>
        <w:rPr>
          <w:rFonts w:hint="eastAsia"/>
          <w:lang w:val="en-US"/>
        </w:rPr>
        <w:t>发布招标公告的同一</w:t>
      </w:r>
      <w:r>
        <w:rPr>
          <w:rFonts w:hint="eastAsia"/>
        </w:rPr>
        <w:t>媒体上发布中标结果公告，</w:t>
      </w:r>
      <w:r>
        <w:rPr>
          <w:rFonts w:hint="eastAsia"/>
          <w:lang w:val="en-US"/>
        </w:rPr>
        <w:t>同时向中标人</w:t>
      </w:r>
      <w:r>
        <w:rPr>
          <w:rFonts w:hint="eastAsia"/>
        </w:rPr>
        <w:t>发出中标通知书。招标文件随中标结果同时公告，中标结果公告期限为1个工作日。</w:t>
      </w:r>
    </w:p>
    <w:p w14:paraId="5A4F81C9">
      <w:pPr>
        <w:pStyle w:val="39"/>
        <w:jc w:val="both"/>
        <w:rPr>
          <w:rFonts w:hint="eastAsia"/>
          <w:bCs/>
        </w:rPr>
      </w:pPr>
      <w:r>
        <w:rPr>
          <w:rFonts w:hint="eastAsia"/>
          <w:bCs/>
        </w:rPr>
        <w:t>3</w:t>
      </w:r>
      <w:r>
        <w:rPr>
          <w:rFonts w:hint="eastAsia"/>
          <w:bCs/>
          <w:lang w:val="en-US"/>
        </w:rPr>
        <w:t>1</w:t>
      </w:r>
      <w:r>
        <w:rPr>
          <w:bCs/>
        </w:rPr>
        <w:t>.2</w:t>
      </w:r>
      <w:r>
        <w:rPr>
          <w:rFonts w:hint="eastAsia"/>
          <w:bCs/>
        </w:rPr>
        <w:t>中标</w:t>
      </w:r>
      <w:r>
        <w:rPr>
          <w:rFonts w:hint="eastAsia"/>
          <w:bCs/>
          <w:lang w:val="en-US"/>
        </w:rPr>
        <w:t>人</w:t>
      </w:r>
      <w:r>
        <w:rPr>
          <w:rFonts w:hint="eastAsia"/>
          <w:bCs/>
        </w:rPr>
        <w:t>为中小企业</w:t>
      </w:r>
      <w:r>
        <w:rPr>
          <w:rFonts w:hint="eastAsia"/>
          <w:bCs/>
          <w:lang w:val="en-US"/>
        </w:rPr>
        <w:t>享受中小企业扶持政策的</w:t>
      </w:r>
      <w:r>
        <w:rPr>
          <w:rFonts w:hint="eastAsia"/>
          <w:bCs/>
        </w:rPr>
        <w:t>，其“中小企业声明函”随中标结果同时公告。中标</w:t>
      </w:r>
      <w:r>
        <w:rPr>
          <w:rFonts w:hint="eastAsia"/>
          <w:bCs/>
          <w:lang w:val="en-US"/>
        </w:rPr>
        <w:t>人</w:t>
      </w:r>
      <w:r>
        <w:rPr>
          <w:rFonts w:hint="eastAsia"/>
          <w:bCs/>
        </w:rPr>
        <w:t>为残疾人福利性单位的，其“残疾人福利性单位声明函”随中标结果同时公告。</w:t>
      </w:r>
    </w:p>
    <w:p w14:paraId="3732D2B6">
      <w:pPr>
        <w:pStyle w:val="39"/>
        <w:jc w:val="both"/>
        <w:rPr>
          <w:rFonts w:hint="eastAsia"/>
          <w:bCs/>
        </w:rPr>
      </w:pPr>
      <w:r>
        <w:rPr>
          <w:rFonts w:hint="eastAsia"/>
          <w:bCs/>
          <w:lang w:val="en-US"/>
        </w:rPr>
        <w:t>31.3</w:t>
      </w:r>
      <w:r>
        <w:rPr>
          <w:rFonts w:hint="eastAsia"/>
          <w:bCs/>
        </w:rPr>
        <w:t>项目采购采用最低评标价法的，公告中标结果时同时公告因落实政府采购政策等原因进行价格扣除后中标</w:t>
      </w:r>
      <w:r>
        <w:rPr>
          <w:rFonts w:hint="eastAsia"/>
          <w:bCs/>
          <w:lang w:val="en-US"/>
        </w:rPr>
        <w:t>人</w:t>
      </w:r>
      <w:r>
        <w:rPr>
          <w:rFonts w:hint="eastAsia"/>
          <w:bCs/>
        </w:rPr>
        <w:t>的评审报价；项目采购采用综合评分法的，公告中标结果时同时公告中标</w:t>
      </w:r>
      <w:r>
        <w:rPr>
          <w:rFonts w:hint="eastAsia"/>
          <w:bCs/>
          <w:lang w:val="en-US"/>
        </w:rPr>
        <w:t>供应商</w:t>
      </w:r>
      <w:r>
        <w:rPr>
          <w:rFonts w:hint="eastAsia"/>
          <w:bCs/>
        </w:rPr>
        <w:t>的评审总得分。</w:t>
      </w:r>
    </w:p>
    <w:p w14:paraId="33CA7007">
      <w:pPr>
        <w:pStyle w:val="6"/>
        <w:keepNext w:val="0"/>
        <w:keepLines w:val="0"/>
        <w:spacing w:before="80" w:after="80" w:line="240" w:lineRule="auto"/>
        <w:ind w:left="420" w:hanging="420"/>
        <w:jc w:val="both"/>
        <w:rPr>
          <w:rFonts w:hint="eastAsia" w:ascii="宋体" w:hAnsi="宋体" w:cs="宋体"/>
          <w:sz w:val="24"/>
        </w:rPr>
      </w:pPr>
      <w:bookmarkStart w:id="245" w:name="_Toc163492862"/>
      <w:bookmarkStart w:id="246" w:name="_Toc140132795"/>
      <w:r>
        <w:rPr>
          <w:rFonts w:hint="eastAsia" w:ascii="宋体" w:hAnsi="宋体" w:cs="宋体"/>
          <w:sz w:val="24"/>
        </w:rPr>
        <w:t>32.中标通知</w:t>
      </w:r>
      <w:bookmarkEnd w:id="245"/>
      <w:bookmarkEnd w:id="246"/>
    </w:p>
    <w:p w14:paraId="78388332">
      <w:pPr>
        <w:pStyle w:val="39"/>
        <w:jc w:val="both"/>
        <w:rPr>
          <w:rFonts w:hint="eastAsia"/>
        </w:rPr>
      </w:pPr>
      <w:r>
        <w:rPr>
          <w:bCs/>
        </w:rPr>
        <w:t>3</w:t>
      </w:r>
      <w:r>
        <w:rPr>
          <w:rFonts w:hint="eastAsia"/>
          <w:bCs/>
          <w:lang w:val="en-US"/>
        </w:rPr>
        <w:t>2</w:t>
      </w:r>
      <w:r>
        <w:rPr>
          <w:rFonts w:hint="eastAsia"/>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2B0E2062">
      <w:pPr>
        <w:pStyle w:val="39"/>
        <w:jc w:val="both"/>
        <w:rPr>
          <w:rFonts w:hint="eastAsia"/>
          <w:lang w:val="en-US"/>
        </w:rPr>
      </w:pPr>
      <w:r>
        <w:rPr>
          <w:rFonts w:hint="eastAsia"/>
          <w:lang w:val="en-US"/>
        </w:rPr>
        <w:t>32.2中标通知书对采购人和中标人均具有法律效力。中标通知书发出后，采购人改变中标结果的，或者中标人放弃中标项目的，应当依法承担法律责任。</w:t>
      </w:r>
    </w:p>
    <w:p w14:paraId="57FD15F5">
      <w:pPr>
        <w:pStyle w:val="5"/>
        <w:keepNext w:val="0"/>
        <w:keepLines w:val="0"/>
        <w:spacing w:before="180" w:after="180" w:line="240" w:lineRule="auto"/>
        <w:ind w:left="420" w:hanging="420"/>
        <w:jc w:val="both"/>
        <w:rPr>
          <w:rFonts w:hint="eastAsia" w:cs="宋体"/>
          <w:sz w:val="24"/>
        </w:rPr>
      </w:pPr>
      <w:bookmarkStart w:id="247" w:name="_Toc163492863"/>
      <w:r>
        <w:rPr>
          <w:rFonts w:hint="eastAsia" w:cs="宋体"/>
          <w:sz w:val="24"/>
        </w:rPr>
        <w:t>（九）签订</w:t>
      </w:r>
      <w:bookmarkStart w:id="248" w:name="_Toc155185880"/>
      <w:bookmarkStart w:id="249" w:name="_Toc140132796"/>
      <w:r>
        <w:rPr>
          <w:rFonts w:hint="eastAsia" w:cs="宋体"/>
          <w:sz w:val="24"/>
        </w:rPr>
        <w:t>合同</w:t>
      </w:r>
      <w:bookmarkEnd w:id="247"/>
      <w:bookmarkEnd w:id="248"/>
      <w:bookmarkEnd w:id="249"/>
    </w:p>
    <w:p w14:paraId="23404759">
      <w:pPr>
        <w:pStyle w:val="6"/>
        <w:keepNext w:val="0"/>
        <w:keepLines w:val="0"/>
        <w:spacing w:before="80" w:after="80" w:line="240" w:lineRule="auto"/>
        <w:ind w:left="420" w:hanging="420"/>
        <w:jc w:val="both"/>
        <w:rPr>
          <w:rFonts w:hint="eastAsia" w:ascii="宋体" w:hAnsi="宋体" w:cs="宋体"/>
          <w:sz w:val="24"/>
        </w:rPr>
      </w:pPr>
      <w:bookmarkStart w:id="250" w:name="_Toc140132797"/>
      <w:bookmarkStart w:id="251" w:name="_Toc163492864"/>
      <w:r>
        <w:rPr>
          <w:rFonts w:hint="eastAsia" w:ascii="宋体" w:hAnsi="宋体" w:cs="宋体"/>
          <w:sz w:val="24"/>
        </w:rPr>
        <w:t>33.履约保证金</w:t>
      </w:r>
      <w:bookmarkEnd w:id="250"/>
      <w:bookmarkEnd w:id="251"/>
    </w:p>
    <w:p w14:paraId="73FDF805">
      <w:pPr>
        <w:pStyle w:val="39"/>
        <w:jc w:val="both"/>
        <w:rPr>
          <w:rFonts w:hint="eastAsia"/>
        </w:rPr>
      </w:pPr>
      <w:r>
        <w:rPr>
          <w:bCs/>
        </w:rPr>
        <w:t>3</w:t>
      </w:r>
      <w:r>
        <w:rPr>
          <w:rFonts w:hint="eastAsia"/>
          <w:bCs/>
          <w:lang w:val="en-US"/>
        </w:rPr>
        <w:t>3</w:t>
      </w:r>
      <w:r>
        <w:rPr>
          <w:rFonts w:hint="eastAsia"/>
        </w:rPr>
        <w:t>.1在签订合同前，中标人应按“投标人须知前附表”规定的金额、担保形式和采购人认可的履约担保格式向采购人提交履约保证金。</w:t>
      </w:r>
    </w:p>
    <w:p w14:paraId="7120DE16">
      <w:pPr>
        <w:pStyle w:val="39"/>
        <w:jc w:val="both"/>
        <w:rPr>
          <w:rFonts w:hint="eastAsia"/>
        </w:rPr>
      </w:pPr>
      <w:r>
        <w:rPr>
          <w:bCs/>
        </w:rPr>
        <w:t>3</w:t>
      </w:r>
      <w:r>
        <w:rPr>
          <w:rFonts w:hint="eastAsia"/>
          <w:bCs/>
          <w:lang w:val="en-US"/>
        </w:rPr>
        <w:t>3</w:t>
      </w:r>
      <w:r>
        <w:rPr>
          <w:rFonts w:hint="eastAsia"/>
        </w:rPr>
        <w:t>.2中标人不能按本章第</w:t>
      </w:r>
      <w:r>
        <w:t>3</w:t>
      </w:r>
      <w:r>
        <w:rPr>
          <w:rFonts w:hint="eastAsia"/>
          <w:lang w:val="en-US"/>
        </w:rPr>
        <w:t>3</w:t>
      </w:r>
      <w:r>
        <w:rPr>
          <w:rFonts w:hint="eastAsia"/>
        </w:rPr>
        <w:t>.1项要求提交履约担保的，视为放弃中标，给采购人造成损失的，中标人还应当承担民事责任。</w:t>
      </w:r>
    </w:p>
    <w:p w14:paraId="14F4DF04">
      <w:pPr>
        <w:pStyle w:val="6"/>
        <w:keepNext w:val="0"/>
        <w:keepLines w:val="0"/>
        <w:spacing w:before="80" w:after="80" w:line="240" w:lineRule="auto"/>
        <w:ind w:left="420" w:hanging="420"/>
        <w:jc w:val="both"/>
        <w:rPr>
          <w:rFonts w:hint="eastAsia" w:ascii="宋体" w:hAnsi="宋体" w:cs="宋体"/>
          <w:sz w:val="24"/>
        </w:rPr>
      </w:pPr>
      <w:bookmarkStart w:id="252" w:name="_Toc140132798"/>
      <w:bookmarkStart w:id="253" w:name="_Toc163492865"/>
      <w:r>
        <w:rPr>
          <w:rFonts w:hint="eastAsia" w:ascii="宋体" w:hAnsi="宋体" w:cs="宋体"/>
          <w:sz w:val="24"/>
        </w:rPr>
        <w:t>34.签订合同</w:t>
      </w:r>
      <w:bookmarkEnd w:id="252"/>
      <w:bookmarkEnd w:id="253"/>
    </w:p>
    <w:p w14:paraId="111C5B05">
      <w:pPr>
        <w:pStyle w:val="39"/>
        <w:jc w:val="both"/>
        <w:rPr>
          <w:rFonts w:hint="eastAsia"/>
        </w:rPr>
      </w:pPr>
      <w:r>
        <w:rPr>
          <w:bCs/>
        </w:rPr>
        <w:t>3</w:t>
      </w:r>
      <w:r>
        <w:rPr>
          <w:rFonts w:hint="eastAsia"/>
          <w:bCs/>
          <w:lang w:val="en-US"/>
        </w:rPr>
        <w:t>4</w:t>
      </w:r>
      <w:r>
        <w:rPr>
          <w:rFonts w:hint="eastAsia"/>
        </w:rPr>
        <w:t>.1 采购人和中标人应当自中标通知书发出之日起</w:t>
      </w:r>
      <w:r>
        <w:rPr>
          <w:rFonts w:hint="eastAsia"/>
          <w:lang w:val="en-US"/>
        </w:rPr>
        <w:t>25</w:t>
      </w:r>
      <w:r>
        <w:rPr>
          <w:rFonts w:hint="eastAsia"/>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07DC9BFF">
      <w:pPr>
        <w:pStyle w:val="39"/>
        <w:jc w:val="both"/>
        <w:rPr>
          <w:rFonts w:hint="eastAsia"/>
          <w:lang w:val="en-US"/>
        </w:rPr>
      </w:pPr>
      <w:r>
        <w:rPr>
          <w:rFonts w:hint="eastAsia"/>
          <w:lang w:val="en-US"/>
        </w:rPr>
        <w:t>34.2 中标人拒绝与采购人签订合同的，采购人可以按照评标报告推荐的中标候选人名单排序，确定下一候选人为中标人，也可以重新开展政府采购活动。</w:t>
      </w:r>
    </w:p>
    <w:p w14:paraId="35593C8F">
      <w:pPr>
        <w:pStyle w:val="39"/>
        <w:jc w:val="both"/>
        <w:rPr>
          <w:rFonts w:hint="eastAsia"/>
        </w:rPr>
      </w:pPr>
      <w:r>
        <w:rPr>
          <w:bCs/>
        </w:rPr>
        <w:t>3</w:t>
      </w:r>
      <w:r>
        <w:rPr>
          <w:rFonts w:hint="eastAsia"/>
          <w:bCs/>
          <w:lang w:val="en-US"/>
        </w:rPr>
        <w:t>4</w:t>
      </w:r>
      <w:r>
        <w:rPr>
          <w:rFonts w:hint="eastAsia"/>
        </w:rPr>
        <w:t>.</w:t>
      </w:r>
      <w:r>
        <w:rPr>
          <w:rFonts w:hint="eastAsia"/>
          <w:lang w:val="en-US"/>
        </w:rPr>
        <w:t>3</w:t>
      </w:r>
      <w:r>
        <w:rPr>
          <w:rFonts w:hint="eastAsia"/>
        </w:rPr>
        <w:t xml:space="preserve"> 采购人和中标人不得向对方提出任何不合理的要求，作为签订合同的条件，双方不得私下订立背离合同实质性内容的协议。</w:t>
      </w:r>
    </w:p>
    <w:p w14:paraId="3B751942">
      <w:pPr>
        <w:pStyle w:val="39"/>
        <w:jc w:val="both"/>
        <w:rPr>
          <w:rFonts w:hint="eastAsia"/>
          <w:lang w:val="en-US"/>
        </w:rPr>
      </w:pPr>
      <w:r>
        <w:rPr>
          <w:rFonts w:hint="eastAsia"/>
          <w:lang w:val="en-US"/>
        </w:rPr>
        <w:t>34.4 联合体中标的，联合体各方应当共同与采购人签订合同，就采购合同约定的事项向采购人承担连带责任。</w:t>
      </w:r>
    </w:p>
    <w:p w14:paraId="1656D49E">
      <w:pPr>
        <w:pStyle w:val="39"/>
        <w:jc w:val="both"/>
        <w:rPr>
          <w:rFonts w:hint="eastAsia"/>
          <w:b/>
          <w:bCs/>
          <w:lang w:val="en-US"/>
        </w:rPr>
      </w:pPr>
      <w:r>
        <w:rPr>
          <w:rFonts w:hint="eastAsia"/>
          <w:lang w:val="en-US"/>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b/>
          <w:bCs/>
          <w:lang w:val="en-US"/>
        </w:rPr>
        <w:t>投标无效</w:t>
      </w:r>
      <w:r>
        <w:rPr>
          <w:rFonts w:hint="eastAsia"/>
          <w:lang w:val="en-US"/>
        </w:rPr>
        <w:t>。中标人就采购项目和分包项目向采购人负责，分包供应商就分包项目承担责任。</w:t>
      </w:r>
      <w:r>
        <w:rPr>
          <w:rFonts w:hint="eastAsia"/>
          <w:b/>
          <w:bCs/>
          <w:lang w:val="en-US"/>
        </w:rPr>
        <w:t>政府采购合同不能转包。</w:t>
      </w:r>
    </w:p>
    <w:p w14:paraId="1C276A7F">
      <w:pPr>
        <w:pStyle w:val="39"/>
        <w:jc w:val="both"/>
        <w:rPr>
          <w:rFonts w:hint="eastAsia"/>
        </w:rPr>
      </w:pPr>
      <w:r>
        <w:rPr>
          <w:bCs/>
        </w:rPr>
        <w:t>3</w:t>
      </w:r>
      <w:r>
        <w:rPr>
          <w:rFonts w:hint="eastAsia"/>
          <w:bCs/>
          <w:lang w:val="en-US"/>
        </w:rPr>
        <w:t>4</w:t>
      </w:r>
      <w:r>
        <w:rPr>
          <w:rFonts w:hint="eastAsia"/>
        </w:rPr>
        <w:t>.</w:t>
      </w:r>
      <w:r>
        <w:rPr>
          <w:rFonts w:hint="eastAsia"/>
          <w:lang w:val="en-US"/>
        </w:rPr>
        <w:t>6</w:t>
      </w:r>
      <w:r>
        <w:rPr>
          <w:rFonts w:hint="eastAsia"/>
        </w:rPr>
        <w:t>采购合同履行中，采购人需追加与合同标的相同的</w:t>
      </w:r>
      <w:r>
        <w:rPr>
          <w:rFonts w:hint="eastAsia"/>
          <w:lang w:val="en-US"/>
        </w:rPr>
        <w:t>货物、工程或者服务</w:t>
      </w:r>
      <w:r>
        <w:rPr>
          <w:rFonts w:hint="eastAsia"/>
        </w:rPr>
        <w:t>的，在不改变合同其他条款的前提下，可以与中标人协商签订补充合同，但所有补充合同的采购金额不得超过原合同采购金额的百分之十。</w:t>
      </w:r>
    </w:p>
    <w:p w14:paraId="2F2D4D59">
      <w:pPr>
        <w:pStyle w:val="39"/>
        <w:jc w:val="both"/>
        <w:rPr>
          <w:rFonts w:hint="eastAsia"/>
          <w:lang w:val="en-US"/>
        </w:rPr>
      </w:pPr>
      <w:r>
        <w:rPr>
          <w:rFonts w:hint="eastAsia"/>
          <w:lang w:val="en-US"/>
        </w:rPr>
        <w:t>34.7 采购人应于签订合同之日起2个工作日内在政采云平台备案公示。</w:t>
      </w:r>
    </w:p>
    <w:p w14:paraId="77FD268C">
      <w:pPr>
        <w:pStyle w:val="5"/>
        <w:keepNext w:val="0"/>
        <w:keepLines w:val="0"/>
        <w:spacing w:before="180" w:after="180" w:line="240" w:lineRule="auto"/>
        <w:ind w:left="420" w:hanging="420"/>
        <w:jc w:val="both"/>
        <w:rPr>
          <w:rFonts w:hint="eastAsia" w:cs="宋体"/>
          <w:sz w:val="24"/>
        </w:rPr>
      </w:pPr>
      <w:bookmarkStart w:id="254" w:name="_Toc155185881"/>
      <w:bookmarkStart w:id="255" w:name="_Toc163492866"/>
      <w:bookmarkStart w:id="256" w:name="_Toc140132799"/>
      <w:r>
        <w:rPr>
          <w:rFonts w:hint="eastAsia" w:cs="宋体"/>
          <w:sz w:val="24"/>
        </w:rPr>
        <w:t>（十）质疑和投诉</w:t>
      </w:r>
      <w:bookmarkEnd w:id="254"/>
      <w:bookmarkEnd w:id="255"/>
      <w:bookmarkEnd w:id="256"/>
    </w:p>
    <w:p w14:paraId="45BCB32F">
      <w:pPr>
        <w:pStyle w:val="6"/>
        <w:keepNext w:val="0"/>
        <w:keepLines w:val="0"/>
        <w:spacing w:before="80" w:after="80" w:line="240" w:lineRule="auto"/>
        <w:ind w:left="420" w:hanging="420"/>
        <w:jc w:val="both"/>
        <w:rPr>
          <w:rFonts w:hint="eastAsia" w:ascii="宋体" w:hAnsi="宋体" w:cs="宋体"/>
          <w:sz w:val="24"/>
        </w:rPr>
      </w:pPr>
      <w:bookmarkStart w:id="257" w:name="_Toc140132800"/>
      <w:bookmarkStart w:id="258" w:name="_Toc163492867"/>
      <w:r>
        <w:rPr>
          <w:rFonts w:hint="eastAsia" w:ascii="宋体" w:hAnsi="宋体" w:cs="宋体"/>
          <w:sz w:val="24"/>
        </w:rPr>
        <w:t>35.质疑</w:t>
      </w:r>
      <w:bookmarkEnd w:id="257"/>
      <w:bookmarkEnd w:id="258"/>
    </w:p>
    <w:p w14:paraId="7332E252">
      <w:pPr>
        <w:pStyle w:val="39"/>
        <w:jc w:val="both"/>
        <w:rPr>
          <w:rFonts w:hint="eastAsia"/>
          <w:lang w:val="en-US"/>
        </w:rPr>
      </w:pPr>
      <w:r>
        <w:t>3</w:t>
      </w:r>
      <w:r>
        <w:rPr>
          <w:rFonts w:hint="eastAsia"/>
          <w:lang w:val="en-US"/>
        </w:rPr>
        <w:t>5</w:t>
      </w:r>
      <w:r>
        <w:rPr>
          <w:rFonts w:hint="eastAsia"/>
        </w:rPr>
        <w:t>.1供应商认为采购文件、采购过程、中标结果使自己的权益受到损害的，可以在知道或者应知其权益受到损害之日起7个工作日内，以书面形式向采购人、采购代理机构提出质疑，</w:t>
      </w:r>
      <w:r>
        <w:rPr>
          <w:rFonts w:hint="eastAsia"/>
          <w:lang w:val="en-US"/>
        </w:rPr>
        <w:t>详见“投标人须知前附表”</w:t>
      </w:r>
      <w:r>
        <w:rPr>
          <w:rFonts w:hint="eastAsia"/>
        </w:rPr>
        <w:t>。供应商在法定质疑期内一次性提出针对同一采购程序环节的质疑。</w:t>
      </w:r>
    </w:p>
    <w:p w14:paraId="0221523D">
      <w:pPr>
        <w:pStyle w:val="39"/>
        <w:jc w:val="both"/>
        <w:rPr>
          <w:rFonts w:hint="eastAsia"/>
        </w:rPr>
      </w:pPr>
      <w:r>
        <w:t>3</w:t>
      </w:r>
      <w:r>
        <w:rPr>
          <w:rFonts w:hint="eastAsia"/>
          <w:lang w:val="en-US"/>
        </w:rPr>
        <w:t>5</w:t>
      </w:r>
      <w:r>
        <w:rPr>
          <w:rFonts w:hint="eastAsia"/>
        </w:rPr>
        <w:t>.2提出质疑的供应商（以下简称质疑供应商）应当是参与所质疑项目采购活动的供应商。</w:t>
      </w:r>
    </w:p>
    <w:p w14:paraId="535C97BF">
      <w:pPr>
        <w:pStyle w:val="39"/>
        <w:jc w:val="both"/>
        <w:rPr>
          <w:rFonts w:hint="eastAsia"/>
        </w:rPr>
      </w:pPr>
      <w:r>
        <w:rPr>
          <w:rFonts w:hint="eastAsia"/>
          <w:lang w:val="en-US"/>
        </w:rPr>
        <w:t>35.3</w:t>
      </w:r>
      <w:r>
        <w:rPr>
          <w:rFonts w:hint="eastAsia"/>
        </w:rPr>
        <w:t>潜在供应商已依法获取其可质疑的采购文件的，可以对该文件提出质疑。对采购文件提出质疑的，应当在获取采购文件或者采购文件公告期限届满之日起7个工作日内提出。</w:t>
      </w:r>
    </w:p>
    <w:p w14:paraId="22364CF6">
      <w:pPr>
        <w:pStyle w:val="39"/>
        <w:jc w:val="both"/>
        <w:rPr>
          <w:rFonts w:hint="eastAsia"/>
        </w:rPr>
      </w:pPr>
      <w:r>
        <w:rPr>
          <w:rFonts w:hint="eastAsia"/>
          <w:lang w:val="en-US"/>
        </w:rPr>
        <w:t>35.4</w:t>
      </w:r>
      <w:r>
        <w:rPr>
          <w:rFonts w:hint="eastAsia"/>
        </w:rPr>
        <w:t>供应商提出质疑应当提交质疑函和必要的证明材料。质疑函应当包括下列内容：</w:t>
      </w:r>
    </w:p>
    <w:p w14:paraId="18334A4B">
      <w:pPr>
        <w:pStyle w:val="39"/>
        <w:jc w:val="both"/>
        <w:rPr>
          <w:rFonts w:hint="eastAsia"/>
        </w:rPr>
      </w:pPr>
      <w:r>
        <w:rPr>
          <w:rFonts w:hint="eastAsia"/>
        </w:rPr>
        <w:t>（</w:t>
      </w:r>
      <w:r>
        <w:rPr>
          <w:rFonts w:hint="eastAsia"/>
          <w:lang w:val="en-US"/>
        </w:rPr>
        <w:t>1</w:t>
      </w:r>
      <w:r>
        <w:rPr>
          <w:rFonts w:hint="eastAsia"/>
        </w:rPr>
        <w:t>）供应商的姓名或者名称、地址、邮编、联系人及联系电话；</w:t>
      </w:r>
    </w:p>
    <w:p w14:paraId="02B5D952">
      <w:pPr>
        <w:pStyle w:val="39"/>
        <w:jc w:val="both"/>
        <w:rPr>
          <w:rFonts w:hint="eastAsia"/>
        </w:rPr>
      </w:pPr>
      <w:r>
        <w:rPr>
          <w:rFonts w:hint="eastAsia"/>
        </w:rPr>
        <w:t>（</w:t>
      </w:r>
      <w:r>
        <w:rPr>
          <w:rFonts w:hint="eastAsia"/>
          <w:lang w:val="en-US"/>
        </w:rPr>
        <w:t>2</w:t>
      </w:r>
      <w:r>
        <w:rPr>
          <w:rFonts w:hint="eastAsia"/>
        </w:rPr>
        <w:t>）质疑项目的名称、</w:t>
      </w:r>
      <w:r>
        <w:rPr>
          <w:rFonts w:hint="eastAsia"/>
          <w:lang w:val="en-US"/>
        </w:rPr>
        <w:t>项目</w:t>
      </w:r>
      <w:r>
        <w:rPr>
          <w:rFonts w:hint="eastAsia"/>
        </w:rPr>
        <w:t>编号</w:t>
      </w:r>
      <w:r>
        <w:rPr>
          <w:rFonts w:hint="eastAsia"/>
          <w:lang w:val="en-US"/>
        </w:rPr>
        <w:t>/包号</w:t>
      </w:r>
      <w:r>
        <w:rPr>
          <w:rFonts w:hint="eastAsia"/>
        </w:rPr>
        <w:t>；</w:t>
      </w:r>
    </w:p>
    <w:p w14:paraId="155EC980">
      <w:pPr>
        <w:pStyle w:val="39"/>
        <w:jc w:val="both"/>
        <w:rPr>
          <w:rFonts w:hint="eastAsia"/>
        </w:rPr>
      </w:pPr>
      <w:r>
        <w:rPr>
          <w:rFonts w:hint="eastAsia"/>
        </w:rPr>
        <w:t>（</w:t>
      </w:r>
      <w:r>
        <w:rPr>
          <w:rFonts w:hint="eastAsia"/>
          <w:lang w:val="en-US"/>
        </w:rPr>
        <w:t>3</w:t>
      </w:r>
      <w:r>
        <w:rPr>
          <w:rFonts w:hint="eastAsia"/>
        </w:rPr>
        <w:t>）具体、明确的质疑事项和与质疑事项相关的请求；</w:t>
      </w:r>
    </w:p>
    <w:p w14:paraId="7064FB81">
      <w:pPr>
        <w:pStyle w:val="39"/>
        <w:jc w:val="both"/>
        <w:rPr>
          <w:rFonts w:hint="eastAsia"/>
        </w:rPr>
      </w:pPr>
      <w:r>
        <w:rPr>
          <w:rFonts w:hint="eastAsia"/>
        </w:rPr>
        <w:t>（</w:t>
      </w:r>
      <w:r>
        <w:rPr>
          <w:rFonts w:hint="eastAsia"/>
          <w:lang w:val="en-US"/>
        </w:rPr>
        <w:t>4</w:t>
      </w:r>
      <w:r>
        <w:rPr>
          <w:rFonts w:hint="eastAsia"/>
        </w:rPr>
        <w:t>）事实依据；</w:t>
      </w:r>
    </w:p>
    <w:p w14:paraId="6D118A0F">
      <w:pPr>
        <w:pStyle w:val="39"/>
        <w:jc w:val="both"/>
        <w:rPr>
          <w:rFonts w:hint="eastAsia"/>
        </w:rPr>
      </w:pPr>
      <w:r>
        <w:rPr>
          <w:rFonts w:hint="eastAsia"/>
        </w:rPr>
        <w:t>（</w:t>
      </w:r>
      <w:r>
        <w:rPr>
          <w:rFonts w:hint="eastAsia"/>
          <w:lang w:val="en-US"/>
        </w:rPr>
        <w:t>5</w:t>
      </w:r>
      <w:r>
        <w:rPr>
          <w:rFonts w:hint="eastAsia"/>
        </w:rPr>
        <w:t>）必要的法律依据；</w:t>
      </w:r>
    </w:p>
    <w:p w14:paraId="54EA4793">
      <w:pPr>
        <w:pStyle w:val="39"/>
        <w:jc w:val="both"/>
        <w:rPr>
          <w:rFonts w:hint="eastAsia"/>
        </w:rPr>
      </w:pPr>
      <w:r>
        <w:rPr>
          <w:rFonts w:hint="eastAsia"/>
        </w:rPr>
        <w:t>（</w:t>
      </w:r>
      <w:r>
        <w:rPr>
          <w:rFonts w:hint="eastAsia"/>
          <w:lang w:val="en-US"/>
        </w:rPr>
        <w:t>6</w:t>
      </w:r>
      <w:r>
        <w:rPr>
          <w:rFonts w:hint="eastAsia"/>
        </w:rPr>
        <w:t>）提出质疑的日期。</w:t>
      </w:r>
    </w:p>
    <w:p w14:paraId="3AC8C26C">
      <w:pPr>
        <w:pStyle w:val="39"/>
        <w:jc w:val="both"/>
        <w:rPr>
          <w:rFonts w:hint="eastAsia"/>
        </w:rPr>
      </w:pPr>
      <w:r>
        <w:rPr>
          <w:rFonts w:hint="eastAsia"/>
        </w:rPr>
        <w:t>供应商为自然人的，应当由本人签字；供应商为法人或者其他组织的，应当由法定代表人、主要负责人，或者其授权代表签字或者盖章，并加盖公章。</w:t>
      </w:r>
    </w:p>
    <w:p w14:paraId="42D771EA">
      <w:pPr>
        <w:pStyle w:val="39"/>
        <w:jc w:val="both"/>
        <w:rPr>
          <w:rFonts w:hint="eastAsia"/>
        </w:rPr>
      </w:pPr>
      <w:r>
        <w:t>3</w:t>
      </w:r>
      <w:r>
        <w:rPr>
          <w:rFonts w:hint="eastAsia"/>
          <w:lang w:val="en-US"/>
        </w:rPr>
        <w:t>5</w:t>
      </w:r>
      <w:r>
        <w:rPr>
          <w:rFonts w:hint="eastAsia"/>
        </w:rPr>
        <w:t>.5质疑函不符合上述要求的，采购人或代理机构应书面告知具体事项，质疑人应当按要求进行修改或补充，并在质疑有效期限内提交。</w:t>
      </w:r>
    </w:p>
    <w:p w14:paraId="5E39FF30">
      <w:pPr>
        <w:pStyle w:val="39"/>
        <w:jc w:val="both"/>
        <w:rPr>
          <w:rFonts w:hint="eastAsia"/>
          <w:snapToGrid w:val="0"/>
        </w:rPr>
      </w:pPr>
      <w:r>
        <w:rPr>
          <w:rFonts w:hint="eastAsia"/>
          <w:snapToGrid w:val="0"/>
        </w:rPr>
        <w:t>3</w:t>
      </w:r>
      <w:r>
        <w:rPr>
          <w:rFonts w:hint="eastAsia"/>
          <w:snapToGrid w:val="0"/>
          <w:lang w:val="en-US"/>
        </w:rPr>
        <w:t>5</w:t>
      </w:r>
      <w:r>
        <w:rPr>
          <w:rFonts w:hint="eastAsia"/>
          <w:snapToGrid w:val="0"/>
        </w:rPr>
        <w:t>.</w:t>
      </w:r>
      <w:r>
        <w:rPr>
          <w:rFonts w:hint="eastAsia"/>
          <w:snapToGrid w:val="0"/>
          <w:lang w:val="en-US"/>
        </w:rPr>
        <w:t>6</w:t>
      </w:r>
      <w:r>
        <w:rPr>
          <w:rFonts w:hint="eastAsia"/>
          <w:snapToGrid w:val="0"/>
        </w:rPr>
        <w:t>投标人进行虚假和恶意</w:t>
      </w:r>
      <w:r>
        <w:rPr>
          <w:rFonts w:hint="eastAsia"/>
          <w:snapToGrid w:val="0"/>
          <w:lang w:val="en-US"/>
        </w:rPr>
        <w:t>质疑投诉</w:t>
      </w:r>
      <w:r>
        <w:rPr>
          <w:rFonts w:hint="eastAsia"/>
          <w:snapToGrid w:val="0"/>
        </w:rPr>
        <w:t>的，采购代理机构将提请有关部门将其列入不良记录名单，在一至三年内禁止参加政府采购活动，并将处理决定在相关政府采购媒体上公布。</w:t>
      </w:r>
    </w:p>
    <w:p w14:paraId="71FFC4D4">
      <w:pPr>
        <w:pStyle w:val="39"/>
        <w:jc w:val="both"/>
        <w:rPr>
          <w:rFonts w:hint="eastAsia"/>
          <w:snapToGrid w:val="0"/>
          <w:lang w:val="en-US"/>
        </w:rPr>
      </w:pPr>
      <w:r>
        <w:rPr>
          <w:rFonts w:hint="eastAsia"/>
          <w:snapToGrid w:val="0"/>
          <w:lang w:val="en-US"/>
        </w:rPr>
        <w:t>35.7</w:t>
      </w:r>
      <w:r>
        <w:rPr>
          <w:rFonts w:hint="eastAsia"/>
        </w:rPr>
        <w:t>质疑函</w:t>
      </w:r>
      <w:r>
        <w:rPr>
          <w:rFonts w:hint="eastAsia"/>
          <w:lang w:val="en-US"/>
        </w:rPr>
        <w:t>应当使用中文，并采用财政部门制定的范本。</w:t>
      </w:r>
    </w:p>
    <w:p w14:paraId="7C2EE489">
      <w:pPr>
        <w:pStyle w:val="6"/>
        <w:keepNext w:val="0"/>
        <w:keepLines w:val="0"/>
        <w:spacing w:before="80" w:after="80" w:line="240" w:lineRule="auto"/>
        <w:ind w:left="420" w:hanging="420"/>
        <w:jc w:val="both"/>
        <w:rPr>
          <w:rFonts w:hint="eastAsia" w:ascii="宋体" w:hAnsi="宋体" w:cs="宋体"/>
          <w:sz w:val="24"/>
        </w:rPr>
      </w:pPr>
      <w:bookmarkStart w:id="259" w:name="_Toc140132801"/>
      <w:bookmarkStart w:id="260" w:name="_Toc163492868"/>
      <w:r>
        <w:rPr>
          <w:rFonts w:hint="eastAsia" w:ascii="宋体" w:hAnsi="宋体" w:cs="宋体"/>
          <w:sz w:val="24"/>
        </w:rPr>
        <w:t>36.质疑答复</w:t>
      </w:r>
      <w:bookmarkEnd w:id="259"/>
      <w:bookmarkEnd w:id="260"/>
    </w:p>
    <w:p w14:paraId="2E024EC9">
      <w:pPr>
        <w:pStyle w:val="39"/>
        <w:jc w:val="both"/>
        <w:rPr>
          <w:rFonts w:hint="eastAsia"/>
        </w:rPr>
      </w:pPr>
      <w:r>
        <w:t>3</w:t>
      </w:r>
      <w:r>
        <w:rPr>
          <w:rFonts w:hint="eastAsia"/>
          <w:lang w:val="en-US"/>
        </w:rPr>
        <w:t>6</w:t>
      </w:r>
      <w:r>
        <w:rPr>
          <w:rFonts w:hint="eastAsia"/>
        </w:rPr>
        <w:t>.1采购人、采购代理机构不得拒收质疑供应商在法定质疑期内发出的质疑函，应当在收到质疑函后7个工作日内作出答复，并以书面形式通知质疑供应商和其他有关供应商。</w:t>
      </w:r>
    </w:p>
    <w:p w14:paraId="299547F8">
      <w:pPr>
        <w:pStyle w:val="39"/>
        <w:jc w:val="both"/>
        <w:rPr>
          <w:rFonts w:hint="eastAsia"/>
          <w:lang w:val="en-US"/>
        </w:rPr>
      </w:pPr>
      <w:r>
        <w:rPr>
          <w:rFonts w:hint="eastAsia"/>
          <w:lang w:val="en-US"/>
        </w:rPr>
        <w:t>36.2供应商对评审过程、中标结果提出质疑的，采购人、采购代理机构可以组织原评标委员会协助答复质疑。</w:t>
      </w:r>
    </w:p>
    <w:p w14:paraId="5EF6AB7D">
      <w:pPr>
        <w:pStyle w:val="39"/>
        <w:jc w:val="both"/>
        <w:rPr>
          <w:rFonts w:hint="eastAsia"/>
        </w:rPr>
      </w:pPr>
      <w:bookmarkStart w:id="261" w:name="_Toc140132802"/>
      <w:bookmarkStart w:id="262" w:name="_Toc163492869"/>
      <w:r>
        <w:rPr>
          <w:rFonts w:hint="eastAsia"/>
        </w:rPr>
        <w:t>质疑答复应当包括下列内容：</w:t>
      </w:r>
    </w:p>
    <w:p w14:paraId="381DD5AB">
      <w:pPr>
        <w:pStyle w:val="39"/>
        <w:jc w:val="both"/>
        <w:rPr>
          <w:rFonts w:hint="eastAsia"/>
        </w:rPr>
      </w:pPr>
      <w:r>
        <w:rPr>
          <w:rFonts w:hint="eastAsia"/>
        </w:rPr>
        <w:t>（</w:t>
      </w:r>
      <w:r>
        <w:rPr>
          <w:rFonts w:hint="eastAsia"/>
          <w:lang w:val="en-US"/>
        </w:rPr>
        <w:t>1</w:t>
      </w:r>
      <w:r>
        <w:rPr>
          <w:rFonts w:hint="eastAsia"/>
        </w:rPr>
        <w:t>）质疑供应商的姓名或者名称；</w:t>
      </w:r>
    </w:p>
    <w:p w14:paraId="6B9AD33D">
      <w:pPr>
        <w:pStyle w:val="39"/>
        <w:jc w:val="both"/>
        <w:rPr>
          <w:rFonts w:hint="eastAsia"/>
        </w:rPr>
      </w:pPr>
      <w:r>
        <w:rPr>
          <w:rFonts w:hint="eastAsia"/>
        </w:rPr>
        <w:t>（</w:t>
      </w:r>
      <w:r>
        <w:rPr>
          <w:rFonts w:hint="eastAsia"/>
          <w:lang w:val="en-US"/>
        </w:rPr>
        <w:t>2</w:t>
      </w:r>
      <w:r>
        <w:rPr>
          <w:rFonts w:hint="eastAsia"/>
        </w:rPr>
        <w:t>）收到质疑函的日期、质疑项目名称及</w:t>
      </w:r>
      <w:r>
        <w:rPr>
          <w:rFonts w:hint="eastAsia"/>
          <w:lang w:val="en-US"/>
        </w:rPr>
        <w:t>项目</w:t>
      </w:r>
      <w:r>
        <w:rPr>
          <w:rFonts w:hint="eastAsia"/>
        </w:rPr>
        <w:t>编号/包号；</w:t>
      </w:r>
    </w:p>
    <w:p w14:paraId="2DA6CE5C">
      <w:pPr>
        <w:pStyle w:val="39"/>
        <w:jc w:val="both"/>
        <w:rPr>
          <w:rFonts w:hint="eastAsia"/>
        </w:rPr>
      </w:pPr>
      <w:r>
        <w:rPr>
          <w:rFonts w:hint="eastAsia"/>
        </w:rPr>
        <w:t>（</w:t>
      </w:r>
      <w:r>
        <w:rPr>
          <w:rFonts w:hint="eastAsia"/>
          <w:lang w:val="en-US"/>
        </w:rPr>
        <w:t>3</w:t>
      </w:r>
      <w:r>
        <w:rPr>
          <w:rFonts w:hint="eastAsia"/>
        </w:rPr>
        <w:t>）质疑事项、质疑答复的具体内容、事实依据和法律依据；</w:t>
      </w:r>
    </w:p>
    <w:p w14:paraId="73477B5B">
      <w:pPr>
        <w:pStyle w:val="39"/>
        <w:jc w:val="both"/>
        <w:rPr>
          <w:rFonts w:hint="eastAsia"/>
        </w:rPr>
      </w:pPr>
      <w:r>
        <w:rPr>
          <w:rFonts w:hint="eastAsia"/>
        </w:rPr>
        <w:t>（</w:t>
      </w:r>
      <w:r>
        <w:rPr>
          <w:rFonts w:hint="eastAsia"/>
          <w:lang w:val="en-US"/>
        </w:rPr>
        <w:t>4</w:t>
      </w:r>
      <w:r>
        <w:rPr>
          <w:rFonts w:hint="eastAsia"/>
        </w:rPr>
        <w:t>）告知质疑供应商依法投诉的权利；</w:t>
      </w:r>
    </w:p>
    <w:p w14:paraId="18544D65">
      <w:pPr>
        <w:pStyle w:val="39"/>
        <w:jc w:val="both"/>
        <w:rPr>
          <w:rFonts w:hint="eastAsia"/>
        </w:rPr>
      </w:pPr>
      <w:r>
        <w:rPr>
          <w:rFonts w:hint="eastAsia"/>
        </w:rPr>
        <w:t>（</w:t>
      </w:r>
      <w:r>
        <w:rPr>
          <w:rFonts w:hint="eastAsia"/>
          <w:lang w:val="en-US"/>
        </w:rPr>
        <w:t>5</w:t>
      </w:r>
      <w:r>
        <w:rPr>
          <w:rFonts w:hint="eastAsia"/>
        </w:rPr>
        <w:t>）质疑答复人名称；</w:t>
      </w:r>
    </w:p>
    <w:p w14:paraId="7529CE91">
      <w:pPr>
        <w:pStyle w:val="39"/>
        <w:jc w:val="both"/>
        <w:rPr>
          <w:rFonts w:hint="eastAsia"/>
        </w:rPr>
      </w:pPr>
      <w:r>
        <w:rPr>
          <w:rFonts w:hint="eastAsia"/>
        </w:rPr>
        <w:t>（</w:t>
      </w:r>
      <w:r>
        <w:rPr>
          <w:rFonts w:hint="eastAsia"/>
          <w:lang w:val="en-US"/>
        </w:rPr>
        <w:t>6</w:t>
      </w:r>
      <w:r>
        <w:rPr>
          <w:rFonts w:hint="eastAsia"/>
        </w:rPr>
        <w:t>）答复质疑的日期。</w:t>
      </w:r>
    </w:p>
    <w:p w14:paraId="5FE67753">
      <w:pPr>
        <w:pStyle w:val="39"/>
        <w:jc w:val="both"/>
        <w:rPr>
          <w:rFonts w:hint="eastAsia"/>
        </w:rPr>
      </w:pPr>
      <w:r>
        <w:rPr>
          <w:rFonts w:hint="eastAsia"/>
        </w:rPr>
        <w:t>质疑答复的内容不得涉及商业秘密。</w:t>
      </w:r>
    </w:p>
    <w:p w14:paraId="277CA5A9">
      <w:pPr>
        <w:pStyle w:val="6"/>
        <w:keepNext w:val="0"/>
        <w:keepLines w:val="0"/>
        <w:spacing w:before="80" w:after="80" w:line="240" w:lineRule="auto"/>
        <w:ind w:left="420" w:hanging="420"/>
        <w:jc w:val="both"/>
        <w:rPr>
          <w:rFonts w:hint="eastAsia" w:ascii="宋体" w:hAnsi="宋体" w:cs="宋体"/>
          <w:sz w:val="24"/>
        </w:rPr>
      </w:pPr>
      <w:r>
        <w:rPr>
          <w:rFonts w:hint="eastAsia" w:ascii="宋体" w:hAnsi="宋体" w:cs="宋体"/>
          <w:sz w:val="24"/>
        </w:rPr>
        <w:t>37.投诉</w:t>
      </w:r>
      <w:bookmarkEnd w:id="261"/>
      <w:bookmarkEnd w:id="262"/>
    </w:p>
    <w:p w14:paraId="73EC1D8E">
      <w:pPr>
        <w:pStyle w:val="39"/>
        <w:jc w:val="both"/>
        <w:rPr>
          <w:rFonts w:hint="eastAsia"/>
        </w:rPr>
      </w:pPr>
      <w:r>
        <w:rPr>
          <w:rFonts w:hint="eastAsia"/>
          <w:lang w:val="en-US"/>
        </w:rPr>
        <w:t>37.1</w:t>
      </w:r>
      <w:r>
        <w:rPr>
          <w:rFonts w:hint="eastAsia"/>
        </w:rPr>
        <w:t>质疑供应商对采购人、采购代理机构的答复不满意，或者采购人、采购代理机构未在规定时间内作出答复的，可以在答复期满后15个工作日内向</w:t>
      </w:r>
      <w:r>
        <w:rPr>
          <w:rFonts w:hint="eastAsia"/>
          <w:lang w:val="en-US"/>
        </w:rPr>
        <w:t>同级政府采购监督管理部门</w:t>
      </w:r>
      <w:r>
        <w:rPr>
          <w:rFonts w:hint="eastAsia"/>
        </w:rPr>
        <w:t>提起投诉。</w:t>
      </w:r>
    </w:p>
    <w:p w14:paraId="4436D6A2">
      <w:pPr>
        <w:pStyle w:val="39"/>
        <w:jc w:val="both"/>
        <w:rPr>
          <w:rFonts w:hint="eastAsia"/>
        </w:rPr>
      </w:pPr>
      <w:r>
        <w:rPr>
          <w:rFonts w:hint="eastAsia"/>
          <w:lang w:val="en-US"/>
        </w:rPr>
        <w:t>37.2</w:t>
      </w:r>
      <w:r>
        <w:rPr>
          <w:rFonts w:hint="eastAsia"/>
        </w:rPr>
        <w:t>投诉人投诉时，应当提交投诉书和必要的证明材料，并按照被投诉采购人、采购代理机构（以下简称被投诉人）和与投诉事项有关的供应商数量提供投诉书的副本。投诉书应当包括下列内容：</w:t>
      </w:r>
    </w:p>
    <w:p w14:paraId="06D4DD0C">
      <w:pPr>
        <w:pStyle w:val="39"/>
        <w:jc w:val="both"/>
        <w:rPr>
          <w:rFonts w:hint="eastAsia"/>
        </w:rPr>
      </w:pPr>
      <w:r>
        <w:rPr>
          <w:rFonts w:hint="eastAsia"/>
        </w:rPr>
        <w:t>（</w:t>
      </w:r>
      <w:r>
        <w:rPr>
          <w:rFonts w:hint="eastAsia"/>
          <w:lang w:val="en-US"/>
        </w:rPr>
        <w:t>1</w:t>
      </w:r>
      <w:r>
        <w:rPr>
          <w:rFonts w:hint="eastAsia"/>
        </w:rPr>
        <w:t>）投诉人和被投诉人的姓名或者名称、通讯地址、邮编、联系人及联系电话；</w:t>
      </w:r>
    </w:p>
    <w:p w14:paraId="2F30C0D2">
      <w:pPr>
        <w:pStyle w:val="39"/>
        <w:jc w:val="both"/>
        <w:rPr>
          <w:rFonts w:hint="eastAsia"/>
        </w:rPr>
      </w:pPr>
      <w:r>
        <w:rPr>
          <w:rFonts w:hint="eastAsia"/>
        </w:rPr>
        <w:t>（</w:t>
      </w:r>
      <w:r>
        <w:rPr>
          <w:rFonts w:hint="eastAsia"/>
          <w:lang w:val="en-US"/>
        </w:rPr>
        <w:t>2</w:t>
      </w:r>
      <w:r>
        <w:rPr>
          <w:rFonts w:hint="eastAsia"/>
        </w:rPr>
        <w:t>）质疑和质疑答复情况说明及相关证明材料；</w:t>
      </w:r>
    </w:p>
    <w:p w14:paraId="7C61F940">
      <w:pPr>
        <w:pStyle w:val="39"/>
        <w:jc w:val="both"/>
        <w:rPr>
          <w:rFonts w:hint="eastAsia"/>
        </w:rPr>
      </w:pPr>
      <w:r>
        <w:rPr>
          <w:rFonts w:hint="eastAsia"/>
        </w:rPr>
        <w:t>（</w:t>
      </w:r>
      <w:r>
        <w:rPr>
          <w:rFonts w:hint="eastAsia"/>
          <w:lang w:val="en-US"/>
        </w:rPr>
        <w:t>3</w:t>
      </w:r>
      <w:r>
        <w:rPr>
          <w:rFonts w:hint="eastAsia"/>
        </w:rPr>
        <w:t>）具体、明确的投诉事项和与投诉事项相关的投诉请求；</w:t>
      </w:r>
    </w:p>
    <w:p w14:paraId="55A3F898">
      <w:pPr>
        <w:pStyle w:val="39"/>
        <w:jc w:val="both"/>
        <w:rPr>
          <w:rFonts w:hint="eastAsia"/>
        </w:rPr>
      </w:pPr>
      <w:r>
        <w:rPr>
          <w:rFonts w:hint="eastAsia"/>
        </w:rPr>
        <w:t>（</w:t>
      </w:r>
      <w:r>
        <w:rPr>
          <w:rFonts w:hint="eastAsia"/>
          <w:lang w:val="en-US"/>
        </w:rPr>
        <w:t>4</w:t>
      </w:r>
      <w:r>
        <w:rPr>
          <w:rFonts w:hint="eastAsia"/>
        </w:rPr>
        <w:t>）事实依据；</w:t>
      </w:r>
    </w:p>
    <w:p w14:paraId="0E84D23D">
      <w:pPr>
        <w:pStyle w:val="39"/>
        <w:jc w:val="both"/>
        <w:rPr>
          <w:rFonts w:hint="eastAsia"/>
        </w:rPr>
      </w:pPr>
      <w:r>
        <w:rPr>
          <w:rFonts w:hint="eastAsia"/>
        </w:rPr>
        <w:t>（</w:t>
      </w:r>
      <w:r>
        <w:rPr>
          <w:rFonts w:hint="eastAsia"/>
          <w:lang w:val="en-US"/>
        </w:rPr>
        <w:t>5</w:t>
      </w:r>
      <w:r>
        <w:rPr>
          <w:rFonts w:hint="eastAsia"/>
        </w:rPr>
        <w:t>）法律依据；</w:t>
      </w:r>
    </w:p>
    <w:p w14:paraId="18821AAC">
      <w:pPr>
        <w:pStyle w:val="39"/>
        <w:jc w:val="both"/>
        <w:rPr>
          <w:rFonts w:hint="eastAsia"/>
        </w:rPr>
      </w:pPr>
      <w:r>
        <w:rPr>
          <w:rFonts w:hint="eastAsia"/>
        </w:rPr>
        <w:t>（</w:t>
      </w:r>
      <w:r>
        <w:rPr>
          <w:rFonts w:hint="eastAsia"/>
          <w:lang w:val="en-US"/>
        </w:rPr>
        <w:t>6</w:t>
      </w:r>
      <w:r>
        <w:rPr>
          <w:rFonts w:hint="eastAsia"/>
        </w:rPr>
        <w:t>）提起投诉的日期。</w:t>
      </w:r>
    </w:p>
    <w:p w14:paraId="5245E7EA">
      <w:pPr>
        <w:pStyle w:val="39"/>
        <w:jc w:val="both"/>
        <w:rPr>
          <w:rFonts w:hint="eastAsia"/>
        </w:rPr>
      </w:pPr>
      <w:r>
        <w:rPr>
          <w:rFonts w:hint="eastAsia"/>
        </w:rPr>
        <w:t>投诉人为自然人的，应当由本人签字；投诉人为法人或者其他组织的，应当由法定代表人、主要负责人，或者其授权代表签字或者盖章，并加盖公章。</w:t>
      </w:r>
    </w:p>
    <w:p w14:paraId="5EDED505">
      <w:pPr>
        <w:pStyle w:val="39"/>
        <w:jc w:val="both"/>
        <w:rPr>
          <w:rFonts w:hint="eastAsia"/>
        </w:rPr>
      </w:pPr>
      <w:r>
        <w:rPr>
          <w:rFonts w:hint="eastAsia"/>
          <w:lang w:val="en-US"/>
        </w:rPr>
        <w:t>37.3</w:t>
      </w:r>
      <w:r>
        <w:rPr>
          <w:rFonts w:hint="eastAsia"/>
        </w:rPr>
        <w:t>供应商</w:t>
      </w:r>
      <w:r>
        <w:rPr>
          <w:rFonts w:hint="eastAsia"/>
          <w:lang w:val="en-US"/>
        </w:rPr>
        <w:t>质疑、</w:t>
      </w:r>
      <w:r>
        <w:rPr>
          <w:rFonts w:hint="eastAsia"/>
        </w:rPr>
        <w:t>投诉</w:t>
      </w:r>
      <w:r>
        <w:rPr>
          <w:rFonts w:hint="eastAsia"/>
          <w:lang w:val="en-US"/>
        </w:rPr>
        <w:t>应当有明确的请求和必要的证明材料</w:t>
      </w:r>
      <w:r>
        <w:rPr>
          <w:rFonts w:hint="eastAsia"/>
        </w:rPr>
        <w:t>。供应商投诉的事项不得超出</w:t>
      </w:r>
      <w:r>
        <w:rPr>
          <w:rFonts w:hint="eastAsia"/>
          <w:lang w:val="en-US"/>
        </w:rPr>
        <w:t>已</w:t>
      </w:r>
      <w:r>
        <w:rPr>
          <w:rFonts w:hint="eastAsia"/>
        </w:rPr>
        <w:t>质疑事项的范围，但基于质疑答复内容提出的投诉事项除外。</w:t>
      </w:r>
    </w:p>
    <w:p w14:paraId="259F18EE">
      <w:pPr>
        <w:pStyle w:val="39"/>
        <w:jc w:val="both"/>
        <w:rPr>
          <w:rFonts w:hint="eastAsia"/>
        </w:rPr>
      </w:pPr>
      <w:r>
        <w:rPr>
          <w:rFonts w:hint="eastAsia"/>
          <w:snapToGrid w:val="0"/>
          <w:lang w:val="en-US"/>
        </w:rPr>
        <w:t>37.4</w:t>
      </w:r>
      <w:r>
        <w:rPr>
          <w:rFonts w:hint="eastAsia"/>
          <w:lang w:val="en-US"/>
        </w:rPr>
        <w:t>投诉书应当使用中文，并采用财政部门制定的范本。</w:t>
      </w:r>
    </w:p>
    <w:p w14:paraId="638C1C74">
      <w:pPr>
        <w:pStyle w:val="5"/>
        <w:keepNext w:val="0"/>
        <w:keepLines w:val="0"/>
        <w:spacing w:before="180" w:after="180" w:line="240" w:lineRule="auto"/>
        <w:ind w:left="420" w:hanging="420"/>
        <w:jc w:val="both"/>
        <w:rPr>
          <w:rFonts w:hint="eastAsia" w:cs="宋体"/>
          <w:sz w:val="24"/>
        </w:rPr>
      </w:pPr>
      <w:bookmarkStart w:id="263" w:name="_Toc163492870"/>
      <w:bookmarkStart w:id="264" w:name="_Toc155185882"/>
      <w:bookmarkStart w:id="265" w:name="_Toc140132803"/>
      <w:r>
        <w:rPr>
          <w:rFonts w:hint="eastAsia" w:cs="宋体"/>
          <w:sz w:val="24"/>
        </w:rPr>
        <w:t>（十一）采购代理服务费</w:t>
      </w:r>
      <w:bookmarkEnd w:id="263"/>
      <w:bookmarkEnd w:id="264"/>
      <w:bookmarkEnd w:id="265"/>
    </w:p>
    <w:p w14:paraId="112C7E9C">
      <w:pPr>
        <w:pStyle w:val="6"/>
        <w:keepNext w:val="0"/>
        <w:keepLines w:val="0"/>
        <w:spacing w:before="80" w:after="80" w:line="240" w:lineRule="auto"/>
        <w:ind w:left="420" w:hanging="420"/>
        <w:jc w:val="both"/>
        <w:rPr>
          <w:rFonts w:hint="eastAsia" w:ascii="宋体" w:hAnsi="宋体" w:cs="宋体"/>
          <w:sz w:val="24"/>
        </w:rPr>
      </w:pPr>
      <w:bookmarkStart w:id="266" w:name="_Toc163492871"/>
      <w:bookmarkStart w:id="267" w:name="_Toc140132804"/>
      <w:r>
        <w:rPr>
          <w:rFonts w:hint="eastAsia" w:ascii="宋体" w:hAnsi="宋体" w:cs="宋体"/>
          <w:sz w:val="24"/>
        </w:rPr>
        <w:t>38.收取方式和标准</w:t>
      </w:r>
      <w:bookmarkEnd w:id="266"/>
      <w:bookmarkEnd w:id="267"/>
    </w:p>
    <w:p w14:paraId="7301F2CC">
      <w:pPr>
        <w:pStyle w:val="39"/>
        <w:jc w:val="both"/>
        <w:rPr>
          <w:rFonts w:hint="eastAsia"/>
        </w:rPr>
      </w:pPr>
      <w:r>
        <w:rPr>
          <w:bCs/>
        </w:rPr>
        <w:t>3</w:t>
      </w:r>
      <w:r>
        <w:rPr>
          <w:rFonts w:hint="eastAsia"/>
          <w:bCs/>
          <w:lang w:val="en-US"/>
        </w:rPr>
        <w:t>8</w:t>
      </w:r>
      <w:r>
        <w:rPr>
          <w:rFonts w:hint="eastAsia"/>
        </w:rPr>
        <w:t>.1采购代理机构按“投标人须知前附表”规定的方式和标准收取采购代理服务费。</w:t>
      </w:r>
    </w:p>
    <w:p w14:paraId="2CCC6AEE">
      <w:pPr>
        <w:pStyle w:val="5"/>
        <w:keepNext w:val="0"/>
        <w:keepLines w:val="0"/>
        <w:spacing w:before="180" w:after="180" w:line="240" w:lineRule="auto"/>
        <w:ind w:left="420" w:hanging="420"/>
        <w:jc w:val="both"/>
        <w:rPr>
          <w:rFonts w:hint="eastAsia" w:cs="宋体"/>
          <w:sz w:val="24"/>
        </w:rPr>
      </w:pPr>
      <w:bookmarkStart w:id="268" w:name="_Toc155185883"/>
      <w:bookmarkStart w:id="269" w:name="_Toc140132805"/>
      <w:bookmarkStart w:id="270" w:name="_Toc163492872"/>
      <w:r>
        <w:rPr>
          <w:rFonts w:hint="eastAsia" w:cs="宋体"/>
          <w:sz w:val="24"/>
        </w:rPr>
        <w:t>（十二）无效投标和废标</w:t>
      </w:r>
      <w:bookmarkEnd w:id="268"/>
      <w:bookmarkEnd w:id="269"/>
      <w:bookmarkEnd w:id="270"/>
    </w:p>
    <w:p w14:paraId="392EF8D0">
      <w:pPr>
        <w:pStyle w:val="6"/>
        <w:keepNext w:val="0"/>
        <w:keepLines w:val="0"/>
        <w:spacing w:before="80" w:after="80" w:line="240" w:lineRule="auto"/>
        <w:ind w:left="420" w:hanging="420"/>
        <w:jc w:val="both"/>
        <w:rPr>
          <w:rFonts w:hint="eastAsia" w:ascii="宋体" w:hAnsi="宋体" w:cs="宋体"/>
          <w:sz w:val="24"/>
        </w:rPr>
      </w:pPr>
      <w:bookmarkStart w:id="271" w:name="_Toc140132806"/>
      <w:bookmarkStart w:id="272" w:name="_Toc163492873"/>
      <w:r>
        <w:rPr>
          <w:rFonts w:hint="eastAsia" w:ascii="宋体" w:hAnsi="宋体" w:cs="宋体"/>
          <w:sz w:val="24"/>
        </w:rPr>
        <w:t>39.无效投标</w:t>
      </w:r>
      <w:bookmarkEnd w:id="271"/>
      <w:bookmarkEnd w:id="272"/>
    </w:p>
    <w:p w14:paraId="5A0C20EC">
      <w:pPr>
        <w:pStyle w:val="39"/>
        <w:jc w:val="both"/>
        <w:rPr>
          <w:rFonts w:hint="eastAsia"/>
        </w:rPr>
      </w:pPr>
      <w:r>
        <w:rPr>
          <w:rFonts w:hint="eastAsia"/>
          <w:lang w:val="en-US"/>
        </w:rPr>
        <w:t>39</w:t>
      </w:r>
      <w:r>
        <w:rPr>
          <w:rFonts w:hint="eastAsia"/>
        </w:rPr>
        <w:t>.1投标文件存在“第四章</w:t>
      </w:r>
      <w:r>
        <w:rPr>
          <w:rFonts w:hint="eastAsia"/>
          <w:lang w:val="en-US"/>
        </w:rPr>
        <w:t xml:space="preserve"> </w:t>
      </w:r>
      <w:r>
        <w:rPr>
          <w:rFonts w:hint="eastAsia"/>
        </w:rPr>
        <w:t>资格审查”、“第五章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规定的投标无效情形的，其</w:t>
      </w:r>
      <w:r>
        <w:rPr>
          <w:rFonts w:hint="eastAsia"/>
          <w:b/>
          <w:bCs/>
        </w:rPr>
        <w:t>投标无效</w:t>
      </w:r>
      <w:r>
        <w:rPr>
          <w:rFonts w:hint="eastAsia"/>
        </w:rPr>
        <w:t>。</w:t>
      </w:r>
    </w:p>
    <w:p w14:paraId="1E57E404">
      <w:pPr>
        <w:pStyle w:val="6"/>
        <w:keepNext w:val="0"/>
        <w:keepLines w:val="0"/>
        <w:spacing w:before="80" w:after="80" w:line="240" w:lineRule="auto"/>
        <w:ind w:left="420" w:hanging="420"/>
        <w:jc w:val="both"/>
        <w:rPr>
          <w:rFonts w:hint="eastAsia" w:ascii="宋体" w:hAnsi="宋体" w:cs="宋体"/>
          <w:sz w:val="24"/>
        </w:rPr>
      </w:pPr>
      <w:bookmarkStart w:id="273" w:name="_Toc140132807"/>
      <w:bookmarkStart w:id="274" w:name="_Toc163492874"/>
      <w:r>
        <w:rPr>
          <w:rFonts w:hint="eastAsia" w:ascii="宋体" w:hAnsi="宋体" w:cs="宋体"/>
          <w:sz w:val="24"/>
        </w:rPr>
        <w:t>40.废标</w:t>
      </w:r>
      <w:bookmarkEnd w:id="273"/>
      <w:bookmarkEnd w:id="274"/>
    </w:p>
    <w:p w14:paraId="2CD31E9C">
      <w:pPr>
        <w:pStyle w:val="39"/>
        <w:jc w:val="both"/>
        <w:rPr>
          <w:rFonts w:hint="eastAsia"/>
        </w:rPr>
      </w:pPr>
      <w:r>
        <w:t>4</w:t>
      </w:r>
      <w:r>
        <w:rPr>
          <w:rFonts w:hint="eastAsia"/>
          <w:lang w:val="en-US"/>
        </w:rPr>
        <w:t>0</w:t>
      </w:r>
      <w:r>
        <w:rPr>
          <w:rFonts w:hint="eastAsia"/>
        </w:rPr>
        <w:t>.1在招标采购中出现有“第五章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规定的废标情形的，应予以</w:t>
      </w:r>
      <w:r>
        <w:rPr>
          <w:rFonts w:hint="eastAsia"/>
          <w:b/>
          <w:bCs/>
        </w:rPr>
        <w:t>废标</w:t>
      </w:r>
      <w:r>
        <w:rPr>
          <w:rFonts w:hint="eastAsia"/>
        </w:rPr>
        <w:t>。</w:t>
      </w:r>
    </w:p>
    <w:p w14:paraId="3A4A0024">
      <w:pPr>
        <w:pStyle w:val="5"/>
        <w:keepNext w:val="0"/>
        <w:keepLines w:val="0"/>
        <w:spacing w:before="180" w:after="180" w:line="240" w:lineRule="auto"/>
        <w:ind w:left="420" w:hanging="420"/>
        <w:jc w:val="both"/>
        <w:rPr>
          <w:rFonts w:hint="eastAsia" w:cs="宋体"/>
          <w:sz w:val="24"/>
        </w:rPr>
      </w:pPr>
      <w:bookmarkStart w:id="275" w:name="_Toc163492875"/>
      <w:bookmarkStart w:id="276" w:name="_Toc140132766"/>
      <w:bookmarkStart w:id="277" w:name="_Toc155185884"/>
      <w:bookmarkStart w:id="278" w:name="_Toc140132808"/>
      <w:r>
        <w:rPr>
          <w:rFonts w:hint="eastAsia" w:cs="宋体"/>
          <w:sz w:val="24"/>
        </w:rPr>
        <w:t>（十三）落实政府采购政策</w:t>
      </w:r>
      <w:bookmarkEnd w:id="275"/>
      <w:bookmarkEnd w:id="276"/>
      <w:r>
        <w:rPr>
          <w:rFonts w:hint="eastAsia" w:cs="宋体"/>
          <w:sz w:val="24"/>
        </w:rPr>
        <w:t>（包括但不限于下列具体政策要求）</w:t>
      </w:r>
    </w:p>
    <w:p w14:paraId="43F44B21">
      <w:pPr>
        <w:pStyle w:val="6"/>
        <w:keepNext w:val="0"/>
        <w:keepLines w:val="0"/>
        <w:spacing w:before="80" w:after="80" w:line="240" w:lineRule="auto"/>
        <w:ind w:left="420" w:hanging="420"/>
        <w:jc w:val="both"/>
        <w:rPr>
          <w:rFonts w:hint="eastAsia" w:ascii="宋体" w:hAnsi="宋体" w:cs="宋体"/>
          <w:sz w:val="24"/>
        </w:rPr>
      </w:pPr>
      <w:bookmarkStart w:id="279" w:name="_Toc163492876"/>
      <w:r>
        <w:rPr>
          <w:rFonts w:hint="eastAsia" w:ascii="宋体" w:hAnsi="宋体" w:cs="宋体"/>
          <w:sz w:val="24"/>
        </w:rPr>
        <w:t>41.本国产品和进口产品</w:t>
      </w:r>
      <w:bookmarkEnd w:id="279"/>
    </w:p>
    <w:p w14:paraId="0DF319F7">
      <w:pPr>
        <w:pStyle w:val="39"/>
        <w:jc w:val="both"/>
        <w:rPr>
          <w:rFonts w:hint="eastAsia"/>
          <w:snapToGrid w:val="0"/>
          <w:lang w:val="en-US"/>
        </w:rPr>
      </w:pPr>
      <w:r>
        <w:rPr>
          <w:rFonts w:hint="eastAsia"/>
          <w:snapToGrid w:val="0"/>
          <w:lang w:val="en-US"/>
        </w:rPr>
        <w:t>41.1本国产品标准及支持政策</w:t>
      </w:r>
    </w:p>
    <w:p w14:paraId="4237DE90">
      <w:pPr>
        <w:pStyle w:val="39"/>
        <w:jc w:val="both"/>
        <w:rPr>
          <w:rFonts w:hint="eastAsia"/>
          <w:snapToGrid w:val="0"/>
          <w:lang w:val="en-US"/>
        </w:rPr>
      </w:pPr>
      <w:r>
        <w:rPr>
          <w:rFonts w:hint="eastAsia"/>
          <w:snapToGrid w:val="0"/>
          <w:lang w:val="en-US"/>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74621F3D">
      <w:pPr>
        <w:pStyle w:val="39"/>
        <w:jc w:val="both"/>
        <w:rPr>
          <w:rFonts w:hint="eastAsia"/>
          <w:snapToGrid w:val="0"/>
          <w:lang w:val="en-US"/>
        </w:rPr>
      </w:pPr>
      <w:r>
        <w:rPr>
          <w:rFonts w:hint="eastAsia"/>
          <w:snapToGrid w:val="0"/>
          <w:lang w:val="en-US"/>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73555AB2">
      <w:pPr>
        <w:pStyle w:val="39"/>
        <w:jc w:val="both"/>
        <w:rPr>
          <w:rFonts w:hint="eastAsia"/>
          <w:snapToGrid w:val="0"/>
          <w:lang w:val="en-US"/>
        </w:rPr>
      </w:pPr>
      <w:r>
        <w:rPr>
          <w:rFonts w:hint="eastAsia"/>
          <w:snapToGrid w:val="0"/>
          <w:lang w:val="en-US"/>
        </w:rPr>
        <w:t>41.1.3对国家相关部门后续发布的特定产品清单内的产品，除满足上述条件外，还需同时满足关键组件境内生产、关键工序境内完成等特定要求。</w:t>
      </w:r>
    </w:p>
    <w:p w14:paraId="2C856277">
      <w:pPr>
        <w:pStyle w:val="39"/>
        <w:jc w:val="both"/>
        <w:rPr>
          <w:rFonts w:hint="eastAsia"/>
          <w:snapToGrid w:val="0"/>
          <w:lang w:val="en-US"/>
        </w:rPr>
      </w:pPr>
      <w:r>
        <w:rPr>
          <w:rFonts w:hint="eastAsia"/>
          <w:snapToGrid w:val="0"/>
          <w:lang w:val="en-US"/>
        </w:rPr>
        <w:t>41.1.4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41F3631">
      <w:pPr>
        <w:pStyle w:val="39"/>
        <w:jc w:val="both"/>
        <w:rPr>
          <w:rFonts w:hint="eastAsia"/>
          <w:snapToGrid w:val="0"/>
          <w:lang w:val="en-US"/>
        </w:rPr>
      </w:pPr>
      <w:r>
        <w:rPr>
          <w:rFonts w:hint="eastAsia"/>
          <w:snapToGrid w:val="0"/>
          <w:lang w:val="en-US"/>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0C6EA9CE">
      <w:pPr>
        <w:pStyle w:val="39"/>
        <w:jc w:val="both"/>
        <w:rPr>
          <w:rFonts w:hint="eastAsia"/>
          <w:snapToGrid w:val="0"/>
          <w:lang w:val="en-US"/>
        </w:rPr>
      </w:pPr>
      <w:r>
        <w:rPr>
          <w:rFonts w:hint="eastAsia"/>
          <w:snapToGrid w:val="0"/>
          <w:lang w:val="en-US"/>
        </w:rPr>
        <w:t>医疗器械产品，取得药品监督管理部门授予的准字号医疗器械注册证的，视为符合本国产品标准。</w:t>
      </w:r>
    </w:p>
    <w:p w14:paraId="0C74F990">
      <w:pPr>
        <w:pStyle w:val="39"/>
        <w:jc w:val="both"/>
        <w:rPr>
          <w:rFonts w:hint="eastAsia"/>
          <w:snapToGrid w:val="0"/>
          <w:lang w:val="en-US"/>
        </w:rPr>
      </w:pPr>
      <w:r>
        <w:rPr>
          <w:rFonts w:hint="eastAsia"/>
          <w:snapToGrid w:val="0"/>
          <w:lang w:val="en-US"/>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7E96C5DA">
      <w:pPr>
        <w:pStyle w:val="39"/>
        <w:jc w:val="both"/>
        <w:rPr>
          <w:rFonts w:hint="eastAsia"/>
          <w:snapToGrid w:val="0"/>
          <w:lang w:val="en-US"/>
        </w:rPr>
      </w:pPr>
      <w:r>
        <w:rPr>
          <w:rFonts w:hint="eastAsia"/>
          <w:snapToGrid w:val="0"/>
          <w:lang w:val="en-US"/>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79313367">
      <w:pPr>
        <w:pStyle w:val="39"/>
        <w:jc w:val="both"/>
        <w:rPr>
          <w:rFonts w:hint="eastAsia"/>
          <w:snapToGrid w:val="0"/>
          <w:lang w:val="en-US"/>
        </w:rPr>
      </w:pPr>
      <w:r>
        <w:rPr>
          <w:rFonts w:hint="eastAsia"/>
          <w:snapToGrid w:val="0"/>
          <w:lang w:val="en-US"/>
        </w:rPr>
        <w:t>41.1.8对于仅有本国产品参与竞争的政府采购项目，本国产品不享受价格扣除评审优惠。</w:t>
      </w:r>
    </w:p>
    <w:p w14:paraId="6F8DF651">
      <w:pPr>
        <w:pStyle w:val="39"/>
        <w:jc w:val="both"/>
        <w:rPr>
          <w:rFonts w:hint="eastAsia"/>
          <w:snapToGrid w:val="0"/>
          <w:lang w:val="en-US"/>
        </w:rPr>
      </w:pPr>
      <w:r>
        <w:rPr>
          <w:rFonts w:hint="eastAsia"/>
          <w:snapToGrid w:val="0"/>
          <w:lang w:val="en-US"/>
        </w:rPr>
        <w:t>41.2进口产品</w:t>
      </w:r>
    </w:p>
    <w:p w14:paraId="342F8407">
      <w:pPr>
        <w:pStyle w:val="39"/>
        <w:jc w:val="both"/>
        <w:rPr>
          <w:rFonts w:hint="eastAsia"/>
          <w:snapToGrid w:val="0"/>
        </w:rPr>
      </w:pPr>
      <w:r>
        <w:rPr>
          <w:rFonts w:hint="eastAsia"/>
          <w:snapToGrid w:val="0"/>
          <w:lang w:val="en-US"/>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1DE8CB19">
      <w:pPr>
        <w:pStyle w:val="39"/>
        <w:jc w:val="both"/>
        <w:rPr>
          <w:rFonts w:hint="eastAsia"/>
          <w:snapToGrid w:val="0"/>
          <w:lang w:val="en-US"/>
        </w:rPr>
      </w:pPr>
      <w:r>
        <w:rPr>
          <w:snapToGrid w:val="0"/>
        </w:rPr>
        <w:t>4</w:t>
      </w:r>
      <w:r>
        <w:rPr>
          <w:rFonts w:hint="eastAsia"/>
          <w:snapToGrid w:val="0"/>
          <w:lang w:val="en-US"/>
        </w:rPr>
        <w:t>1</w:t>
      </w:r>
      <w:r>
        <w:rPr>
          <w:rFonts w:hint="eastAsia"/>
          <w:snapToGrid w:val="0"/>
        </w:rPr>
        <w:t>.</w:t>
      </w:r>
      <w:r>
        <w:rPr>
          <w:rFonts w:hint="eastAsia"/>
          <w:snapToGrid w:val="0"/>
          <w:lang w:val="en-US"/>
        </w:rPr>
        <w:t xml:space="preserve">2.2进口产品指通过中国海关报关验放进入中国境内且产自关境外的产品，包括已经进入中国境内的进口产品。 </w:t>
      </w:r>
    </w:p>
    <w:p w14:paraId="06C44DA9">
      <w:pPr>
        <w:pStyle w:val="39"/>
        <w:jc w:val="both"/>
        <w:rPr>
          <w:rFonts w:hint="eastAsia"/>
          <w:snapToGrid w:val="0"/>
          <w:lang w:val="en-US"/>
        </w:rPr>
      </w:pPr>
      <w:r>
        <w:rPr>
          <w:snapToGrid w:val="0"/>
        </w:rPr>
        <w:t>4</w:t>
      </w:r>
      <w:r>
        <w:rPr>
          <w:rFonts w:hint="eastAsia"/>
          <w:snapToGrid w:val="0"/>
          <w:lang w:val="en-US"/>
        </w:rPr>
        <w:t>1</w:t>
      </w:r>
      <w:r>
        <w:rPr>
          <w:rFonts w:hint="eastAsia"/>
          <w:snapToGrid w:val="0"/>
        </w:rPr>
        <w:t>.</w:t>
      </w:r>
      <w:r>
        <w:rPr>
          <w:rFonts w:hint="eastAsia"/>
          <w:snapToGrid w:val="0"/>
          <w:lang w:val="en-US"/>
        </w:rPr>
        <w:t>2.3若采购需求中写明允许采购进口产品，投标人应保证所投产品可履行合法报通关手续进入中国关境内。</w:t>
      </w:r>
    </w:p>
    <w:p w14:paraId="33E3FC20">
      <w:pPr>
        <w:pStyle w:val="39"/>
        <w:jc w:val="both"/>
        <w:rPr>
          <w:rFonts w:hint="eastAsia"/>
          <w:snapToGrid w:val="0"/>
          <w:lang w:val="en-US"/>
        </w:rPr>
      </w:pPr>
      <w:r>
        <w:rPr>
          <w:snapToGrid w:val="0"/>
        </w:rPr>
        <w:t>4</w:t>
      </w:r>
      <w:r>
        <w:rPr>
          <w:rFonts w:hint="eastAsia"/>
          <w:snapToGrid w:val="0"/>
          <w:lang w:val="en-US"/>
        </w:rPr>
        <w:t>1</w:t>
      </w:r>
      <w:r>
        <w:rPr>
          <w:rFonts w:hint="eastAsia"/>
          <w:snapToGrid w:val="0"/>
        </w:rPr>
        <w:t>.</w:t>
      </w:r>
      <w:r>
        <w:rPr>
          <w:rFonts w:hint="eastAsia"/>
          <w:snapToGrid w:val="0"/>
          <w:lang w:val="en-US"/>
        </w:rPr>
        <w:t>2.4若采购需求中未写明允许采购进口产品，如投标人所投产品为进口产品，其投标将被认定为</w:t>
      </w:r>
      <w:r>
        <w:rPr>
          <w:rFonts w:hint="eastAsia"/>
          <w:b/>
          <w:bCs/>
          <w:snapToGrid w:val="0"/>
          <w:lang w:val="en-US"/>
        </w:rPr>
        <w:t>投标无效</w:t>
      </w:r>
      <w:r>
        <w:rPr>
          <w:rFonts w:hint="eastAsia"/>
          <w:snapToGrid w:val="0"/>
          <w:lang w:val="en-US"/>
        </w:rPr>
        <w:t>。</w:t>
      </w:r>
    </w:p>
    <w:p w14:paraId="4C4C2626">
      <w:pPr>
        <w:pStyle w:val="6"/>
        <w:keepNext w:val="0"/>
        <w:keepLines w:val="0"/>
        <w:spacing w:before="80" w:after="80" w:line="240" w:lineRule="auto"/>
        <w:ind w:left="420" w:hanging="420"/>
        <w:jc w:val="both"/>
        <w:rPr>
          <w:rFonts w:hint="eastAsia" w:ascii="宋体" w:hAnsi="宋体" w:cs="宋体"/>
          <w:sz w:val="24"/>
        </w:rPr>
      </w:pPr>
      <w:bookmarkStart w:id="280" w:name="_Toc163492877"/>
      <w:r>
        <w:rPr>
          <w:rFonts w:hint="eastAsia" w:ascii="宋体" w:hAnsi="宋体" w:cs="宋体"/>
          <w:sz w:val="24"/>
        </w:rPr>
        <w:t>42.中小企业、监狱企业及残疾人福利性单位</w:t>
      </w:r>
      <w:bookmarkEnd w:id="280"/>
    </w:p>
    <w:p w14:paraId="2060676F">
      <w:pPr>
        <w:pStyle w:val="39"/>
        <w:jc w:val="both"/>
        <w:rPr>
          <w:rFonts w:hint="eastAsia"/>
          <w:snapToGrid w:val="0"/>
        </w:rPr>
      </w:pPr>
      <w:r>
        <w:rPr>
          <w:rFonts w:hint="eastAsia"/>
          <w:snapToGrid w:val="0"/>
          <w:lang w:val="en-US"/>
        </w:rPr>
        <w:t>42</w:t>
      </w:r>
      <w:r>
        <w:rPr>
          <w:rFonts w:hint="eastAsia"/>
          <w:snapToGrid w:val="0"/>
        </w:rPr>
        <w:t>.</w:t>
      </w:r>
      <w:r>
        <w:rPr>
          <w:rFonts w:hint="eastAsia"/>
          <w:snapToGrid w:val="0"/>
          <w:lang w:val="en-US"/>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snapToGrid w:val="0"/>
          <w:lang w:val="en-US"/>
        </w:rPr>
        <w:t>2022</w:t>
      </w:r>
      <w:r>
        <w:rPr>
          <w:rFonts w:hint="eastAsia"/>
          <w:snapToGrid w:val="0"/>
          <w:lang w:val="en-US"/>
        </w:rPr>
        <w:t>〕</w:t>
      </w:r>
      <w:r>
        <w:rPr>
          <w:snapToGrid w:val="0"/>
          <w:lang w:val="en-US"/>
        </w:rPr>
        <w:t xml:space="preserve">19 </w:t>
      </w:r>
      <w:r>
        <w:rPr>
          <w:rFonts w:hint="eastAsia"/>
          <w:snapToGrid w:val="0"/>
          <w:lang w:val="en-US"/>
        </w:rPr>
        <w:t>号）、《政府采购促进中小企业发展管理办法》（财库〔</w:t>
      </w:r>
      <w:r>
        <w:rPr>
          <w:snapToGrid w:val="0"/>
          <w:lang w:val="en-US"/>
        </w:rPr>
        <w:t>2020</w:t>
      </w:r>
      <w:r>
        <w:rPr>
          <w:rFonts w:hint="eastAsia"/>
          <w:snapToGrid w:val="0"/>
          <w:lang w:val="en-US"/>
        </w:rPr>
        <w:t>〕</w:t>
      </w:r>
      <w:r>
        <w:rPr>
          <w:snapToGrid w:val="0"/>
          <w:lang w:val="en-US"/>
        </w:rPr>
        <w:t xml:space="preserve">46 </w:t>
      </w:r>
      <w:r>
        <w:rPr>
          <w:rFonts w:hint="eastAsia"/>
          <w:snapToGrid w:val="0"/>
          <w:lang w:val="en-US"/>
        </w:rPr>
        <w:t>号）、《关于印发中小企业划型标准规定的通知》（工信部联企业〔</w:t>
      </w:r>
      <w:r>
        <w:rPr>
          <w:snapToGrid w:val="0"/>
          <w:lang w:val="en-US"/>
        </w:rPr>
        <w:t>2011</w:t>
      </w:r>
      <w:r>
        <w:rPr>
          <w:rFonts w:hint="eastAsia"/>
          <w:snapToGrid w:val="0"/>
          <w:lang w:val="en-US"/>
        </w:rPr>
        <w:t>〕</w:t>
      </w:r>
      <w:r>
        <w:rPr>
          <w:snapToGrid w:val="0"/>
          <w:lang w:val="en-US"/>
        </w:rPr>
        <w:t xml:space="preserve">300 </w:t>
      </w:r>
      <w:r>
        <w:rPr>
          <w:rFonts w:hint="eastAsia"/>
          <w:snapToGrid w:val="0"/>
          <w:lang w:val="en-US"/>
        </w:rPr>
        <w:t xml:space="preserve">号）、《金融业企业划型标准规定》（〔2015〕309 号）等国务院批准的中小企业划分标准执行。 </w:t>
      </w:r>
    </w:p>
    <w:p w14:paraId="2D6CC8D2">
      <w:pPr>
        <w:pStyle w:val="39"/>
        <w:jc w:val="both"/>
        <w:rPr>
          <w:rFonts w:hint="eastAsia"/>
          <w:snapToGrid w:val="0"/>
        </w:rPr>
      </w:pPr>
      <w:r>
        <w:rPr>
          <w:rFonts w:hint="eastAsia"/>
          <w:snapToGrid w:val="0"/>
          <w:lang w:val="en-US"/>
        </w:rPr>
        <w:t>42</w:t>
      </w:r>
      <w:r>
        <w:rPr>
          <w:rFonts w:hint="eastAsia"/>
          <w:snapToGrid w:val="0"/>
        </w:rPr>
        <w:t>.</w:t>
      </w:r>
      <w:r>
        <w:rPr>
          <w:rFonts w:hint="eastAsia"/>
          <w:snapToGrid w:val="0"/>
          <w:lang w:val="en-US"/>
        </w:rPr>
        <w:t>2</w:t>
      </w:r>
      <w:r>
        <w:rPr>
          <w:rFonts w:hint="eastAsia"/>
          <w:snapToGrid w:val="0"/>
        </w:rPr>
        <w:t>为促进中小企业发展，依据《关于印发〈政府采购促进中小企业发展管理办法&gt;的通知》（财库〔2020〕46号）、《财政部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“残疾人福利性单位声明函”，评审时，</w:t>
      </w:r>
      <w:r>
        <w:rPr>
          <w:rFonts w:hint="eastAsia"/>
          <w:snapToGrid w:val="0"/>
          <w:lang w:val="en-US"/>
        </w:rPr>
        <w:t>评标委员会</w:t>
      </w:r>
      <w:r>
        <w:rPr>
          <w:rFonts w:hint="eastAsia"/>
          <w:snapToGrid w:val="0"/>
        </w:rPr>
        <w:t>将依据本</w:t>
      </w:r>
      <w:r>
        <w:rPr>
          <w:rFonts w:hint="eastAsia"/>
          <w:snapToGrid w:val="0"/>
          <w:lang w:val="en-US"/>
        </w:rPr>
        <w:t>招标</w:t>
      </w:r>
      <w:r>
        <w:rPr>
          <w:rFonts w:hint="eastAsia"/>
          <w:snapToGrid w:val="0"/>
        </w:rPr>
        <w:t>文件“</w:t>
      </w:r>
      <w:r>
        <w:rPr>
          <w:rFonts w:hint="eastAsia"/>
          <w:snapToGrid w:val="0"/>
          <w:lang w:val="en-US"/>
        </w:rPr>
        <w:t>投标人</w:t>
      </w:r>
      <w:r>
        <w:rPr>
          <w:rFonts w:hint="eastAsia"/>
          <w:snapToGrid w:val="0"/>
        </w:rPr>
        <w:t>须知前附表”规定的报价扣除比例，对供应商报价进行价格扣除，用扣除后的价格参与评审；</w:t>
      </w:r>
      <w:r>
        <w:rPr>
          <w:rFonts w:hint="eastAsia"/>
          <w:snapToGrid w:val="0"/>
          <w:lang w:val="en-US"/>
        </w:rPr>
        <w:t>招标</w:t>
      </w:r>
      <w:r>
        <w:rPr>
          <w:rFonts w:hint="eastAsia"/>
          <w:snapToGrid w:val="0"/>
        </w:rPr>
        <w:t>公告中明确项目专门面向中小企业采购的，“中小企业声明函”为资格要求文件，供应商参与</w:t>
      </w:r>
      <w:r>
        <w:rPr>
          <w:rFonts w:hint="eastAsia"/>
          <w:snapToGrid w:val="0"/>
          <w:lang w:val="en-US"/>
        </w:rPr>
        <w:t>投标</w:t>
      </w:r>
      <w:r>
        <w:rPr>
          <w:rFonts w:hint="eastAsia"/>
          <w:snapToGrid w:val="0"/>
        </w:rPr>
        <w:t>须按本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“残疾人福利性单位声明函”等作为资格证明文件。</w:t>
      </w:r>
      <w:r>
        <w:rPr>
          <w:rFonts w:hint="eastAsia"/>
          <w:snapToGrid w:val="0"/>
          <w:lang w:val="en-US"/>
        </w:rPr>
        <w:t xml:space="preserve"> </w:t>
      </w:r>
    </w:p>
    <w:p w14:paraId="4160DC4F">
      <w:pPr>
        <w:pStyle w:val="39"/>
        <w:jc w:val="both"/>
        <w:rPr>
          <w:rFonts w:hint="eastAsia"/>
          <w:snapToGrid w:val="0"/>
        </w:rPr>
      </w:pPr>
      <w:r>
        <w:rPr>
          <w:rFonts w:hint="eastAsia"/>
          <w:snapToGrid w:val="0"/>
          <w:lang w:val="en-US"/>
        </w:rPr>
        <w:t>42</w:t>
      </w:r>
      <w:r>
        <w:rPr>
          <w:snapToGrid w:val="0"/>
          <w:lang w:val="en-US"/>
        </w:rPr>
        <w:t>.</w:t>
      </w:r>
      <w:r>
        <w:rPr>
          <w:rFonts w:hint="eastAsia"/>
          <w:snapToGrid w:val="0"/>
          <w:lang w:val="en-US"/>
        </w:rPr>
        <w:t>3</w:t>
      </w:r>
      <w:r>
        <w:rPr>
          <w:snapToGrid w:val="0"/>
          <w:lang w:val="en-US"/>
        </w:rPr>
        <w:t xml:space="preserve"> </w:t>
      </w:r>
      <w:r>
        <w:rPr>
          <w:rFonts w:hint="eastAsia"/>
          <w:snapToGrid w:val="0"/>
          <w:lang w:val="en-US"/>
        </w:rPr>
        <w:t xml:space="preserve">投标人提供的货物、工程或者服务符合下列情形的，享受中小企业扶持政策： </w:t>
      </w:r>
    </w:p>
    <w:p w14:paraId="3BF08922">
      <w:pPr>
        <w:pStyle w:val="39"/>
        <w:jc w:val="both"/>
        <w:rPr>
          <w:rFonts w:hint="eastAsia"/>
          <w:snapToGrid w:val="0"/>
        </w:rPr>
      </w:pPr>
      <w:r>
        <w:rPr>
          <w:rFonts w:hint="eastAsia"/>
          <w:snapToGrid w:val="0"/>
          <w:lang w:val="en-US"/>
        </w:rPr>
        <w:t>（</w:t>
      </w:r>
      <w:r>
        <w:rPr>
          <w:snapToGrid w:val="0"/>
          <w:lang w:val="en-US"/>
        </w:rPr>
        <w:t>1</w:t>
      </w:r>
      <w:r>
        <w:rPr>
          <w:rFonts w:hint="eastAsia"/>
          <w:snapToGrid w:val="0"/>
          <w:lang w:val="en-US"/>
        </w:rPr>
        <w:t xml:space="preserve">）在货物采购项目中，货物由中小企业制造，即货物由中小企业生产且使用该中小企业商号或者注册商标； </w:t>
      </w:r>
    </w:p>
    <w:p w14:paraId="15C9AD4E">
      <w:pPr>
        <w:pStyle w:val="39"/>
        <w:jc w:val="both"/>
        <w:rPr>
          <w:rFonts w:hint="eastAsia"/>
          <w:snapToGrid w:val="0"/>
        </w:rPr>
      </w:pPr>
      <w:r>
        <w:rPr>
          <w:rFonts w:hint="eastAsia"/>
          <w:snapToGrid w:val="0"/>
          <w:lang w:val="en-US"/>
        </w:rPr>
        <w:t>（</w:t>
      </w:r>
      <w:r>
        <w:rPr>
          <w:snapToGrid w:val="0"/>
          <w:lang w:val="en-US"/>
        </w:rPr>
        <w:t>2</w:t>
      </w:r>
      <w:r>
        <w:rPr>
          <w:rFonts w:hint="eastAsia"/>
          <w:snapToGrid w:val="0"/>
          <w:lang w:val="en-US"/>
        </w:rPr>
        <w:t xml:space="preserve">）在工程采购项目中，工程由中小企业承建，即工程施工单位为中小企业； </w:t>
      </w:r>
    </w:p>
    <w:p w14:paraId="750A358A">
      <w:pPr>
        <w:pStyle w:val="39"/>
        <w:jc w:val="both"/>
        <w:rPr>
          <w:rFonts w:hint="eastAsia"/>
          <w:snapToGrid w:val="0"/>
        </w:rPr>
      </w:pPr>
      <w:r>
        <w:rPr>
          <w:rFonts w:hint="eastAsia"/>
          <w:snapToGrid w:val="0"/>
          <w:lang w:val="en-US"/>
        </w:rPr>
        <w:t>（</w:t>
      </w:r>
      <w:r>
        <w:rPr>
          <w:snapToGrid w:val="0"/>
          <w:lang w:val="en-US"/>
        </w:rPr>
        <w:t>3</w:t>
      </w:r>
      <w:r>
        <w:rPr>
          <w:rFonts w:hint="eastAsia"/>
          <w:snapToGrid w:val="0"/>
          <w:lang w:val="en-US"/>
        </w:rPr>
        <w:t>）在服务采购项目中，服务由中小企业承接，即提供服务的人员为中小企业依照《中华人民共和国劳动合同法》订立劳动合同的从业人员。</w:t>
      </w:r>
    </w:p>
    <w:p w14:paraId="23B4F5C8">
      <w:pPr>
        <w:pStyle w:val="39"/>
        <w:jc w:val="both"/>
        <w:rPr>
          <w:rFonts w:hint="eastAsia"/>
          <w:snapToGrid w:val="0"/>
        </w:rPr>
      </w:pPr>
      <w:r>
        <w:rPr>
          <w:rFonts w:hint="eastAsia"/>
          <w:snapToGrid w:val="0"/>
          <w:lang w:val="en-US"/>
        </w:rPr>
        <w:t>42</w:t>
      </w:r>
      <w:r>
        <w:rPr>
          <w:snapToGrid w:val="0"/>
          <w:lang w:val="en-US"/>
        </w:rPr>
        <w:t>.</w:t>
      </w:r>
      <w:r>
        <w:rPr>
          <w:rFonts w:hint="eastAsia"/>
          <w:snapToGrid w:val="0"/>
          <w:lang w:val="en-US"/>
        </w:rPr>
        <w:t>4</w:t>
      </w:r>
      <w:r>
        <w:rPr>
          <w:snapToGrid w:val="0"/>
          <w:lang w:val="en-US"/>
        </w:rPr>
        <w:t xml:space="preserve"> </w:t>
      </w:r>
      <w:r>
        <w:rPr>
          <w:rFonts w:hint="eastAsia"/>
          <w:snapToGrid w:val="0"/>
          <w:lang w:val="en-US"/>
        </w:rPr>
        <w:t xml:space="preserve">在货物采购项目中，投标人提供的货物既有中小企业制造货物，也有大型企业制造货物的，不享受中小企业扶持政策。 </w:t>
      </w:r>
    </w:p>
    <w:p w14:paraId="7045BCDD">
      <w:pPr>
        <w:pStyle w:val="39"/>
        <w:ind w:firstLineChars="200"/>
        <w:jc w:val="both"/>
        <w:rPr>
          <w:rFonts w:hint="eastAsia"/>
          <w:snapToGrid w:val="0"/>
          <w:lang w:val="en-US"/>
        </w:rPr>
      </w:pPr>
      <w:r>
        <w:rPr>
          <w:rFonts w:hint="eastAsia"/>
          <w:snapToGrid w:val="0"/>
          <w:lang w:val="en-US"/>
        </w:rPr>
        <w:t>42</w:t>
      </w:r>
      <w:r>
        <w:rPr>
          <w:snapToGrid w:val="0"/>
          <w:lang w:val="en-US"/>
        </w:rPr>
        <w:t>.</w:t>
      </w:r>
      <w:r>
        <w:rPr>
          <w:rFonts w:hint="eastAsia"/>
          <w:snapToGrid w:val="0"/>
          <w:lang w:val="en-US"/>
        </w:rPr>
        <w:t>5</w:t>
      </w:r>
      <w:r>
        <w:rPr>
          <w:snapToGrid w:val="0"/>
          <w:lang w:val="en-US"/>
        </w:rPr>
        <w:t xml:space="preserve"> </w:t>
      </w:r>
      <w:r>
        <w:rPr>
          <w:rFonts w:hint="eastAsia"/>
          <w:snapToGrid w:val="0"/>
          <w:lang w:val="en-US"/>
        </w:rPr>
        <w:t>以联合体形式参加政府采购活动，联合体各方均为中小企业的，联合体视同中小企业。其中，联合体各方均为小微企业的，联合体视同小微企业。</w:t>
      </w:r>
    </w:p>
    <w:p w14:paraId="3E6B67DE">
      <w:pPr>
        <w:pStyle w:val="39"/>
        <w:ind w:firstLineChars="200"/>
        <w:jc w:val="both"/>
        <w:rPr>
          <w:rFonts w:hint="eastAsia"/>
          <w:snapToGrid w:val="0"/>
        </w:rPr>
      </w:pPr>
      <w:r>
        <w:rPr>
          <w:rFonts w:hint="eastAsia"/>
          <w:snapToGrid w:val="0"/>
          <w:lang w:val="en-US"/>
        </w:rPr>
        <w:t>42</w:t>
      </w:r>
      <w:r>
        <w:rPr>
          <w:snapToGrid w:val="0"/>
          <w:lang w:val="en-US"/>
        </w:rPr>
        <w:t>.</w:t>
      </w:r>
      <w:r>
        <w:rPr>
          <w:rFonts w:hint="eastAsia"/>
          <w:snapToGrid w:val="0"/>
          <w:lang w:val="en-US"/>
        </w:rPr>
        <w:t>6</w:t>
      </w:r>
      <w:r>
        <w:rPr>
          <w:snapToGrid w:val="0"/>
          <w:lang w:val="en-US"/>
        </w:rPr>
        <w:t xml:space="preserve"> </w:t>
      </w:r>
      <w:r>
        <w:rPr>
          <w:rFonts w:hint="eastAsia"/>
          <w:snapToGrid w:val="0"/>
          <w:lang w:val="en-US"/>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监狱管理局、戒毒管理局的企业。 </w:t>
      </w:r>
    </w:p>
    <w:p w14:paraId="397C739C">
      <w:pPr>
        <w:pStyle w:val="39"/>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 </w:t>
      </w:r>
      <w:r>
        <w:rPr>
          <w:rFonts w:hint="eastAsia"/>
          <w:snapToGrid w:val="0"/>
          <w:lang w:val="en-US"/>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766BF7D8">
      <w:pPr>
        <w:pStyle w:val="39"/>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.1 </w:t>
      </w:r>
      <w:r>
        <w:rPr>
          <w:rFonts w:hint="eastAsia"/>
          <w:snapToGrid w:val="0"/>
          <w:lang w:val="en-US"/>
        </w:rPr>
        <w:t xml:space="preserve">安置的残疾人占本单位在职职工人数的比例不低于 </w:t>
      </w:r>
      <w:r>
        <w:rPr>
          <w:snapToGrid w:val="0"/>
          <w:lang w:val="en-US"/>
        </w:rPr>
        <w:t xml:space="preserve">25% </w:t>
      </w:r>
      <w:r>
        <w:rPr>
          <w:rFonts w:hint="eastAsia"/>
          <w:snapToGrid w:val="0"/>
          <w:lang w:val="en-US"/>
        </w:rPr>
        <w:t xml:space="preserve">（含 </w:t>
      </w:r>
      <w:r>
        <w:rPr>
          <w:snapToGrid w:val="0"/>
          <w:lang w:val="en-US"/>
        </w:rPr>
        <w:t>25%</w:t>
      </w:r>
      <w:r>
        <w:rPr>
          <w:rFonts w:hint="eastAsia"/>
          <w:snapToGrid w:val="0"/>
          <w:lang w:val="en-US"/>
        </w:rPr>
        <w:t xml:space="preserve">），并且安置的残疾人人数不少于 </w:t>
      </w:r>
      <w:r>
        <w:rPr>
          <w:snapToGrid w:val="0"/>
          <w:lang w:val="en-US"/>
        </w:rPr>
        <w:t xml:space="preserve">10 </w:t>
      </w:r>
      <w:r>
        <w:rPr>
          <w:rFonts w:hint="eastAsia"/>
          <w:snapToGrid w:val="0"/>
          <w:lang w:val="en-US"/>
        </w:rPr>
        <w:t xml:space="preserve">人（含 </w:t>
      </w:r>
      <w:r>
        <w:rPr>
          <w:snapToGrid w:val="0"/>
          <w:lang w:val="en-US"/>
        </w:rPr>
        <w:t>10</w:t>
      </w:r>
      <w:r>
        <w:rPr>
          <w:rFonts w:hint="eastAsia"/>
          <w:snapToGrid w:val="0"/>
          <w:lang w:val="en-US"/>
        </w:rPr>
        <w:t xml:space="preserve">人）； </w:t>
      </w:r>
    </w:p>
    <w:p w14:paraId="271000F2">
      <w:pPr>
        <w:pStyle w:val="39"/>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.2 </w:t>
      </w:r>
      <w:r>
        <w:rPr>
          <w:rFonts w:hint="eastAsia"/>
          <w:snapToGrid w:val="0"/>
          <w:lang w:val="en-US"/>
        </w:rPr>
        <w:t xml:space="preserve">依法与安置的每位残疾人签订了1年以上（含1年）的劳动合同或服务协议； </w:t>
      </w:r>
    </w:p>
    <w:p w14:paraId="2C0117E9">
      <w:pPr>
        <w:pStyle w:val="39"/>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.3 </w:t>
      </w:r>
      <w:r>
        <w:rPr>
          <w:rFonts w:hint="eastAsia"/>
          <w:snapToGrid w:val="0"/>
          <w:lang w:val="en-US"/>
        </w:rPr>
        <w:t xml:space="preserve">为安置的每位残疾人按月足额缴纳了基本养老保险、基本医疗保险、失业保险、工伤保险和生育保险等社会保险费； </w:t>
      </w:r>
    </w:p>
    <w:p w14:paraId="40FF10DF">
      <w:pPr>
        <w:pStyle w:val="39"/>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.4 </w:t>
      </w:r>
      <w:r>
        <w:rPr>
          <w:rFonts w:hint="eastAsia"/>
          <w:snapToGrid w:val="0"/>
          <w:lang w:val="en-US"/>
        </w:rPr>
        <w:t xml:space="preserve">通过银行等金融机构向安置的每位残疾人，按月支付了不低于单位所在区县适用的经省级人民政府批准的月最低工资标准的工资； </w:t>
      </w:r>
    </w:p>
    <w:p w14:paraId="143722F1">
      <w:pPr>
        <w:pStyle w:val="39"/>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.5 </w:t>
      </w:r>
      <w:r>
        <w:rPr>
          <w:rFonts w:hint="eastAsia"/>
          <w:snapToGrid w:val="0"/>
          <w:lang w:val="en-US"/>
        </w:rPr>
        <w:t xml:space="preserve">提供本单位制造的货物、承担的工程或者服务（以下简称产品），或者提供其他残疾人福利性单位制造的货物（不包括使用非残疾人福利性单位注册商标的货物）； </w:t>
      </w:r>
    </w:p>
    <w:p w14:paraId="2244288E">
      <w:pPr>
        <w:pStyle w:val="39"/>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.6 </w:t>
      </w:r>
      <w:r>
        <w:rPr>
          <w:rFonts w:hint="eastAsia"/>
          <w:snapToGrid w:val="0"/>
          <w:lang w:val="en-US"/>
        </w:rPr>
        <w:t>前款所称残疾人是指法定劳动年龄内，持有《中华人民共和国残疾人证》或者《中华人民共和国残疾军人证（</w:t>
      </w:r>
      <w:r>
        <w:rPr>
          <w:snapToGrid w:val="0"/>
          <w:lang w:val="en-US"/>
        </w:rPr>
        <w:t xml:space="preserve">1 </w:t>
      </w:r>
      <w:r>
        <w:rPr>
          <w:rFonts w:hint="eastAsia"/>
          <w:snapToGrid w:val="0"/>
          <w:lang w:val="en-US"/>
        </w:rPr>
        <w:t xml:space="preserve">至 </w:t>
      </w:r>
      <w:r>
        <w:rPr>
          <w:snapToGrid w:val="0"/>
          <w:lang w:val="en-US"/>
        </w:rPr>
        <w:t xml:space="preserve">8 </w:t>
      </w:r>
      <w:r>
        <w:rPr>
          <w:rFonts w:hint="eastAsia"/>
          <w:snapToGrid w:val="0"/>
          <w:lang w:val="en-US"/>
        </w:rPr>
        <w:t xml:space="preserve">级）》的自然人，包括具有劳动条件和劳动意愿的精神残疾人。在职职工人数是指与残疾人福利性单位建立劳动关系并依法签订劳动合同或服务协议的雇员人数。 </w:t>
      </w:r>
    </w:p>
    <w:p w14:paraId="2BD4A17C">
      <w:pPr>
        <w:pStyle w:val="39"/>
        <w:jc w:val="both"/>
        <w:rPr>
          <w:rFonts w:hint="eastAsia"/>
          <w:snapToGrid w:val="0"/>
        </w:rPr>
      </w:pPr>
      <w:r>
        <w:rPr>
          <w:rFonts w:hint="eastAsia"/>
          <w:snapToGrid w:val="0"/>
          <w:lang w:val="en-US"/>
        </w:rPr>
        <w:t>42</w:t>
      </w:r>
      <w:r>
        <w:rPr>
          <w:snapToGrid w:val="0"/>
          <w:lang w:val="en-US"/>
        </w:rPr>
        <w:t>.</w:t>
      </w:r>
      <w:r>
        <w:rPr>
          <w:rFonts w:hint="eastAsia"/>
          <w:snapToGrid w:val="0"/>
          <w:lang w:val="en-US"/>
        </w:rPr>
        <w:t>8</w:t>
      </w:r>
      <w:r>
        <w:rPr>
          <w:snapToGrid w:val="0"/>
          <w:lang w:val="en-US"/>
        </w:rPr>
        <w:t xml:space="preserve"> </w:t>
      </w:r>
      <w:r>
        <w:rPr>
          <w:rFonts w:hint="eastAsia"/>
          <w:snapToGrid w:val="0"/>
          <w:lang w:val="en-US"/>
        </w:rPr>
        <w:t>本项目是否专门面向中小企业预留采购份额见“第一章 招标公告”。    42</w:t>
      </w:r>
      <w:r>
        <w:rPr>
          <w:snapToGrid w:val="0"/>
          <w:lang w:val="en-US"/>
        </w:rPr>
        <w:t>.</w:t>
      </w:r>
      <w:r>
        <w:rPr>
          <w:rFonts w:hint="eastAsia"/>
          <w:snapToGrid w:val="0"/>
          <w:lang w:val="en-US"/>
        </w:rPr>
        <w:t>9</w:t>
      </w:r>
      <w:r>
        <w:rPr>
          <w:snapToGrid w:val="0"/>
          <w:lang w:val="en-US"/>
        </w:rPr>
        <w:t xml:space="preserve"> </w:t>
      </w:r>
      <w:r>
        <w:rPr>
          <w:rFonts w:hint="eastAsia"/>
          <w:snapToGrid w:val="0"/>
          <w:lang w:val="en-US"/>
        </w:rPr>
        <w:t>采购标的对应的中小企业划分标准所属行业见“投标人须知前附表”。    42</w:t>
      </w:r>
      <w:r>
        <w:rPr>
          <w:snapToGrid w:val="0"/>
          <w:lang w:val="en-US"/>
        </w:rPr>
        <w:t>.</w:t>
      </w:r>
      <w:r>
        <w:rPr>
          <w:rFonts w:hint="eastAsia"/>
          <w:snapToGrid w:val="0"/>
          <w:lang w:val="en-US"/>
        </w:rPr>
        <w:t>10</w:t>
      </w:r>
      <w:r>
        <w:rPr>
          <w:snapToGrid w:val="0"/>
          <w:lang w:val="en-US"/>
        </w:rPr>
        <w:t xml:space="preserve"> </w:t>
      </w:r>
      <w:r>
        <w:rPr>
          <w:rFonts w:hint="eastAsia"/>
          <w:snapToGrid w:val="0"/>
          <w:lang w:val="en-US"/>
        </w:rPr>
        <w:t>小微企业价格评审优惠的政策调整：见“投标人须知前附表”及“第五章 评标方法及标准”。</w:t>
      </w:r>
    </w:p>
    <w:p w14:paraId="1743D9FB">
      <w:pPr>
        <w:pStyle w:val="6"/>
        <w:keepNext w:val="0"/>
        <w:keepLines w:val="0"/>
        <w:spacing w:before="80" w:after="80" w:line="240" w:lineRule="auto"/>
        <w:ind w:left="420" w:hanging="420"/>
        <w:jc w:val="both"/>
        <w:rPr>
          <w:rFonts w:hint="eastAsia" w:ascii="宋体" w:hAnsi="宋体" w:cs="宋体"/>
          <w:sz w:val="24"/>
        </w:rPr>
      </w:pPr>
      <w:bookmarkStart w:id="281" w:name="_Toc163492878"/>
      <w:r>
        <w:rPr>
          <w:rFonts w:hint="eastAsia" w:ascii="宋体" w:hAnsi="宋体" w:cs="宋体"/>
          <w:sz w:val="24"/>
        </w:rPr>
        <w:t>43.政府采购节能产品、环境标志产品</w:t>
      </w:r>
      <w:bookmarkEnd w:id="281"/>
    </w:p>
    <w:p w14:paraId="210E340C">
      <w:pPr>
        <w:pStyle w:val="39"/>
        <w:jc w:val="both"/>
        <w:rPr>
          <w:rFonts w:hint="eastAsia"/>
          <w:snapToGrid w:val="0"/>
        </w:rPr>
      </w:pPr>
      <w:r>
        <w:rPr>
          <w:rFonts w:hint="eastAsia"/>
          <w:snapToGrid w:val="0"/>
          <w:lang w:val="en-US"/>
        </w:rPr>
        <w:t>43</w:t>
      </w:r>
      <w:r>
        <w:rPr>
          <w:snapToGrid w:val="0"/>
          <w:lang w:val="en-US"/>
        </w:rPr>
        <w:t xml:space="preserve">.1 </w:t>
      </w:r>
      <w:r>
        <w:rPr>
          <w:rFonts w:hint="eastAsia"/>
          <w:snapToGrid w:val="0"/>
          <w:lang w:val="en-US"/>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snapToGrid w:val="0"/>
          <w:lang w:val="en-US"/>
        </w:rPr>
        <w:t>2019</w:t>
      </w:r>
      <w:r>
        <w:rPr>
          <w:rFonts w:hint="eastAsia"/>
          <w:snapToGrid w:val="0"/>
          <w:lang w:val="en-US"/>
        </w:rPr>
        <w:t>〕</w:t>
      </w:r>
      <w:r>
        <w:rPr>
          <w:snapToGrid w:val="0"/>
          <w:lang w:val="en-US"/>
        </w:rPr>
        <w:t xml:space="preserve">9 </w:t>
      </w:r>
      <w:r>
        <w:rPr>
          <w:rFonts w:hint="eastAsia"/>
          <w:snapToGrid w:val="0"/>
          <w:lang w:val="en-US"/>
        </w:rPr>
        <w:t>号）、《关于印发环境标志产品政府采购品目清单的通知》（财库〔2019〕18号）、《关于印发节能产品政府采购品目清单的通知》（财库〔2019〕19号）的规定。</w:t>
      </w:r>
    </w:p>
    <w:p w14:paraId="38EF7D3D">
      <w:pPr>
        <w:pStyle w:val="39"/>
        <w:jc w:val="both"/>
        <w:rPr>
          <w:rFonts w:hint="eastAsia"/>
          <w:snapToGrid w:val="0"/>
        </w:rPr>
      </w:pPr>
      <w:r>
        <w:rPr>
          <w:rFonts w:hint="eastAsia"/>
          <w:snapToGrid w:val="0"/>
          <w:lang w:val="en-US"/>
        </w:rPr>
        <w:t>43</w:t>
      </w:r>
      <w:r>
        <w:rPr>
          <w:snapToGrid w:val="0"/>
          <w:lang w:val="en-US"/>
        </w:rPr>
        <w:t xml:space="preserve">.2 </w:t>
      </w:r>
      <w:r>
        <w:rPr>
          <w:rFonts w:hint="eastAsia"/>
          <w:snapToGrid w:val="0"/>
          <w:lang w:val="en-US"/>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56A44E92">
      <w:pPr>
        <w:pStyle w:val="39"/>
        <w:jc w:val="both"/>
        <w:rPr>
          <w:rFonts w:hint="eastAsia"/>
          <w:snapToGrid w:val="0"/>
        </w:rPr>
      </w:pPr>
      <w:r>
        <w:rPr>
          <w:rFonts w:hint="eastAsia"/>
          <w:snapToGrid w:val="0"/>
          <w:lang w:val="en-US"/>
        </w:rPr>
        <w:t>43</w:t>
      </w:r>
      <w:r>
        <w:rPr>
          <w:snapToGrid w:val="0"/>
          <w:lang w:val="en-US"/>
        </w:rPr>
        <w:t xml:space="preserve">.3 </w:t>
      </w:r>
      <w:r>
        <w:rPr>
          <w:rFonts w:hint="eastAsia"/>
          <w:snapToGrid w:val="0"/>
          <w:lang w:val="en-US"/>
        </w:rPr>
        <w:t>如本项目采购产品属于实施政府强制采购品目清单范围的节能产品，则投标人所报产品必须获得国家确定的认证机构出具的、处于有效期之内的节能产品认证证书，否则</w:t>
      </w:r>
      <w:r>
        <w:rPr>
          <w:rFonts w:hint="eastAsia"/>
          <w:b/>
          <w:bCs/>
          <w:snapToGrid w:val="0"/>
          <w:lang w:val="en-US"/>
        </w:rPr>
        <w:t>投标无效</w:t>
      </w:r>
      <w:r>
        <w:rPr>
          <w:rFonts w:hint="eastAsia"/>
          <w:snapToGrid w:val="0"/>
          <w:lang w:val="en-US"/>
        </w:rPr>
        <w:t xml:space="preserve">。 </w:t>
      </w:r>
    </w:p>
    <w:p w14:paraId="786726D4">
      <w:pPr>
        <w:pStyle w:val="39"/>
        <w:jc w:val="both"/>
        <w:rPr>
          <w:rFonts w:hint="eastAsia"/>
          <w:snapToGrid w:val="0"/>
        </w:rPr>
      </w:pPr>
      <w:r>
        <w:rPr>
          <w:rFonts w:hint="eastAsia"/>
          <w:snapToGrid w:val="0"/>
          <w:lang w:val="en-US"/>
        </w:rPr>
        <w:t>43</w:t>
      </w:r>
      <w:r>
        <w:rPr>
          <w:snapToGrid w:val="0"/>
          <w:lang w:val="en-US"/>
        </w:rPr>
        <w:t xml:space="preserve">.4 </w:t>
      </w:r>
      <w:r>
        <w:rPr>
          <w:rFonts w:hint="eastAsia"/>
          <w:snapToGrid w:val="0"/>
          <w:lang w:val="en-US"/>
        </w:rPr>
        <w:t>非政府强制采购的节能产品或环境标志产品，依据品目清单和认证证书实施政府优先采购。优先采购的具体规定见“第五章 评标方法及标准”（如涉及）。</w:t>
      </w:r>
    </w:p>
    <w:p w14:paraId="28499385">
      <w:pPr>
        <w:pStyle w:val="39"/>
        <w:jc w:val="both"/>
        <w:rPr>
          <w:rFonts w:hint="eastAsia"/>
        </w:rPr>
      </w:pPr>
      <w:r>
        <w:rPr>
          <w:rFonts w:hint="eastAsia"/>
          <w:snapToGrid w:val="0"/>
          <w:lang w:val="en-US"/>
        </w:rPr>
        <w:t xml:space="preserve">43.5 </w:t>
      </w:r>
      <w:r>
        <w:rPr>
          <w:rFonts w:hint="eastAsia"/>
          <w:snapToGrid w:val="0"/>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snapToGrid w:val="0"/>
        </w:rPr>
        <w:t>已作为投标时强制性要求不再</w:t>
      </w:r>
      <w:r>
        <w:rPr>
          <w:rFonts w:hint="eastAsia"/>
          <w:snapToGrid w:val="0"/>
        </w:rPr>
        <w:t>给予</w:t>
      </w:r>
      <w:r>
        <w:rPr>
          <w:rFonts w:hint="eastAsia"/>
          <w:snapToGrid w:val="0"/>
          <w:lang w:val="en-US"/>
        </w:rPr>
        <w:t>评审优惠</w:t>
      </w:r>
      <w:r>
        <w:rPr>
          <w:rFonts w:hint="eastAsia"/>
          <w:snapToGrid w:val="0"/>
        </w:rPr>
        <w:t>，未提供认证证书的视为</w:t>
      </w:r>
      <w:r>
        <w:rPr>
          <w:rFonts w:hint="eastAsia"/>
          <w:b/>
          <w:bCs/>
          <w:snapToGrid w:val="0"/>
          <w:lang w:val="en-US"/>
        </w:rPr>
        <w:t>投标</w:t>
      </w:r>
      <w:r>
        <w:rPr>
          <w:rFonts w:hint="eastAsia"/>
          <w:b/>
          <w:bCs/>
          <w:snapToGrid w:val="0"/>
        </w:rPr>
        <w:t>无效</w:t>
      </w:r>
      <w:r>
        <w:rPr>
          <w:rFonts w:hint="eastAsia"/>
          <w:snapToGrid w:val="0"/>
        </w:rPr>
        <w:t>。属于</w:t>
      </w:r>
      <w:r>
        <w:rPr>
          <w:rFonts w:hint="eastAsia"/>
          <w:snapToGrid w:val="0"/>
          <w:lang w:val="en-US"/>
        </w:rPr>
        <w:t>优先采购</w:t>
      </w:r>
      <w:r>
        <w:rPr>
          <w:rFonts w:hint="eastAsia"/>
          <w:snapToGrid w:val="0"/>
        </w:rPr>
        <w:t>节能产品政府采购品目清单、环境标志产品政府采购品目清单、</w:t>
      </w:r>
      <w:r>
        <w:rPr>
          <w:rFonts w:hint="eastAsia"/>
          <w:snapToGrid w:val="0"/>
          <w:lang w:val="en-US"/>
        </w:rPr>
        <w:t>创新产品</w:t>
      </w:r>
      <w:r>
        <w:rPr>
          <w:rFonts w:hint="eastAsia"/>
          <w:snapToGrid w:val="0"/>
        </w:rPr>
        <w:t>范围的，按照“</w:t>
      </w:r>
      <w:r>
        <w:rPr>
          <w:rFonts w:hint="eastAsia"/>
          <w:lang w:val="en-US"/>
        </w:rPr>
        <w:t>第五章 评标方法及标准</w:t>
      </w:r>
      <w:r>
        <w:rPr>
          <w:rFonts w:hint="eastAsia"/>
          <w:snapToGrid w:val="0"/>
        </w:rPr>
        <w:t>”中相关规定</w:t>
      </w:r>
      <w:r>
        <w:rPr>
          <w:rFonts w:hint="eastAsia"/>
          <w:lang w:val="en-US"/>
        </w:rPr>
        <w:t>在评审时给予优惠，具体详见</w:t>
      </w:r>
      <w:r>
        <w:rPr>
          <w:rFonts w:hint="eastAsia"/>
          <w:snapToGrid w:val="0"/>
          <w:lang w:val="en-US"/>
        </w:rPr>
        <w:t>“投标人须知前附表”及</w:t>
      </w:r>
      <w:r>
        <w:rPr>
          <w:rFonts w:hint="eastAsia"/>
          <w:lang w:val="en-US"/>
        </w:rPr>
        <w:t>“第五章 评标方法及标准”</w:t>
      </w:r>
      <w:r>
        <w:rPr>
          <w:rFonts w:hint="eastAsia"/>
        </w:rPr>
        <w:t>。</w:t>
      </w:r>
    </w:p>
    <w:p w14:paraId="29AD1C93">
      <w:pPr>
        <w:pStyle w:val="6"/>
        <w:keepNext w:val="0"/>
        <w:keepLines w:val="0"/>
        <w:spacing w:before="80" w:after="80" w:line="240" w:lineRule="auto"/>
        <w:ind w:left="420" w:hanging="420"/>
        <w:jc w:val="both"/>
        <w:rPr>
          <w:rFonts w:hint="eastAsia" w:ascii="宋体" w:hAnsi="宋体" w:cs="宋体"/>
          <w:sz w:val="24"/>
        </w:rPr>
      </w:pPr>
      <w:bookmarkStart w:id="282" w:name="_Toc163492879"/>
      <w:r>
        <w:rPr>
          <w:rFonts w:hint="eastAsia" w:ascii="宋体" w:hAnsi="宋体" w:cs="宋体"/>
          <w:sz w:val="24"/>
        </w:rPr>
        <w:t xml:space="preserve">44.正版软件  </w:t>
      </w:r>
    </w:p>
    <w:p w14:paraId="712E0346">
      <w:pPr>
        <w:pStyle w:val="39"/>
        <w:jc w:val="both"/>
        <w:rPr>
          <w:rFonts w:hint="eastAsia"/>
          <w:snapToGrid w:val="0"/>
          <w:lang w:val="en-US"/>
        </w:rPr>
      </w:pPr>
      <w:r>
        <w:rPr>
          <w:rFonts w:hint="eastAsia"/>
          <w:snapToGrid w:val="0"/>
          <w:lang w:val="en-US"/>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0D408666">
      <w:pPr>
        <w:pStyle w:val="6"/>
        <w:keepNext w:val="0"/>
        <w:keepLines w:val="0"/>
        <w:spacing w:before="80" w:after="80" w:line="240" w:lineRule="auto"/>
        <w:ind w:left="420" w:hanging="420"/>
        <w:jc w:val="both"/>
        <w:rPr>
          <w:rFonts w:hint="eastAsia" w:ascii="宋体" w:hAnsi="宋体" w:cs="宋体"/>
          <w:sz w:val="24"/>
        </w:rPr>
      </w:pPr>
      <w:r>
        <w:rPr>
          <w:rFonts w:hint="eastAsia" w:ascii="宋体" w:hAnsi="宋体" w:cs="宋体"/>
          <w:sz w:val="24"/>
        </w:rPr>
        <w:t xml:space="preserve">45.网络安全专用产品   </w:t>
      </w:r>
    </w:p>
    <w:p w14:paraId="7F70B52B">
      <w:pPr>
        <w:pStyle w:val="39"/>
        <w:jc w:val="both"/>
        <w:rPr>
          <w:rFonts w:hint="eastAsia"/>
          <w:snapToGrid w:val="0"/>
          <w:lang w:val="en-US"/>
        </w:rPr>
      </w:pPr>
      <w:r>
        <w:rPr>
          <w:rFonts w:hint="eastAsia"/>
          <w:snapToGrid w:val="0"/>
          <w:lang w:val="en-US"/>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21E322B7">
      <w:pPr>
        <w:pStyle w:val="39"/>
        <w:jc w:val="both"/>
        <w:rPr>
          <w:rFonts w:hint="eastAsia"/>
          <w:snapToGrid w:val="0"/>
          <w:lang w:val="en-US"/>
        </w:rPr>
      </w:pPr>
      <w:r>
        <w:rPr>
          <w:rFonts w:hint="eastAsia"/>
          <w:snapToGrid w:val="0"/>
          <w:lang w:val="en-US"/>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21B79622">
      <w:pPr>
        <w:pStyle w:val="6"/>
        <w:keepNext w:val="0"/>
        <w:keepLines w:val="0"/>
        <w:spacing w:before="80" w:after="80" w:line="240" w:lineRule="auto"/>
        <w:ind w:left="420" w:hanging="420"/>
        <w:jc w:val="both"/>
        <w:rPr>
          <w:rFonts w:hint="eastAsia" w:ascii="宋体" w:hAnsi="宋体" w:cs="宋体"/>
          <w:sz w:val="24"/>
        </w:rPr>
      </w:pPr>
      <w:r>
        <w:rPr>
          <w:rFonts w:hint="eastAsia" w:ascii="宋体" w:hAnsi="宋体" w:cs="宋体"/>
          <w:sz w:val="24"/>
        </w:rPr>
        <w:t xml:space="preserve">46.采购需求标准   </w:t>
      </w:r>
    </w:p>
    <w:p w14:paraId="1B074D0D">
      <w:pPr>
        <w:pStyle w:val="39"/>
        <w:jc w:val="both"/>
        <w:rPr>
          <w:rFonts w:hint="eastAsia"/>
          <w:snapToGrid w:val="0"/>
          <w:lang w:val="en-US"/>
        </w:rPr>
      </w:pPr>
      <w:r>
        <w:rPr>
          <w:rFonts w:hint="eastAsia"/>
          <w:snapToGrid w:val="0"/>
          <w:lang w:val="en-US"/>
        </w:rPr>
        <w:t xml:space="preserve">46.1 商品包装、快递包装政府采购需求标准（试行） </w:t>
      </w:r>
    </w:p>
    <w:p w14:paraId="0223B621">
      <w:pPr>
        <w:pStyle w:val="39"/>
        <w:jc w:val="both"/>
        <w:rPr>
          <w:rFonts w:hint="eastAsia"/>
          <w:snapToGrid w:val="0"/>
          <w:lang w:val="en-US"/>
        </w:rPr>
      </w:pPr>
      <w:r>
        <w:rPr>
          <w:rFonts w:hint="eastAsia"/>
          <w:snapToGrid w:val="0"/>
          <w:lang w:val="en-US"/>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2F0ED1A0">
      <w:pPr>
        <w:pStyle w:val="39"/>
        <w:jc w:val="both"/>
        <w:rPr>
          <w:rFonts w:hint="eastAsia"/>
          <w:snapToGrid w:val="0"/>
          <w:lang w:val="en-US"/>
        </w:rPr>
      </w:pPr>
      <w:r>
        <w:rPr>
          <w:rFonts w:hint="eastAsia"/>
          <w:snapToGrid w:val="0"/>
          <w:lang w:val="en-US"/>
        </w:rPr>
        <w:t xml:space="preserve">46.2 绿色数据中心政府采购需求标准（试行） </w:t>
      </w:r>
    </w:p>
    <w:p w14:paraId="668CC576">
      <w:pPr>
        <w:pStyle w:val="39"/>
        <w:jc w:val="both"/>
        <w:rPr>
          <w:rFonts w:hint="eastAsia"/>
          <w:snapToGrid w:val="0"/>
          <w:lang w:val="en-US"/>
        </w:rPr>
      </w:pPr>
      <w:r>
        <w:rPr>
          <w:rFonts w:hint="eastAsia"/>
          <w:snapToGrid w:val="0"/>
          <w:lang w:val="en-US"/>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418024A5">
      <w:pPr>
        <w:pStyle w:val="39"/>
        <w:jc w:val="both"/>
        <w:rPr>
          <w:rFonts w:hint="eastAsia"/>
          <w:snapToGrid w:val="0"/>
          <w:lang w:val="en-US"/>
        </w:rPr>
      </w:pPr>
      <w:r>
        <w:rPr>
          <w:rFonts w:hint="eastAsia"/>
          <w:snapToGrid w:val="0"/>
          <w:lang w:val="en-US"/>
        </w:rPr>
        <w:t>46.3台式计算机政府采购需求标准</w:t>
      </w:r>
    </w:p>
    <w:p w14:paraId="6C0AB38B">
      <w:pPr>
        <w:pStyle w:val="39"/>
        <w:jc w:val="both"/>
        <w:rPr>
          <w:rFonts w:hint="eastAsia"/>
          <w:snapToGrid w:val="0"/>
          <w:lang w:val="en-US"/>
        </w:rPr>
      </w:pPr>
      <w:r>
        <w:rPr>
          <w:rFonts w:hint="eastAsia"/>
          <w:snapToGrid w:val="0"/>
          <w:lang w:val="en-US"/>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7196C105">
      <w:pPr>
        <w:pStyle w:val="39"/>
        <w:jc w:val="both"/>
        <w:rPr>
          <w:rFonts w:hint="eastAsia"/>
          <w:snapToGrid w:val="0"/>
          <w:lang w:val="en-US"/>
        </w:rPr>
      </w:pPr>
      <w:r>
        <w:rPr>
          <w:rFonts w:hint="eastAsia"/>
          <w:snapToGrid w:val="0"/>
          <w:lang w:val="en-US"/>
        </w:rPr>
        <w:t>46.4便携式计算机政府采购需求标准</w:t>
      </w:r>
    </w:p>
    <w:p w14:paraId="3F77E1D1">
      <w:pPr>
        <w:pStyle w:val="39"/>
        <w:jc w:val="both"/>
        <w:rPr>
          <w:rFonts w:hint="eastAsia"/>
          <w:snapToGrid w:val="0"/>
          <w:lang w:val="en-US"/>
        </w:rPr>
      </w:pPr>
      <w:r>
        <w:rPr>
          <w:rFonts w:hint="eastAsia"/>
          <w:snapToGrid w:val="0"/>
          <w:lang w:val="en-US"/>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751ED249">
      <w:pPr>
        <w:pStyle w:val="39"/>
        <w:jc w:val="both"/>
        <w:rPr>
          <w:rFonts w:hint="eastAsia"/>
          <w:snapToGrid w:val="0"/>
          <w:lang w:val="en-US"/>
        </w:rPr>
      </w:pPr>
      <w:r>
        <w:rPr>
          <w:rFonts w:hint="eastAsia"/>
          <w:snapToGrid w:val="0"/>
          <w:lang w:val="en-US"/>
        </w:rPr>
        <w:t>46.5一体式计算机政府采购需求标准</w:t>
      </w:r>
    </w:p>
    <w:p w14:paraId="3A761FAC">
      <w:pPr>
        <w:pStyle w:val="39"/>
        <w:jc w:val="both"/>
        <w:rPr>
          <w:rFonts w:hint="eastAsia"/>
          <w:snapToGrid w:val="0"/>
          <w:lang w:val="en-US"/>
        </w:rPr>
      </w:pPr>
      <w:r>
        <w:rPr>
          <w:rFonts w:hint="eastAsia"/>
          <w:snapToGrid w:val="0"/>
          <w:lang w:val="en-US"/>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60A9EBB7">
      <w:pPr>
        <w:pStyle w:val="39"/>
        <w:jc w:val="both"/>
        <w:rPr>
          <w:rFonts w:hint="eastAsia"/>
          <w:snapToGrid w:val="0"/>
          <w:lang w:val="en-US"/>
        </w:rPr>
      </w:pPr>
      <w:r>
        <w:rPr>
          <w:rFonts w:hint="eastAsia"/>
          <w:snapToGrid w:val="0"/>
          <w:lang w:val="en-US"/>
        </w:rPr>
        <w:t>46.6工作站政府采购需求标准</w:t>
      </w:r>
    </w:p>
    <w:p w14:paraId="71C4AA56">
      <w:pPr>
        <w:pStyle w:val="39"/>
        <w:jc w:val="both"/>
        <w:rPr>
          <w:rFonts w:hint="eastAsia"/>
          <w:snapToGrid w:val="0"/>
          <w:lang w:val="en-US"/>
        </w:rPr>
      </w:pPr>
      <w:r>
        <w:rPr>
          <w:rFonts w:hint="eastAsia"/>
          <w:snapToGrid w:val="0"/>
          <w:lang w:val="en-US"/>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20C7A3CC">
      <w:pPr>
        <w:pStyle w:val="39"/>
        <w:jc w:val="both"/>
        <w:rPr>
          <w:rFonts w:hint="eastAsia"/>
          <w:snapToGrid w:val="0"/>
          <w:lang w:val="en-US"/>
        </w:rPr>
      </w:pPr>
      <w:r>
        <w:rPr>
          <w:rFonts w:hint="eastAsia"/>
          <w:snapToGrid w:val="0"/>
          <w:lang w:val="en-US"/>
        </w:rPr>
        <w:t>46.7通用服务器政府采购需求标准</w:t>
      </w:r>
    </w:p>
    <w:p w14:paraId="25E39B02">
      <w:pPr>
        <w:pStyle w:val="39"/>
        <w:jc w:val="both"/>
        <w:rPr>
          <w:rFonts w:hint="eastAsia"/>
          <w:snapToGrid w:val="0"/>
          <w:lang w:val="en-US"/>
        </w:rPr>
      </w:pPr>
      <w:r>
        <w:rPr>
          <w:rFonts w:hint="eastAsia"/>
          <w:snapToGrid w:val="0"/>
          <w:lang w:val="en-US"/>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27BE63A9">
      <w:pPr>
        <w:pStyle w:val="39"/>
        <w:jc w:val="both"/>
        <w:rPr>
          <w:rFonts w:hint="eastAsia"/>
          <w:snapToGrid w:val="0"/>
          <w:lang w:val="en-US"/>
        </w:rPr>
      </w:pPr>
      <w:r>
        <w:rPr>
          <w:rFonts w:hint="eastAsia"/>
          <w:snapToGrid w:val="0"/>
          <w:lang w:val="en-US"/>
        </w:rPr>
        <w:t>46.8操作系统政府采购需求标准</w:t>
      </w:r>
    </w:p>
    <w:p w14:paraId="4E020C42">
      <w:pPr>
        <w:pStyle w:val="39"/>
        <w:jc w:val="both"/>
        <w:rPr>
          <w:rFonts w:hint="eastAsia"/>
          <w:snapToGrid w:val="0"/>
          <w:lang w:val="en-US"/>
        </w:rPr>
      </w:pPr>
      <w:r>
        <w:rPr>
          <w:rFonts w:hint="eastAsia"/>
          <w:snapToGrid w:val="0"/>
          <w:lang w:val="en-US"/>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3F9D0CDA">
      <w:pPr>
        <w:pStyle w:val="39"/>
        <w:jc w:val="both"/>
        <w:rPr>
          <w:rFonts w:hint="eastAsia"/>
          <w:snapToGrid w:val="0"/>
          <w:lang w:val="en-US"/>
        </w:rPr>
      </w:pPr>
      <w:r>
        <w:rPr>
          <w:rFonts w:hint="eastAsia"/>
          <w:snapToGrid w:val="0"/>
          <w:lang w:val="en-US"/>
        </w:rPr>
        <w:t>46.9数据库政府采购需求标准</w:t>
      </w:r>
    </w:p>
    <w:p w14:paraId="0702EEFA">
      <w:pPr>
        <w:pStyle w:val="39"/>
        <w:jc w:val="both"/>
        <w:rPr>
          <w:rFonts w:hint="eastAsia"/>
          <w:snapToGrid w:val="0"/>
          <w:lang w:val="en-US"/>
        </w:rPr>
      </w:pPr>
      <w:r>
        <w:rPr>
          <w:rFonts w:hint="eastAsia"/>
          <w:snapToGrid w:val="0"/>
          <w:lang w:val="en-US"/>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16968FE4">
      <w:pPr>
        <w:pStyle w:val="39"/>
        <w:jc w:val="both"/>
        <w:rPr>
          <w:rFonts w:hint="eastAsia"/>
          <w:snapToGrid w:val="0"/>
          <w:lang w:val="en-US"/>
        </w:rPr>
      </w:pPr>
      <w:r>
        <w:rPr>
          <w:rFonts w:hint="eastAsia"/>
          <w:snapToGrid w:val="0"/>
          <w:lang w:val="en-US"/>
        </w:rPr>
        <w:t>46.10物业管理服务政府采购需求标准（办公场所类）（试行）</w:t>
      </w:r>
    </w:p>
    <w:p w14:paraId="291AD19B">
      <w:pPr>
        <w:pStyle w:val="39"/>
        <w:jc w:val="both"/>
        <w:rPr>
          <w:rFonts w:hint="eastAsia"/>
          <w:snapToGrid w:val="0"/>
          <w:lang w:val="en-US"/>
        </w:rPr>
      </w:pPr>
      <w:r>
        <w:rPr>
          <w:rFonts w:hint="eastAsia"/>
          <w:snapToGrid w:val="0"/>
          <w:lang w:val="en-US"/>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04E7EE7F">
      <w:pPr>
        <w:pStyle w:val="5"/>
        <w:keepNext w:val="0"/>
        <w:keepLines w:val="0"/>
        <w:spacing w:before="180" w:after="180" w:line="240" w:lineRule="auto"/>
        <w:ind w:left="420" w:hanging="420"/>
        <w:jc w:val="both"/>
        <w:rPr>
          <w:rFonts w:hint="eastAsia" w:cs="宋体"/>
          <w:sz w:val="24"/>
        </w:rPr>
      </w:pPr>
      <w:r>
        <w:rPr>
          <w:rFonts w:hint="eastAsia" w:cs="宋体"/>
          <w:sz w:val="24"/>
        </w:rPr>
        <w:t>（十四）政府采购合同融资政策</w:t>
      </w:r>
      <w:bookmarkEnd w:id="277"/>
      <w:bookmarkEnd w:id="278"/>
      <w:bookmarkEnd w:id="282"/>
    </w:p>
    <w:p w14:paraId="50B520AE">
      <w:pPr>
        <w:pStyle w:val="6"/>
        <w:keepNext w:val="0"/>
        <w:keepLines w:val="0"/>
        <w:spacing w:before="80" w:after="80" w:line="240" w:lineRule="auto"/>
        <w:ind w:left="420" w:hanging="420"/>
        <w:jc w:val="both"/>
        <w:rPr>
          <w:rFonts w:hint="eastAsia" w:ascii="宋体" w:hAnsi="宋体" w:cs="宋体"/>
          <w:sz w:val="24"/>
        </w:rPr>
      </w:pPr>
      <w:bookmarkStart w:id="283" w:name="_Toc163492880"/>
      <w:r>
        <w:rPr>
          <w:rFonts w:hint="eastAsia" w:ascii="宋体" w:hAnsi="宋体" w:cs="宋体"/>
          <w:sz w:val="24"/>
        </w:rPr>
        <w:t>47.政府采购合同融资政策</w:t>
      </w:r>
      <w:bookmarkEnd w:id="283"/>
    </w:p>
    <w:p w14:paraId="4FB382EF">
      <w:pPr>
        <w:pStyle w:val="39"/>
        <w:jc w:val="both"/>
        <w:rPr>
          <w:rFonts w:hint="eastAsia"/>
        </w:rPr>
      </w:pPr>
      <w:r>
        <w:rPr>
          <w:rFonts w:hint="eastAsia"/>
        </w:rPr>
        <w:t>4</w:t>
      </w:r>
      <w:r>
        <w:rPr>
          <w:rFonts w:hint="eastAsia"/>
          <w:lang w:val="en-US"/>
        </w:rPr>
        <w:t>7</w:t>
      </w:r>
      <w:r>
        <w:t>.</w:t>
      </w:r>
      <w:r>
        <w:rPr>
          <w:rFonts w:hint="eastAsia"/>
        </w:rPr>
        <w:t>1政府采购合同融资政策：见投标人须知前附表。</w:t>
      </w:r>
    </w:p>
    <w:p w14:paraId="34B2EEDB">
      <w:pPr>
        <w:pStyle w:val="5"/>
        <w:keepNext w:val="0"/>
        <w:keepLines w:val="0"/>
        <w:spacing w:before="180" w:after="180" w:line="240" w:lineRule="auto"/>
        <w:ind w:left="420" w:hanging="420"/>
        <w:jc w:val="both"/>
        <w:rPr>
          <w:rFonts w:hint="eastAsia" w:cs="宋体"/>
          <w:sz w:val="24"/>
        </w:rPr>
      </w:pPr>
      <w:bookmarkStart w:id="284" w:name="_Toc163492881"/>
      <w:r>
        <w:rPr>
          <w:rFonts w:hint="eastAsia" w:cs="宋体"/>
          <w:sz w:val="24"/>
        </w:rPr>
        <w:t>（十五）其他</w:t>
      </w:r>
      <w:bookmarkEnd w:id="284"/>
    </w:p>
    <w:p w14:paraId="4F820DD7">
      <w:pPr>
        <w:pStyle w:val="6"/>
        <w:keepNext w:val="0"/>
        <w:keepLines w:val="0"/>
        <w:spacing w:before="80" w:after="80" w:line="240" w:lineRule="auto"/>
        <w:ind w:left="420" w:hanging="420"/>
        <w:jc w:val="both"/>
        <w:rPr>
          <w:rFonts w:hint="eastAsia" w:ascii="宋体" w:hAnsi="宋体" w:cs="宋体"/>
          <w:sz w:val="24"/>
        </w:rPr>
      </w:pPr>
      <w:bookmarkStart w:id="285" w:name="_Toc163492882"/>
      <w:r>
        <w:rPr>
          <w:rFonts w:hint="eastAsia" w:ascii="宋体" w:hAnsi="宋体" w:cs="宋体"/>
          <w:sz w:val="24"/>
        </w:rPr>
        <w:t>48.需要补充的其他内容</w:t>
      </w:r>
      <w:bookmarkEnd w:id="285"/>
    </w:p>
    <w:p w14:paraId="4B59D97B">
      <w:pPr>
        <w:pStyle w:val="39"/>
        <w:jc w:val="both"/>
        <w:rPr>
          <w:rFonts w:hint="eastAsia"/>
        </w:rPr>
      </w:pPr>
      <w:r>
        <w:rPr>
          <w:rFonts w:hint="eastAsia"/>
        </w:rPr>
        <w:t>需要补充的其他内容：见投标人须知前附表。</w:t>
      </w:r>
    </w:p>
    <w:p w14:paraId="50F91E7F">
      <w:pPr>
        <w:pStyle w:val="6"/>
        <w:keepNext w:val="0"/>
        <w:keepLines w:val="0"/>
        <w:spacing w:before="80" w:after="80" w:line="240" w:lineRule="auto"/>
        <w:ind w:left="420" w:hanging="420"/>
        <w:jc w:val="both"/>
        <w:rPr>
          <w:rFonts w:hint="eastAsia" w:ascii="宋体" w:hAnsi="宋体" w:cs="宋体"/>
          <w:sz w:val="24"/>
        </w:rPr>
      </w:pPr>
      <w:bookmarkStart w:id="286" w:name="_Toc140132810"/>
      <w:bookmarkStart w:id="287" w:name="_Toc155185886"/>
      <w:bookmarkStart w:id="288" w:name="_Toc163492883"/>
      <w:r>
        <w:rPr>
          <w:rFonts w:hint="eastAsia" w:ascii="宋体" w:hAnsi="宋体" w:cs="宋体"/>
          <w:sz w:val="24"/>
        </w:rPr>
        <w:t>49.适用法律</w:t>
      </w:r>
      <w:bookmarkEnd w:id="286"/>
      <w:bookmarkEnd w:id="287"/>
      <w:bookmarkEnd w:id="288"/>
    </w:p>
    <w:p w14:paraId="0013CDAD">
      <w:pPr>
        <w:pStyle w:val="39"/>
        <w:jc w:val="both"/>
        <w:rPr>
          <w:rFonts w:hint="eastAsia"/>
          <w:snapToGrid w:val="0"/>
        </w:rPr>
      </w:pPr>
      <w:r>
        <w:rPr>
          <w:rFonts w:hint="eastAsia"/>
          <w:snapToGrid w:val="0"/>
          <w:lang w:val="en-US"/>
        </w:rPr>
        <w:t>49</w:t>
      </w:r>
      <w:r>
        <w:rPr>
          <w:snapToGrid w:val="0"/>
        </w:rPr>
        <w:t>.1</w:t>
      </w:r>
      <w:r>
        <w:rPr>
          <w:rFonts w:hint="eastAsia"/>
          <w:snapToGrid w:val="0"/>
        </w:rPr>
        <w:t>采购人、采购代理机构及投标人的一切采购活动均适用《中华人民共和国政府采购法》《中华人民共和国政府采购法实施条例》《政府采购货物和服务招标投标管理办法》（财政部令第87号）及相关法律法规。</w:t>
      </w:r>
    </w:p>
    <w:p w14:paraId="12C609AB">
      <w:pPr>
        <w:pStyle w:val="39"/>
        <w:jc w:val="both"/>
        <w:rPr>
          <w:rFonts w:hint="eastAsia"/>
        </w:rPr>
      </w:pPr>
      <w:r>
        <w:rPr>
          <w:rFonts w:hint="eastAsia"/>
          <w:snapToGrid w:val="0"/>
          <w:lang w:val="en-US"/>
        </w:rPr>
        <w:t>49</w:t>
      </w:r>
      <w:r>
        <w:rPr>
          <w:snapToGrid w:val="0"/>
        </w:rPr>
        <w:t>.2</w:t>
      </w:r>
      <w:r>
        <w:rPr>
          <w:rFonts w:hint="eastAsia"/>
          <w:snapToGrid w:val="0"/>
        </w:rPr>
        <w:t>政府采购合同的履行、违约责任和解决争议的方法等适用《中华人民共和国民法典》。</w:t>
      </w:r>
    </w:p>
    <w:p w14:paraId="526D91DB">
      <w:pPr>
        <w:pStyle w:val="6"/>
        <w:keepNext w:val="0"/>
        <w:keepLines w:val="0"/>
        <w:spacing w:before="80" w:after="80" w:line="240" w:lineRule="auto"/>
        <w:ind w:left="420" w:hanging="420"/>
        <w:jc w:val="both"/>
        <w:rPr>
          <w:rFonts w:hint="eastAsia" w:ascii="宋体" w:hAnsi="宋体" w:cs="宋体"/>
          <w:sz w:val="24"/>
        </w:rPr>
      </w:pPr>
      <w:bookmarkStart w:id="289" w:name="_Toc163492884"/>
      <w:bookmarkStart w:id="290" w:name="_Toc155185887"/>
      <w:r>
        <w:rPr>
          <w:rFonts w:hint="eastAsia" w:ascii="宋体" w:hAnsi="宋体" w:cs="宋体"/>
          <w:sz w:val="24"/>
        </w:rPr>
        <w:t>50.解释权</w:t>
      </w:r>
      <w:bookmarkEnd w:id="289"/>
      <w:bookmarkEnd w:id="290"/>
    </w:p>
    <w:p w14:paraId="5081508C">
      <w:pPr>
        <w:pStyle w:val="39"/>
        <w:jc w:val="both"/>
        <w:rPr>
          <w:rFonts w:hint="eastAsia"/>
          <w:snapToGrid w:val="0"/>
        </w:rPr>
      </w:pPr>
      <w:r>
        <w:rPr>
          <w:rFonts w:hint="eastAsia"/>
          <w:snapToGrid w:val="0"/>
          <w:lang w:val="en-US"/>
        </w:rPr>
        <w:t>50</w:t>
      </w:r>
      <w:r>
        <w:rPr>
          <w:snapToGrid w:val="0"/>
        </w:rPr>
        <w:t>.</w:t>
      </w:r>
      <w:r>
        <w:rPr>
          <w:rFonts w:hint="eastAsia"/>
          <w:snapToGrid w:val="0"/>
        </w:rPr>
        <w:t>1本招标文件最终解释权归采购人或采购代理机构所有。</w:t>
      </w:r>
    </w:p>
    <w:p w14:paraId="0BFBF842">
      <w:pPr>
        <w:rPr>
          <w:rFonts w:hint="eastAsia" w:cs="宋体"/>
          <w:b/>
          <w:bCs/>
          <w:kern w:val="44"/>
          <w:sz w:val="36"/>
          <w:szCs w:val="36"/>
        </w:rPr>
      </w:pPr>
      <w:bookmarkStart w:id="291" w:name="_Toc163492885"/>
      <w:bookmarkStart w:id="292" w:name="_Toc155185888"/>
      <w:r>
        <w:rPr>
          <w:rFonts w:hint="eastAsia" w:cs="宋体"/>
          <w:b/>
          <w:bCs/>
          <w:kern w:val="44"/>
          <w:sz w:val="36"/>
          <w:szCs w:val="36"/>
        </w:rPr>
        <w:br w:type="page"/>
      </w:r>
    </w:p>
    <w:p w14:paraId="5C6FB6F2">
      <w:pPr>
        <w:pStyle w:val="3"/>
        <w:spacing w:before="220" w:after="220" w:line="480" w:lineRule="auto"/>
        <w:ind w:left="420" w:hanging="420"/>
        <w:rPr>
          <w:rFonts w:hint="eastAsia"/>
          <w:snapToGrid w:val="0"/>
          <w:szCs w:val="24"/>
        </w:rPr>
      </w:pPr>
      <w:bookmarkStart w:id="293" w:name="_Toc31805"/>
      <w:r>
        <w:rPr>
          <w:rFonts w:hint="eastAsia" w:eastAsia="宋体" w:cs="宋体"/>
          <w:sz w:val="36"/>
          <w:szCs w:val="36"/>
        </w:rPr>
        <w:t>第三章 采购需求</w:t>
      </w:r>
      <w:bookmarkEnd w:id="291"/>
      <w:bookmarkEnd w:id="292"/>
      <w:bookmarkEnd w:id="293"/>
      <w:bookmarkStart w:id="294" w:name="_Toc163492886"/>
      <w:bookmarkStart w:id="295" w:name="_Toc140132812"/>
      <w:bookmarkStart w:id="296" w:name="_Toc155185889"/>
    </w:p>
    <w:p w14:paraId="44CA39E1">
      <w:pPr>
        <w:pStyle w:val="4"/>
        <w:spacing w:before="60" w:after="60" w:line="360" w:lineRule="auto"/>
        <w:ind w:left="420" w:hanging="420"/>
        <w:rPr>
          <w:rFonts w:hint="eastAsia"/>
        </w:rPr>
      </w:pPr>
      <w:bookmarkStart w:id="297" w:name="_Toc22354"/>
      <w:bookmarkStart w:id="298" w:name="_Toc31469"/>
      <w:bookmarkStart w:id="299" w:name="_Toc31774"/>
      <w:r>
        <w:rPr>
          <w:rFonts w:hint="eastAsia" w:ascii="宋体" w:hAnsi="宋体" w:cs="宋体"/>
          <w:sz w:val="28"/>
          <w:szCs w:val="28"/>
        </w:rPr>
        <w:t>一、软件建设清单</w:t>
      </w:r>
      <w:bookmarkEnd w:id="297"/>
      <w:bookmarkEnd w:id="298"/>
      <w:bookmarkEnd w:id="299"/>
    </w:p>
    <w:tbl>
      <w:tblPr>
        <w:tblStyle w:val="30"/>
        <w:tblW w:w="4997" w:type="pct"/>
        <w:tblInd w:w="0" w:type="dxa"/>
        <w:tblLayout w:type="autofit"/>
        <w:tblCellMar>
          <w:top w:w="0" w:type="dxa"/>
          <w:left w:w="108" w:type="dxa"/>
          <w:bottom w:w="0" w:type="dxa"/>
          <w:right w:w="108" w:type="dxa"/>
        </w:tblCellMar>
      </w:tblPr>
      <w:tblGrid>
        <w:gridCol w:w="509"/>
        <w:gridCol w:w="727"/>
        <w:gridCol w:w="1065"/>
        <w:gridCol w:w="1075"/>
        <w:gridCol w:w="3657"/>
        <w:gridCol w:w="795"/>
        <w:gridCol w:w="689"/>
      </w:tblGrid>
      <w:tr w14:paraId="3BD99D25">
        <w:tblPrEx>
          <w:tblCellMar>
            <w:top w:w="0" w:type="dxa"/>
            <w:left w:w="108" w:type="dxa"/>
            <w:bottom w:w="0" w:type="dxa"/>
            <w:right w:w="108" w:type="dxa"/>
          </w:tblCellMar>
        </w:tblPrEx>
        <w:trPr>
          <w:trHeight w:val="610" w:hRule="atLeast"/>
        </w:trPr>
        <w:tc>
          <w:tcPr>
            <w:tcW w:w="5000" w:type="pct"/>
            <w:gridSpan w:val="7"/>
            <w:tcBorders>
              <w:top w:val="single" w:color="000000" w:sz="4" w:space="0"/>
              <w:left w:val="single" w:color="000000" w:sz="4" w:space="0"/>
              <w:bottom w:val="single" w:color="000000" w:sz="4" w:space="0"/>
              <w:right w:val="single" w:color="000000" w:sz="4" w:space="0"/>
            </w:tcBorders>
            <w:vAlign w:val="center"/>
          </w:tcPr>
          <w:p w14:paraId="1D1B5005">
            <w:pPr>
              <w:widowControl/>
              <w:jc w:val="center"/>
              <w:textAlignment w:val="center"/>
              <w:rPr>
                <w:rFonts w:hint="eastAsia" w:cs="宋体"/>
                <w:b/>
                <w:bCs/>
                <w:color w:val="000000"/>
                <w:kern w:val="0"/>
                <w:sz w:val="18"/>
                <w:szCs w:val="18"/>
                <w:lang w:bidi="ar"/>
              </w:rPr>
            </w:pPr>
            <w:r>
              <w:rPr>
                <w:rFonts w:hint="eastAsia" w:cs="宋体"/>
                <w:b/>
                <w:bCs/>
                <w:color w:val="000000"/>
                <w:kern w:val="0"/>
                <w:sz w:val="18"/>
                <w:szCs w:val="18"/>
                <w:lang w:bidi="ar"/>
              </w:rPr>
              <w:t>软件建设功能清单</w:t>
            </w:r>
          </w:p>
        </w:tc>
      </w:tr>
      <w:tr w14:paraId="2E832637">
        <w:tblPrEx>
          <w:tblCellMar>
            <w:top w:w="0" w:type="dxa"/>
            <w:left w:w="108" w:type="dxa"/>
            <w:bottom w:w="0" w:type="dxa"/>
            <w:right w:w="108" w:type="dxa"/>
          </w:tblCellMar>
        </w:tblPrEx>
        <w:trPr>
          <w:trHeight w:val="610" w:hRule="atLeast"/>
        </w:trPr>
        <w:tc>
          <w:tcPr>
            <w:tcW w:w="299" w:type="pct"/>
            <w:tcBorders>
              <w:top w:val="single" w:color="000000" w:sz="4" w:space="0"/>
              <w:left w:val="single" w:color="000000" w:sz="4" w:space="0"/>
              <w:bottom w:val="single" w:color="000000" w:sz="4" w:space="0"/>
              <w:right w:val="single" w:color="000000" w:sz="4" w:space="0"/>
            </w:tcBorders>
            <w:vAlign w:val="center"/>
          </w:tcPr>
          <w:p w14:paraId="266E594D">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序号</w:t>
            </w:r>
          </w:p>
        </w:tc>
        <w:tc>
          <w:tcPr>
            <w:tcW w:w="427" w:type="pct"/>
            <w:tcBorders>
              <w:top w:val="single" w:color="000000" w:sz="4" w:space="0"/>
              <w:left w:val="single" w:color="000000" w:sz="4" w:space="0"/>
              <w:bottom w:val="single" w:color="000000" w:sz="4" w:space="0"/>
              <w:right w:val="single" w:color="000000" w:sz="4" w:space="0"/>
            </w:tcBorders>
            <w:vAlign w:val="center"/>
          </w:tcPr>
          <w:p w14:paraId="7264B609">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一级模块</w:t>
            </w:r>
          </w:p>
        </w:tc>
        <w:tc>
          <w:tcPr>
            <w:tcW w:w="625" w:type="pct"/>
            <w:tcBorders>
              <w:top w:val="single" w:color="000000" w:sz="4" w:space="0"/>
              <w:left w:val="single" w:color="000000" w:sz="4" w:space="0"/>
              <w:bottom w:val="single" w:color="000000" w:sz="4" w:space="0"/>
              <w:right w:val="single" w:color="000000" w:sz="4" w:space="0"/>
            </w:tcBorders>
            <w:vAlign w:val="center"/>
          </w:tcPr>
          <w:p w14:paraId="1CA87A06">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二级子模块/核心功能</w:t>
            </w:r>
          </w:p>
        </w:tc>
        <w:tc>
          <w:tcPr>
            <w:tcW w:w="630" w:type="pct"/>
            <w:tcBorders>
              <w:top w:val="single" w:color="000000" w:sz="4" w:space="0"/>
              <w:left w:val="single" w:color="000000" w:sz="4" w:space="0"/>
              <w:bottom w:val="single" w:color="000000" w:sz="4" w:space="0"/>
              <w:right w:val="single" w:color="000000" w:sz="4" w:space="0"/>
            </w:tcBorders>
            <w:vAlign w:val="center"/>
          </w:tcPr>
          <w:p w14:paraId="065DEA50">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三级子模块/核心功能</w:t>
            </w:r>
          </w:p>
        </w:tc>
        <w:tc>
          <w:tcPr>
            <w:tcW w:w="2147" w:type="pct"/>
            <w:tcBorders>
              <w:top w:val="single" w:color="000000" w:sz="4" w:space="0"/>
              <w:left w:val="single" w:color="000000" w:sz="4" w:space="0"/>
              <w:bottom w:val="single" w:color="000000" w:sz="4" w:space="0"/>
              <w:right w:val="single" w:color="000000" w:sz="4" w:space="0"/>
            </w:tcBorders>
            <w:vAlign w:val="center"/>
          </w:tcPr>
          <w:p w14:paraId="5BF2A008">
            <w:pPr>
              <w:widowControl/>
              <w:textAlignment w:val="center"/>
              <w:rPr>
                <w:rFonts w:hint="eastAsia" w:cs="宋体"/>
                <w:b/>
                <w:bCs/>
                <w:color w:val="000000"/>
                <w:sz w:val="18"/>
                <w:szCs w:val="18"/>
              </w:rPr>
            </w:pPr>
            <w:r>
              <w:rPr>
                <w:rFonts w:hint="eastAsia" w:cs="宋体"/>
                <w:b/>
                <w:bCs/>
                <w:color w:val="000000"/>
                <w:kern w:val="0"/>
                <w:sz w:val="18"/>
                <w:szCs w:val="18"/>
                <w:lang w:bidi="ar"/>
              </w:rPr>
              <w:t>功能简要说明</w:t>
            </w:r>
          </w:p>
        </w:tc>
        <w:tc>
          <w:tcPr>
            <w:tcW w:w="467" w:type="pct"/>
            <w:tcBorders>
              <w:top w:val="single" w:color="000000" w:sz="4" w:space="0"/>
              <w:left w:val="single" w:color="000000" w:sz="4" w:space="0"/>
              <w:bottom w:val="single" w:color="000000" w:sz="4" w:space="0"/>
              <w:right w:val="single" w:color="000000" w:sz="4" w:space="0"/>
            </w:tcBorders>
            <w:vAlign w:val="center"/>
          </w:tcPr>
          <w:p w14:paraId="05F229C1">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单位</w:t>
            </w:r>
          </w:p>
        </w:tc>
        <w:tc>
          <w:tcPr>
            <w:tcW w:w="401" w:type="pct"/>
            <w:tcBorders>
              <w:top w:val="single" w:color="000000" w:sz="4" w:space="0"/>
              <w:left w:val="single" w:color="000000" w:sz="4" w:space="0"/>
              <w:bottom w:val="single" w:color="000000" w:sz="4" w:space="0"/>
              <w:right w:val="single" w:color="000000" w:sz="4" w:space="0"/>
            </w:tcBorders>
            <w:vAlign w:val="center"/>
          </w:tcPr>
          <w:p w14:paraId="3638723C">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数量</w:t>
            </w:r>
          </w:p>
        </w:tc>
      </w:tr>
      <w:tr w14:paraId="654978D5">
        <w:tblPrEx>
          <w:tblCellMar>
            <w:top w:w="0" w:type="dxa"/>
            <w:left w:w="108" w:type="dxa"/>
            <w:bottom w:w="0" w:type="dxa"/>
            <w:right w:w="108" w:type="dxa"/>
          </w:tblCellMar>
        </w:tblPrEx>
        <w:trPr>
          <w:trHeight w:val="30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14:paraId="785DCB38">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一</w:t>
            </w:r>
          </w:p>
        </w:tc>
        <w:tc>
          <w:tcPr>
            <w:tcW w:w="1683" w:type="pct"/>
            <w:gridSpan w:val="3"/>
            <w:tcBorders>
              <w:top w:val="single" w:color="000000" w:sz="4" w:space="0"/>
              <w:left w:val="single" w:color="000000" w:sz="4" w:space="0"/>
              <w:bottom w:val="single" w:color="000000" w:sz="4" w:space="0"/>
              <w:right w:val="single" w:color="000000" w:sz="4" w:space="0"/>
            </w:tcBorders>
            <w:vAlign w:val="center"/>
          </w:tcPr>
          <w:p w14:paraId="414A08DF">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视频监控系统升级</w:t>
            </w:r>
          </w:p>
        </w:tc>
        <w:tc>
          <w:tcPr>
            <w:tcW w:w="2147" w:type="pct"/>
            <w:tcBorders>
              <w:top w:val="single" w:color="000000" w:sz="4" w:space="0"/>
              <w:left w:val="single" w:color="000000" w:sz="4" w:space="0"/>
              <w:bottom w:val="single" w:color="000000" w:sz="4" w:space="0"/>
              <w:right w:val="single" w:color="000000" w:sz="4" w:space="0"/>
            </w:tcBorders>
            <w:vAlign w:val="center"/>
          </w:tcPr>
          <w:p w14:paraId="504331A5">
            <w:pPr>
              <w:rPr>
                <w:rFonts w:hint="eastAsia" w:cs="宋体"/>
                <w:color w:val="000000"/>
                <w:sz w:val="18"/>
                <w:szCs w:val="18"/>
              </w:rPr>
            </w:pPr>
          </w:p>
        </w:tc>
        <w:tc>
          <w:tcPr>
            <w:tcW w:w="467" w:type="pct"/>
            <w:tcBorders>
              <w:top w:val="single" w:color="000000" w:sz="4" w:space="0"/>
              <w:left w:val="single" w:color="000000" w:sz="4" w:space="0"/>
              <w:bottom w:val="single" w:color="000000" w:sz="4" w:space="0"/>
              <w:right w:val="single" w:color="000000" w:sz="4" w:space="0"/>
            </w:tcBorders>
            <w:vAlign w:val="center"/>
          </w:tcPr>
          <w:p w14:paraId="3CD47097">
            <w:pPr>
              <w:jc w:val="center"/>
              <w:rPr>
                <w:rFonts w:hint="eastAsia" w:cs="宋体"/>
                <w:color w:val="000000"/>
                <w:sz w:val="18"/>
                <w:szCs w:val="18"/>
              </w:rPr>
            </w:pPr>
          </w:p>
        </w:tc>
        <w:tc>
          <w:tcPr>
            <w:tcW w:w="401" w:type="pct"/>
            <w:tcBorders>
              <w:top w:val="single" w:color="000000" w:sz="4" w:space="0"/>
              <w:left w:val="single" w:color="000000" w:sz="4" w:space="0"/>
              <w:bottom w:val="single" w:color="000000" w:sz="4" w:space="0"/>
              <w:right w:val="single" w:color="000000" w:sz="4" w:space="0"/>
            </w:tcBorders>
            <w:vAlign w:val="center"/>
          </w:tcPr>
          <w:p w14:paraId="3CF02F0A">
            <w:pPr>
              <w:jc w:val="center"/>
              <w:rPr>
                <w:rFonts w:hint="eastAsia" w:cs="宋体"/>
                <w:color w:val="000000"/>
                <w:sz w:val="18"/>
                <w:szCs w:val="18"/>
              </w:rPr>
            </w:pPr>
          </w:p>
        </w:tc>
      </w:tr>
      <w:tr w14:paraId="2C500889">
        <w:tblPrEx>
          <w:tblCellMar>
            <w:top w:w="0" w:type="dxa"/>
            <w:left w:w="108" w:type="dxa"/>
            <w:bottom w:w="0" w:type="dxa"/>
            <w:right w:w="108" w:type="dxa"/>
          </w:tblCellMar>
        </w:tblPrEx>
        <w:trPr>
          <w:trHeight w:val="30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14:paraId="4EAD7A4A">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c>
          <w:tcPr>
            <w:tcW w:w="427" w:type="pct"/>
            <w:vMerge w:val="restart"/>
            <w:tcBorders>
              <w:top w:val="single" w:color="000000" w:sz="4" w:space="0"/>
              <w:left w:val="single" w:color="000000" w:sz="4" w:space="0"/>
              <w:bottom w:val="single" w:color="000000" w:sz="4" w:space="0"/>
              <w:right w:val="single" w:color="000000" w:sz="4" w:space="0"/>
            </w:tcBorders>
            <w:vAlign w:val="center"/>
          </w:tcPr>
          <w:p w14:paraId="70394CD6">
            <w:pPr>
              <w:widowControl/>
              <w:jc w:val="center"/>
              <w:textAlignment w:val="center"/>
              <w:rPr>
                <w:rFonts w:hint="eastAsia" w:cs="宋体"/>
                <w:color w:val="000000"/>
                <w:sz w:val="18"/>
                <w:szCs w:val="18"/>
              </w:rPr>
            </w:pPr>
            <w:r>
              <w:rPr>
                <w:rFonts w:hint="eastAsia" w:cs="宋体"/>
                <w:color w:val="000000"/>
                <w:kern w:val="0"/>
                <w:sz w:val="18"/>
                <w:szCs w:val="18"/>
                <w:lang w:bidi="ar"/>
              </w:rPr>
              <w:t>视频监控系统升级</w:t>
            </w:r>
          </w:p>
        </w:tc>
        <w:tc>
          <w:tcPr>
            <w:tcW w:w="625" w:type="pct"/>
            <w:tcBorders>
              <w:top w:val="single" w:color="000000" w:sz="4" w:space="0"/>
              <w:left w:val="single" w:color="000000" w:sz="4" w:space="0"/>
              <w:bottom w:val="single" w:color="000000" w:sz="4" w:space="0"/>
              <w:right w:val="single" w:color="000000" w:sz="4" w:space="0"/>
            </w:tcBorders>
            <w:vAlign w:val="center"/>
          </w:tcPr>
          <w:p w14:paraId="6145936B">
            <w:pPr>
              <w:widowControl/>
              <w:jc w:val="center"/>
              <w:textAlignment w:val="center"/>
              <w:rPr>
                <w:rFonts w:hint="eastAsia" w:cs="宋体"/>
                <w:color w:val="000000"/>
                <w:sz w:val="18"/>
                <w:szCs w:val="18"/>
              </w:rPr>
            </w:pPr>
            <w:r>
              <w:rPr>
                <w:rFonts w:hint="eastAsia" w:cs="宋体"/>
                <w:color w:val="000000"/>
                <w:kern w:val="0"/>
                <w:sz w:val="18"/>
                <w:szCs w:val="18"/>
                <w:lang w:bidi="ar"/>
              </w:rPr>
              <w:t>森林防火应用基础版本</w:t>
            </w:r>
          </w:p>
        </w:tc>
        <w:tc>
          <w:tcPr>
            <w:tcW w:w="630" w:type="pct"/>
            <w:tcBorders>
              <w:top w:val="single" w:color="000000" w:sz="4" w:space="0"/>
              <w:left w:val="single" w:color="000000" w:sz="4" w:space="0"/>
              <w:bottom w:val="single" w:color="000000" w:sz="4" w:space="0"/>
              <w:right w:val="single" w:color="000000" w:sz="4" w:space="0"/>
            </w:tcBorders>
            <w:vAlign w:val="center"/>
          </w:tcPr>
          <w:p w14:paraId="45355C71">
            <w:pPr>
              <w:jc w:val="center"/>
              <w:rPr>
                <w:rFonts w:hint="eastAsia" w:cs="宋体"/>
                <w:color w:val="000000"/>
                <w:sz w:val="18"/>
                <w:szCs w:val="18"/>
              </w:rPr>
            </w:pPr>
          </w:p>
        </w:tc>
        <w:tc>
          <w:tcPr>
            <w:tcW w:w="2147" w:type="pct"/>
            <w:tcBorders>
              <w:top w:val="single" w:color="000000" w:sz="4" w:space="0"/>
              <w:left w:val="single" w:color="000000" w:sz="4" w:space="0"/>
              <w:bottom w:val="single" w:color="000000" w:sz="4" w:space="0"/>
              <w:right w:val="single" w:color="000000" w:sz="4" w:space="0"/>
            </w:tcBorders>
            <w:vAlign w:val="center"/>
          </w:tcPr>
          <w:p w14:paraId="2B283C76">
            <w:pPr>
              <w:widowControl/>
              <w:textAlignment w:val="center"/>
              <w:rPr>
                <w:rFonts w:hint="eastAsia" w:cs="宋体"/>
                <w:color w:val="000000"/>
                <w:sz w:val="18"/>
                <w:szCs w:val="18"/>
              </w:rPr>
            </w:pPr>
            <w:r>
              <w:rPr>
                <w:rFonts w:hint="eastAsia" w:cs="宋体"/>
                <w:color w:val="000000"/>
                <w:kern w:val="0"/>
                <w:sz w:val="18"/>
                <w:szCs w:val="18"/>
                <w:lang w:bidi="ar"/>
              </w:rPr>
              <w:t>已列表的形式展示接入的热成像云台设备产生的火情告警信息</w:t>
            </w:r>
          </w:p>
        </w:tc>
        <w:tc>
          <w:tcPr>
            <w:tcW w:w="467" w:type="pct"/>
            <w:tcBorders>
              <w:top w:val="single" w:color="000000" w:sz="4" w:space="0"/>
              <w:left w:val="single" w:color="000000" w:sz="4" w:space="0"/>
              <w:bottom w:val="single" w:color="000000" w:sz="4" w:space="0"/>
              <w:right w:val="single" w:color="000000" w:sz="4" w:space="0"/>
            </w:tcBorders>
            <w:vAlign w:val="center"/>
          </w:tcPr>
          <w:p w14:paraId="41A43370">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401" w:type="pct"/>
            <w:tcBorders>
              <w:top w:val="single" w:color="000000" w:sz="4" w:space="0"/>
              <w:left w:val="single" w:color="000000" w:sz="4" w:space="0"/>
              <w:bottom w:val="single" w:color="000000" w:sz="4" w:space="0"/>
              <w:right w:val="single" w:color="000000" w:sz="4" w:space="0"/>
            </w:tcBorders>
            <w:vAlign w:val="center"/>
          </w:tcPr>
          <w:p w14:paraId="53562ED8">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76DB797F">
        <w:tblPrEx>
          <w:tblCellMar>
            <w:top w:w="0" w:type="dxa"/>
            <w:left w:w="108" w:type="dxa"/>
            <w:bottom w:w="0" w:type="dxa"/>
            <w:right w:w="108" w:type="dxa"/>
          </w:tblCellMar>
        </w:tblPrEx>
        <w:trPr>
          <w:trHeight w:val="30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14:paraId="1564311C">
            <w:pPr>
              <w:widowControl/>
              <w:jc w:val="center"/>
              <w:textAlignment w:val="center"/>
              <w:rPr>
                <w:rFonts w:hint="eastAsia" w:cs="宋体"/>
                <w:color w:val="000000"/>
                <w:sz w:val="18"/>
                <w:szCs w:val="18"/>
              </w:rPr>
            </w:pPr>
            <w:r>
              <w:rPr>
                <w:rFonts w:hint="eastAsia" w:cs="宋体"/>
                <w:color w:val="000000"/>
                <w:kern w:val="0"/>
                <w:sz w:val="18"/>
                <w:szCs w:val="18"/>
                <w:lang w:bidi="ar"/>
              </w:rPr>
              <w:t>2</w:t>
            </w:r>
          </w:p>
        </w:tc>
        <w:tc>
          <w:tcPr>
            <w:tcW w:w="427" w:type="pct"/>
            <w:vMerge w:val="continue"/>
            <w:tcBorders>
              <w:top w:val="single" w:color="000000" w:sz="4" w:space="0"/>
              <w:left w:val="single" w:color="000000" w:sz="4" w:space="0"/>
              <w:bottom w:val="single" w:color="000000" w:sz="4" w:space="0"/>
              <w:right w:val="single" w:color="000000" w:sz="4" w:space="0"/>
            </w:tcBorders>
            <w:vAlign w:val="center"/>
          </w:tcPr>
          <w:p w14:paraId="3FBCC1A2">
            <w:pPr>
              <w:jc w:val="center"/>
              <w:rPr>
                <w:rFonts w:hint="eastAsia" w:cs="宋体"/>
                <w:color w:val="000000"/>
                <w:sz w:val="18"/>
                <w:szCs w:val="18"/>
              </w:rPr>
            </w:pPr>
          </w:p>
        </w:tc>
        <w:tc>
          <w:tcPr>
            <w:tcW w:w="625" w:type="pct"/>
            <w:tcBorders>
              <w:top w:val="single" w:color="000000" w:sz="4" w:space="0"/>
              <w:left w:val="single" w:color="000000" w:sz="4" w:space="0"/>
              <w:bottom w:val="single" w:color="000000" w:sz="4" w:space="0"/>
              <w:right w:val="single" w:color="000000" w:sz="4" w:space="0"/>
            </w:tcBorders>
            <w:vAlign w:val="center"/>
          </w:tcPr>
          <w:p w14:paraId="475D421C">
            <w:pPr>
              <w:widowControl/>
              <w:jc w:val="center"/>
              <w:textAlignment w:val="center"/>
              <w:rPr>
                <w:rFonts w:hint="eastAsia" w:cs="宋体"/>
                <w:color w:val="000000"/>
                <w:sz w:val="18"/>
                <w:szCs w:val="18"/>
              </w:rPr>
            </w:pPr>
            <w:r>
              <w:rPr>
                <w:rFonts w:hint="eastAsia" w:cs="宋体"/>
                <w:color w:val="000000"/>
                <w:kern w:val="0"/>
                <w:sz w:val="18"/>
                <w:szCs w:val="18"/>
                <w:lang w:bidi="ar"/>
              </w:rPr>
              <w:t>火情视频定位</w:t>
            </w:r>
          </w:p>
        </w:tc>
        <w:tc>
          <w:tcPr>
            <w:tcW w:w="630" w:type="pct"/>
            <w:tcBorders>
              <w:top w:val="single" w:color="000000" w:sz="4" w:space="0"/>
              <w:left w:val="single" w:color="000000" w:sz="4" w:space="0"/>
              <w:bottom w:val="single" w:color="000000" w:sz="4" w:space="0"/>
              <w:right w:val="single" w:color="000000" w:sz="4" w:space="0"/>
            </w:tcBorders>
            <w:vAlign w:val="center"/>
          </w:tcPr>
          <w:p w14:paraId="5FBE1957">
            <w:pPr>
              <w:jc w:val="center"/>
              <w:rPr>
                <w:rFonts w:hint="eastAsia" w:cs="宋体"/>
                <w:color w:val="000000"/>
                <w:sz w:val="18"/>
                <w:szCs w:val="18"/>
              </w:rPr>
            </w:pPr>
          </w:p>
        </w:tc>
        <w:tc>
          <w:tcPr>
            <w:tcW w:w="2147" w:type="pct"/>
            <w:tcBorders>
              <w:top w:val="single" w:color="000000" w:sz="4" w:space="0"/>
              <w:left w:val="single" w:color="000000" w:sz="4" w:space="0"/>
              <w:bottom w:val="single" w:color="000000" w:sz="4" w:space="0"/>
              <w:right w:val="single" w:color="000000" w:sz="4" w:space="0"/>
            </w:tcBorders>
            <w:vAlign w:val="center"/>
          </w:tcPr>
          <w:p w14:paraId="1ADF1166">
            <w:pPr>
              <w:widowControl/>
              <w:textAlignment w:val="center"/>
              <w:rPr>
                <w:rFonts w:hint="eastAsia" w:cs="宋体"/>
                <w:color w:val="000000"/>
                <w:sz w:val="18"/>
                <w:szCs w:val="18"/>
              </w:rPr>
            </w:pPr>
            <w:r>
              <w:rPr>
                <w:rFonts w:hint="eastAsia" w:cs="宋体"/>
                <w:color w:val="000000"/>
                <w:kern w:val="0"/>
                <w:sz w:val="18"/>
                <w:szCs w:val="18"/>
                <w:lang w:bidi="ar"/>
              </w:rPr>
              <w:t>通过视频定位技术实现火点在地图上的定位展示，同时提供标定工具，通过现场标定可提高定位精度。支持通过设备返回的PTZ、DEM数据等参数，结合视频空间定位技术实现火情在地图上进行坐标定位。</w:t>
            </w:r>
          </w:p>
        </w:tc>
        <w:tc>
          <w:tcPr>
            <w:tcW w:w="467" w:type="pct"/>
            <w:tcBorders>
              <w:top w:val="single" w:color="000000" w:sz="4" w:space="0"/>
              <w:left w:val="single" w:color="000000" w:sz="4" w:space="0"/>
              <w:bottom w:val="single" w:color="000000" w:sz="4" w:space="0"/>
              <w:right w:val="single" w:color="000000" w:sz="4" w:space="0"/>
            </w:tcBorders>
            <w:vAlign w:val="center"/>
          </w:tcPr>
          <w:p w14:paraId="7AAB3404">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401" w:type="pct"/>
            <w:tcBorders>
              <w:top w:val="single" w:color="000000" w:sz="4" w:space="0"/>
              <w:left w:val="single" w:color="000000" w:sz="4" w:space="0"/>
              <w:bottom w:val="single" w:color="000000" w:sz="4" w:space="0"/>
              <w:right w:val="single" w:color="000000" w:sz="4" w:space="0"/>
            </w:tcBorders>
            <w:vAlign w:val="center"/>
          </w:tcPr>
          <w:p w14:paraId="14F785FA">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0510ADA8">
        <w:tblPrEx>
          <w:tblCellMar>
            <w:top w:w="0" w:type="dxa"/>
            <w:left w:w="108" w:type="dxa"/>
            <w:bottom w:w="0" w:type="dxa"/>
            <w:right w:w="108" w:type="dxa"/>
          </w:tblCellMar>
        </w:tblPrEx>
        <w:trPr>
          <w:trHeight w:val="30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14:paraId="5CD0E762">
            <w:pPr>
              <w:widowControl/>
              <w:jc w:val="center"/>
              <w:textAlignment w:val="center"/>
              <w:rPr>
                <w:rFonts w:hint="eastAsia" w:cs="宋体"/>
                <w:color w:val="000000"/>
                <w:sz w:val="18"/>
                <w:szCs w:val="18"/>
              </w:rPr>
            </w:pPr>
            <w:r>
              <w:rPr>
                <w:rFonts w:hint="eastAsia" w:cs="宋体"/>
                <w:color w:val="000000"/>
                <w:kern w:val="0"/>
                <w:sz w:val="18"/>
                <w:szCs w:val="18"/>
                <w:lang w:bidi="ar"/>
              </w:rPr>
              <w:t>3</w:t>
            </w:r>
          </w:p>
        </w:tc>
        <w:tc>
          <w:tcPr>
            <w:tcW w:w="427" w:type="pct"/>
            <w:vMerge w:val="continue"/>
            <w:tcBorders>
              <w:top w:val="single" w:color="000000" w:sz="4" w:space="0"/>
              <w:left w:val="single" w:color="000000" w:sz="4" w:space="0"/>
              <w:bottom w:val="single" w:color="000000" w:sz="4" w:space="0"/>
              <w:right w:val="single" w:color="000000" w:sz="4" w:space="0"/>
            </w:tcBorders>
            <w:vAlign w:val="center"/>
          </w:tcPr>
          <w:p w14:paraId="55498A52">
            <w:pPr>
              <w:jc w:val="center"/>
              <w:rPr>
                <w:rFonts w:hint="eastAsia" w:cs="宋体"/>
                <w:color w:val="000000"/>
                <w:sz w:val="18"/>
                <w:szCs w:val="18"/>
              </w:rPr>
            </w:pPr>
          </w:p>
        </w:tc>
        <w:tc>
          <w:tcPr>
            <w:tcW w:w="625" w:type="pct"/>
            <w:tcBorders>
              <w:top w:val="single" w:color="000000" w:sz="4" w:space="0"/>
              <w:left w:val="single" w:color="000000" w:sz="4" w:space="0"/>
              <w:bottom w:val="single" w:color="000000" w:sz="4" w:space="0"/>
              <w:right w:val="single" w:color="000000" w:sz="4" w:space="0"/>
            </w:tcBorders>
            <w:vAlign w:val="center"/>
          </w:tcPr>
          <w:p w14:paraId="014C3EF7">
            <w:pPr>
              <w:widowControl/>
              <w:jc w:val="center"/>
              <w:textAlignment w:val="center"/>
              <w:rPr>
                <w:rFonts w:hint="eastAsia" w:cs="宋体"/>
                <w:color w:val="000000"/>
                <w:sz w:val="18"/>
                <w:szCs w:val="18"/>
              </w:rPr>
            </w:pPr>
            <w:r>
              <w:rPr>
                <w:rFonts w:hint="eastAsia" w:cs="宋体"/>
                <w:color w:val="000000"/>
                <w:kern w:val="0"/>
                <w:sz w:val="18"/>
                <w:szCs w:val="18"/>
                <w:lang w:bidi="ar"/>
              </w:rPr>
              <w:t>道路卡口应用</w:t>
            </w:r>
          </w:p>
        </w:tc>
        <w:tc>
          <w:tcPr>
            <w:tcW w:w="630" w:type="pct"/>
            <w:tcBorders>
              <w:top w:val="single" w:color="000000" w:sz="4" w:space="0"/>
              <w:left w:val="single" w:color="000000" w:sz="4" w:space="0"/>
              <w:bottom w:val="single" w:color="000000" w:sz="4" w:space="0"/>
              <w:right w:val="single" w:color="000000" w:sz="4" w:space="0"/>
            </w:tcBorders>
            <w:vAlign w:val="center"/>
          </w:tcPr>
          <w:p w14:paraId="65182EAB">
            <w:pPr>
              <w:jc w:val="center"/>
              <w:rPr>
                <w:rFonts w:hint="eastAsia" w:cs="宋体"/>
                <w:color w:val="000000"/>
                <w:sz w:val="18"/>
                <w:szCs w:val="18"/>
              </w:rPr>
            </w:pPr>
          </w:p>
        </w:tc>
        <w:tc>
          <w:tcPr>
            <w:tcW w:w="2147" w:type="pct"/>
            <w:tcBorders>
              <w:top w:val="single" w:color="000000" w:sz="4" w:space="0"/>
              <w:left w:val="single" w:color="000000" w:sz="4" w:space="0"/>
              <w:bottom w:val="single" w:color="000000" w:sz="4" w:space="0"/>
              <w:right w:val="single" w:color="000000" w:sz="4" w:space="0"/>
            </w:tcBorders>
            <w:vAlign w:val="center"/>
          </w:tcPr>
          <w:p w14:paraId="6BC34504">
            <w:pPr>
              <w:widowControl/>
              <w:textAlignment w:val="center"/>
              <w:rPr>
                <w:rFonts w:hint="eastAsia" w:cs="宋体"/>
                <w:color w:val="000000"/>
                <w:sz w:val="18"/>
                <w:szCs w:val="18"/>
              </w:rPr>
            </w:pPr>
            <w:r>
              <w:rPr>
                <w:rFonts w:hint="eastAsia" w:cs="宋体"/>
                <w:color w:val="000000"/>
                <w:kern w:val="0"/>
                <w:sz w:val="18"/>
                <w:szCs w:val="18"/>
                <w:lang w:bidi="ar"/>
              </w:rPr>
              <w:t>支持道路车辆的抓拍识别，包含车牌号码、车牌类型、车牌颜色、车辆类型、车辆颜色、车辆品牌等属性识别，并提供车辆管控能力和车辆行驶运行轨迹信息。</w:t>
            </w:r>
          </w:p>
        </w:tc>
        <w:tc>
          <w:tcPr>
            <w:tcW w:w="467" w:type="pct"/>
            <w:tcBorders>
              <w:top w:val="single" w:color="000000" w:sz="4" w:space="0"/>
              <w:left w:val="single" w:color="000000" w:sz="4" w:space="0"/>
              <w:bottom w:val="single" w:color="000000" w:sz="4" w:space="0"/>
              <w:right w:val="single" w:color="000000" w:sz="4" w:space="0"/>
            </w:tcBorders>
            <w:vAlign w:val="center"/>
          </w:tcPr>
          <w:p w14:paraId="3D3B892A">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401" w:type="pct"/>
            <w:tcBorders>
              <w:top w:val="single" w:color="000000" w:sz="4" w:space="0"/>
              <w:left w:val="single" w:color="000000" w:sz="4" w:space="0"/>
              <w:bottom w:val="single" w:color="000000" w:sz="4" w:space="0"/>
              <w:right w:val="single" w:color="000000" w:sz="4" w:space="0"/>
            </w:tcBorders>
            <w:vAlign w:val="center"/>
          </w:tcPr>
          <w:p w14:paraId="3009DA83">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1CD50F3D">
        <w:tblPrEx>
          <w:tblCellMar>
            <w:top w:w="0" w:type="dxa"/>
            <w:left w:w="108" w:type="dxa"/>
            <w:bottom w:w="0" w:type="dxa"/>
            <w:right w:w="108" w:type="dxa"/>
          </w:tblCellMar>
        </w:tblPrEx>
        <w:trPr>
          <w:trHeight w:val="30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14:paraId="6BE2C63E">
            <w:pPr>
              <w:widowControl/>
              <w:jc w:val="center"/>
              <w:textAlignment w:val="center"/>
              <w:rPr>
                <w:rFonts w:hint="eastAsia" w:cs="宋体"/>
                <w:color w:val="000000"/>
                <w:sz w:val="18"/>
                <w:szCs w:val="18"/>
              </w:rPr>
            </w:pPr>
            <w:r>
              <w:rPr>
                <w:rFonts w:hint="eastAsia" w:cs="宋体"/>
                <w:color w:val="000000"/>
                <w:kern w:val="0"/>
                <w:sz w:val="18"/>
                <w:szCs w:val="18"/>
                <w:lang w:bidi="ar"/>
              </w:rPr>
              <w:t>4</w:t>
            </w:r>
          </w:p>
        </w:tc>
        <w:tc>
          <w:tcPr>
            <w:tcW w:w="427" w:type="pct"/>
            <w:vMerge w:val="continue"/>
            <w:tcBorders>
              <w:top w:val="single" w:color="000000" w:sz="4" w:space="0"/>
              <w:left w:val="single" w:color="000000" w:sz="4" w:space="0"/>
              <w:bottom w:val="single" w:color="000000" w:sz="4" w:space="0"/>
              <w:right w:val="single" w:color="000000" w:sz="4" w:space="0"/>
            </w:tcBorders>
            <w:vAlign w:val="center"/>
          </w:tcPr>
          <w:p w14:paraId="75DC2BE9">
            <w:pPr>
              <w:jc w:val="center"/>
              <w:rPr>
                <w:rFonts w:hint="eastAsia" w:cs="宋体"/>
                <w:color w:val="000000"/>
                <w:sz w:val="18"/>
                <w:szCs w:val="18"/>
              </w:rPr>
            </w:pPr>
          </w:p>
        </w:tc>
        <w:tc>
          <w:tcPr>
            <w:tcW w:w="625" w:type="pct"/>
            <w:tcBorders>
              <w:top w:val="single" w:color="000000" w:sz="4" w:space="0"/>
              <w:left w:val="single" w:color="000000" w:sz="4" w:space="0"/>
              <w:bottom w:val="single" w:color="000000" w:sz="4" w:space="0"/>
              <w:right w:val="single" w:color="000000" w:sz="4" w:space="0"/>
            </w:tcBorders>
            <w:vAlign w:val="center"/>
          </w:tcPr>
          <w:p w14:paraId="1A8D7F5C">
            <w:pPr>
              <w:widowControl/>
              <w:jc w:val="center"/>
              <w:textAlignment w:val="center"/>
              <w:rPr>
                <w:rFonts w:hint="eastAsia" w:cs="宋体"/>
                <w:color w:val="000000"/>
                <w:sz w:val="18"/>
                <w:szCs w:val="18"/>
              </w:rPr>
            </w:pPr>
            <w:r>
              <w:rPr>
                <w:rFonts w:hint="eastAsia" w:cs="宋体"/>
                <w:color w:val="000000"/>
                <w:kern w:val="0"/>
                <w:sz w:val="18"/>
                <w:szCs w:val="18"/>
                <w:lang w:bidi="ar"/>
              </w:rPr>
              <w:t>视频网络管理</w:t>
            </w:r>
          </w:p>
        </w:tc>
        <w:tc>
          <w:tcPr>
            <w:tcW w:w="630" w:type="pct"/>
            <w:tcBorders>
              <w:top w:val="single" w:color="000000" w:sz="4" w:space="0"/>
              <w:left w:val="single" w:color="000000" w:sz="4" w:space="0"/>
              <w:bottom w:val="single" w:color="000000" w:sz="4" w:space="0"/>
              <w:right w:val="single" w:color="000000" w:sz="4" w:space="0"/>
            </w:tcBorders>
            <w:vAlign w:val="center"/>
          </w:tcPr>
          <w:p w14:paraId="415BADAF">
            <w:pPr>
              <w:jc w:val="center"/>
              <w:rPr>
                <w:rFonts w:hint="eastAsia" w:cs="宋体"/>
                <w:color w:val="000000"/>
                <w:sz w:val="18"/>
                <w:szCs w:val="18"/>
              </w:rPr>
            </w:pPr>
          </w:p>
        </w:tc>
        <w:tc>
          <w:tcPr>
            <w:tcW w:w="2147" w:type="pct"/>
            <w:tcBorders>
              <w:top w:val="single" w:color="000000" w:sz="4" w:space="0"/>
              <w:left w:val="single" w:color="000000" w:sz="4" w:space="0"/>
              <w:bottom w:val="single" w:color="000000" w:sz="4" w:space="0"/>
              <w:right w:val="single" w:color="000000" w:sz="4" w:space="0"/>
            </w:tcBorders>
            <w:vAlign w:val="center"/>
          </w:tcPr>
          <w:p w14:paraId="7522F46D">
            <w:pPr>
              <w:widowControl/>
              <w:textAlignment w:val="center"/>
              <w:rPr>
                <w:rFonts w:hint="eastAsia" w:cs="宋体"/>
                <w:color w:val="000000"/>
                <w:sz w:val="18"/>
                <w:szCs w:val="18"/>
              </w:rPr>
            </w:pPr>
            <w:r>
              <w:rPr>
                <w:rFonts w:hint="eastAsia" w:cs="宋体"/>
                <w:color w:val="000000"/>
                <w:kern w:val="0"/>
                <w:sz w:val="18"/>
                <w:szCs w:val="18"/>
                <w:lang w:bidi="ar"/>
              </w:rPr>
              <w:t>1、支持监控点的在离线状态、时钟状态、录像完整性、录像保存天数检测。</w:t>
            </w:r>
            <w:r>
              <w:rPr>
                <w:rFonts w:hint="eastAsia" w:cs="宋体"/>
                <w:color w:val="000000"/>
                <w:kern w:val="0"/>
                <w:sz w:val="18"/>
                <w:szCs w:val="18"/>
                <w:lang w:bidi="ar"/>
              </w:rPr>
              <w:br w:type="textWrapping"/>
            </w:r>
            <w:r>
              <w:rPr>
                <w:rFonts w:hint="eastAsia" w:cs="宋体"/>
                <w:color w:val="000000"/>
                <w:kern w:val="0"/>
                <w:sz w:val="18"/>
                <w:szCs w:val="18"/>
                <w:lang w:bidi="ar"/>
              </w:rPr>
              <w:t>2、支持监控点离线故障诊断，可展示故障诊断链路详情，输出诊断报告。</w:t>
            </w:r>
            <w:r>
              <w:rPr>
                <w:rFonts w:hint="eastAsia" w:cs="宋体"/>
                <w:color w:val="000000"/>
                <w:kern w:val="0"/>
                <w:sz w:val="18"/>
                <w:szCs w:val="18"/>
                <w:lang w:bidi="ar"/>
              </w:rPr>
              <w:br w:type="textWrapping"/>
            </w:r>
            <w:r>
              <w:rPr>
                <w:rFonts w:hint="eastAsia" w:cs="宋体"/>
                <w:color w:val="000000"/>
                <w:kern w:val="0"/>
                <w:sz w:val="18"/>
                <w:szCs w:val="18"/>
                <w:lang w:bidi="ar"/>
              </w:rPr>
              <w:t>3、支持编码设备的在离线状态、硬盘状态检测。</w:t>
            </w:r>
            <w:r>
              <w:rPr>
                <w:rFonts w:hint="eastAsia" w:cs="宋体"/>
                <w:color w:val="000000"/>
                <w:kern w:val="0"/>
                <w:sz w:val="18"/>
                <w:szCs w:val="18"/>
                <w:lang w:bidi="ar"/>
              </w:rPr>
              <w:br w:type="textWrapping"/>
            </w:r>
            <w:r>
              <w:rPr>
                <w:rFonts w:hint="eastAsia" w:cs="宋体"/>
                <w:color w:val="000000"/>
                <w:kern w:val="0"/>
                <w:sz w:val="18"/>
                <w:szCs w:val="18"/>
                <w:lang w:bidi="ar"/>
              </w:rPr>
              <w:t>4、支持解码设备的在线状态、工作状态、温度检测。</w:t>
            </w:r>
          </w:p>
        </w:tc>
        <w:tc>
          <w:tcPr>
            <w:tcW w:w="467" w:type="pct"/>
            <w:tcBorders>
              <w:top w:val="single" w:color="000000" w:sz="4" w:space="0"/>
              <w:left w:val="single" w:color="000000" w:sz="4" w:space="0"/>
              <w:bottom w:val="single" w:color="000000" w:sz="4" w:space="0"/>
              <w:right w:val="single" w:color="000000" w:sz="4" w:space="0"/>
            </w:tcBorders>
            <w:vAlign w:val="center"/>
          </w:tcPr>
          <w:p w14:paraId="59080257">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401" w:type="pct"/>
            <w:tcBorders>
              <w:top w:val="single" w:color="000000" w:sz="4" w:space="0"/>
              <w:left w:val="single" w:color="000000" w:sz="4" w:space="0"/>
              <w:bottom w:val="single" w:color="000000" w:sz="4" w:space="0"/>
              <w:right w:val="single" w:color="000000" w:sz="4" w:space="0"/>
            </w:tcBorders>
            <w:vAlign w:val="center"/>
          </w:tcPr>
          <w:p w14:paraId="234EB07A">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bl>
    <w:p w14:paraId="34B6659C">
      <w:pPr>
        <w:rPr>
          <w:rFonts w:hint="eastAsia"/>
        </w:rPr>
        <w:sectPr>
          <w:pgSz w:w="11906" w:h="16838"/>
          <w:pgMar w:top="1440" w:right="1800" w:bottom="1440" w:left="1800" w:header="851" w:footer="992" w:gutter="0"/>
          <w:pgNumType w:fmt="numberInDash"/>
          <w:cols w:space="425" w:num="1"/>
          <w:docGrid w:type="lines" w:linePitch="312" w:charSpace="0"/>
        </w:sectPr>
      </w:pPr>
    </w:p>
    <w:p w14:paraId="5464F254">
      <w:pPr>
        <w:pStyle w:val="4"/>
        <w:numPr>
          <w:ilvl w:val="0"/>
          <w:numId w:val="4"/>
        </w:numPr>
        <w:spacing w:before="60" w:after="60" w:line="360" w:lineRule="auto"/>
        <w:ind w:left="420" w:hanging="420"/>
        <w:rPr>
          <w:rFonts w:hint="eastAsia" w:cs="宋体"/>
          <w:sz w:val="36"/>
          <w:szCs w:val="36"/>
        </w:rPr>
      </w:pPr>
      <w:bookmarkStart w:id="300" w:name="_Toc12404"/>
      <w:bookmarkStart w:id="301" w:name="_Toc29102"/>
      <w:bookmarkStart w:id="302" w:name="_Toc19131"/>
      <w:r>
        <w:rPr>
          <w:rFonts w:hint="eastAsia" w:ascii="宋体" w:hAnsi="宋体" w:cs="宋体"/>
          <w:sz w:val="28"/>
          <w:szCs w:val="28"/>
        </w:rPr>
        <w:t>硬件建设清单</w:t>
      </w:r>
      <w:bookmarkEnd w:id="300"/>
      <w:bookmarkEnd w:id="301"/>
      <w:bookmarkEnd w:id="302"/>
    </w:p>
    <w:p w14:paraId="2F27B467">
      <w:pPr>
        <w:rPr>
          <w:rFonts w:hint="eastAsia"/>
        </w:rPr>
      </w:pPr>
    </w:p>
    <w:tbl>
      <w:tblPr>
        <w:tblStyle w:val="30"/>
        <w:tblW w:w="5000" w:type="pct"/>
        <w:tblInd w:w="0" w:type="dxa"/>
        <w:tblLayout w:type="autofit"/>
        <w:tblCellMar>
          <w:top w:w="0" w:type="dxa"/>
          <w:left w:w="108" w:type="dxa"/>
          <w:bottom w:w="0" w:type="dxa"/>
          <w:right w:w="108" w:type="dxa"/>
        </w:tblCellMar>
      </w:tblPr>
      <w:tblGrid>
        <w:gridCol w:w="315"/>
        <w:gridCol w:w="364"/>
        <w:gridCol w:w="562"/>
        <w:gridCol w:w="339"/>
        <w:gridCol w:w="6238"/>
        <w:gridCol w:w="364"/>
        <w:gridCol w:w="340"/>
      </w:tblGrid>
      <w:tr w14:paraId="751F31CF">
        <w:tblPrEx>
          <w:tblCellMar>
            <w:top w:w="0" w:type="dxa"/>
            <w:left w:w="108" w:type="dxa"/>
            <w:bottom w:w="0" w:type="dxa"/>
            <w:right w:w="108" w:type="dxa"/>
          </w:tblCellMar>
        </w:tblPrEx>
        <w:trPr>
          <w:trHeight w:val="399"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14:paraId="1A81802E">
            <w:pPr>
              <w:widowControl/>
              <w:spacing w:line="240" w:lineRule="auto"/>
              <w:jc w:val="center"/>
              <w:rPr>
                <w:rFonts w:cs="宋体"/>
                <w:b/>
                <w:bCs/>
                <w:color w:val="000000"/>
                <w:kern w:val="0"/>
                <w:sz w:val="22"/>
              </w:rPr>
            </w:pPr>
            <w:r>
              <w:rPr>
                <w:rFonts w:cs="宋体"/>
                <w:b/>
                <w:bCs/>
                <w:color w:val="000000"/>
                <w:kern w:val="0"/>
                <w:sz w:val="22"/>
              </w:rPr>
              <w:t>硬件建设清单</w:t>
            </w:r>
          </w:p>
        </w:tc>
      </w:tr>
      <w:tr w14:paraId="7CB6FC92">
        <w:tblPrEx>
          <w:tblCellMar>
            <w:top w:w="0" w:type="dxa"/>
            <w:left w:w="108" w:type="dxa"/>
            <w:bottom w:w="0" w:type="dxa"/>
            <w:right w:w="108" w:type="dxa"/>
          </w:tblCellMar>
        </w:tblPrEx>
        <w:trPr>
          <w:trHeight w:val="399" w:hRule="atLeast"/>
        </w:trPr>
        <w:tc>
          <w:tcPr>
            <w:tcW w:w="254" w:type="pct"/>
            <w:tcBorders>
              <w:top w:val="single" w:color="auto" w:sz="4" w:space="0"/>
              <w:left w:val="single" w:color="auto" w:sz="4" w:space="0"/>
              <w:bottom w:val="single" w:color="auto" w:sz="4" w:space="0"/>
              <w:right w:val="single" w:color="auto" w:sz="4" w:space="0"/>
            </w:tcBorders>
            <w:noWrap/>
            <w:vAlign w:val="center"/>
          </w:tcPr>
          <w:p w14:paraId="78B22284">
            <w:pPr>
              <w:widowControl/>
              <w:spacing w:line="240" w:lineRule="auto"/>
              <w:jc w:val="center"/>
              <w:rPr>
                <w:rFonts w:hint="eastAsia" w:cs="宋体"/>
                <w:b/>
                <w:bCs/>
                <w:color w:val="000000"/>
                <w:kern w:val="0"/>
                <w:sz w:val="22"/>
              </w:rPr>
            </w:pPr>
            <w:r>
              <w:rPr>
                <w:rFonts w:cs="宋体"/>
                <w:b/>
                <w:bCs/>
                <w:color w:val="000000"/>
                <w:kern w:val="0"/>
                <w:sz w:val="22"/>
              </w:rPr>
              <w:t>序号</w:t>
            </w:r>
          </w:p>
        </w:tc>
        <w:tc>
          <w:tcPr>
            <w:tcW w:w="483" w:type="pct"/>
            <w:gridSpan w:val="2"/>
            <w:tcBorders>
              <w:top w:val="single" w:color="auto" w:sz="4" w:space="0"/>
              <w:left w:val="nil"/>
              <w:bottom w:val="single" w:color="auto" w:sz="4" w:space="0"/>
              <w:right w:val="single" w:color="auto" w:sz="4" w:space="0"/>
            </w:tcBorders>
            <w:noWrap/>
            <w:vAlign w:val="center"/>
          </w:tcPr>
          <w:p w14:paraId="64E31DF5">
            <w:pPr>
              <w:widowControl/>
              <w:spacing w:line="240" w:lineRule="auto"/>
              <w:jc w:val="center"/>
              <w:rPr>
                <w:rFonts w:hint="eastAsia" w:cs="宋体"/>
                <w:b/>
                <w:bCs/>
                <w:color w:val="000000"/>
                <w:kern w:val="0"/>
                <w:sz w:val="22"/>
              </w:rPr>
            </w:pPr>
            <w:r>
              <w:rPr>
                <w:rFonts w:cs="宋体"/>
                <w:b/>
                <w:bCs/>
                <w:color w:val="000000"/>
                <w:kern w:val="0"/>
                <w:sz w:val="22"/>
              </w:rPr>
              <w:t>项目名</w:t>
            </w:r>
          </w:p>
        </w:tc>
        <w:tc>
          <w:tcPr>
            <w:tcW w:w="202" w:type="pct"/>
            <w:tcBorders>
              <w:top w:val="single" w:color="auto" w:sz="4" w:space="0"/>
              <w:left w:val="nil"/>
              <w:bottom w:val="single" w:color="auto" w:sz="4" w:space="0"/>
              <w:right w:val="single" w:color="auto" w:sz="4" w:space="0"/>
            </w:tcBorders>
            <w:vAlign w:val="center"/>
          </w:tcPr>
          <w:p w14:paraId="78013184">
            <w:pPr>
              <w:widowControl/>
              <w:spacing w:line="240" w:lineRule="auto"/>
              <w:jc w:val="center"/>
              <w:rPr>
                <w:rFonts w:hint="eastAsia" w:cs="宋体"/>
                <w:b/>
                <w:bCs/>
                <w:color w:val="000000"/>
                <w:kern w:val="0"/>
                <w:sz w:val="22"/>
              </w:rPr>
            </w:pPr>
            <w:r>
              <w:rPr>
                <w:rFonts w:cs="宋体"/>
                <w:b/>
                <w:bCs/>
                <w:color w:val="000000"/>
                <w:kern w:val="0"/>
                <w:sz w:val="22"/>
              </w:rPr>
              <w:t>产品</w:t>
            </w:r>
          </w:p>
        </w:tc>
        <w:tc>
          <w:tcPr>
            <w:tcW w:w="3643" w:type="pct"/>
            <w:tcBorders>
              <w:top w:val="single" w:color="auto" w:sz="4" w:space="0"/>
              <w:left w:val="nil"/>
              <w:bottom w:val="single" w:color="auto" w:sz="4" w:space="0"/>
              <w:right w:val="single" w:color="auto" w:sz="4" w:space="0"/>
            </w:tcBorders>
            <w:noWrap/>
            <w:vAlign w:val="center"/>
          </w:tcPr>
          <w:p w14:paraId="60D59C46">
            <w:pPr>
              <w:widowControl/>
              <w:spacing w:line="240" w:lineRule="auto"/>
              <w:jc w:val="center"/>
              <w:rPr>
                <w:rFonts w:hint="eastAsia" w:cs="宋体"/>
                <w:b/>
                <w:bCs/>
                <w:color w:val="000000"/>
                <w:kern w:val="0"/>
                <w:sz w:val="22"/>
              </w:rPr>
            </w:pPr>
            <w:r>
              <w:rPr>
                <w:rFonts w:cs="宋体"/>
                <w:b/>
                <w:bCs/>
                <w:color w:val="000000"/>
                <w:kern w:val="0"/>
                <w:sz w:val="22"/>
              </w:rPr>
              <w:t>技术参数</w:t>
            </w:r>
          </w:p>
        </w:tc>
        <w:tc>
          <w:tcPr>
            <w:tcW w:w="216" w:type="pct"/>
            <w:tcBorders>
              <w:top w:val="single" w:color="auto" w:sz="4" w:space="0"/>
              <w:left w:val="nil"/>
              <w:bottom w:val="single" w:color="auto" w:sz="4" w:space="0"/>
              <w:right w:val="single" w:color="auto" w:sz="4" w:space="0"/>
            </w:tcBorders>
            <w:noWrap/>
            <w:vAlign w:val="center"/>
          </w:tcPr>
          <w:p w14:paraId="7DD90510">
            <w:pPr>
              <w:widowControl/>
              <w:spacing w:line="240" w:lineRule="auto"/>
              <w:jc w:val="center"/>
              <w:rPr>
                <w:rFonts w:hint="eastAsia" w:cs="宋体"/>
                <w:b/>
                <w:bCs/>
                <w:color w:val="000000"/>
                <w:kern w:val="0"/>
                <w:sz w:val="22"/>
              </w:rPr>
            </w:pPr>
            <w:r>
              <w:rPr>
                <w:rFonts w:cs="宋体"/>
                <w:b/>
                <w:bCs/>
                <w:color w:val="000000"/>
                <w:kern w:val="0"/>
                <w:sz w:val="22"/>
              </w:rPr>
              <w:t>单位</w:t>
            </w:r>
          </w:p>
        </w:tc>
        <w:tc>
          <w:tcPr>
            <w:tcW w:w="202" w:type="pct"/>
            <w:tcBorders>
              <w:top w:val="single" w:color="auto" w:sz="4" w:space="0"/>
              <w:left w:val="nil"/>
              <w:bottom w:val="single" w:color="auto" w:sz="4" w:space="0"/>
              <w:right w:val="single" w:color="auto" w:sz="4" w:space="0"/>
            </w:tcBorders>
            <w:noWrap/>
            <w:vAlign w:val="center"/>
          </w:tcPr>
          <w:p w14:paraId="09A43CA3">
            <w:pPr>
              <w:widowControl/>
              <w:spacing w:line="240" w:lineRule="auto"/>
              <w:jc w:val="center"/>
              <w:rPr>
                <w:rFonts w:hint="eastAsia" w:cs="宋体"/>
                <w:b/>
                <w:bCs/>
                <w:color w:val="000000"/>
                <w:kern w:val="0"/>
                <w:sz w:val="22"/>
              </w:rPr>
            </w:pPr>
            <w:r>
              <w:rPr>
                <w:rFonts w:cs="宋体"/>
                <w:b/>
                <w:bCs/>
                <w:color w:val="000000"/>
                <w:kern w:val="0"/>
                <w:sz w:val="22"/>
              </w:rPr>
              <w:t>数量</w:t>
            </w:r>
          </w:p>
        </w:tc>
      </w:tr>
      <w:tr w14:paraId="106EA523">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304788F">
            <w:pPr>
              <w:widowControl/>
              <w:spacing w:line="240" w:lineRule="auto"/>
              <w:jc w:val="center"/>
              <w:rPr>
                <w:rFonts w:hint="eastAsia" w:cs="宋体"/>
                <w:color w:val="000000"/>
                <w:kern w:val="0"/>
                <w:sz w:val="22"/>
              </w:rPr>
            </w:pPr>
            <w:r>
              <w:rPr>
                <w:rFonts w:cs="宋体"/>
                <w:color w:val="000000"/>
                <w:kern w:val="0"/>
                <w:sz w:val="22"/>
              </w:rPr>
              <w:t>1</w:t>
            </w:r>
          </w:p>
        </w:tc>
        <w:tc>
          <w:tcPr>
            <w:tcW w:w="152" w:type="pct"/>
            <w:vMerge w:val="restart"/>
            <w:tcBorders>
              <w:top w:val="nil"/>
              <w:left w:val="single" w:color="auto" w:sz="4" w:space="0"/>
              <w:bottom w:val="single" w:color="000000" w:sz="4" w:space="0"/>
              <w:right w:val="single" w:color="auto" w:sz="4" w:space="0"/>
            </w:tcBorders>
            <w:noWrap/>
            <w:vAlign w:val="center"/>
          </w:tcPr>
          <w:p w14:paraId="2D91C1D2">
            <w:pPr>
              <w:widowControl/>
              <w:spacing w:line="240" w:lineRule="auto"/>
              <w:jc w:val="center"/>
              <w:rPr>
                <w:rFonts w:hint="eastAsia" w:cs="宋体"/>
                <w:color w:val="000000"/>
                <w:kern w:val="0"/>
                <w:sz w:val="22"/>
              </w:rPr>
            </w:pPr>
            <w:r>
              <w:rPr>
                <w:rFonts w:cs="宋体"/>
                <w:color w:val="000000"/>
                <w:kern w:val="0"/>
                <w:sz w:val="22"/>
              </w:rPr>
              <w:t>前端</w:t>
            </w:r>
          </w:p>
        </w:tc>
        <w:tc>
          <w:tcPr>
            <w:tcW w:w="331" w:type="pct"/>
            <w:vMerge w:val="restart"/>
            <w:tcBorders>
              <w:top w:val="nil"/>
              <w:left w:val="single" w:color="auto" w:sz="4" w:space="0"/>
              <w:bottom w:val="single" w:color="000000" w:sz="4" w:space="0"/>
              <w:right w:val="single" w:color="auto" w:sz="4" w:space="0"/>
            </w:tcBorders>
            <w:noWrap/>
            <w:vAlign w:val="center"/>
          </w:tcPr>
          <w:p w14:paraId="4BC54DC9">
            <w:pPr>
              <w:widowControl/>
              <w:spacing w:line="240" w:lineRule="auto"/>
              <w:jc w:val="center"/>
              <w:rPr>
                <w:rFonts w:hint="eastAsia" w:cs="宋体"/>
                <w:color w:val="000000"/>
                <w:kern w:val="0"/>
                <w:sz w:val="22"/>
              </w:rPr>
            </w:pPr>
            <w:r>
              <w:rPr>
                <w:rFonts w:cs="宋体"/>
                <w:color w:val="000000"/>
                <w:kern w:val="0"/>
                <w:sz w:val="22"/>
              </w:rPr>
              <w:t>高空云台</w:t>
            </w:r>
          </w:p>
        </w:tc>
        <w:tc>
          <w:tcPr>
            <w:tcW w:w="202" w:type="pct"/>
            <w:tcBorders>
              <w:top w:val="nil"/>
              <w:left w:val="nil"/>
              <w:bottom w:val="single" w:color="auto" w:sz="4" w:space="0"/>
              <w:right w:val="single" w:color="auto" w:sz="4" w:space="0"/>
            </w:tcBorders>
            <w:vAlign w:val="center"/>
          </w:tcPr>
          <w:p w14:paraId="6B45F035">
            <w:pPr>
              <w:widowControl/>
              <w:spacing w:line="240" w:lineRule="auto"/>
              <w:rPr>
                <w:rFonts w:hint="eastAsia" w:cs="宋体"/>
                <w:color w:val="000000"/>
                <w:kern w:val="0"/>
                <w:sz w:val="22"/>
              </w:rPr>
            </w:pPr>
            <w:r>
              <w:rPr>
                <w:rFonts w:cs="宋体"/>
                <w:color w:val="000000"/>
                <w:kern w:val="0"/>
                <w:sz w:val="22"/>
              </w:rPr>
              <w:t>双光谱云台</w:t>
            </w:r>
          </w:p>
        </w:tc>
        <w:tc>
          <w:tcPr>
            <w:tcW w:w="3643" w:type="pct"/>
            <w:tcBorders>
              <w:top w:val="nil"/>
              <w:left w:val="nil"/>
              <w:bottom w:val="single" w:color="auto" w:sz="4" w:space="0"/>
              <w:right w:val="single" w:color="auto" w:sz="4" w:space="0"/>
            </w:tcBorders>
            <w:vAlign w:val="center"/>
          </w:tcPr>
          <w:p w14:paraId="751D1970">
            <w:pPr>
              <w:widowControl/>
              <w:spacing w:line="240" w:lineRule="auto"/>
              <w:rPr>
                <w:rFonts w:hint="eastAsia" w:cs="宋体"/>
                <w:color w:val="000000"/>
                <w:kern w:val="0"/>
                <w:sz w:val="22"/>
              </w:rPr>
            </w:pPr>
            <w:r>
              <w:rPr>
                <w:rFonts w:cs="宋体"/>
                <w:color w:val="000000"/>
                <w:kern w:val="0"/>
                <w:sz w:val="22"/>
              </w:rPr>
              <w:t>1.监测范围5km</w:t>
            </w:r>
            <w:r>
              <w:rPr>
                <w:rFonts w:cs="宋体"/>
                <w:color w:val="000000"/>
                <w:kern w:val="0"/>
                <w:sz w:val="22"/>
              </w:rPr>
              <w:br w:type="textWrapping"/>
            </w:r>
            <w:r>
              <w:rPr>
                <w:rFonts w:cs="宋体"/>
                <w:color w:val="000000"/>
                <w:kern w:val="0"/>
                <w:sz w:val="22"/>
              </w:rPr>
              <w:t>★2.热成像分辨率≥1280 × 1024；（投标人需提供第三方权威机构检测报告证明）</w:t>
            </w:r>
            <w:r>
              <w:rPr>
                <w:rFonts w:cs="宋体"/>
                <w:color w:val="000000"/>
                <w:kern w:val="0"/>
                <w:sz w:val="22"/>
              </w:rPr>
              <w:br w:type="textWrapping"/>
            </w:r>
            <w:r>
              <w:rPr>
                <w:rFonts w:cs="宋体"/>
                <w:color w:val="000000"/>
                <w:kern w:val="0"/>
                <w:sz w:val="22"/>
              </w:rPr>
              <w:t>3.热成像像元尺寸≤12 μm;</w:t>
            </w:r>
            <w:r>
              <w:rPr>
                <w:rFonts w:cs="宋体"/>
                <w:color w:val="000000"/>
                <w:kern w:val="0"/>
                <w:sz w:val="22"/>
              </w:rPr>
              <w:br w:type="textWrapping"/>
            </w:r>
            <w:r>
              <w:rPr>
                <w:rFonts w:cs="宋体"/>
                <w:color w:val="000000"/>
                <w:kern w:val="0"/>
                <w:sz w:val="22"/>
              </w:rPr>
              <w:t>4.热成像焦距：≥100 mm；</w:t>
            </w:r>
            <w:r>
              <w:rPr>
                <w:rFonts w:cs="宋体"/>
                <w:color w:val="000000"/>
                <w:kern w:val="0"/>
                <w:sz w:val="22"/>
              </w:rPr>
              <w:br w:type="textWrapping"/>
            </w:r>
            <w:r>
              <w:rPr>
                <w:rFonts w:cs="宋体"/>
                <w:color w:val="000000"/>
                <w:kern w:val="0"/>
                <w:sz w:val="22"/>
              </w:rPr>
              <w:t>5、噪声等效温差</w:t>
            </w:r>
            <w:r>
              <w:rPr>
                <w:rFonts w:ascii="Times New Roman" w:hAnsi="Times New Roman" w:cs="Times New Roman"/>
                <w:color w:val="000000"/>
                <w:kern w:val="0"/>
                <w:sz w:val="22"/>
              </w:rPr>
              <w:t>‌</w:t>
            </w:r>
            <w:r>
              <w:rPr>
                <w:rFonts w:cs="宋体"/>
                <w:color w:val="000000"/>
                <w:kern w:val="0"/>
                <w:sz w:val="22"/>
              </w:rPr>
              <w:t>NETD ≤35 mK</w:t>
            </w:r>
            <w:r>
              <w:rPr>
                <w:rFonts w:cs="宋体"/>
                <w:color w:val="000000"/>
                <w:kern w:val="0"/>
                <w:sz w:val="22"/>
              </w:rPr>
              <w:br w:type="textWrapping"/>
            </w:r>
            <w:r>
              <w:rPr>
                <w:rFonts w:cs="宋体"/>
                <w:color w:val="000000"/>
                <w:kern w:val="0"/>
                <w:sz w:val="22"/>
              </w:rPr>
              <w:t>6、可见光分辨率≥2688×1520，≥1/1.8英寸CMOS；</w:t>
            </w:r>
            <w:r>
              <w:rPr>
                <w:rFonts w:cs="宋体"/>
                <w:color w:val="000000"/>
                <w:kern w:val="0"/>
                <w:sz w:val="22"/>
              </w:rPr>
              <w:br w:type="textWrapping"/>
            </w:r>
            <w:r>
              <w:rPr>
                <w:rFonts w:cs="宋体"/>
                <w:color w:val="000000"/>
                <w:kern w:val="0"/>
                <w:sz w:val="22"/>
              </w:rPr>
              <w:t>7、可见光镜头支持光学防抖，最大焦距≥300mm</w:t>
            </w:r>
            <w:r>
              <w:rPr>
                <w:rFonts w:cs="宋体"/>
                <w:color w:val="000000"/>
                <w:kern w:val="0"/>
                <w:sz w:val="22"/>
              </w:rPr>
              <w:br w:type="textWrapping"/>
            </w:r>
            <w:r>
              <w:rPr>
                <w:rFonts w:cs="宋体"/>
                <w:color w:val="000000"/>
                <w:kern w:val="0"/>
                <w:sz w:val="22"/>
              </w:rPr>
              <w:t>8、不少于300个预置位</w:t>
            </w:r>
            <w:r>
              <w:rPr>
                <w:rFonts w:cs="宋体"/>
                <w:color w:val="000000"/>
                <w:kern w:val="0"/>
                <w:sz w:val="22"/>
              </w:rPr>
              <w:br w:type="textWrapping"/>
            </w:r>
            <w:r>
              <w:rPr>
                <w:rFonts w:cs="宋体"/>
                <w:color w:val="000000"/>
                <w:kern w:val="0"/>
                <w:sz w:val="22"/>
              </w:rPr>
              <w:t>▲9、支持实时获取经纬度、海拔高度、方位角信息；（投标人需提供第三方权威机构检测报告证明）</w:t>
            </w:r>
            <w:r>
              <w:rPr>
                <w:rFonts w:cs="宋体"/>
                <w:color w:val="000000"/>
                <w:kern w:val="0"/>
                <w:sz w:val="22"/>
              </w:rPr>
              <w:br w:type="textWrapping"/>
            </w:r>
            <w:r>
              <w:rPr>
                <w:rFonts w:cs="宋体"/>
                <w:color w:val="000000"/>
                <w:kern w:val="0"/>
                <w:sz w:val="22"/>
              </w:rPr>
              <w:t>▲10、支持实时检测倾斜角度；（投标人需提供第三方权威机构检测报告证明）</w:t>
            </w:r>
            <w:r>
              <w:rPr>
                <w:rFonts w:cs="宋体"/>
                <w:color w:val="000000"/>
                <w:kern w:val="0"/>
                <w:sz w:val="22"/>
              </w:rPr>
              <w:br w:type="textWrapping"/>
            </w:r>
            <w:r>
              <w:rPr>
                <w:rFonts w:cs="宋体"/>
                <w:color w:val="000000"/>
                <w:kern w:val="0"/>
                <w:sz w:val="22"/>
              </w:rPr>
              <w:t>11、支持雨刷自清洁；支持镜头加热及除冰；</w:t>
            </w:r>
            <w:r>
              <w:rPr>
                <w:rFonts w:cs="宋体"/>
                <w:color w:val="000000"/>
                <w:kern w:val="0"/>
                <w:sz w:val="22"/>
              </w:rPr>
              <w:br w:type="textWrapping"/>
            </w:r>
            <w:r>
              <w:rPr>
                <w:rFonts w:cs="宋体"/>
                <w:color w:val="000000"/>
                <w:kern w:val="0"/>
                <w:sz w:val="22"/>
              </w:rPr>
              <w:t>12、其他满足GB/T47058—2026技术规范</w:t>
            </w:r>
          </w:p>
        </w:tc>
        <w:tc>
          <w:tcPr>
            <w:tcW w:w="216" w:type="pct"/>
            <w:tcBorders>
              <w:top w:val="nil"/>
              <w:left w:val="nil"/>
              <w:bottom w:val="single" w:color="auto" w:sz="4" w:space="0"/>
              <w:right w:val="single" w:color="auto" w:sz="4" w:space="0"/>
            </w:tcBorders>
            <w:noWrap/>
            <w:vAlign w:val="center"/>
          </w:tcPr>
          <w:p w14:paraId="7865C503">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7343F082">
            <w:pPr>
              <w:widowControl/>
              <w:spacing w:line="240" w:lineRule="auto"/>
              <w:jc w:val="center"/>
              <w:rPr>
                <w:rFonts w:hint="eastAsia" w:cs="宋体"/>
                <w:color w:val="000000"/>
                <w:kern w:val="0"/>
                <w:sz w:val="22"/>
              </w:rPr>
            </w:pPr>
            <w:r>
              <w:rPr>
                <w:rFonts w:cs="宋体"/>
                <w:color w:val="000000"/>
                <w:kern w:val="0"/>
                <w:sz w:val="22"/>
              </w:rPr>
              <w:t>3</w:t>
            </w:r>
          </w:p>
        </w:tc>
      </w:tr>
      <w:tr w14:paraId="73869077">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FC1F791">
            <w:pPr>
              <w:widowControl/>
              <w:spacing w:line="240" w:lineRule="auto"/>
              <w:jc w:val="center"/>
              <w:rPr>
                <w:rFonts w:hint="eastAsia" w:cs="宋体"/>
                <w:color w:val="000000"/>
                <w:kern w:val="0"/>
                <w:sz w:val="22"/>
              </w:rPr>
            </w:pPr>
            <w:r>
              <w:rPr>
                <w:rFonts w:cs="宋体"/>
                <w:color w:val="000000"/>
                <w:kern w:val="0"/>
                <w:sz w:val="22"/>
              </w:rPr>
              <w:t>2</w:t>
            </w:r>
          </w:p>
        </w:tc>
        <w:tc>
          <w:tcPr>
            <w:tcW w:w="152" w:type="pct"/>
            <w:vMerge w:val="continue"/>
            <w:tcBorders>
              <w:top w:val="nil"/>
              <w:left w:val="single" w:color="auto" w:sz="4" w:space="0"/>
              <w:bottom w:val="single" w:color="000000" w:sz="4" w:space="0"/>
              <w:right w:val="single" w:color="auto" w:sz="4" w:space="0"/>
            </w:tcBorders>
            <w:vAlign w:val="center"/>
          </w:tcPr>
          <w:p w14:paraId="4F437D4C">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B2A9DC1">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CF2EA73">
            <w:pPr>
              <w:widowControl/>
              <w:spacing w:line="240" w:lineRule="auto"/>
              <w:rPr>
                <w:rFonts w:hint="eastAsia" w:cs="宋体"/>
                <w:color w:val="000000"/>
                <w:kern w:val="0"/>
                <w:sz w:val="22"/>
              </w:rPr>
            </w:pPr>
            <w:r>
              <w:rPr>
                <w:rFonts w:cs="宋体"/>
                <w:color w:val="000000"/>
                <w:kern w:val="0"/>
                <w:sz w:val="22"/>
              </w:rPr>
              <w:t>智能球机</w:t>
            </w:r>
          </w:p>
        </w:tc>
        <w:tc>
          <w:tcPr>
            <w:tcW w:w="3643" w:type="pct"/>
            <w:tcBorders>
              <w:top w:val="nil"/>
              <w:left w:val="nil"/>
              <w:bottom w:val="single" w:color="auto" w:sz="4" w:space="0"/>
              <w:right w:val="single" w:color="auto" w:sz="4" w:space="0"/>
            </w:tcBorders>
            <w:vAlign w:val="center"/>
          </w:tcPr>
          <w:p w14:paraId="6E1928FF">
            <w:pPr>
              <w:widowControl/>
              <w:spacing w:line="240" w:lineRule="auto"/>
              <w:rPr>
                <w:rFonts w:hint="eastAsia" w:cs="宋体"/>
                <w:color w:val="000000"/>
                <w:kern w:val="0"/>
                <w:sz w:val="22"/>
              </w:rPr>
            </w:pPr>
            <w:r>
              <w:rPr>
                <w:rFonts w:cs="宋体"/>
                <w:color w:val="000000"/>
                <w:kern w:val="0"/>
                <w:sz w:val="22"/>
              </w:rPr>
              <w:t>1、变焦摄像机</w:t>
            </w:r>
            <w:r>
              <w:rPr>
                <w:rFonts w:ascii="Times New Roman" w:hAnsi="Times New Roman" w:cs="Times New Roman"/>
                <w:color w:val="000000"/>
                <w:kern w:val="0"/>
                <w:sz w:val="22"/>
              </w:rPr>
              <w:t>‌</w:t>
            </w:r>
            <w:r>
              <w:rPr>
                <w:rFonts w:cs="宋体"/>
                <w:color w:val="000000"/>
                <w:kern w:val="0"/>
                <w:sz w:val="22"/>
              </w:rPr>
              <w:t>分辨率≥2560x1440，全景摄像机分辨率≥2560x1440；</w:t>
            </w:r>
            <w:r>
              <w:rPr>
                <w:rFonts w:cs="宋体"/>
                <w:color w:val="000000"/>
                <w:kern w:val="0"/>
                <w:sz w:val="22"/>
              </w:rPr>
              <w:br w:type="textWrapping"/>
            </w:r>
            <w:r>
              <w:rPr>
                <w:rFonts w:cs="宋体"/>
                <w:color w:val="000000"/>
                <w:kern w:val="0"/>
                <w:sz w:val="22"/>
              </w:rPr>
              <w:t>2、摄像机最低照度彩色≤0.005lx，黑白≤0.001lx；</w:t>
            </w:r>
            <w:r>
              <w:rPr>
                <w:rFonts w:cs="宋体"/>
                <w:color w:val="000000"/>
                <w:kern w:val="0"/>
                <w:sz w:val="22"/>
              </w:rPr>
              <w:br w:type="textWrapping"/>
            </w:r>
            <w:r>
              <w:rPr>
                <w:rFonts w:cs="宋体"/>
                <w:color w:val="000000"/>
                <w:kern w:val="0"/>
                <w:sz w:val="22"/>
              </w:rPr>
              <w:t>3、变焦摄像机水平旋转范围为360°连续旋转，垂直旋转范围为-15°~90°；</w:t>
            </w:r>
            <w:r>
              <w:rPr>
                <w:rFonts w:cs="宋体"/>
                <w:color w:val="000000"/>
                <w:kern w:val="0"/>
                <w:sz w:val="22"/>
              </w:rPr>
              <w:br w:type="textWrapping"/>
            </w:r>
            <w:r>
              <w:rPr>
                <w:rFonts w:cs="宋体"/>
                <w:color w:val="000000"/>
                <w:kern w:val="0"/>
                <w:sz w:val="22"/>
              </w:rPr>
              <w:t>4、设备支持≥200个预置位，可按照所设置的预置位完成巡航路径；</w:t>
            </w:r>
            <w:r>
              <w:rPr>
                <w:rFonts w:cs="宋体"/>
                <w:color w:val="000000"/>
                <w:kern w:val="0"/>
                <w:sz w:val="22"/>
              </w:rPr>
              <w:br w:type="textWrapping"/>
            </w:r>
            <w:r>
              <w:rPr>
                <w:rFonts w:cs="宋体"/>
                <w:color w:val="000000"/>
                <w:kern w:val="0"/>
                <w:sz w:val="22"/>
              </w:rPr>
              <w:t>5、设备支持人脸抓拍功能，可对经过设定区域的行人进行人脸检测和人脸跟踪；</w:t>
            </w:r>
            <w:r>
              <w:rPr>
                <w:rFonts w:cs="宋体"/>
                <w:color w:val="000000"/>
                <w:kern w:val="0"/>
                <w:sz w:val="22"/>
              </w:rPr>
              <w:br w:type="textWrapping"/>
            </w:r>
            <w:r>
              <w:rPr>
                <w:rFonts w:cs="宋体"/>
                <w:color w:val="000000"/>
                <w:kern w:val="0"/>
                <w:sz w:val="22"/>
              </w:rPr>
              <w:t>6、设备支持多规则智能事件检测，包括绊线入侵侦测、越界侦测、进入区域侦测和离开区域侦等智能侦测并联动跟踪；</w:t>
            </w:r>
            <w:r>
              <w:rPr>
                <w:rFonts w:cs="宋体"/>
                <w:color w:val="000000"/>
                <w:kern w:val="0"/>
                <w:sz w:val="22"/>
              </w:rPr>
              <w:br w:type="textWrapping"/>
            </w:r>
            <w:r>
              <w:rPr>
                <w:rFonts w:cs="宋体"/>
                <w:color w:val="000000"/>
                <w:kern w:val="0"/>
                <w:sz w:val="22"/>
              </w:rPr>
              <w:t>7、设备支持加热玻璃除雾，支持≥IP67，工作温度范围-40℃-70℃。</w:t>
            </w:r>
          </w:p>
        </w:tc>
        <w:tc>
          <w:tcPr>
            <w:tcW w:w="216" w:type="pct"/>
            <w:tcBorders>
              <w:top w:val="nil"/>
              <w:left w:val="nil"/>
              <w:bottom w:val="single" w:color="auto" w:sz="4" w:space="0"/>
              <w:right w:val="single" w:color="auto" w:sz="4" w:space="0"/>
            </w:tcBorders>
            <w:noWrap/>
            <w:vAlign w:val="center"/>
          </w:tcPr>
          <w:p w14:paraId="5646BC11">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72A9B4B6">
            <w:pPr>
              <w:widowControl/>
              <w:spacing w:line="240" w:lineRule="auto"/>
              <w:jc w:val="center"/>
              <w:rPr>
                <w:rFonts w:hint="eastAsia" w:cs="宋体"/>
                <w:color w:val="000000"/>
                <w:kern w:val="0"/>
                <w:sz w:val="22"/>
              </w:rPr>
            </w:pPr>
            <w:r>
              <w:rPr>
                <w:rFonts w:cs="宋体"/>
                <w:color w:val="000000"/>
                <w:kern w:val="0"/>
                <w:sz w:val="22"/>
              </w:rPr>
              <w:t>3</w:t>
            </w:r>
          </w:p>
        </w:tc>
      </w:tr>
      <w:tr w14:paraId="1941CC06">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C612A3B">
            <w:pPr>
              <w:widowControl/>
              <w:spacing w:line="240" w:lineRule="auto"/>
              <w:jc w:val="center"/>
              <w:rPr>
                <w:rFonts w:hint="eastAsia" w:cs="宋体"/>
                <w:color w:val="000000"/>
                <w:kern w:val="0"/>
                <w:sz w:val="22"/>
              </w:rPr>
            </w:pPr>
            <w:r>
              <w:rPr>
                <w:rFonts w:cs="宋体"/>
                <w:color w:val="000000"/>
                <w:kern w:val="0"/>
                <w:sz w:val="22"/>
              </w:rPr>
              <w:t>3</w:t>
            </w:r>
          </w:p>
        </w:tc>
        <w:tc>
          <w:tcPr>
            <w:tcW w:w="152" w:type="pct"/>
            <w:vMerge w:val="continue"/>
            <w:tcBorders>
              <w:top w:val="nil"/>
              <w:left w:val="single" w:color="auto" w:sz="4" w:space="0"/>
              <w:bottom w:val="single" w:color="000000" w:sz="4" w:space="0"/>
              <w:right w:val="single" w:color="auto" w:sz="4" w:space="0"/>
            </w:tcBorders>
            <w:vAlign w:val="center"/>
          </w:tcPr>
          <w:p w14:paraId="069DDCCC">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712C3CE6">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492925A3">
            <w:pPr>
              <w:widowControl/>
              <w:spacing w:line="240" w:lineRule="auto"/>
              <w:rPr>
                <w:rFonts w:hint="eastAsia" w:cs="宋体"/>
                <w:color w:val="000000"/>
                <w:kern w:val="0"/>
                <w:sz w:val="22"/>
              </w:rPr>
            </w:pPr>
            <w:r>
              <w:rPr>
                <w:rFonts w:cs="宋体"/>
                <w:color w:val="000000"/>
                <w:kern w:val="0"/>
                <w:sz w:val="22"/>
              </w:rPr>
              <w:t>智能运维箱</w:t>
            </w:r>
          </w:p>
        </w:tc>
        <w:tc>
          <w:tcPr>
            <w:tcW w:w="3643" w:type="pct"/>
            <w:tcBorders>
              <w:top w:val="nil"/>
              <w:left w:val="nil"/>
              <w:bottom w:val="single" w:color="auto" w:sz="4" w:space="0"/>
              <w:right w:val="single" w:color="auto" w:sz="4" w:space="0"/>
            </w:tcBorders>
            <w:vAlign w:val="center"/>
          </w:tcPr>
          <w:p w14:paraId="4A95AF36">
            <w:pPr>
              <w:widowControl/>
              <w:spacing w:line="240" w:lineRule="auto"/>
              <w:rPr>
                <w:rFonts w:hint="eastAsia" w:cs="宋体"/>
                <w:color w:val="000000"/>
                <w:kern w:val="0"/>
                <w:sz w:val="22"/>
              </w:rPr>
            </w:pPr>
            <w:r>
              <w:rPr>
                <w:rFonts w:cs="宋体"/>
                <w:color w:val="000000"/>
                <w:kern w:val="0"/>
                <w:sz w:val="22"/>
              </w:rPr>
              <w:t>1、箱体采用优质镀锌钢板，防护等级≥IP55，厚度≥1.2 mm，</w:t>
            </w:r>
            <w:r>
              <w:rPr>
                <w:rFonts w:cs="宋体"/>
                <w:color w:val="000000"/>
                <w:kern w:val="0"/>
                <w:sz w:val="22"/>
              </w:rPr>
              <w:br w:type="textWrapping"/>
            </w:r>
            <w:r>
              <w:rPr>
                <w:rFonts w:cs="宋体"/>
                <w:color w:val="000000"/>
                <w:kern w:val="0"/>
                <w:sz w:val="22"/>
              </w:rPr>
              <w:t>2、智能化设备箱应采用高度集成一体化结构设计，箱内由空气开关、AC220V电源防雷器、自动重合闸、电源模块、、主控（网络传输模块+电管理模块）全集成模块、温控风扇、光纤熔接盒及防雷接地装置等组成；</w:t>
            </w:r>
            <w:r>
              <w:rPr>
                <w:rFonts w:cs="宋体"/>
                <w:color w:val="000000"/>
                <w:kern w:val="0"/>
                <w:sz w:val="22"/>
              </w:rPr>
              <w:br w:type="textWrapping"/>
            </w:r>
            <w:r>
              <w:rPr>
                <w:rFonts w:cs="宋体"/>
                <w:color w:val="000000"/>
                <w:kern w:val="0"/>
                <w:sz w:val="22"/>
              </w:rPr>
              <w:t>3、应提供≥9组可控（开/关、重启）电源输出（根据需求配置电源），具有独立的接口状态指示灯；</w:t>
            </w:r>
            <w:r>
              <w:rPr>
                <w:rFonts w:cs="宋体"/>
                <w:color w:val="000000"/>
                <w:kern w:val="0"/>
                <w:sz w:val="22"/>
              </w:rPr>
              <w:br w:type="textWrapping"/>
            </w:r>
            <w:r>
              <w:rPr>
                <w:rFonts w:cs="宋体"/>
                <w:color w:val="000000"/>
                <w:kern w:val="0"/>
                <w:sz w:val="22"/>
              </w:rPr>
              <w:t>4、具备自动重合闸，可远程配置和监测过压值、欠压值、漏电值、过流值；</w:t>
            </w:r>
            <w:r>
              <w:rPr>
                <w:rFonts w:cs="宋体"/>
                <w:color w:val="000000"/>
                <w:kern w:val="0"/>
                <w:sz w:val="22"/>
              </w:rPr>
              <w:br w:type="textWrapping"/>
            </w:r>
            <w:r>
              <w:rPr>
                <w:rFonts w:cs="宋体"/>
                <w:color w:val="000000"/>
                <w:kern w:val="0"/>
                <w:sz w:val="22"/>
              </w:rPr>
              <w:t>▲5、具应具有DC12V和DC5V延时输出接口；支持运维管理平台及单机WEB端独立控制；在无内置电池时，支持市电断电后延时工作，延时时长不小于10S；（投标人需提供第三方权威机构检测报告证明）</w:t>
            </w:r>
            <w:r>
              <w:rPr>
                <w:rFonts w:cs="宋体"/>
                <w:color w:val="000000"/>
                <w:kern w:val="0"/>
                <w:sz w:val="22"/>
              </w:rPr>
              <w:br w:type="textWrapping"/>
            </w:r>
            <w:r>
              <w:rPr>
                <w:rFonts w:cs="宋体"/>
                <w:color w:val="000000"/>
                <w:kern w:val="0"/>
                <w:sz w:val="22"/>
              </w:rPr>
              <w:t>6、具有能区分主干网络通信故障或供电故障，能区分市电掉电和漏电分闸等故障；</w:t>
            </w:r>
            <w:r>
              <w:rPr>
                <w:rFonts w:cs="宋体"/>
                <w:color w:val="000000"/>
                <w:kern w:val="0"/>
                <w:sz w:val="22"/>
              </w:rPr>
              <w:br w:type="textWrapping"/>
            </w:r>
            <w:r>
              <w:rPr>
                <w:rFonts w:cs="宋体"/>
                <w:color w:val="000000"/>
                <w:kern w:val="0"/>
                <w:sz w:val="22"/>
              </w:rPr>
              <w:t>7、具有强电防雷器状态监测功能；</w:t>
            </w:r>
            <w:r>
              <w:rPr>
                <w:rFonts w:cs="宋体"/>
                <w:color w:val="000000"/>
                <w:kern w:val="0"/>
                <w:sz w:val="22"/>
              </w:rPr>
              <w:br w:type="textWrapping"/>
            </w:r>
            <w:r>
              <w:rPr>
                <w:rFonts w:cs="宋体"/>
                <w:color w:val="000000"/>
                <w:kern w:val="0"/>
                <w:sz w:val="22"/>
              </w:rPr>
              <w:t>8、内置网络接口≥8个100/1000Base-Tx，SFP光接口：≥1个100/1000M ；</w:t>
            </w:r>
            <w:r>
              <w:rPr>
                <w:rFonts w:cs="宋体"/>
                <w:color w:val="000000"/>
                <w:kern w:val="0"/>
                <w:sz w:val="22"/>
              </w:rPr>
              <w:br w:type="textWrapping"/>
            </w:r>
            <w:r>
              <w:rPr>
                <w:rFonts w:cs="宋体"/>
                <w:color w:val="000000"/>
                <w:kern w:val="0"/>
                <w:sz w:val="22"/>
              </w:rPr>
              <w:t>9、支持网络端口速率设置、帧统计、VLAN、MAC地址绑定、SNMP管理等；</w:t>
            </w:r>
            <w:r>
              <w:rPr>
                <w:rFonts w:cs="宋体"/>
                <w:color w:val="000000"/>
                <w:kern w:val="0"/>
                <w:sz w:val="22"/>
              </w:rPr>
              <w:br w:type="textWrapping"/>
            </w:r>
            <w:r>
              <w:rPr>
                <w:rFonts w:cs="宋体"/>
                <w:color w:val="000000"/>
                <w:kern w:val="0"/>
                <w:sz w:val="22"/>
              </w:rPr>
              <w:t>10、具有实时监测光模块波长、速率、发射功率、接收功率、温度、电压及电流等；</w:t>
            </w:r>
            <w:r>
              <w:rPr>
                <w:rFonts w:cs="宋体"/>
                <w:color w:val="000000"/>
                <w:kern w:val="0"/>
                <w:sz w:val="22"/>
              </w:rPr>
              <w:br w:type="textWrapping"/>
            </w:r>
            <w:r>
              <w:rPr>
                <w:rFonts w:cs="宋体"/>
                <w:color w:val="000000"/>
                <w:kern w:val="0"/>
                <w:sz w:val="22"/>
              </w:rPr>
              <w:t>11、网口抗浪涌:在10/700</w:t>
            </w:r>
            <w:r>
              <w:rPr>
                <w:rFonts w:ascii="Calibri" w:hAnsi="Calibri" w:cs="Calibri"/>
                <w:color w:val="000000"/>
                <w:kern w:val="0"/>
                <w:sz w:val="22"/>
              </w:rPr>
              <w:t>μ</w:t>
            </w:r>
            <w:r>
              <w:rPr>
                <w:rFonts w:cs="宋体"/>
                <w:color w:val="000000"/>
                <w:kern w:val="0"/>
                <w:sz w:val="22"/>
              </w:rPr>
              <w:t>s，网口抗浪涌≥6KV；</w:t>
            </w:r>
            <w:r>
              <w:rPr>
                <w:rFonts w:cs="宋体"/>
                <w:color w:val="000000"/>
                <w:kern w:val="0"/>
                <w:sz w:val="22"/>
              </w:rPr>
              <w:br w:type="textWrapping"/>
            </w:r>
            <w:r>
              <w:rPr>
                <w:rFonts w:cs="宋体"/>
                <w:color w:val="000000"/>
                <w:kern w:val="0"/>
                <w:sz w:val="22"/>
              </w:rPr>
              <w:t>12、支持通过智能设备箱同一IP地址的Web端访问智能控制模块、电源管理模块以及网络传输模块，并进行所有数据查看、参数配置以及远程固件升级；</w:t>
            </w:r>
            <w:r>
              <w:rPr>
                <w:rFonts w:cs="宋体"/>
                <w:color w:val="000000"/>
                <w:kern w:val="0"/>
                <w:sz w:val="22"/>
              </w:rPr>
              <w:br w:type="textWrapping"/>
            </w:r>
            <w:r>
              <w:rPr>
                <w:rFonts w:cs="宋体"/>
                <w:color w:val="000000"/>
                <w:kern w:val="0"/>
                <w:sz w:val="22"/>
              </w:rPr>
              <w:t>▲13、可通过智能箱运维管理系统以及前端智能箱WEB客户端实时显示和查询设备状态:包含在线/离线、温度、湿度、电压、电流、电能、漏电流、网络、光纤(发射功率接收功率等)、风扇状态及转速、箱门、光照、电源输出状态、防雷器状态等参数；（投标人需提供第三方权威机构检测报告证明）</w:t>
            </w:r>
            <w:r>
              <w:rPr>
                <w:rFonts w:cs="宋体"/>
                <w:color w:val="000000"/>
                <w:kern w:val="0"/>
                <w:sz w:val="22"/>
              </w:rPr>
              <w:br w:type="textWrapping"/>
            </w:r>
            <w:r>
              <w:rPr>
                <w:rFonts w:cs="宋体"/>
                <w:color w:val="000000"/>
                <w:kern w:val="0"/>
                <w:sz w:val="22"/>
              </w:rPr>
              <w:t>14、支持智能箱运维管理平台以及单机WEB独立控制（打开、关闭、重启），可设定电源口定时并关机；</w:t>
            </w:r>
            <w:r>
              <w:rPr>
                <w:rFonts w:cs="宋体"/>
                <w:color w:val="000000"/>
                <w:kern w:val="0"/>
                <w:sz w:val="22"/>
              </w:rPr>
              <w:br w:type="textWrapping"/>
            </w:r>
            <w:r>
              <w:rPr>
                <w:rFonts w:cs="宋体"/>
                <w:color w:val="000000"/>
                <w:kern w:val="0"/>
                <w:sz w:val="22"/>
              </w:rPr>
              <w:t>15、智能设备箱具备可设置设备定时重启功能；</w:t>
            </w:r>
            <w:r>
              <w:rPr>
                <w:rFonts w:cs="宋体"/>
                <w:color w:val="000000"/>
                <w:kern w:val="0"/>
                <w:sz w:val="22"/>
              </w:rPr>
              <w:br w:type="textWrapping"/>
            </w:r>
            <w:r>
              <w:rPr>
                <w:rFonts w:cs="宋体"/>
                <w:color w:val="000000"/>
                <w:kern w:val="0"/>
                <w:sz w:val="22"/>
              </w:rPr>
              <w:t>▲16、当智能箱内温度、输入输出电压、断网、箱门、用电等异常情况下，管理平台具备通过语音和弹出界面方式进行告警提示；（投标人需提供第三方权威机构检测报告证明）</w:t>
            </w:r>
            <w:r>
              <w:rPr>
                <w:rFonts w:cs="宋体"/>
                <w:color w:val="000000"/>
                <w:kern w:val="0"/>
                <w:sz w:val="22"/>
              </w:rPr>
              <w:br w:type="textWrapping"/>
            </w:r>
            <w:r>
              <w:rPr>
                <w:rFonts w:cs="宋体"/>
                <w:color w:val="000000"/>
                <w:kern w:val="0"/>
                <w:sz w:val="22"/>
              </w:rPr>
              <w:t>17、应支持联动报警输出接口；</w:t>
            </w:r>
            <w:r>
              <w:rPr>
                <w:rFonts w:cs="宋体"/>
                <w:color w:val="000000"/>
                <w:kern w:val="0"/>
                <w:sz w:val="22"/>
              </w:rPr>
              <w:br w:type="textWrapping"/>
            </w:r>
            <w:r>
              <w:rPr>
                <w:rFonts w:cs="宋体"/>
                <w:color w:val="000000"/>
                <w:kern w:val="0"/>
                <w:sz w:val="22"/>
              </w:rPr>
              <w:t>18、工作温度：≥-40℃～+85℃</w:t>
            </w:r>
          </w:p>
        </w:tc>
        <w:tc>
          <w:tcPr>
            <w:tcW w:w="216" w:type="pct"/>
            <w:tcBorders>
              <w:top w:val="nil"/>
              <w:left w:val="nil"/>
              <w:bottom w:val="single" w:color="auto" w:sz="4" w:space="0"/>
              <w:right w:val="single" w:color="auto" w:sz="4" w:space="0"/>
            </w:tcBorders>
            <w:noWrap/>
            <w:vAlign w:val="center"/>
          </w:tcPr>
          <w:p w14:paraId="6B6F9204">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324196C5">
            <w:pPr>
              <w:widowControl/>
              <w:spacing w:line="240" w:lineRule="auto"/>
              <w:jc w:val="center"/>
              <w:rPr>
                <w:rFonts w:hint="eastAsia" w:cs="宋体"/>
                <w:color w:val="000000"/>
                <w:kern w:val="0"/>
                <w:sz w:val="22"/>
              </w:rPr>
            </w:pPr>
            <w:r>
              <w:rPr>
                <w:rFonts w:cs="宋体"/>
                <w:color w:val="000000"/>
                <w:kern w:val="0"/>
                <w:sz w:val="22"/>
              </w:rPr>
              <w:t>3</w:t>
            </w:r>
          </w:p>
        </w:tc>
      </w:tr>
      <w:tr w14:paraId="603E81BC">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C3CCE76">
            <w:pPr>
              <w:widowControl/>
              <w:spacing w:line="240" w:lineRule="auto"/>
              <w:jc w:val="center"/>
              <w:rPr>
                <w:rFonts w:hint="eastAsia" w:cs="宋体"/>
                <w:color w:val="000000"/>
                <w:kern w:val="0"/>
                <w:sz w:val="22"/>
              </w:rPr>
            </w:pPr>
            <w:r>
              <w:rPr>
                <w:rFonts w:cs="宋体"/>
                <w:color w:val="000000"/>
                <w:kern w:val="0"/>
                <w:sz w:val="22"/>
              </w:rPr>
              <w:t>4</w:t>
            </w:r>
          </w:p>
        </w:tc>
        <w:tc>
          <w:tcPr>
            <w:tcW w:w="152" w:type="pct"/>
            <w:vMerge w:val="continue"/>
            <w:tcBorders>
              <w:top w:val="nil"/>
              <w:left w:val="single" w:color="auto" w:sz="4" w:space="0"/>
              <w:bottom w:val="single" w:color="000000" w:sz="4" w:space="0"/>
              <w:right w:val="single" w:color="auto" w:sz="4" w:space="0"/>
            </w:tcBorders>
            <w:vAlign w:val="center"/>
          </w:tcPr>
          <w:p w14:paraId="13C934E6">
            <w:pPr>
              <w:widowControl/>
              <w:spacing w:line="240" w:lineRule="auto"/>
              <w:rPr>
                <w:rFonts w:hint="eastAsia" w:cs="宋体"/>
                <w:color w:val="000000"/>
                <w:kern w:val="0"/>
                <w:sz w:val="22"/>
              </w:rPr>
            </w:pPr>
          </w:p>
        </w:tc>
        <w:tc>
          <w:tcPr>
            <w:tcW w:w="331" w:type="pct"/>
            <w:vMerge w:val="restart"/>
            <w:tcBorders>
              <w:top w:val="nil"/>
              <w:left w:val="single" w:color="auto" w:sz="4" w:space="0"/>
              <w:bottom w:val="single" w:color="000000" w:sz="4" w:space="0"/>
              <w:right w:val="single" w:color="auto" w:sz="4" w:space="0"/>
            </w:tcBorders>
            <w:noWrap/>
            <w:vAlign w:val="center"/>
          </w:tcPr>
          <w:p w14:paraId="28FF1F97">
            <w:pPr>
              <w:widowControl/>
              <w:spacing w:line="240" w:lineRule="auto"/>
              <w:jc w:val="center"/>
              <w:rPr>
                <w:rFonts w:hint="eastAsia" w:cs="宋体"/>
                <w:color w:val="000000"/>
                <w:kern w:val="0"/>
                <w:sz w:val="22"/>
              </w:rPr>
            </w:pPr>
            <w:r>
              <w:rPr>
                <w:rFonts w:cs="宋体"/>
                <w:color w:val="000000"/>
                <w:kern w:val="0"/>
                <w:sz w:val="22"/>
              </w:rPr>
              <w:t>道路卡口</w:t>
            </w:r>
          </w:p>
        </w:tc>
        <w:tc>
          <w:tcPr>
            <w:tcW w:w="202" w:type="pct"/>
            <w:tcBorders>
              <w:top w:val="nil"/>
              <w:left w:val="nil"/>
              <w:bottom w:val="single" w:color="auto" w:sz="4" w:space="0"/>
              <w:right w:val="single" w:color="auto" w:sz="4" w:space="0"/>
            </w:tcBorders>
            <w:vAlign w:val="center"/>
          </w:tcPr>
          <w:p w14:paraId="5E6BBAFF">
            <w:pPr>
              <w:widowControl/>
              <w:spacing w:line="240" w:lineRule="auto"/>
              <w:rPr>
                <w:rFonts w:hint="eastAsia" w:cs="宋体"/>
                <w:color w:val="000000"/>
                <w:kern w:val="0"/>
                <w:sz w:val="22"/>
              </w:rPr>
            </w:pPr>
            <w:r>
              <w:rPr>
                <w:rFonts w:cs="宋体"/>
                <w:color w:val="000000"/>
                <w:kern w:val="0"/>
                <w:sz w:val="22"/>
              </w:rPr>
              <w:t>卡口监控</w:t>
            </w:r>
          </w:p>
        </w:tc>
        <w:tc>
          <w:tcPr>
            <w:tcW w:w="3643" w:type="pct"/>
            <w:tcBorders>
              <w:top w:val="nil"/>
              <w:left w:val="nil"/>
              <w:bottom w:val="single" w:color="auto" w:sz="4" w:space="0"/>
              <w:right w:val="single" w:color="auto" w:sz="4" w:space="0"/>
            </w:tcBorders>
            <w:vAlign w:val="center"/>
          </w:tcPr>
          <w:p w14:paraId="65F1ABFD">
            <w:pPr>
              <w:widowControl/>
              <w:spacing w:line="240" w:lineRule="auto"/>
              <w:rPr>
                <w:rFonts w:hint="eastAsia" w:cs="宋体"/>
                <w:color w:val="000000"/>
                <w:kern w:val="0"/>
                <w:sz w:val="22"/>
              </w:rPr>
            </w:pPr>
            <w:r>
              <w:rPr>
                <w:rFonts w:cs="宋体"/>
                <w:color w:val="000000"/>
                <w:kern w:val="0"/>
                <w:sz w:val="22"/>
              </w:rPr>
              <w:t>1、双光双摄，通道1分辨率≥3840×2160，通道2分辨率≥2560×1440；</w:t>
            </w:r>
            <w:r>
              <w:rPr>
                <w:rFonts w:cs="宋体"/>
                <w:color w:val="000000"/>
                <w:kern w:val="0"/>
                <w:sz w:val="22"/>
              </w:rPr>
              <w:br w:type="textWrapping"/>
            </w:r>
            <w:r>
              <w:rPr>
                <w:rFonts w:cs="宋体"/>
                <w:color w:val="000000"/>
                <w:kern w:val="0"/>
                <w:sz w:val="22"/>
              </w:rPr>
              <w:t>2、双通道最低照度彩色≤0.0005 Lux，黑白≤0.0001 Lux；</w:t>
            </w:r>
            <w:r>
              <w:rPr>
                <w:rFonts w:cs="宋体"/>
                <w:color w:val="000000"/>
                <w:kern w:val="0"/>
                <w:sz w:val="22"/>
              </w:rPr>
              <w:br w:type="textWrapping"/>
            </w:r>
            <w:r>
              <w:rPr>
                <w:rFonts w:cs="宋体"/>
                <w:color w:val="000000"/>
                <w:kern w:val="0"/>
                <w:sz w:val="22"/>
              </w:rPr>
              <w:t>3、通道1最大焦距≥50mm，电动变焦镜头，≥5倍变焦；</w:t>
            </w:r>
            <w:r>
              <w:rPr>
                <w:rFonts w:cs="宋体"/>
                <w:color w:val="000000"/>
                <w:kern w:val="0"/>
                <w:sz w:val="22"/>
              </w:rPr>
              <w:br w:type="textWrapping"/>
            </w:r>
            <w:r>
              <w:rPr>
                <w:rFonts w:cs="宋体"/>
                <w:color w:val="000000"/>
                <w:kern w:val="0"/>
                <w:sz w:val="22"/>
              </w:rPr>
              <w:t>4、内置补光灯，补光灯开启后正面不可见补光灯灯珠；</w:t>
            </w:r>
            <w:r>
              <w:rPr>
                <w:rFonts w:cs="宋体"/>
                <w:color w:val="000000"/>
                <w:kern w:val="0"/>
                <w:sz w:val="22"/>
              </w:rPr>
              <w:br w:type="textWrapping"/>
            </w:r>
            <w:r>
              <w:rPr>
                <w:rFonts w:cs="宋体"/>
                <w:color w:val="000000"/>
                <w:kern w:val="0"/>
                <w:sz w:val="22"/>
              </w:rPr>
              <w:t>5、支持机动车、非机动车、人员等多目标抓拍和属性分析；</w:t>
            </w:r>
            <w:r>
              <w:rPr>
                <w:rFonts w:cs="宋体"/>
                <w:color w:val="000000"/>
                <w:kern w:val="0"/>
                <w:sz w:val="22"/>
              </w:rPr>
              <w:br w:type="textWrapping"/>
            </w:r>
            <w:r>
              <w:rPr>
                <w:rFonts w:cs="宋体"/>
                <w:color w:val="000000"/>
                <w:kern w:val="0"/>
                <w:sz w:val="22"/>
              </w:rPr>
              <w:t>6、设备支持越界侦测，绊线入侵侦测，进入/离开区域侦测，徘徊侦测，人员聚集侦测，快速移动侦测；</w:t>
            </w:r>
            <w:r>
              <w:rPr>
                <w:rFonts w:cs="宋体"/>
                <w:color w:val="000000"/>
                <w:kern w:val="0"/>
                <w:sz w:val="22"/>
              </w:rPr>
              <w:br w:type="textWrapping"/>
            </w:r>
            <w:r>
              <w:rPr>
                <w:rFonts w:cs="宋体"/>
                <w:color w:val="000000"/>
                <w:kern w:val="0"/>
                <w:sz w:val="22"/>
              </w:rPr>
              <w:t>7、设备支持≥3路报警输入，≥2路报警输出，≥2路音频输入，≥1路音频输出，≥1个SD卡槽；</w:t>
            </w:r>
            <w:r>
              <w:rPr>
                <w:rFonts w:cs="宋体"/>
                <w:color w:val="000000"/>
                <w:kern w:val="0"/>
                <w:sz w:val="22"/>
              </w:rPr>
              <w:br w:type="textWrapping"/>
            </w:r>
            <w:r>
              <w:rPr>
                <w:rFonts w:cs="宋体"/>
                <w:color w:val="000000"/>
                <w:kern w:val="0"/>
                <w:sz w:val="22"/>
              </w:rPr>
              <w:t>8、设备支持镜头加热除冰，防护≥IP67。</w:t>
            </w:r>
          </w:p>
        </w:tc>
        <w:tc>
          <w:tcPr>
            <w:tcW w:w="216" w:type="pct"/>
            <w:tcBorders>
              <w:top w:val="nil"/>
              <w:left w:val="nil"/>
              <w:bottom w:val="single" w:color="auto" w:sz="4" w:space="0"/>
              <w:right w:val="single" w:color="auto" w:sz="4" w:space="0"/>
            </w:tcBorders>
            <w:noWrap/>
            <w:vAlign w:val="center"/>
          </w:tcPr>
          <w:p w14:paraId="03600392">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1575B8C8">
            <w:pPr>
              <w:widowControl/>
              <w:spacing w:line="240" w:lineRule="auto"/>
              <w:jc w:val="center"/>
              <w:rPr>
                <w:rFonts w:hint="eastAsia" w:cs="宋体"/>
                <w:color w:val="000000"/>
                <w:kern w:val="0"/>
                <w:sz w:val="22"/>
              </w:rPr>
            </w:pPr>
            <w:r>
              <w:rPr>
                <w:rFonts w:cs="宋体"/>
                <w:color w:val="000000"/>
                <w:kern w:val="0"/>
                <w:sz w:val="22"/>
              </w:rPr>
              <w:t>10</w:t>
            </w:r>
          </w:p>
        </w:tc>
      </w:tr>
      <w:tr w14:paraId="370DD447">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903E229">
            <w:pPr>
              <w:widowControl/>
              <w:spacing w:line="240" w:lineRule="auto"/>
              <w:jc w:val="center"/>
              <w:rPr>
                <w:rFonts w:hint="eastAsia" w:cs="宋体"/>
                <w:color w:val="000000"/>
                <w:kern w:val="0"/>
                <w:sz w:val="22"/>
              </w:rPr>
            </w:pPr>
            <w:r>
              <w:rPr>
                <w:rFonts w:cs="宋体"/>
                <w:color w:val="000000"/>
                <w:kern w:val="0"/>
                <w:sz w:val="22"/>
              </w:rPr>
              <w:t>5</w:t>
            </w:r>
          </w:p>
        </w:tc>
        <w:tc>
          <w:tcPr>
            <w:tcW w:w="152" w:type="pct"/>
            <w:vMerge w:val="continue"/>
            <w:tcBorders>
              <w:top w:val="nil"/>
              <w:left w:val="single" w:color="auto" w:sz="4" w:space="0"/>
              <w:bottom w:val="single" w:color="000000" w:sz="4" w:space="0"/>
              <w:right w:val="single" w:color="auto" w:sz="4" w:space="0"/>
            </w:tcBorders>
            <w:vAlign w:val="center"/>
          </w:tcPr>
          <w:p w14:paraId="05082912">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251C59C7">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4BACF0A6">
            <w:pPr>
              <w:widowControl/>
              <w:spacing w:line="240" w:lineRule="auto"/>
              <w:rPr>
                <w:rFonts w:hint="eastAsia" w:cs="宋体"/>
                <w:color w:val="000000"/>
                <w:kern w:val="0"/>
                <w:sz w:val="22"/>
              </w:rPr>
            </w:pPr>
            <w:r>
              <w:rPr>
                <w:rFonts w:cs="宋体"/>
                <w:color w:val="000000"/>
                <w:kern w:val="0"/>
                <w:sz w:val="22"/>
              </w:rPr>
              <w:t>卡口立杆</w:t>
            </w:r>
          </w:p>
        </w:tc>
        <w:tc>
          <w:tcPr>
            <w:tcW w:w="3643" w:type="pct"/>
            <w:tcBorders>
              <w:top w:val="nil"/>
              <w:left w:val="nil"/>
              <w:bottom w:val="single" w:color="auto" w:sz="4" w:space="0"/>
              <w:right w:val="single" w:color="auto" w:sz="4" w:space="0"/>
            </w:tcBorders>
            <w:vAlign w:val="center"/>
          </w:tcPr>
          <w:p w14:paraId="4498E37A">
            <w:pPr>
              <w:widowControl/>
              <w:spacing w:line="240" w:lineRule="auto"/>
              <w:rPr>
                <w:rFonts w:hint="eastAsia" w:cs="宋体"/>
                <w:color w:val="000000"/>
                <w:kern w:val="0"/>
                <w:sz w:val="22"/>
              </w:rPr>
            </w:pPr>
            <w:r>
              <w:rPr>
                <w:rFonts w:cs="宋体"/>
                <w:color w:val="000000"/>
                <w:kern w:val="0"/>
                <w:sz w:val="22"/>
              </w:rPr>
              <w:t>（一）卡口立杆</w:t>
            </w:r>
            <w:r>
              <w:rPr>
                <w:rFonts w:cs="宋体"/>
                <w:color w:val="000000"/>
                <w:kern w:val="0"/>
                <w:sz w:val="22"/>
              </w:rPr>
              <w:br w:type="textWrapping"/>
            </w:r>
            <w:r>
              <w:rPr>
                <w:rFonts w:cs="宋体"/>
                <w:color w:val="000000"/>
                <w:kern w:val="0"/>
                <w:sz w:val="22"/>
              </w:rPr>
              <w:t>1.结构形式：钢管法兰连接</w:t>
            </w:r>
            <w:r>
              <w:rPr>
                <w:rFonts w:cs="宋体"/>
                <w:color w:val="000000"/>
                <w:kern w:val="0"/>
                <w:sz w:val="22"/>
              </w:rPr>
              <w:br w:type="textWrapping"/>
            </w:r>
            <w:r>
              <w:rPr>
                <w:rFonts w:cs="宋体"/>
                <w:color w:val="000000"/>
                <w:kern w:val="0"/>
                <w:sz w:val="22"/>
              </w:rPr>
              <w:t>2.钢材材质：主材Q235B钢</w:t>
            </w:r>
            <w:r>
              <w:rPr>
                <w:rFonts w:cs="宋体"/>
                <w:color w:val="000000"/>
                <w:kern w:val="0"/>
                <w:sz w:val="22"/>
              </w:rPr>
              <w:br w:type="textWrapping"/>
            </w:r>
            <w:r>
              <w:rPr>
                <w:rFonts w:cs="宋体"/>
                <w:color w:val="000000"/>
                <w:kern w:val="0"/>
                <w:sz w:val="22"/>
              </w:rPr>
              <w:t>3.连接螺栓:6.8级热镀锌螺栓</w:t>
            </w:r>
            <w:r>
              <w:rPr>
                <w:rFonts w:cs="宋体"/>
                <w:color w:val="000000"/>
                <w:kern w:val="0"/>
                <w:sz w:val="22"/>
              </w:rPr>
              <w:br w:type="textWrapping"/>
            </w:r>
            <w:r>
              <w:rPr>
                <w:rFonts w:cs="宋体"/>
                <w:color w:val="000000"/>
                <w:kern w:val="0"/>
                <w:sz w:val="22"/>
              </w:rPr>
              <w:t>4.防腐处理：热镀锌</w:t>
            </w:r>
            <w:r>
              <w:rPr>
                <w:rFonts w:cs="宋体"/>
                <w:color w:val="000000"/>
                <w:kern w:val="0"/>
                <w:sz w:val="22"/>
              </w:rPr>
              <w:br w:type="textWrapping"/>
            </w:r>
            <w:r>
              <w:rPr>
                <w:rFonts w:cs="宋体"/>
                <w:color w:val="000000"/>
                <w:kern w:val="0"/>
                <w:sz w:val="22"/>
              </w:rPr>
              <w:t>5.基本风压：0.5KN/M2</w:t>
            </w:r>
            <w:r>
              <w:rPr>
                <w:rFonts w:cs="宋体"/>
                <w:color w:val="000000"/>
                <w:kern w:val="0"/>
                <w:sz w:val="22"/>
              </w:rPr>
              <w:br w:type="textWrapping"/>
            </w:r>
            <w:r>
              <w:rPr>
                <w:rFonts w:cs="宋体"/>
                <w:color w:val="000000"/>
                <w:kern w:val="0"/>
                <w:sz w:val="22"/>
              </w:rPr>
              <w:t>6.裹冰：≥8mm</w:t>
            </w:r>
            <w:r>
              <w:rPr>
                <w:rFonts w:cs="宋体"/>
                <w:color w:val="000000"/>
                <w:kern w:val="0"/>
                <w:sz w:val="22"/>
              </w:rPr>
              <w:br w:type="textWrapping"/>
            </w:r>
            <w:r>
              <w:rPr>
                <w:rFonts w:cs="宋体"/>
                <w:color w:val="000000"/>
                <w:kern w:val="0"/>
                <w:sz w:val="22"/>
              </w:rPr>
              <w:t>7.抗震烈度：8度</w:t>
            </w:r>
            <w:r>
              <w:rPr>
                <w:rFonts w:cs="宋体"/>
                <w:color w:val="000000"/>
                <w:kern w:val="0"/>
                <w:sz w:val="22"/>
              </w:rPr>
              <w:br w:type="textWrapping"/>
            </w:r>
            <w:r>
              <w:rPr>
                <w:rFonts w:cs="宋体"/>
                <w:color w:val="000000"/>
                <w:kern w:val="0"/>
                <w:sz w:val="22"/>
              </w:rPr>
              <w:t>8.垂直度：&lt;H/1000</w:t>
            </w:r>
            <w:r>
              <w:rPr>
                <w:rFonts w:cs="宋体"/>
                <w:color w:val="000000"/>
                <w:kern w:val="0"/>
                <w:sz w:val="22"/>
              </w:rPr>
              <w:br w:type="textWrapping"/>
            </w:r>
            <w:r>
              <w:rPr>
                <w:rFonts w:cs="宋体"/>
                <w:color w:val="000000"/>
                <w:kern w:val="0"/>
                <w:sz w:val="22"/>
              </w:rPr>
              <w:t>9.接地电阻：&lt;10</w:t>
            </w:r>
            <w:r>
              <w:rPr>
                <w:rFonts w:cs="宋体"/>
                <w:color w:val="000000"/>
                <w:kern w:val="0"/>
                <w:sz w:val="22"/>
              </w:rPr>
              <w:br w:type="textWrapping"/>
            </w:r>
            <w:r>
              <w:rPr>
                <w:rFonts w:cs="宋体"/>
                <w:color w:val="000000"/>
                <w:kern w:val="0"/>
                <w:sz w:val="22"/>
              </w:rPr>
              <w:t>10.地面粗糙度：B类</w:t>
            </w:r>
            <w:r>
              <w:rPr>
                <w:rFonts w:cs="宋体"/>
                <w:color w:val="000000"/>
                <w:kern w:val="0"/>
                <w:sz w:val="22"/>
              </w:rPr>
              <w:br w:type="textWrapping"/>
            </w:r>
            <w:r>
              <w:rPr>
                <w:rFonts w:cs="宋体"/>
                <w:color w:val="000000"/>
                <w:kern w:val="0"/>
                <w:sz w:val="22"/>
              </w:rPr>
              <w:t>11.安装方法：抱杆组立</w:t>
            </w:r>
            <w:r>
              <w:rPr>
                <w:rFonts w:cs="宋体"/>
                <w:color w:val="000000"/>
                <w:kern w:val="0"/>
                <w:sz w:val="22"/>
              </w:rPr>
              <w:br w:type="textWrapping"/>
            </w:r>
            <w:r>
              <w:rPr>
                <w:rFonts w:cs="宋体"/>
                <w:color w:val="000000"/>
                <w:kern w:val="0"/>
                <w:sz w:val="22"/>
              </w:rPr>
              <w:t>12.规格型号：主杆6米壁厚4mm、横臂2米壁厚3mm</w:t>
            </w:r>
            <w:r>
              <w:rPr>
                <w:rFonts w:cs="宋体"/>
                <w:color w:val="000000"/>
                <w:kern w:val="0"/>
                <w:sz w:val="22"/>
              </w:rPr>
              <w:br w:type="textWrapping"/>
            </w:r>
            <w:r>
              <w:rPr>
                <w:rFonts w:cs="宋体"/>
                <w:color w:val="000000"/>
                <w:kern w:val="0"/>
                <w:sz w:val="22"/>
              </w:rPr>
              <w:t>13.设计寿命：50年</w:t>
            </w:r>
            <w:r>
              <w:rPr>
                <w:rFonts w:cs="宋体"/>
                <w:color w:val="000000"/>
                <w:kern w:val="0"/>
                <w:sz w:val="22"/>
              </w:rPr>
              <w:br w:type="textWrapping"/>
            </w:r>
            <w:r>
              <w:rPr>
                <w:rFonts w:cs="宋体"/>
                <w:color w:val="000000"/>
                <w:kern w:val="0"/>
                <w:sz w:val="22"/>
              </w:rPr>
              <w:t>（二）防雷接地</w:t>
            </w:r>
            <w:r>
              <w:rPr>
                <w:rFonts w:cs="宋体"/>
                <w:color w:val="000000"/>
                <w:kern w:val="0"/>
                <w:sz w:val="22"/>
              </w:rPr>
              <w:br w:type="textWrapping"/>
            </w:r>
            <w:r>
              <w:rPr>
                <w:rFonts w:cs="宋体"/>
                <w:color w:val="000000"/>
                <w:kern w:val="0"/>
                <w:sz w:val="22"/>
              </w:rPr>
              <w:t>1.3.5米避雷针，绝缘体法兰，焊避雷针支架，：避雷针采用优化带圆柱避雷针采用 M32×2 材质 304 或以上不锈钢新型材料，长度大于等于 2 米，雷电通流量 In(300kA, 10/350μs）；抗风强度（40m/s）；螺纹安装（螺栓）,支架固定。安装要求绝缘安装"</w:t>
            </w:r>
            <w:r>
              <w:rPr>
                <w:rFonts w:cs="宋体"/>
                <w:color w:val="000000"/>
                <w:kern w:val="0"/>
                <w:sz w:val="22"/>
              </w:rPr>
              <w:br w:type="textWrapping"/>
            </w:r>
            <w:r>
              <w:rPr>
                <w:rFonts w:cs="宋体"/>
                <w:color w:val="000000"/>
                <w:kern w:val="0"/>
                <w:sz w:val="22"/>
              </w:rPr>
              <w:t>2.室外专用防晒防风化阻燃 25 平方多股接地线，含两端固定连接件</w:t>
            </w:r>
            <w:r>
              <w:rPr>
                <w:rFonts w:cs="宋体"/>
                <w:color w:val="000000"/>
                <w:kern w:val="0"/>
                <w:sz w:val="22"/>
              </w:rPr>
              <w:br w:type="textWrapping"/>
            </w:r>
            <w:r>
              <w:rPr>
                <w:rFonts w:cs="宋体"/>
                <w:color w:val="000000"/>
                <w:kern w:val="0"/>
                <w:sz w:val="22"/>
              </w:rPr>
              <w:t>3.电源部分最大持续工作电压Uc15VAC-320VAC;电压保护水平Up(200-1100V);最大放电电流Imax10(kA,8/20μs);响应时间tA(≤25ns)网络部分传输特性100Mbps;最大放电电流5Imax(kA,8/20μs)；响应时间≤1tA(ns)；插入损耗≤0.2(dB)</w:t>
            </w:r>
          </w:p>
        </w:tc>
        <w:tc>
          <w:tcPr>
            <w:tcW w:w="216" w:type="pct"/>
            <w:tcBorders>
              <w:top w:val="nil"/>
              <w:left w:val="nil"/>
              <w:bottom w:val="single" w:color="auto" w:sz="4" w:space="0"/>
              <w:right w:val="single" w:color="auto" w:sz="4" w:space="0"/>
            </w:tcBorders>
            <w:noWrap/>
            <w:vAlign w:val="center"/>
          </w:tcPr>
          <w:p w14:paraId="385B8AA0">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2AE1E4A8">
            <w:pPr>
              <w:widowControl/>
              <w:spacing w:line="240" w:lineRule="auto"/>
              <w:jc w:val="center"/>
              <w:rPr>
                <w:rFonts w:hint="eastAsia" w:cs="宋体"/>
                <w:color w:val="000000"/>
                <w:kern w:val="0"/>
                <w:sz w:val="22"/>
              </w:rPr>
            </w:pPr>
            <w:r>
              <w:rPr>
                <w:rFonts w:cs="宋体"/>
                <w:color w:val="000000"/>
                <w:kern w:val="0"/>
                <w:sz w:val="22"/>
              </w:rPr>
              <w:t>5</w:t>
            </w:r>
          </w:p>
        </w:tc>
      </w:tr>
      <w:tr w14:paraId="7A51F020">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8957A11">
            <w:pPr>
              <w:widowControl/>
              <w:spacing w:line="240" w:lineRule="auto"/>
              <w:jc w:val="center"/>
              <w:rPr>
                <w:rFonts w:hint="eastAsia" w:cs="宋体"/>
                <w:color w:val="000000"/>
                <w:kern w:val="0"/>
                <w:sz w:val="22"/>
              </w:rPr>
            </w:pPr>
            <w:r>
              <w:rPr>
                <w:rFonts w:cs="宋体"/>
                <w:color w:val="000000"/>
                <w:kern w:val="0"/>
                <w:sz w:val="22"/>
              </w:rPr>
              <w:t>6</w:t>
            </w:r>
          </w:p>
        </w:tc>
        <w:tc>
          <w:tcPr>
            <w:tcW w:w="152" w:type="pct"/>
            <w:vMerge w:val="continue"/>
            <w:tcBorders>
              <w:top w:val="nil"/>
              <w:left w:val="single" w:color="auto" w:sz="4" w:space="0"/>
              <w:bottom w:val="single" w:color="000000" w:sz="4" w:space="0"/>
              <w:right w:val="single" w:color="auto" w:sz="4" w:space="0"/>
            </w:tcBorders>
            <w:vAlign w:val="center"/>
          </w:tcPr>
          <w:p w14:paraId="0978A297">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7402281C">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11C9AF4A">
            <w:pPr>
              <w:widowControl/>
              <w:spacing w:line="240" w:lineRule="auto"/>
              <w:rPr>
                <w:rFonts w:hint="eastAsia" w:cs="宋体"/>
                <w:color w:val="000000"/>
                <w:kern w:val="0"/>
                <w:sz w:val="22"/>
              </w:rPr>
            </w:pPr>
            <w:r>
              <w:rPr>
                <w:rFonts w:cs="宋体"/>
                <w:color w:val="000000"/>
                <w:kern w:val="0"/>
                <w:sz w:val="22"/>
              </w:rPr>
              <w:t>智能运维箱</w:t>
            </w:r>
          </w:p>
        </w:tc>
        <w:tc>
          <w:tcPr>
            <w:tcW w:w="3643" w:type="pct"/>
            <w:tcBorders>
              <w:top w:val="nil"/>
              <w:left w:val="nil"/>
              <w:bottom w:val="single" w:color="auto" w:sz="4" w:space="0"/>
              <w:right w:val="single" w:color="auto" w:sz="4" w:space="0"/>
            </w:tcBorders>
            <w:vAlign w:val="center"/>
          </w:tcPr>
          <w:p w14:paraId="015659C4">
            <w:pPr>
              <w:widowControl/>
              <w:spacing w:line="240" w:lineRule="auto"/>
              <w:rPr>
                <w:rFonts w:hint="eastAsia" w:cs="宋体"/>
                <w:color w:val="000000"/>
                <w:kern w:val="0"/>
                <w:sz w:val="22"/>
              </w:rPr>
            </w:pPr>
            <w:r>
              <w:rPr>
                <w:rFonts w:cs="宋体"/>
                <w:color w:val="000000"/>
                <w:kern w:val="0"/>
                <w:sz w:val="22"/>
              </w:rPr>
              <w:t>1、箱体采用优质镀锌钢板，防护等级≥IP55，厚度≥1.2 mm，</w:t>
            </w:r>
            <w:r>
              <w:rPr>
                <w:rFonts w:cs="宋体"/>
                <w:color w:val="000000"/>
                <w:kern w:val="0"/>
                <w:sz w:val="22"/>
              </w:rPr>
              <w:br w:type="textWrapping"/>
            </w:r>
            <w:r>
              <w:rPr>
                <w:rFonts w:cs="宋体"/>
                <w:color w:val="000000"/>
                <w:kern w:val="0"/>
                <w:sz w:val="22"/>
              </w:rPr>
              <w:t>2、智能化设备箱应采用高度集成一体化结构设计，箱内由空气开关、AC220V电源防雷器、自动重合闸、电源模块、、主控（网络传输模块+电管理模块）全集成模块、温控风扇、光纤熔接盒及防雷接地装置等组成；</w:t>
            </w:r>
            <w:r>
              <w:rPr>
                <w:rFonts w:cs="宋体"/>
                <w:color w:val="000000"/>
                <w:kern w:val="0"/>
                <w:sz w:val="22"/>
              </w:rPr>
              <w:br w:type="textWrapping"/>
            </w:r>
            <w:r>
              <w:rPr>
                <w:rFonts w:cs="宋体"/>
                <w:color w:val="000000"/>
                <w:kern w:val="0"/>
                <w:sz w:val="22"/>
              </w:rPr>
              <w:t>3、应提供≥9组可控（开/关、重启）电源输出（根据需求配置电源），具有独立的接口状态指示灯；</w:t>
            </w:r>
            <w:r>
              <w:rPr>
                <w:rFonts w:cs="宋体"/>
                <w:color w:val="000000"/>
                <w:kern w:val="0"/>
                <w:sz w:val="22"/>
              </w:rPr>
              <w:br w:type="textWrapping"/>
            </w:r>
            <w:r>
              <w:rPr>
                <w:rFonts w:cs="宋体"/>
                <w:color w:val="000000"/>
                <w:kern w:val="0"/>
                <w:sz w:val="22"/>
              </w:rPr>
              <w:t>4、具备自动重合闸，可远程配置和监测过压值、欠压值、漏电值、过流值；</w:t>
            </w:r>
            <w:r>
              <w:rPr>
                <w:rFonts w:cs="宋体"/>
                <w:color w:val="000000"/>
                <w:kern w:val="0"/>
                <w:sz w:val="22"/>
              </w:rPr>
              <w:br w:type="textWrapping"/>
            </w:r>
            <w:r>
              <w:rPr>
                <w:rFonts w:cs="宋体"/>
                <w:color w:val="000000"/>
                <w:kern w:val="0"/>
                <w:sz w:val="22"/>
              </w:rPr>
              <w:t>5、具应具有DC12V和DC5V延时输出接口；支持运维管理平台及单机WEB端独立控制；在无内置电池时，支持市电断电后延时工作，延时时长不小于10S；（投标人需提供第三方权威机构检测报告证明）</w:t>
            </w:r>
            <w:r>
              <w:rPr>
                <w:rFonts w:cs="宋体"/>
                <w:color w:val="000000"/>
                <w:kern w:val="0"/>
                <w:sz w:val="22"/>
              </w:rPr>
              <w:br w:type="textWrapping"/>
            </w:r>
            <w:r>
              <w:rPr>
                <w:rFonts w:cs="宋体"/>
                <w:color w:val="000000"/>
                <w:kern w:val="0"/>
                <w:sz w:val="22"/>
              </w:rPr>
              <w:t>6、具有能区分主干网络通信故障或供电故障，能区分市电掉电和漏电分闸等故障；</w:t>
            </w:r>
            <w:r>
              <w:rPr>
                <w:rFonts w:cs="宋体"/>
                <w:color w:val="000000"/>
                <w:kern w:val="0"/>
                <w:sz w:val="22"/>
              </w:rPr>
              <w:br w:type="textWrapping"/>
            </w:r>
            <w:r>
              <w:rPr>
                <w:rFonts w:cs="宋体"/>
                <w:color w:val="000000"/>
                <w:kern w:val="0"/>
                <w:sz w:val="22"/>
              </w:rPr>
              <w:t>7、具有强电防雷器状态监测功能；</w:t>
            </w:r>
            <w:r>
              <w:rPr>
                <w:rFonts w:cs="宋体"/>
                <w:color w:val="000000"/>
                <w:kern w:val="0"/>
                <w:sz w:val="22"/>
              </w:rPr>
              <w:br w:type="textWrapping"/>
            </w:r>
            <w:r>
              <w:rPr>
                <w:rFonts w:cs="宋体"/>
                <w:color w:val="000000"/>
                <w:kern w:val="0"/>
                <w:sz w:val="22"/>
              </w:rPr>
              <w:t>8、内置网络接口≥8个100/1000Base-Tx，SFP光接口：≥1个100/1000M ；</w:t>
            </w:r>
            <w:r>
              <w:rPr>
                <w:rFonts w:cs="宋体"/>
                <w:color w:val="000000"/>
                <w:kern w:val="0"/>
                <w:sz w:val="22"/>
              </w:rPr>
              <w:br w:type="textWrapping"/>
            </w:r>
            <w:r>
              <w:rPr>
                <w:rFonts w:cs="宋体"/>
                <w:color w:val="000000"/>
                <w:kern w:val="0"/>
                <w:sz w:val="22"/>
              </w:rPr>
              <w:t>9、支持网络端口速率设置、帧统计、VLAN、MAC地址绑定、SNMP管理等；</w:t>
            </w:r>
            <w:r>
              <w:rPr>
                <w:rFonts w:cs="宋体"/>
                <w:color w:val="000000"/>
                <w:kern w:val="0"/>
                <w:sz w:val="22"/>
              </w:rPr>
              <w:br w:type="textWrapping"/>
            </w:r>
            <w:r>
              <w:rPr>
                <w:rFonts w:cs="宋体"/>
                <w:color w:val="000000"/>
                <w:kern w:val="0"/>
                <w:sz w:val="22"/>
              </w:rPr>
              <w:t>10、具有实时监测光模块波长、速率、发射功率、接收功率、温度、电压及电流等；</w:t>
            </w:r>
            <w:r>
              <w:rPr>
                <w:rFonts w:cs="宋体"/>
                <w:color w:val="000000"/>
                <w:kern w:val="0"/>
                <w:sz w:val="22"/>
              </w:rPr>
              <w:br w:type="textWrapping"/>
            </w:r>
            <w:r>
              <w:rPr>
                <w:rFonts w:cs="宋体"/>
                <w:color w:val="000000"/>
                <w:kern w:val="0"/>
                <w:sz w:val="22"/>
              </w:rPr>
              <w:t>11、网口抗浪涌:在10/700</w:t>
            </w:r>
            <w:r>
              <w:rPr>
                <w:rFonts w:ascii="Calibri" w:hAnsi="Calibri" w:cs="Calibri"/>
                <w:color w:val="000000"/>
                <w:kern w:val="0"/>
                <w:sz w:val="22"/>
              </w:rPr>
              <w:t>μ</w:t>
            </w:r>
            <w:r>
              <w:rPr>
                <w:rFonts w:cs="宋体"/>
                <w:color w:val="000000"/>
                <w:kern w:val="0"/>
                <w:sz w:val="22"/>
              </w:rPr>
              <w:t>s，网口抗浪涌≥6KV；</w:t>
            </w:r>
            <w:r>
              <w:rPr>
                <w:rFonts w:cs="宋体"/>
                <w:color w:val="000000"/>
                <w:kern w:val="0"/>
                <w:sz w:val="22"/>
              </w:rPr>
              <w:br w:type="textWrapping"/>
            </w:r>
            <w:r>
              <w:rPr>
                <w:rFonts w:cs="宋体"/>
                <w:color w:val="000000"/>
                <w:kern w:val="0"/>
                <w:sz w:val="22"/>
              </w:rPr>
              <w:t>12、支持通过智能设备箱同一IP地址的Web端访问智能控制模块、电源管理模块以及网络传输模块，并进行所有数据查看、参数配置以及远程固件升级；</w:t>
            </w:r>
            <w:r>
              <w:rPr>
                <w:rFonts w:cs="宋体"/>
                <w:color w:val="000000"/>
                <w:kern w:val="0"/>
                <w:sz w:val="22"/>
              </w:rPr>
              <w:br w:type="textWrapping"/>
            </w:r>
            <w:r>
              <w:rPr>
                <w:rFonts w:cs="宋体"/>
                <w:color w:val="000000"/>
                <w:kern w:val="0"/>
                <w:sz w:val="22"/>
              </w:rPr>
              <w:t>13、可通过智能箱运维管理系统以及前端智能箱WEB客户端实时显示和查询设备状态:包含在线/离线、温度、湿度、电压、电流、电能、漏电流、网络、光纤(发射功率接收功率等)、风扇状态及转速、箱门、光照、电源输出状态、防雷器状态等参数；（投标人需提供第三方权威机构检测报告证明）</w:t>
            </w:r>
            <w:r>
              <w:rPr>
                <w:rFonts w:cs="宋体"/>
                <w:color w:val="000000"/>
                <w:kern w:val="0"/>
                <w:sz w:val="22"/>
              </w:rPr>
              <w:br w:type="textWrapping"/>
            </w:r>
            <w:r>
              <w:rPr>
                <w:rFonts w:cs="宋体"/>
                <w:color w:val="000000"/>
                <w:kern w:val="0"/>
                <w:sz w:val="22"/>
              </w:rPr>
              <w:t>14、支持智能箱运维管理平台以及单机WEB独立控制（打开、关闭、重启），可设定电源口定时并关机；</w:t>
            </w:r>
            <w:r>
              <w:rPr>
                <w:rFonts w:cs="宋体"/>
                <w:color w:val="000000"/>
                <w:kern w:val="0"/>
                <w:sz w:val="22"/>
              </w:rPr>
              <w:br w:type="textWrapping"/>
            </w:r>
            <w:r>
              <w:rPr>
                <w:rFonts w:cs="宋体"/>
                <w:color w:val="000000"/>
                <w:kern w:val="0"/>
                <w:sz w:val="22"/>
              </w:rPr>
              <w:t>15、智能设备箱具备可设置设备定时重启功能；</w:t>
            </w:r>
            <w:r>
              <w:rPr>
                <w:rFonts w:cs="宋体"/>
                <w:color w:val="000000"/>
                <w:kern w:val="0"/>
                <w:sz w:val="22"/>
              </w:rPr>
              <w:br w:type="textWrapping"/>
            </w:r>
            <w:r>
              <w:rPr>
                <w:rFonts w:cs="宋体"/>
                <w:color w:val="000000"/>
                <w:kern w:val="0"/>
                <w:sz w:val="22"/>
              </w:rPr>
              <w:t>16、当智能箱内温度、输入输出电压、断网、箱门、用电等异常情况下，管理平台具备通过语音和弹出界面方式进行告警提示；（投标人需提供第三方权威机构检测报告证明）</w:t>
            </w:r>
            <w:r>
              <w:rPr>
                <w:rFonts w:cs="宋体"/>
                <w:color w:val="000000"/>
                <w:kern w:val="0"/>
                <w:sz w:val="22"/>
              </w:rPr>
              <w:br w:type="textWrapping"/>
            </w:r>
            <w:r>
              <w:rPr>
                <w:rFonts w:cs="宋体"/>
                <w:color w:val="000000"/>
                <w:kern w:val="0"/>
                <w:sz w:val="22"/>
              </w:rPr>
              <w:t>17、应支持联动报警输出接口；</w:t>
            </w:r>
            <w:r>
              <w:rPr>
                <w:rFonts w:cs="宋体"/>
                <w:color w:val="000000"/>
                <w:kern w:val="0"/>
                <w:sz w:val="22"/>
              </w:rPr>
              <w:br w:type="textWrapping"/>
            </w:r>
            <w:r>
              <w:rPr>
                <w:rFonts w:cs="宋体"/>
                <w:color w:val="000000"/>
                <w:kern w:val="0"/>
                <w:sz w:val="22"/>
              </w:rPr>
              <w:t>18、工作温度：≥-40℃～+85℃</w:t>
            </w:r>
          </w:p>
        </w:tc>
        <w:tc>
          <w:tcPr>
            <w:tcW w:w="216" w:type="pct"/>
            <w:tcBorders>
              <w:top w:val="nil"/>
              <w:left w:val="nil"/>
              <w:bottom w:val="single" w:color="auto" w:sz="4" w:space="0"/>
              <w:right w:val="single" w:color="auto" w:sz="4" w:space="0"/>
            </w:tcBorders>
            <w:noWrap/>
            <w:vAlign w:val="center"/>
          </w:tcPr>
          <w:p w14:paraId="68BE6A4D">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6C00EB5B">
            <w:pPr>
              <w:widowControl/>
              <w:spacing w:line="240" w:lineRule="auto"/>
              <w:jc w:val="center"/>
              <w:rPr>
                <w:rFonts w:hint="eastAsia" w:cs="宋体"/>
                <w:color w:val="000000"/>
                <w:kern w:val="0"/>
                <w:sz w:val="22"/>
              </w:rPr>
            </w:pPr>
            <w:r>
              <w:rPr>
                <w:rFonts w:cs="宋体"/>
                <w:color w:val="000000"/>
                <w:kern w:val="0"/>
                <w:sz w:val="22"/>
              </w:rPr>
              <w:t>5</w:t>
            </w:r>
          </w:p>
        </w:tc>
      </w:tr>
      <w:tr w14:paraId="3227CA70">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3475F562">
            <w:pPr>
              <w:widowControl/>
              <w:spacing w:line="240" w:lineRule="auto"/>
              <w:jc w:val="center"/>
              <w:rPr>
                <w:rFonts w:hint="eastAsia" w:cs="宋体"/>
                <w:color w:val="000000"/>
                <w:kern w:val="0"/>
                <w:sz w:val="22"/>
              </w:rPr>
            </w:pPr>
            <w:r>
              <w:rPr>
                <w:rFonts w:cs="宋体"/>
                <w:color w:val="000000"/>
                <w:kern w:val="0"/>
                <w:sz w:val="22"/>
              </w:rPr>
              <w:t>7</w:t>
            </w:r>
          </w:p>
        </w:tc>
        <w:tc>
          <w:tcPr>
            <w:tcW w:w="152" w:type="pct"/>
            <w:vMerge w:val="continue"/>
            <w:tcBorders>
              <w:top w:val="nil"/>
              <w:left w:val="single" w:color="auto" w:sz="4" w:space="0"/>
              <w:bottom w:val="single" w:color="000000" w:sz="4" w:space="0"/>
              <w:right w:val="single" w:color="auto" w:sz="4" w:space="0"/>
            </w:tcBorders>
            <w:vAlign w:val="center"/>
          </w:tcPr>
          <w:p w14:paraId="2C5390E3">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CEA179A">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B983F31">
            <w:pPr>
              <w:widowControl/>
              <w:spacing w:line="240" w:lineRule="auto"/>
              <w:rPr>
                <w:rFonts w:hint="eastAsia" w:cs="宋体"/>
                <w:color w:val="000000"/>
                <w:kern w:val="0"/>
                <w:sz w:val="22"/>
              </w:rPr>
            </w:pPr>
            <w:r>
              <w:rPr>
                <w:rFonts w:cs="宋体"/>
                <w:color w:val="000000"/>
                <w:kern w:val="0"/>
                <w:sz w:val="22"/>
              </w:rPr>
              <w:t>太阳能</w:t>
            </w:r>
          </w:p>
        </w:tc>
        <w:tc>
          <w:tcPr>
            <w:tcW w:w="3643" w:type="pct"/>
            <w:tcBorders>
              <w:top w:val="nil"/>
              <w:left w:val="nil"/>
              <w:bottom w:val="single" w:color="auto" w:sz="4" w:space="0"/>
              <w:right w:val="single" w:color="auto" w:sz="4" w:space="0"/>
            </w:tcBorders>
            <w:vAlign w:val="center"/>
          </w:tcPr>
          <w:p w14:paraId="7ABD293E">
            <w:pPr>
              <w:widowControl/>
              <w:spacing w:line="240" w:lineRule="auto"/>
              <w:rPr>
                <w:rFonts w:hint="eastAsia" w:cs="宋体"/>
                <w:color w:val="000000"/>
                <w:kern w:val="0"/>
                <w:sz w:val="22"/>
              </w:rPr>
            </w:pPr>
            <w:r>
              <w:rPr>
                <w:rFonts w:cs="宋体"/>
                <w:color w:val="000000"/>
                <w:kern w:val="0"/>
                <w:sz w:val="22"/>
              </w:rPr>
              <w:t>1、太阳能板：单晶光伏组件，组件容量≥900wp；取单块功率450w光伏组件，共计2块</w:t>
            </w:r>
            <w:r>
              <w:rPr>
                <w:rFonts w:cs="宋体"/>
                <w:color w:val="000000"/>
                <w:kern w:val="0"/>
                <w:sz w:val="22"/>
              </w:rPr>
              <w:br w:type="textWrapping"/>
            </w:r>
            <w:r>
              <w:rPr>
                <w:rFonts w:cs="宋体"/>
                <w:color w:val="000000"/>
                <w:kern w:val="0"/>
                <w:sz w:val="22"/>
              </w:rPr>
              <w:t>组件转换效率≥21%；</w:t>
            </w:r>
            <w:r>
              <w:rPr>
                <w:rFonts w:cs="宋体"/>
                <w:color w:val="000000"/>
                <w:kern w:val="0"/>
                <w:sz w:val="22"/>
              </w:rPr>
              <w:br w:type="textWrapping"/>
            </w:r>
            <w:r>
              <w:rPr>
                <w:rFonts w:cs="宋体"/>
                <w:color w:val="000000"/>
                <w:kern w:val="0"/>
                <w:sz w:val="22"/>
              </w:rPr>
              <w:t>额定工作电压31.0V～38.0V。</w:t>
            </w:r>
            <w:r>
              <w:rPr>
                <w:rFonts w:cs="宋体"/>
                <w:color w:val="000000"/>
                <w:kern w:val="0"/>
                <w:sz w:val="22"/>
              </w:rPr>
              <w:br w:type="textWrapping"/>
            </w:r>
            <w:r>
              <w:rPr>
                <w:rFonts w:cs="宋体"/>
                <w:color w:val="000000"/>
                <w:kern w:val="0"/>
                <w:sz w:val="22"/>
              </w:rPr>
              <w:t>2、太阳能控制器：系统电压：12V/24V/36V/48V自动切换；</w:t>
            </w:r>
            <w:r>
              <w:rPr>
                <w:rFonts w:cs="宋体"/>
                <w:color w:val="000000"/>
                <w:kern w:val="0"/>
                <w:sz w:val="22"/>
              </w:rPr>
              <w:br w:type="textWrapping"/>
            </w:r>
            <w:r>
              <w:rPr>
                <w:rFonts w:cs="宋体"/>
                <w:color w:val="000000"/>
                <w:kern w:val="0"/>
                <w:sz w:val="22"/>
              </w:rPr>
              <w:t>额定充电电流：≥60AMPPT；</w:t>
            </w:r>
            <w:r>
              <w:rPr>
                <w:rFonts w:cs="宋体"/>
                <w:color w:val="000000"/>
                <w:kern w:val="0"/>
                <w:sz w:val="22"/>
              </w:rPr>
              <w:br w:type="textWrapping"/>
            </w:r>
            <w:r>
              <w:rPr>
                <w:rFonts w:cs="宋体"/>
                <w:color w:val="000000"/>
                <w:kern w:val="0"/>
                <w:sz w:val="22"/>
              </w:rPr>
              <w:t>3、太阳能控制器追踪效率≥99.5%；</w:t>
            </w:r>
            <w:r>
              <w:rPr>
                <w:rFonts w:cs="宋体"/>
                <w:color w:val="000000"/>
                <w:kern w:val="0"/>
                <w:sz w:val="22"/>
              </w:rPr>
              <w:br w:type="textWrapping"/>
            </w:r>
            <w:r>
              <w:rPr>
                <w:rFonts w:cs="宋体"/>
                <w:color w:val="000000"/>
                <w:kern w:val="0"/>
                <w:sz w:val="22"/>
              </w:rPr>
              <w:t>功能特性：支持蓄电池电压、充电功率、光伏阵列电压、光伏阵阵列电流、设备温度、光伏充电运行状态、逆变器上管温度、逆变器下管温度、逆变器电压、逆变器电流、逆变器功率、逆变器状态、累计发电量、故障码等信息采集；带LCD屏显示功能，可查看设备运行数据和状态，支持控制器参数更改；支持通过开放接口上传信息；</w:t>
            </w:r>
            <w:r>
              <w:rPr>
                <w:rFonts w:cs="宋体"/>
                <w:color w:val="000000"/>
                <w:kern w:val="0"/>
                <w:sz w:val="22"/>
              </w:rPr>
              <w:br w:type="textWrapping"/>
            </w:r>
            <w:r>
              <w:rPr>
                <w:rFonts w:cs="宋体"/>
                <w:color w:val="000000"/>
                <w:kern w:val="0"/>
                <w:sz w:val="22"/>
              </w:rPr>
              <w:t>工作温度：-35°C～+45°C；</w:t>
            </w:r>
            <w:r>
              <w:rPr>
                <w:rFonts w:cs="宋体"/>
                <w:color w:val="000000"/>
                <w:kern w:val="0"/>
                <w:sz w:val="22"/>
              </w:rPr>
              <w:br w:type="textWrapping"/>
            </w:r>
            <w:r>
              <w:rPr>
                <w:rFonts w:cs="宋体"/>
                <w:color w:val="000000"/>
                <w:kern w:val="0"/>
                <w:sz w:val="22"/>
              </w:rPr>
              <w:t>4、铅炭电池，包含安装辅材，采用单节容量为DC12v100AH铅炭电池，共8节组成48v400ah蓄电池组；含一体化机柜，内置保温棉填充，具有抗压、耐腐蚀、防水等性能。</w:t>
            </w:r>
          </w:p>
        </w:tc>
        <w:tc>
          <w:tcPr>
            <w:tcW w:w="216" w:type="pct"/>
            <w:tcBorders>
              <w:top w:val="nil"/>
              <w:left w:val="nil"/>
              <w:bottom w:val="single" w:color="auto" w:sz="4" w:space="0"/>
              <w:right w:val="single" w:color="auto" w:sz="4" w:space="0"/>
            </w:tcBorders>
            <w:noWrap/>
            <w:vAlign w:val="center"/>
          </w:tcPr>
          <w:p w14:paraId="45E425AF">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5C8695A5">
            <w:pPr>
              <w:widowControl/>
              <w:spacing w:line="240" w:lineRule="auto"/>
              <w:jc w:val="center"/>
              <w:rPr>
                <w:rFonts w:hint="eastAsia" w:cs="宋体"/>
                <w:color w:val="000000"/>
                <w:kern w:val="0"/>
                <w:sz w:val="22"/>
              </w:rPr>
            </w:pPr>
            <w:r>
              <w:rPr>
                <w:rFonts w:cs="宋体"/>
                <w:color w:val="000000"/>
                <w:kern w:val="0"/>
                <w:sz w:val="22"/>
              </w:rPr>
              <w:t>2</w:t>
            </w:r>
          </w:p>
        </w:tc>
      </w:tr>
      <w:tr w14:paraId="0BF3A1C8">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3B8DE8F4">
            <w:pPr>
              <w:widowControl/>
              <w:spacing w:line="240" w:lineRule="auto"/>
              <w:jc w:val="center"/>
              <w:rPr>
                <w:rFonts w:hint="eastAsia" w:cs="宋体"/>
                <w:color w:val="000000"/>
                <w:kern w:val="0"/>
                <w:sz w:val="22"/>
              </w:rPr>
            </w:pPr>
            <w:r>
              <w:rPr>
                <w:rFonts w:cs="宋体"/>
                <w:color w:val="000000"/>
                <w:kern w:val="0"/>
                <w:sz w:val="22"/>
              </w:rPr>
              <w:t>8</w:t>
            </w:r>
          </w:p>
        </w:tc>
        <w:tc>
          <w:tcPr>
            <w:tcW w:w="152" w:type="pct"/>
            <w:vMerge w:val="continue"/>
            <w:tcBorders>
              <w:top w:val="nil"/>
              <w:left w:val="single" w:color="auto" w:sz="4" w:space="0"/>
              <w:bottom w:val="single" w:color="000000" w:sz="4" w:space="0"/>
              <w:right w:val="single" w:color="auto" w:sz="4" w:space="0"/>
            </w:tcBorders>
            <w:vAlign w:val="center"/>
          </w:tcPr>
          <w:p w14:paraId="4E2EB04E">
            <w:pPr>
              <w:widowControl/>
              <w:spacing w:line="240" w:lineRule="auto"/>
              <w:rPr>
                <w:rFonts w:hint="eastAsia" w:cs="宋体"/>
                <w:color w:val="000000"/>
                <w:kern w:val="0"/>
                <w:sz w:val="22"/>
              </w:rPr>
            </w:pPr>
          </w:p>
        </w:tc>
        <w:tc>
          <w:tcPr>
            <w:tcW w:w="331" w:type="pct"/>
            <w:vMerge w:val="restart"/>
            <w:tcBorders>
              <w:top w:val="nil"/>
              <w:left w:val="single" w:color="auto" w:sz="4" w:space="0"/>
              <w:bottom w:val="single" w:color="000000" w:sz="4" w:space="0"/>
              <w:right w:val="single" w:color="auto" w:sz="4" w:space="0"/>
            </w:tcBorders>
            <w:noWrap/>
            <w:vAlign w:val="center"/>
          </w:tcPr>
          <w:p w14:paraId="702E8E1A">
            <w:pPr>
              <w:widowControl/>
              <w:spacing w:line="240" w:lineRule="auto"/>
              <w:jc w:val="center"/>
              <w:rPr>
                <w:rFonts w:hint="eastAsia" w:cs="宋体"/>
                <w:color w:val="000000"/>
                <w:kern w:val="0"/>
                <w:sz w:val="22"/>
              </w:rPr>
            </w:pPr>
            <w:r>
              <w:rPr>
                <w:rFonts w:cs="宋体"/>
                <w:color w:val="000000"/>
                <w:kern w:val="0"/>
                <w:sz w:val="22"/>
              </w:rPr>
              <w:t>应急指挥</w:t>
            </w:r>
          </w:p>
        </w:tc>
        <w:tc>
          <w:tcPr>
            <w:tcW w:w="202" w:type="pct"/>
            <w:tcBorders>
              <w:top w:val="nil"/>
              <w:left w:val="nil"/>
              <w:bottom w:val="single" w:color="auto" w:sz="4" w:space="0"/>
              <w:right w:val="single" w:color="auto" w:sz="4" w:space="0"/>
            </w:tcBorders>
            <w:vAlign w:val="center"/>
          </w:tcPr>
          <w:p w14:paraId="450E7F9E">
            <w:pPr>
              <w:widowControl/>
              <w:spacing w:line="240" w:lineRule="auto"/>
              <w:rPr>
                <w:rFonts w:hint="eastAsia" w:cs="宋体"/>
                <w:color w:val="000000"/>
                <w:kern w:val="0"/>
                <w:sz w:val="22"/>
              </w:rPr>
            </w:pPr>
            <w:r>
              <w:rPr>
                <w:rFonts w:cs="宋体"/>
                <w:color w:val="000000"/>
                <w:kern w:val="0"/>
                <w:sz w:val="22"/>
              </w:rPr>
              <w:t>高通量便携式卫星地面站（带4G基站模块）</w:t>
            </w:r>
          </w:p>
        </w:tc>
        <w:tc>
          <w:tcPr>
            <w:tcW w:w="3643" w:type="pct"/>
            <w:tcBorders>
              <w:top w:val="nil"/>
              <w:left w:val="nil"/>
              <w:bottom w:val="single" w:color="auto" w:sz="4" w:space="0"/>
              <w:right w:val="single" w:color="auto" w:sz="4" w:space="0"/>
            </w:tcBorders>
            <w:vAlign w:val="center"/>
          </w:tcPr>
          <w:p w14:paraId="5842BA1F">
            <w:pPr>
              <w:widowControl/>
              <w:spacing w:line="240" w:lineRule="auto"/>
              <w:rPr>
                <w:rFonts w:hint="eastAsia" w:cs="宋体"/>
                <w:color w:val="000000"/>
                <w:kern w:val="0"/>
                <w:sz w:val="22"/>
              </w:rPr>
            </w:pPr>
            <w:r>
              <w:rPr>
                <w:rFonts w:cs="宋体"/>
                <w:color w:val="000000"/>
                <w:kern w:val="0"/>
                <w:sz w:val="22"/>
              </w:rPr>
              <w:t>1、操作方式：支持天线免拼装、一键对星、一键收藏；</w:t>
            </w:r>
            <w:r>
              <w:rPr>
                <w:rFonts w:cs="宋体"/>
                <w:color w:val="000000"/>
                <w:kern w:val="0"/>
                <w:sz w:val="22"/>
              </w:rPr>
              <w:br w:type="textWrapping"/>
            </w:r>
            <w:r>
              <w:rPr>
                <w:rFonts w:cs="宋体"/>
                <w:color w:val="000000"/>
                <w:kern w:val="0"/>
                <w:sz w:val="22"/>
              </w:rPr>
              <w:t>2、工作波段：Ka波段；</w:t>
            </w:r>
            <w:r>
              <w:rPr>
                <w:rFonts w:cs="宋体"/>
                <w:color w:val="000000"/>
                <w:kern w:val="0"/>
                <w:sz w:val="22"/>
              </w:rPr>
              <w:br w:type="textWrapping"/>
            </w:r>
            <w:r>
              <w:rPr>
                <w:rFonts w:cs="宋体"/>
                <w:color w:val="000000"/>
                <w:kern w:val="0"/>
                <w:sz w:val="22"/>
              </w:rPr>
              <w:t>3、等效口径：≥0.5米；</w:t>
            </w:r>
            <w:r>
              <w:rPr>
                <w:rFonts w:cs="宋体"/>
                <w:color w:val="000000"/>
                <w:kern w:val="0"/>
                <w:sz w:val="22"/>
              </w:rPr>
              <w:br w:type="textWrapping"/>
            </w:r>
            <w:r>
              <w:rPr>
                <w:rFonts w:cs="宋体"/>
                <w:color w:val="000000"/>
                <w:kern w:val="0"/>
                <w:sz w:val="22"/>
              </w:rPr>
              <w:t>4、工作频率：发射(Tx):29.00～30.00GHz、接收(Rx):17.70～20.20GHz</w:t>
            </w:r>
            <w:r>
              <w:rPr>
                <w:rFonts w:cs="宋体"/>
                <w:color w:val="000000"/>
                <w:kern w:val="0"/>
                <w:sz w:val="22"/>
              </w:rPr>
              <w:br w:type="textWrapping"/>
            </w:r>
            <w:r>
              <w:rPr>
                <w:rFonts w:cs="宋体"/>
                <w:color w:val="000000"/>
                <w:kern w:val="0"/>
                <w:sz w:val="22"/>
              </w:rPr>
              <w:t>5、天线增益： 发射(Tx):≥41.2dBi@29.5GHz、接收(Rx):≥37.8dBi@19.6GHz</w:t>
            </w:r>
            <w:r>
              <w:rPr>
                <w:rFonts w:cs="宋体"/>
                <w:color w:val="000000"/>
                <w:kern w:val="0"/>
                <w:sz w:val="22"/>
              </w:rPr>
              <w:br w:type="textWrapping"/>
            </w:r>
            <w:r>
              <w:rPr>
                <w:rFonts w:cs="宋体"/>
                <w:color w:val="000000"/>
                <w:kern w:val="0"/>
                <w:sz w:val="22"/>
              </w:rPr>
              <w:t>6、方位转动范围：±180°；</w:t>
            </w:r>
            <w:r>
              <w:rPr>
                <w:rFonts w:cs="宋体"/>
                <w:color w:val="000000"/>
                <w:kern w:val="0"/>
                <w:sz w:val="22"/>
              </w:rPr>
              <w:br w:type="textWrapping"/>
            </w:r>
            <w:r>
              <w:rPr>
                <w:rFonts w:cs="宋体"/>
                <w:color w:val="000000"/>
                <w:kern w:val="0"/>
                <w:sz w:val="22"/>
              </w:rPr>
              <w:t>7、俯仰转动范围：0°～90°连续可调；</w:t>
            </w:r>
            <w:r>
              <w:rPr>
                <w:rFonts w:cs="宋体"/>
                <w:color w:val="000000"/>
                <w:kern w:val="0"/>
                <w:sz w:val="22"/>
              </w:rPr>
              <w:br w:type="textWrapping"/>
            </w:r>
            <w:r>
              <w:rPr>
                <w:rFonts w:cs="宋体"/>
                <w:color w:val="000000"/>
                <w:kern w:val="0"/>
                <w:sz w:val="22"/>
              </w:rPr>
              <w:t>8、自动跟踪功能：便携站设备姿态发生变化导致对星偏离失锁后，可自动重新对准卫星；</w:t>
            </w:r>
            <w:r>
              <w:rPr>
                <w:rFonts w:cs="宋体"/>
                <w:color w:val="000000"/>
                <w:kern w:val="0"/>
                <w:sz w:val="22"/>
              </w:rPr>
              <w:br w:type="textWrapping"/>
            </w:r>
            <w:r>
              <w:rPr>
                <w:rFonts w:cs="宋体"/>
                <w:color w:val="000000"/>
                <w:kern w:val="0"/>
                <w:sz w:val="22"/>
              </w:rPr>
              <w:t>9、调制方式：前向：至少包含QPSK, 8PSK, 16APSK, 32APSK；反向：至少包含QPSK1/3, QPSK1/2, QPSK2/3, QPSK3/4, QPSK5/6, 8PSK2/3, 8PSK3/4, 8PSK5/6；</w:t>
            </w:r>
            <w:r>
              <w:rPr>
                <w:rFonts w:cs="宋体"/>
                <w:color w:val="000000"/>
                <w:kern w:val="0"/>
                <w:sz w:val="22"/>
              </w:rPr>
              <w:br w:type="textWrapping"/>
            </w:r>
            <w:r>
              <w:rPr>
                <w:rFonts w:cs="宋体"/>
                <w:color w:val="000000"/>
                <w:kern w:val="0"/>
                <w:sz w:val="22"/>
              </w:rPr>
              <w:t>10、编码方式：前向支持LDPC+BCH；反向支持Turbo；</w:t>
            </w:r>
            <w:r>
              <w:rPr>
                <w:rFonts w:cs="宋体"/>
                <w:color w:val="000000"/>
                <w:kern w:val="0"/>
                <w:sz w:val="22"/>
              </w:rPr>
              <w:br w:type="textWrapping"/>
            </w:r>
            <w:r>
              <w:rPr>
                <w:rFonts w:cs="宋体"/>
                <w:color w:val="000000"/>
                <w:kern w:val="0"/>
                <w:sz w:val="22"/>
              </w:rPr>
              <w:t>11、最高业务速率：下行：≥19Mbps；上行：≥5Mbps；</w:t>
            </w:r>
            <w:r>
              <w:rPr>
                <w:rFonts w:cs="宋体"/>
                <w:color w:val="000000"/>
                <w:kern w:val="0"/>
                <w:sz w:val="22"/>
              </w:rPr>
              <w:br w:type="textWrapping"/>
            </w:r>
            <w:r>
              <w:rPr>
                <w:rFonts w:cs="宋体"/>
                <w:color w:val="000000"/>
                <w:kern w:val="0"/>
                <w:sz w:val="22"/>
              </w:rPr>
              <w:t xml:space="preserve">12、收发信一体机：输出功率≥4W，能够接入我国Ka宽带卫星通信网； </w:t>
            </w:r>
            <w:r>
              <w:rPr>
                <w:rFonts w:cs="宋体"/>
                <w:color w:val="000000"/>
                <w:kern w:val="0"/>
                <w:sz w:val="22"/>
              </w:rPr>
              <w:br w:type="textWrapping"/>
            </w:r>
            <w:r>
              <w:rPr>
                <w:rFonts w:cs="宋体"/>
                <w:color w:val="000000"/>
                <w:kern w:val="0"/>
                <w:sz w:val="22"/>
              </w:rPr>
              <w:t>▲13、对星时间：≤2min；（投标人需提供第三方权威机构检测报告证明）</w:t>
            </w:r>
            <w:r>
              <w:rPr>
                <w:rFonts w:cs="宋体"/>
                <w:color w:val="000000"/>
                <w:kern w:val="0"/>
                <w:sz w:val="22"/>
              </w:rPr>
              <w:br w:type="textWrapping"/>
            </w:r>
            <w:r>
              <w:rPr>
                <w:rFonts w:cs="宋体"/>
                <w:color w:val="000000"/>
                <w:kern w:val="0"/>
                <w:sz w:val="22"/>
              </w:rPr>
              <w:t>14、数据接口：10/100/1000BaseT 802.1q以太网端口（航插），Wi-Fi；</w:t>
            </w:r>
            <w:r>
              <w:rPr>
                <w:rFonts w:cs="宋体"/>
                <w:color w:val="000000"/>
                <w:kern w:val="0"/>
                <w:sz w:val="22"/>
              </w:rPr>
              <w:br w:type="textWrapping"/>
            </w:r>
            <w:r>
              <w:rPr>
                <w:rFonts w:cs="宋体"/>
                <w:color w:val="000000"/>
                <w:kern w:val="0"/>
                <w:sz w:val="22"/>
              </w:rPr>
              <w:t>15、整机功耗：≤60W；</w:t>
            </w:r>
            <w:r>
              <w:rPr>
                <w:rFonts w:cs="宋体"/>
                <w:color w:val="000000"/>
                <w:kern w:val="0"/>
                <w:sz w:val="22"/>
              </w:rPr>
              <w:br w:type="textWrapping"/>
            </w:r>
            <w:r>
              <w:rPr>
                <w:rFonts w:cs="宋体"/>
                <w:color w:val="000000"/>
                <w:kern w:val="0"/>
                <w:sz w:val="22"/>
              </w:rPr>
              <w:t>16、电池供电：通信时长≥3小时；</w:t>
            </w:r>
            <w:r>
              <w:rPr>
                <w:rFonts w:cs="宋体"/>
                <w:color w:val="000000"/>
                <w:kern w:val="0"/>
                <w:sz w:val="22"/>
              </w:rPr>
              <w:br w:type="textWrapping"/>
            </w:r>
            <w:r>
              <w:rPr>
                <w:rFonts w:cs="宋体"/>
                <w:color w:val="000000"/>
                <w:kern w:val="0"/>
                <w:sz w:val="22"/>
              </w:rPr>
              <w:t>17、工作温度：-20℃～+55℃；</w:t>
            </w:r>
            <w:r>
              <w:rPr>
                <w:rFonts w:cs="宋体"/>
                <w:color w:val="000000"/>
                <w:kern w:val="0"/>
                <w:sz w:val="22"/>
              </w:rPr>
              <w:br w:type="textWrapping"/>
            </w:r>
            <w:r>
              <w:rPr>
                <w:rFonts w:cs="宋体"/>
                <w:color w:val="000000"/>
                <w:kern w:val="0"/>
                <w:sz w:val="22"/>
              </w:rPr>
              <w:t>18、储存温度：-40℃～+70℃；</w:t>
            </w:r>
            <w:r>
              <w:rPr>
                <w:rFonts w:cs="宋体"/>
                <w:color w:val="000000"/>
                <w:kern w:val="0"/>
                <w:sz w:val="22"/>
              </w:rPr>
              <w:br w:type="textWrapping"/>
            </w:r>
            <w:r>
              <w:rPr>
                <w:rFonts w:cs="宋体"/>
                <w:color w:val="000000"/>
                <w:kern w:val="0"/>
                <w:sz w:val="22"/>
              </w:rPr>
              <w:t>19、涉水深度：≥18cm；</w:t>
            </w:r>
            <w:r>
              <w:rPr>
                <w:rFonts w:cs="宋体"/>
                <w:color w:val="000000"/>
                <w:kern w:val="0"/>
                <w:sz w:val="22"/>
              </w:rPr>
              <w:br w:type="textWrapping"/>
            </w:r>
            <w:r>
              <w:rPr>
                <w:rFonts w:cs="宋体"/>
                <w:color w:val="000000"/>
                <w:kern w:val="0"/>
                <w:sz w:val="22"/>
              </w:rPr>
              <w:t>20、最大风速：≥25m/s；</w:t>
            </w:r>
            <w:r>
              <w:rPr>
                <w:rFonts w:cs="宋体"/>
                <w:color w:val="000000"/>
                <w:kern w:val="0"/>
                <w:sz w:val="22"/>
              </w:rPr>
              <w:br w:type="textWrapping"/>
            </w:r>
            <w:r>
              <w:rPr>
                <w:rFonts w:cs="宋体"/>
                <w:color w:val="000000"/>
                <w:kern w:val="0"/>
                <w:sz w:val="22"/>
              </w:rPr>
              <w:t>21、防护等级：≥IP66；</w:t>
            </w:r>
            <w:r>
              <w:rPr>
                <w:rFonts w:cs="宋体"/>
                <w:color w:val="000000"/>
                <w:kern w:val="0"/>
                <w:sz w:val="22"/>
              </w:rPr>
              <w:br w:type="textWrapping"/>
            </w:r>
            <w:r>
              <w:rPr>
                <w:rFonts w:cs="宋体"/>
                <w:color w:val="000000"/>
                <w:kern w:val="0"/>
                <w:sz w:val="22"/>
              </w:rPr>
              <w:t>22、设备净重：≤10kg；</w:t>
            </w:r>
            <w:r>
              <w:rPr>
                <w:rFonts w:cs="宋体"/>
                <w:color w:val="000000"/>
                <w:kern w:val="0"/>
                <w:sz w:val="22"/>
              </w:rPr>
              <w:br w:type="textWrapping"/>
            </w:r>
            <w:r>
              <w:rPr>
                <w:rFonts w:cs="宋体"/>
                <w:color w:val="000000"/>
                <w:kern w:val="0"/>
                <w:sz w:val="22"/>
              </w:rPr>
              <w:t>▲23、高通量卫星终端设备需取得国内上星使用的合规批准；（设备终端需提供中国卫通出具的《中国卫通Ka终端上星批准书》）</w:t>
            </w:r>
            <w:r>
              <w:rPr>
                <w:rFonts w:cs="宋体"/>
                <w:color w:val="000000"/>
                <w:kern w:val="0"/>
                <w:sz w:val="22"/>
              </w:rPr>
              <w:br w:type="textWrapping"/>
            </w:r>
            <w:r>
              <w:rPr>
                <w:rFonts w:cs="宋体"/>
                <w:color w:val="000000"/>
                <w:kern w:val="0"/>
                <w:sz w:val="22"/>
              </w:rPr>
              <w:t>内置地面运营商4G基站配合卫星链路恢复4G网络，4G基站需满足以下指标：</w:t>
            </w:r>
            <w:r>
              <w:rPr>
                <w:rFonts w:cs="宋体"/>
                <w:color w:val="000000"/>
                <w:kern w:val="0"/>
                <w:sz w:val="22"/>
              </w:rPr>
              <w:br w:type="textWrapping"/>
            </w:r>
            <w:r>
              <w:rPr>
                <w:rFonts w:cs="宋体"/>
                <w:color w:val="000000"/>
                <w:kern w:val="0"/>
                <w:sz w:val="22"/>
              </w:rPr>
              <w:t>★1、可接入到电信、移动、联通核心网；（投标人需提供第三方权威机构检测报告证明）</w:t>
            </w:r>
            <w:r>
              <w:rPr>
                <w:rFonts w:cs="宋体"/>
                <w:color w:val="000000"/>
                <w:kern w:val="0"/>
                <w:sz w:val="22"/>
              </w:rPr>
              <w:br w:type="textWrapping"/>
            </w:r>
            <w:r>
              <w:rPr>
                <w:rFonts w:cs="宋体"/>
                <w:color w:val="000000"/>
                <w:kern w:val="0"/>
                <w:sz w:val="22"/>
              </w:rPr>
              <w:t>2、支持FDD-LTE、TDD-LTE  bands:39/bands:40/bands:41等频段；</w:t>
            </w:r>
            <w:r>
              <w:rPr>
                <w:rFonts w:cs="宋体"/>
                <w:color w:val="000000"/>
                <w:kern w:val="0"/>
                <w:sz w:val="22"/>
              </w:rPr>
              <w:br w:type="textWrapping"/>
            </w:r>
            <w:r>
              <w:rPr>
                <w:rFonts w:cs="宋体"/>
                <w:color w:val="000000"/>
                <w:kern w:val="0"/>
                <w:sz w:val="22"/>
              </w:rPr>
              <w:t>3、支持5MHz/10MHz/15MHz/20MHz信道带宽；</w:t>
            </w:r>
            <w:r>
              <w:rPr>
                <w:rFonts w:cs="宋体"/>
                <w:color w:val="000000"/>
                <w:kern w:val="0"/>
                <w:sz w:val="22"/>
              </w:rPr>
              <w:br w:type="textWrapping"/>
            </w:r>
            <w:r>
              <w:rPr>
                <w:rFonts w:cs="宋体"/>
                <w:color w:val="000000"/>
                <w:kern w:val="0"/>
                <w:sz w:val="22"/>
              </w:rPr>
              <w:t>4、支持CSFB、VoLTE等语音方案；</w:t>
            </w:r>
            <w:r>
              <w:rPr>
                <w:rFonts w:cs="宋体"/>
                <w:color w:val="000000"/>
                <w:kern w:val="0"/>
                <w:sz w:val="22"/>
              </w:rPr>
              <w:br w:type="textWrapping"/>
            </w:r>
            <w:r>
              <w:rPr>
                <w:rFonts w:cs="宋体"/>
                <w:color w:val="000000"/>
                <w:kern w:val="0"/>
                <w:sz w:val="22"/>
              </w:rPr>
              <w:t>5、开阔场地环境下，4G信号有效覆盖距离不低于40米。</w:t>
            </w:r>
            <w:r>
              <w:rPr>
                <w:rFonts w:cs="宋体"/>
                <w:color w:val="000000"/>
                <w:kern w:val="0"/>
                <w:sz w:val="22"/>
              </w:rPr>
              <w:br w:type="textWrapping"/>
            </w:r>
            <w:r>
              <w:rPr>
                <w:rFonts w:cs="宋体"/>
                <w:color w:val="000000"/>
                <w:kern w:val="0"/>
                <w:sz w:val="22"/>
              </w:rPr>
              <w:t>6、设备业务能力：支持数据和语音业务并发，基站（或通过核心网）支持关闭数据上网功能。</w:t>
            </w:r>
            <w:r>
              <w:rPr>
                <w:rFonts w:cs="宋体"/>
                <w:color w:val="000000"/>
                <w:kern w:val="0"/>
                <w:sz w:val="22"/>
              </w:rPr>
              <w:br w:type="textWrapping"/>
            </w:r>
            <w:r>
              <w:rPr>
                <w:rFonts w:cs="宋体"/>
                <w:color w:val="000000"/>
                <w:kern w:val="0"/>
                <w:sz w:val="22"/>
              </w:rPr>
              <w:t>7、基站可选支持公网信号监测，可自动断开基站信号。</w:t>
            </w:r>
            <w:r>
              <w:rPr>
                <w:rFonts w:cs="宋体"/>
                <w:color w:val="000000"/>
                <w:kern w:val="0"/>
                <w:sz w:val="22"/>
              </w:rPr>
              <w:br w:type="textWrapping"/>
            </w:r>
            <w:r>
              <w:rPr>
                <w:rFonts w:cs="宋体"/>
                <w:color w:val="000000"/>
                <w:kern w:val="0"/>
                <w:sz w:val="22"/>
              </w:rPr>
              <w:t>8、业务并发用户数要求：4G≥24个并发用户数。</w:t>
            </w:r>
          </w:p>
        </w:tc>
        <w:tc>
          <w:tcPr>
            <w:tcW w:w="216" w:type="pct"/>
            <w:tcBorders>
              <w:top w:val="nil"/>
              <w:left w:val="nil"/>
              <w:bottom w:val="single" w:color="auto" w:sz="4" w:space="0"/>
              <w:right w:val="single" w:color="auto" w:sz="4" w:space="0"/>
            </w:tcBorders>
            <w:noWrap/>
            <w:vAlign w:val="center"/>
          </w:tcPr>
          <w:p w14:paraId="12EB1C6B">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60ADF096">
            <w:pPr>
              <w:widowControl/>
              <w:spacing w:line="240" w:lineRule="auto"/>
              <w:jc w:val="center"/>
              <w:rPr>
                <w:rFonts w:hint="eastAsia" w:cs="宋体"/>
                <w:color w:val="000000"/>
                <w:kern w:val="0"/>
                <w:sz w:val="22"/>
              </w:rPr>
            </w:pPr>
            <w:r>
              <w:rPr>
                <w:rFonts w:cs="宋体"/>
                <w:color w:val="000000"/>
                <w:kern w:val="0"/>
                <w:sz w:val="22"/>
              </w:rPr>
              <w:t>1</w:t>
            </w:r>
          </w:p>
        </w:tc>
      </w:tr>
      <w:tr w14:paraId="1D083C2C">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C922FBA">
            <w:pPr>
              <w:widowControl/>
              <w:spacing w:line="240" w:lineRule="auto"/>
              <w:jc w:val="center"/>
              <w:rPr>
                <w:rFonts w:hint="eastAsia" w:cs="宋体"/>
                <w:color w:val="000000"/>
                <w:kern w:val="0"/>
                <w:sz w:val="22"/>
              </w:rPr>
            </w:pPr>
            <w:r>
              <w:rPr>
                <w:rFonts w:cs="宋体"/>
                <w:color w:val="000000"/>
                <w:kern w:val="0"/>
                <w:sz w:val="22"/>
              </w:rPr>
              <w:t>9</w:t>
            </w:r>
          </w:p>
        </w:tc>
        <w:tc>
          <w:tcPr>
            <w:tcW w:w="152" w:type="pct"/>
            <w:vMerge w:val="continue"/>
            <w:tcBorders>
              <w:top w:val="nil"/>
              <w:left w:val="single" w:color="auto" w:sz="4" w:space="0"/>
              <w:bottom w:val="single" w:color="000000" w:sz="4" w:space="0"/>
              <w:right w:val="single" w:color="auto" w:sz="4" w:space="0"/>
            </w:tcBorders>
            <w:vAlign w:val="center"/>
          </w:tcPr>
          <w:p w14:paraId="2F3DC3A5">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F8758F2">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366C2B1C">
            <w:pPr>
              <w:widowControl/>
              <w:spacing w:line="240" w:lineRule="auto"/>
              <w:rPr>
                <w:rFonts w:hint="eastAsia" w:cs="宋体"/>
                <w:color w:val="000000"/>
                <w:kern w:val="0"/>
                <w:sz w:val="22"/>
              </w:rPr>
            </w:pPr>
            <w:r>
              <w:rPr>
                <w:rFonts w:cs="宋体"/>
                <w:color w:val="000000"/>
                <w:kern w:val="0"/>
                <w:sz w:val="22"/>
              </w:rPr>
              <w:t>自组网背负式中继台</w:t>
            </w:r>
          </w:p>
        </w:tc>
        <w:tc>
          <w:tcPr>
            <w:tcW w:w="3643" w:type="pct"/>
            <w:tcBorders>
              <w:top w:val="nil"/>
              <w:left w:val="nil"/>
              <w:bottom w:val="single" w:color="auto" w:sz="4" w:space="0"/>
              <w:right w:val="single" w:color="auto" w:sz="4" w:space="0"/>
            </w:tcBorders>
            <w:vAlign w:val="center"/>
          </w:tcPr>
          <w:p w14:paraId="6EBE99ED">
            <w:pPr>
              <w:widowControl/>
              <w:spacing w:line="240" w:lineRule="auto"/>
              <w:rPr>
                <w:rFonts w:hint="eastAsia" w:cs="宋体"/>
                <w:color w:val="000000"/>
                <w:kern w:val="0"/>
                <w:sz w:val="22"/>
              </w:rPr>
            </w:pPr>
            <w:r>
              <w:rPr>
                <w:rFonts w:cs="宋体"/>
                <w:color w:val="000000"/>
                <w:kern w:val="0"/>
                <w:sz w:val="22"/>
              </w:rPr>
              <w:t>（一）一般参数</w:t>
            </w:r>
            <w:r>
              <w:rPr>
                <w:rFonts w:cs="宋体"/>
                <w:color w:val="000000"/>
                <w:kern w:val="0"/>
                <w:sz w:val="22"/>
              </w:rPr>
              <w:br w:type="textWrapping"/>
            </w:r>
            <w:r>
              <w:rPr>
                <w:rFonts w:cs="宋体"/>
                <w:color w:val="000000"/>
                <w:kern w:val="0"/>
                <w:sz w:val="22"/>
              </w:rPr>
              <w:t>频率范围(可选)：136-174MHz / 350-400MHz / 400-480MHz</w:t>
            </w:r>
            <w:r>
              <w:rPr>
                <w:rFonts w:cs="宋体"/>
                <w:color w:val="000000"/>
                <w:kern w:val="0"/>
                <w:sz w:val="22"/>
              </w:rPr>
              <w:br w:type="textWrapping"/>
            </w:r>
            <w:r>
              <w:rPr>
                <w:rFonts w:cs="宋体"/>
                <w:color w:val="000000"/>
                <w:kern w:val="0"/>
                <w:sz w:val="22"/>
              </w:rPr>
              <w:t>信道数目：3776</w:t>
            </w:r>
            <w:r>
              <w:rPr>
                <w:rFonts w:cs="宋体"/>
                <w:color w:val="000000"/>
                <w:kern w:val="0"/>
                <w:sz w:val="22"/>
              </w:rPr>
              <w:br w:type="textWrapping"/>
            </w:r>
            <w:r>
              <w:rPr>
                <w:rFonts w:cs="宋体"/>
                <w:color w:val="000000"/>
                <w:kern w:val="0"/>
                <w:sz w:val="22"/>
              </w:rPr>
              <w:t>信道间隔：12.5KHz</w:t>
            </w:r>
            <w:r>
              <w:rPr>
                <w:rFonts w:cs="宋体"/>
                <w:color w:val="000000"/>
                <w:kern w:val="0"/>
                <w:sz w:val="22"/>
              </w:rPr>
              <w:br w:type="textWrapping"/>
            </w:r>
            <w:r>
              <w:rPr>
                <w:rFonts w:cs="宋体"/>
                <w:color w:val="000000"/>
                <w:kern w:val="0"/>
                <w:sz w:val="22"/>
              </w:rPr>
              <w:t>天线阻抗：50Ω</w:t>
            </w:r>
            <w:r>
              <w:rPr>
                <w:rFonts w:cs="宋体"/>
                <w:color w:val="000000"/>
                <w:kern w:val="0"/>
                <w:sz w:val="22"/>
              </w:rPr>
              <w:br w:type="textWrapping"/>
            </w:r>
            <w:r>
              <w:rPr>
                <w:rFonts w:cs="宋体"/>
                <w:color w:val="000000"/>
                <w:kern w:val="0"/>
                <w:sz w:val="22"/>
              </w:rPr>
              <w:t>电流消耗:≤6A</w:t>
            </w:r>
            <w:r>
              <w:rPr>
                <w:rFonts w:cs="宋体"/>
                <w:color w:val="000000"/>
                <w:kern w:val="0"/>
                <w:sz w:val="22"/>
              </w:rPr>
              <w:br w:type="textWrapping"/>
            </w:r>
            <w:r>
              <w:rPr>
                <w:rFonts w:cs="宋体"/>
                <w:color w:val="000000"/>
                <w:kern w:val="0"/>
                <w:sz w:val="22"/>
              </w:rPr>
              <w:t>(二)发射部分</w:t>
            </w:r>
            <w:r>
              <w:rPr>
                <w:rFonts w:cs="宋体"/>
                <w:color w:val="000000"/>
                <w:kern w:val="0"/>
                <w:sz w:val="22"/>
              </w:rPr>
              <w:br w:type="textWrapping"/>
            </w:r>
            <w:r>
              <w:rPr>
                <w:rFonts w:cs="宋体"/>
                <w:color w:val="000000"/>
                <w:kern w:val="0"/>
                <w:sz w:val="22"/>
              </w:rPr>
              <w:t>输出功率：发射25W(可调)</w:t>
            </w:r>
            <w:r>
              <w:rPr>
                <w:rFonts w:cs="宋体"/>
                <w:color w:val="000000"/>
                <w:kern w:val="0"/>
                <w:sz w:val="22"/>
              </w:rPr>
              <w:br w:type="textWrapping"/>
            </w:r>
            <w:r>
              <w:rPr>
                <w:rFonts w:cs="宋体"/>
                <w:color w:val="000000"/>
                <w:kern w:val="0"/>
                <w:sz w:val="22"/>
              </w:rPr>
              <w:t>频率稳定度：≤0.5ppm</w:t>
            </w:r>
            <w:r>
              <w:rPr>
                <w:rFonts w:cs="宋体"/>
                <w:color w:val="000000"/>
                <w:kern w:val="0"/>
                <w:sz w:val="22"/>
              </w:rPr>
              <w:br w:type="textWrapping"/>
            </w:r>
            <w:r>
              <w:rPr>
                <w:rFonts w:cs="宋体"/>
                <w:color w:val="000000"/>
                <w:kern w:val="0"/>
                <w:sz w:val="22"/>
              </w:rPr>
              <w:t>4FSK数字调制方式：12.5KHz 仅数据:7K60FXD/12.5KHz数据和语音:7K60FXW</w:t>
            </w:r>
            <w:r>
              <w:rPr>
                <w:rFonts w:cs="宋体"/>
                <w:color w:val="000000"/>
                <w:kern w:val="0"/>
                <w:sz w:val="22"/>
              </w:rPr>
              <w:br w:type="textWrapping"/>
            </w:r>
            <w:r>
              <w:rPr>
                <w:rFonts w:cs="宋体"/>
                <w:color w:val="000000"/>
                <w:kern w:val="0"/>
                <w:sz w:val="22"/>
              </w:rPr>
              <w:t>邻道功率：≤60dB</w:t>
            </w:r>
            <w:r>
              <w:rPr>
                <w:rFonts w:cs="宋体"/>
                <w:color w:val="000000"/>
                <w:kern w:val="0"/>
                <w:sz w:val="22"/>
              </w:rPr>
              <w:br w:type="textWrapping"/>
            </w:r>
            <w:r>
              <w:rPr>
                <w:rFonts w:cs="宋体"/>
                <w:color w:val="000000"/>
                <w:kern w:val="0"/>
                <w:sz w:val="22"/>
              </w:rPr>
              <w:t>杂散射频分量：-36dBm&lt;1GHz/-30dBm&gt;1GHz</w:t>
            </w:r>
            <w:r>
              <w:rPr>
                <w:rFonts w:cs="宋体"/>
                <w:color w:val="000000"/>
                <w:kern w:val="0"/>
                <w:sz w:val="22"/>
              </w:rPr>
              <w:br w:type="textWrapping"/>
            </w:r>
            <w:r>
              <w:rPr>
                <w:rFonts w:cs="宋体"/>
                <w:color w:val="000000"/>
                <w:kern w:val="0"/>
                <w:sz w:val="22"/>
              </w:rPr>
              <w:t>数字语音编码器：AMBE/Novc</w:t>
            </w:r>
            <w:r>
              <w:rPr>
                <w:rFonts w:cs="宋体"/>
                <w:color w:val="000000"/>
                <w:kern w:val="0"/>
                <w:sz w:val="22"/>
              </w:rPr>
              <w:br w:type="textWrapping"/>
            </w:r>
            <w:r>
              <w:rPr>
                <w:rFonts w:cs="宋体"/>
                <w:color w:val="000000"/>
                <w:kern w:val="0"/>
                <w:sz w:val="22"/>
              </w:rPr>
              <w:t>（三）接收部分</w:t>
            </w:r>
            <w:r>
              <w:rPr>
                <w:rFonts w:cs="宋体"/>
                <w:color w:val="000000"/>
                <w:kern w:val="0"/>
                <w:sz w:val="22"/>
              </w:rPr>
              <w:br w:type="textWrapping"/>
            </w:r>
            <w:r>
              <w:rPr>
                <w:rFonts w:cs="宋体"/>
                <w:color w:val="000000"/>
                <w:kern w:val="0"/>
                <w:sz w:val="22"/>
              </w:rPr>
              <w:t>灵敏度：3%BER≤0.35uV</w:t>
            </w:r>
            <w:r>
              <w:rPr>
                <w:rFonts w:cs="宋体"/>
                <w:color w:val="000000"/>
                <w:kern w:val="0"/>
                <w:sz w:val="22"/>
              </w:rPr>
              <w:br w:type="textWrapping"/>
            </w:r>
            <w:r>
              <w:rPr>
                <w:rFonts w:cs="宋体"/>
                <w:color w:val="000000"/>
                <w:kern w:val="0"/>
                <w:sz w:val="22"/>
              </w:rPr>
              <w:t>频率稳定度：≤0.5ppm</w:t>
            </w:r>
            <w:r>
              <w:rPr>
                <w:rFonts w:cs="宋体"/>
                <w:color w:val="000000"/>
                <w:kern w:val="0"/>
                <w:sz w:val="22"/>
              </w:rPr>
              <w:br w:type="textWrapping"/>
            </w:r>
            <w:r>
              <w:rPr>
                <w:rFonts w:cs="宋体"/>
                <w:color w:val="000000"/>
                <w:kern w:val="0"/>
                <w:sz w:val="22"/>
              </w:rPr>
              <w:t>邻道选择性：≥60dB</w:t>
            </w:r>
            <w:r>
              <w:rPr>
                <w:rFonts w:cs="宋体"/>
                <w:color w:val="000000"/>
                <w:kern w:val="0"/>
                <w:sz w:val="22"/>
              </w:rPr>
              <w:br w:type="textWrapping"/>
            </w:r>
            <w:r>
              <w:rPr>
                <w:rFonts w:cs="宋体"/>
                <w:color w:val="000000"/>
                <w:kern w:val="0"/>
                <w:sz w:val="22"/>
              </w:rPr>
              <w:t>互调抗扰性：≥65dB</w:t>
            </w:r>
            <w:r>
              <w:rPr>
                <w:rFonts w:cs="宋体"/>
                <w:color w:val="000000"/>
                <w:kern w:val="0"/>
                <w:sz w:val="22"/>
              </w:rPr>
              <w:br w:type="textWrapping"/>
            </w:r>
            <w:r>
              <w:rPr>
                <w:rFonts w:cs="宋体"/>
                <w:color w:val="000000"/>
                <w:kern w:val="0"/>
                <w:sz w:val="22"/>
              </w:rPr>
              <w:t>杂散响应：≥70dB</w:t>
            </w:r>
            <w:r>
              <w:rPr>
                <w:rFonts w:cs="宋体"/>
                <w:color w:val="000000"/>
                <w:kern w:val="0"/>
                <w:sz w:val="22"/>
              </w:rPr>
              <w:br w:type="textWrapping"/>
            </w:r>
            <w:r>
              <w:rPr>
                <w:rFonts w:cs="宋体"/>
                <w:color w:val="000000"/>
                <w:kern w:val="0"/>
                <w:sz w:val="22"/>
              </w:rPr>
              <w:t>沮塞：≥90dB</w:t>
            </w:r>
            <w:r>
              <w:rPr>
                <w:rFonts w:cs="宋体"/>
                <w:color w:val="000000"/>
                <w:kern w:val="0"/>
                <w:sz w:val="22"/>
              </w:rPr>
              <w:br w:type="textWrapping"/>
            </w:r>
            <w:r>
              <w:rPr>
                <w:rFonts w:cs="宋体"/>
                <w:color w:val="000000"/>
                <w:kern w:val="0"/>
                <w:sz w:val="22"/>
              </w:rPr>
              <w:t>（四）环境指标</w:t>
            </w:r>
            <w:r>
              <w:rPr>
                <w:rFonts w:cs="宋体"/>
                <w:color w:val="000000"/>
                <w:kern w:val="0"/>
                <w:sz w:val="22"/>
              </w:rPr>
              <w:br w:type="textWrapping"/>
            </w:r>
            <w:r>
              <w:rPr>
                <w:rFonts w:cs="宋体"/>
                <w:color w:val="000000"/>
                <w:kern w:val="0"/>
                <w:sz w:val="22"/>
              </w:rPr>
              <w:t>工作环境温度：≥-30°C~ - +70°C</w:t>
            </w:r>
            <w:r>
              <w:rPr>
                <w:rFonts w:cs="宋体"/>
                <w:color w:val="000000"/>
                <w:kern w:val="0"/>
                <w:sz w:val="22"/>
              </w:rPr>
              <w:br w:type="textWrapping"/>
            </w:r>
            <w:r>
              <w:rPr>
                <w:rFonts w:cs="宋体"/>
                <w:color w:val="000000"/>
                <w:kern w:val="0"/>
                <w:sz w:val="22"/>
              </w:rPr>
              <w:t>存储环境温度：≥40°C~ - +85°C</w:t>
            </w:r>
            <w:r>
              <w:rPr>
                <w:rFonts w:cs="宋体"/>
                <w:color w:val="000000"/>
                <w:kern w:val="0"/>
                <w:sz w:val="22"/>
              </w:rPr>
              <w:br w:type="textWrapping"/>
            </w:r>
            <w:r>
              <w:rPr>
                <w:rFonts w:cs="宋体"/>
                <w:color w:val="000000"/>
                <w:kern w:val="0"/>
                <w:sz w:val="22"/>
              </w:rPr>
              <w:t>防尘和防水等级：≥IP68</w:t>
            </w:r>
          </w:p>
        </w:tc>
        <w:tc>
          <w:tcPr>
            <w:tcW w:w="216" w:type="pct"/>
            <w:tcBorders>
              <w:top w:val="nil"/>
              <w:left w:val="nil"/>
              <w:bottom w:val="single" w:color="auto" w:sz="4" w:space="0"/>
              <w:right w:val="single" w:color="auto" w:sz="4" w:space="0"/>
            </w:tcBorders>
            <w:noWrap/>
            <w:vAlign w:val="center"/>
          </w:tcPr>
          <w:p w14:paraId="21240140">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7D50BA4E">
            <w:pPr>
              <w:widowControl/>
              <w:spacing w:line="240" w:lineRule="auto"/>
              <w:jc w:val="center"/>
              <w:rPr>
                <w:rFonts w:hint="eastAsia" w:cs="宋体"/>
                <w:color w:val="000000"/>
                <w:kern w:val="0"/>
                <w:sz w:val="22"/>
              </w:rPr>
            </w:pPr>
            <w:r>
              <w:rPr>
                <w:rFonts w:cs="宋体"/>
                <w:color w:val="000000"/>
                <w:kern w:val="0"/>
                <w:sz w:val="22"/>
              </w:rPr>
              <w:t>2</w:t>
            </w:r>
          </w:p>
        </w:tc>
      </w:tr>
      <w:tr w14:paraId="0BB6710A">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FF924F2">
            <w:pPr>
              <w:widowControl/>
              <w:spacing w:line="240" w:lineRule="auto"/>
              <w:jc w:val="center"/>
              <w:rPr>
                <w:rFonts w:hint="eastAsia" w:cs="宋体"/>
                <w:color w:val="000000"/>
                <w:kern w:val="0"/>
                <w:sz w:val="22"/>
              </w:rPr>
            </w:pPr>
            <w:r>
              <w:rPr>
                <w:rFonts w:cs="宋体"/>
                <w:color w:val="000000"/>
                <w:kern w:val="0"/>
                <w:sz w:val="22"/>
              </w:rPr>
              <w:t>10</w:t>
            </w:r>
          </w:p>
        </w:tc>
        <w:tc>
          <w:tcPr>
            <w:tcW w:w="152" w:type="pct"/>
            <w:vMerge w:val="continue"/>
            <w:tcBorders>
              <w:top w:val="nil"/>
              <w:left w:val="single" w:color="auto" w:sz="4" w:space="0"/>
              <w:bottom w:val="single" w:color="000000" w:sz="4" w:space="0"/>
              <w:right w:val="single" w:color="auto" w:sz="4" w:space="0"/>
            </w:tcBorders>
            <w:vAlign w:val="center"/>
          </w:tcPr>
          <w:p w14:paraId="740B4442">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F468AD7">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049457B">
            <w:pPr>
              <w:widowControl/>
              <w:spacing w:line="240" w:lineRule="auto"/>
              <w:rPr>
                <w:rFonts w:hint="eastAsia" w:cs="宋体"/>
                <w:color w:val="000000"/>
                <w:kern w:val="0"/>
                <w:sz w:val="22"/>
              </w:rPr>
            </w:pPr>
            <w:r>
              <w:rPr>
                <w:rFonts w:cs="宋体"/>
                <w:color w:val="000000"/>
                <w:kern w:val="0"/>
                <w:sz w:val="22"/>
              </w:rPr>
              <w:t>双模数字对讲终端</w:t>
            </w:r>
          </w:p>
        </w:tc>
        <w:tc>
          <w:tcPr>
            <w:tcW w:w="3643" w:type="pct"/>
            <w:tcBorders>
              <w:top w:val="nil"/>
              <w:left w:val="nil"/>
              <w:bottom w:val="single" w:color="auto" w:sz="4" w:space="0"/>
              <w:right w:val="single" w:color="auto" w:sz="4" w:space="0"/>
            </w:tcBorders>
            <w:vAlign w:val="center"/>
          </w:tcPr>
          <w:p w14:paraId="15FB3E67">
            <w:pPr>
              <w:widowControl/>
              <w:spacing w:line="240" w:lineRule="auto"/>
              <w:rPr>
                <w:rFonts w:hint="eastAsia" w:cs="宋体"/>
                <w:color w:val="000000"/>
                <w:kern w:val="0"/>
                <w:sz w:val="22"/>
              </w:rPr>
            </w:pPr>
            <w:r>
              <w:rPr>
                <w:rFonts w:cs="宋体"/>
                <w:color w:val="000000"/>
                <w:kern w:val="0"/>
                <w:sz w:val="22"/>
              </w:rPr>
              <w:t>（一）一般参数</w:t>
            </w:r>
            <w:r>
              <w:rPr>
                <w:rFonts w:cs="宋体"/>
                <w:color w:val="000000"/>
                <w:kern w:val="0"/>
                <w:sz w:val="22"/>
              </w:rPr>
              <w:br w:type="textWrapping"/>
            </w:r>
            <w:r>
              <w:rPr>
                <w:rFonts w:cs="宋体"/>
                <w:color w:val="000000"/>
                <w:kern w:val="0"/>
                <w:sz w:val="22"/>
              </w:rPr>
              <w:t>终端：带屏幕智能终端</w:t>
            </w:r>
            <w:r>
              <w:rPr>
                <w:rFonts w:cs="宋体"/>
                <w:color w:val="000000"/>
                <w:kern w:val="0"/>
                <w:sz w:val="22"/>
              </w:rPr>
              <w:br w:type="textWrapping"/>
            </w:r>
            <w:r>
              <w:rPr>
                <w:rFonts w:cs="宋体"/>
                <w:color w:val="000000"/>
                <w:kern w:val="0"/>
                <w:sz w:val="22"/>
              </w:rPr>
              <w:t>频率范围：包含136-174MHz /350-390MHz /400-480MHz</w:t>
            </w:r>
            <w:r>
              <w:rPr>
                <w:rFonts w:cs="宋体"/>
                <w:color w:val="000000"/>
                <w:kern w:val="0"/>
                <w:sz w:val="22"/>
              </w:rPr>
              <w:br w:type="textWrapping"/>
            </w:r>
            <w:r>
              <w:rPr>
                <w:rFonts w:cs="宋体"/>
                <w:color w:val="000000"/>
                <w:kern w:val="0"/>
                <w:sz w:val="22"/>
              </w:rPr>
              <w:t>信道间隔：12.5KHz/25KHz</w:t>
            </w:r>
            <w:r>
              <w:rPr>
                <w:rFonts w:cs="宋体"/>
                <w:color w:val="000000"/>
                <w:kern w:val="0"/>
                <w:sz w:val="22"/>
              </w:rPr>
              <w:br w:type="textWrapping"/>
            </w:r>
            <w:r>
              <w:rPr>
                <w:rFonts w:cs="宋体"/>
                <w:color w:val="000000"/>
                <w:kern w:val="0"/>
                <w:sz w:val="22"/>
              </w:rPr>
              <w:t>电池容量：不小于4000 mAh</w:t>
            </w:r>
            <w:r>
              <w:rPr>
                <w:rFonts w:cs="宋体"/>
                <w:color w:val="000000"/>
                <w:kern w:val="0"/>
                <w:sz w:val="22"/>
              </w:rPr>
              <w:br w:type="textWrapping"/>
            </w:r>
            <w:r>
              <w:rPr>
                <w:rFonts w:cs="宋体"/>
                <w:color w:val="000000"/>
                <w:kern w:val="0"/>
                <w:sz w:val="22"/>
              </w:rPr>
              <w:t>频段：包含GSM: B2/3/5/8、CDMA: BC0、WCDMA: B1/2/5/8、TDS: B34/39、FDD:B1/2/3/5/7/8/18/19/20/25/26/28a/28b、TDD:B34/38/39/40/41</w:t>
            </w:r>
            <w:r>
              <w:rPr>
                <w:rFonts w:cs="宋体"/>
                <w:color w:val="000000"/>
                <w:kern w:val="0"/>
                <w:sz w:val="22"/>
              </w:rPr>
              <w:br w:type="textWrapping"/>
            </w:r>
            <w:r>
              <w:rPr>
                <w:rFonts w:cs="宋体"/>
                <w:color w:val="000000"/>
                <w:kern w:val="0"/>
                <w:sz w:val="22"/>
              </w:rPr>
              <w:t>WLAN：支持2.4GHz,802.11b/g/，支持WIFI辅助定位</w:t>
            </w:r>
            <w:r>
              <w:rPr>
                <w:rFonts w:cs="宋体"/>
                <w:color w:val="000000"/>
                <w:kern w:val="0"/>
                <w:sz w:val="22"/>
              </w:rPr>
              <w:br w:type="textWrapping"/>
            </w:r>
            <w:r>
              <w:rPr>
                <w:rFonts w:cs="宋体"/>
                <w:color w:val="000000"/>
                <w:kern w:val="0"/>
                <w:sz w:val="22"/>
              </w:rPr>
              <w:t>摄像头：带摄像头</w:t>
            </w:r>
            <w:r>
              <w:rPr>
                <w:rFonts w:cs="宋体"/>
                <w:color w:val="000000"/>
                <w:kern w:val="0"/>
                <w:sz w:val="22"/>
              </w:rPr>
              <w:br w:type="textWrapping"/>
            </w:r>
            <w:r>
              <w:rPr>
                <w:rFonts w:cs="宋体"/>
                <w:color w:val="000000"/>
                <w:kern w:val="0"/>
                <w:sz w:val="22"/>
              </w:rPr>
              <w:t>功能：带定位功能，支持无公网环境轨迹数据本地存储，有公网时自动上传</w:t>
            </w:r>
            <w:r>
              <w:rPr>
                <w:rFonts w:cs="宋体"/>
                <w:color w:val="000000"/>
                <w:kern w:val="0"/>
                <w:sz w:val="22"/>
              </w:rPr>
              <w:br w:type="textWrapping"/>
            </w:r>
            <w:r>
              <w:rPr>
                <w:rFonts w:cs="宋体"/>
                <w:color w:val="000000"/>
                <w:kern w:val="0"/>
                <w:sz w:val="22"/>
              </w:rPr>
              <w:t>（二）发射部分</w:t>
            </w:r>
            <w:r>
              <w:rPr>
                <w:rFonts w:cs="宋体"/>
                <w:color w:val="000000"/>
                <w:kern w:val="0"/>
                <w:sz w:val="22"/>
              </w:rPr>
              <w:br w:type="textWrapping"/>
            </w:r>
            <w:r>
              <w:rPr>
                <w:rFonts w:cs="宋体"/>
                <w:color w:val="000000"/>
                <w:kern w:val="0"/>
                <w:sz w:val="22"/>
              </w:rPr>
              <w:t>输出功率：高功率：3W、低功率：2W</w:t>
            </w:r>
            <w:r>
              <w:rPr>
                <w:rFonts w:cs="宋体"/>
                <w:color w:val="000000"/>
                <w:kern w:val="0"/>
                <w:sz w:val="22"/>
              </w:rPr>
              <w:br w:type="textWrapping"/>
            </w:r>
            <w:r>
              <w:rPr>
                <w:rFonts w:cs="宋体"/>
                <w:color w:val="000000"/>
                <w:kern w:val="0"/>
                <w:sz w:val="22"/>
              </w:rPr>
              <w:t>4FSK调制方式：12.5kHz 仅数据：7K60FXD 、12.5kHz 数据和语音：7K60FXE</w:t>
            </w:r>
            <w:r>
              <w:rPr>
                <w:rFonts w:cs="宋体"/>
                <w:color w:val="000000"/>
                <w:kern w:val="0"/>
                <w:sz w:val="22"/>
              </w:rPr>
              <w:br w:type="textWrapping"/>
            </w:r>
            <w:r>
              <w:rPr>
                <w:rFonts w:cs="宋体"/>
                <w:color w:val="000000"/>
                <w:kern w:val="0"/>
                <w:sz w:val="22"/>
              </w:rPr>
              <w:t>FM调制方式：12.5 kHz：8K50F3E；25 kHz：16KΦF3E；</w:t>
            </w:r>
            <w:r>
              <w:rPr>
                <w:rFonts w:cs="宋体"/>
                <w:color w:val="000000"/>
                <w:kern w:val="0"/>
                <w:sz w:val="22"/>
              </w:rPr>
              <w:br w:type="textWrapping"/>
            </w:r>
            <w:r>
              <w:rPr>
                <w:rFonts w:cs="宋体"/>
                <w:color w:val="000000"/>
                <w:kern w:val="0"/>
                <w:sz w:val="22"/>
              </w:rPr>
              <w:t>调制限制：+/- 2.5kHz @ 12.5kHz;+/- 5kHz @ 25kHz</w:t>
            </w:r>
            <w:r>
              <w:rPr>
                <w:rFonts w:cs="宋体"/>
                <w:color w:val="000000"/>
                <w:kern w:val="0"/>
                <w:sz w:val="22"/>
              </w:rPr>
              <w:br w:type="textWrapping"/>
            </w:r>
            <w:r>
              <w:rPr>
                <w:rFonts w:cs="宋体"/>
                <w:color w:val="000000"/>
                <w:kern w:val="0"/>
                <w:sz w:val="22"/>
              </w:rPr>
              <w:t>发射杂散：-36dBm≤1GHz/-30dBm≥1GHz</w:t>
            </w:r>
            <w:r>
              <w:rPr>
                <w:rFonts w:cs="宋体"/>
                <w:color w:val="000000"/>
                <w:kern w:val="0"/>
                <w:sz w:val="22"/>
              </w:rPr>
              <w:br w:type="textWrapping"/>
            </w:r>
            <w:r>
              <w:rPr>
                <w:rFonts w:cs="宋体"/>
                <w:color w:val="000000"/>
                <w:kern w:val="0"/>
                <w:sz w:val="22"/>
              </w:rPr>
              <w:t>邻道功率：≤-60dB</w:t>
            </w:r>
            <w:r>
              <w:rPr>
                <w:rFonts w:cs="宋体"/>
                <w:color w:val="000000"/>
                <w:kern w:val="0"/>
                <w:sz w:val="22"/>
              </w:rPr>
              <w:br w:type="textWrapping"/>
            </w:r>
            <w:r>
              <w:rPr>
                <w:rFonts w:cs="宋体"/>
                <w:color w:val="000000"/>
                <w:kern w:val="0"/>
                <w:sz w:val="22"/>
              </w:rPr>
              <w:t>音频失真：不高于3%</w:t>
            </w:r>
            <w:r>
              <w:rPr>
                <w:rFonts w:cs="宋体"/>
                <w:color w:val="000000"/>
                <w:kern w:val="0"/>
                <w:sz w:val="22"/>
              </w:rPr>
              <w:br w:type="textWrapping"/>
            </w:r>
            <w:r>
              <w:rPr>
                <w:rFonts w:cs="宋体"/>
                <w:color w:val="000000"/>
                <w:kern w:val="0"/>
                <w:sz w:val="22"/>
              </w:rPr>
              <w:t>（三）接收部分</w:t>
            </w:r>
            <w:r>
              <w:rPr>
                <w:rFonts w:cs="宋体"/>
                <w:color w:val="000000"/>
                <w:kern w:val="0"/>
                <w:sz w:val="22"/>
              </w:rPr>
              <w:br w:type="textWrapping"/>
            </w:r>
            <w:r>
              <w:rPr>
                <w:rFonts w:cs="宋体"/>
                <w:color w:val="000000"/>
                <w:kern w:val="0"/>
                <w:sz w:val="22"/>
              </w:rPr>
              <w:t>灵敏度：5%BER:0.25uV</w:t>
            </w:r>
            <w:r>
              <w:rPr>
                <w:rFonts w:cs="宋体"/>
                <w:color w:val="000000"/>
                <w:kern w:val="0"/>
                <w:sz w:val="22"/>
              </w:rPr>
              <w:br w:type="textWrapping"/>
            </w:r>
            <w:r>
              <w:rPr>
                <w:rFonts w:cs="宋体"/>
                <w:color w:val="000000"/>
                <w:kern w:val="0"/>
                <w:sz w:val="22"/>
              </w:rPr>
              <w:t>互调：65dB</w:t>
            </w:r>
            <w:r>
              <w:rPr>
                <w:rFonts w:cs="宋体"/>
                <w:color w:val="000000"/>
                <w:kern w:val="0"/>
                <w:sz w:val="22"/>
              </w:rPr>
              <w:br w:type="textWrapping"/>
            </w:r>
            <w:r>
              <w:rPr>
                <w:rFonts w:cs="宋体"/>
                <w:color w:val="000000"/>
                <w:kern w:val="0"/>
                <w:sz w:val="22"/>
              </w:rPr>
              <w:t>邻道选择性：60dB</w:t>
            </w:r>
            <w:r>
              <w:rPr>
                <w:rFonts w:cs="宋体"/>
                <w:color w:val="000000"/>
                <w:kern w:val="0"/>
                <w:sz w:val="22"/>
              </w:rPr>
              <w:br w:type="textWrapping"/>
            </w:r>
            <w:r>
              <w:rPr>
                <w:rFonts w:cs="宋体"/>
                <w:color w:val="000000"/>
                <w:kern w:val="0"/>
                <w:sz w:val="22"/>
              </w:rPr>
              <w:t>杂散抑制：70 dB</w:t>
            </w:r>
            <w:r>
              <w:rPr>
                <w:rFonts w:cs="宋体"/>
                <w:color w:val="000000"/>
                <w:kern w:val="0"/>
                <w:sz w:val="22"/>
              </w:rPr>
              <w:br w:type="textWrapping"/>
            </w:r>
            <w:r>
              <w:rPr>
                <w:rFonts w:cs="宋体"/>
                <w:color w:val="000000"/>
                <w:kern w:val="0"/>
                <w:sz w:val="22"/>
              </w:rPr>
              <w:t>FM噪声：-40dB</w:t>
            </w:r>
            <w:r>
              <w:rPr>
                <w:rFonts w:cs="宋体"/>
                <w:color w:val="000000"/>
                <w:kern w:val="0"/>
                <w:sz w:val="22"/>
              </w:rPr>
              <w:br w:type="textWrapping"/>
            </w:r>
            <w:r>
              <w:rPr>
                <w:rFonts w:cs="宋体"/>
                <w:color w:val="000000"/>
                <w:kern w:val="0"/>
                <w:sz w:val="22"/>
              </w:rPr>
              <w:t>频响：+1/-3dB</w:t>
            </w:r>
            <w:r>
              <w:rPr>
                <w:rFonts w:cs="宋体"/>
                <w:color w:val="000000"/>
                <w:kern w:val="0"/>
                <w:sz w:val="22"/>
              </w:rPr>
              <w:br w:type="textWrapping"/>
            </w:r>
            <w:r>
              <w:rPr>
                <w:rFonts w:cs="宋体"/>
                <w:color w:val="000000"/>
                <w:kern w:val="0"/>
                <w:sz w:val="22"/>
              </w:rPr>
              <w:t>额定音频输出功率：0.5W</w:t>
            </w:r>
            <w:r>
              <w:rPr>
                <w:rFonts w:cs="宋体"/>
                <w:color w:val="000000"/>
                <w:kern w:val="0"/>
                <w:sz w:val="22"/>
              </w:rPr>
              <w:br w:type="textWrapping"/>
            </w:r>
            <w:r>
              <w:rPr>
                <w:rFonts w:cs="宋体"/>
                <w:color w:val="000000"/>
                <w:kern w:val="0"/>
                <w:sz w:val="22"/>
              </w:rPr>
              <w:t>额定音频失真：不高于3%</w:t>
            </w:r>
            <w:r>
              <w:rPr>
                <w:rFonts w:cs="宋体"/>
                <w:color w:val="000000"/>
                <w:kern w:val="0"/>
                <w:sz w:val="22"/>
              </w:rPr>
              <w:br w:type="textWrapping"/>
            </w:r>
            <w:r>
              <w:rPr>
                <w:rFonts w:cs="宋体"/>
                <w:color w:val="000000"/>
                <w:kern w:val="0"/>
                <w:sz w:val="22"/>
              </w:rPr>
              <w:t>传导辐射：-36dBm</w:t>
            </w:r>
            <w:r>
              <w:rPr>
                <w:rFonts w:cs="宋体"/>
                <w:color w:val="000000"/>
                <w:kern w:val="0"/>
                <w:sz w:val="22"/>
              </w:rPr>
              <w:br w:type="textWrapping"/>
            </w:r>
            <w:r>
              <w:rPr>
                <w:rFonts w:cs="宋体"/>
                <w:color w:val="000000"/>
                <w:kern w:val="0"/>
                <w:sz w:val="22"/>
              </w:rPr>
              <w:t>（四）环境指标</w:t>
            </w:r>
            <w:r>
              <w:rPr>
                <w:rFonts w:cs="宋体"/>
                <w:color w:val="000000"/>
                <w:kern w:val="0"/>
                <w:sz w:val="22"/>
              </w:rPr>
              <w:br w:type="textWrapping"/>
            </w:r>
            <w:r>
              <w:rPr>
                <w:rFonts w:cs="宋体"/>
                <w:color w:val="000000"/>
                <w:kern w:val="0"/>
                <w:sz w:val="22"/>
              </w:rPr>
              <w:t>工作温度范围：-20 ℃—+60 ℃</w:t>
            </w:r>
            <w:r>
              <w:rPr>
                <w:rFonts w:cs="宋体"/>
                <w:color w:val="000000"/>
                <w:kern w:val="0"/>
                <w:sz w:val="22"/>
              </w:rPr>
              <w:br w:type="textWrapping"/>
            </w:r>
            <w:r>
              <w:rPr>
                <w:rFonts w:cs="宋体"/>
                <w:color w:val="000000"/>
                <w:kern w:val="0"/>
                <w:sz w:val="22"/>
              </w:rPr>
              <w:t>储温度范围：-30℃—+70℃</w:t>
            </w:r>
            <w:r>
              <w:rPr>
                <w:rFonts w:cs="宋体"/>
                <w:color w:val="000000"/>
                <w:kern w:val="0"/>
                <w:sz w:val="22"/>
              </w:rPr>
              <w:br w:type="textWrapping"/>
            </w:r>
            <w:r>
              <w:rPr>
                <w:rFonts w:cs="宋体"/>
                <w:color w:val="000000"/>
                <w:kern w:val="0"/>
                <w:sz w:val="22"/>
              </w:rPr>
              <w:t>防尘防水：IP68</w:t>
            </w:r>
          </w:p>
        </w:tc>
        <w:tc>
          <w:tcPr>
            <w:tcW w:w="216" w:type="pct"/>
            <w:tcBorders>
              <w:top w:val="nil"/>
              <w:left w:val="nil"/>
              <w:bottom w:val="single" w:color="auto" w:sz="4" w:space="0"/>
              <w:right w:val="single" w:color="auto" w:sz="4" w:space="0"/>
            </w:tcBorders>
            <w:noWrap/>
            <w:vAlign w:val="center"/>
          </w:tcPr>
          <w:p w14:paraId="6295AA2B">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22AE1709">
            <w:pPr>
              <w:widowControl/>
              <w:spacing w:line="240" w:lineRule="auto"/>
              <w:jc w:val="center"/>
              <w:rPr>
                <w:rFonts w:hint="eastAsia" w:cs="宋体"/>
                <w:color w:val="000000"/>
                <w:kern w:val="0"/>
                <w:sz w:val="22"/>
              </w:rPr>
            </w:pPr>
            <w:r>
              <w:rPr>
                <w:rFonts w:cs="宋体"/>
                <w:color w:val="000000"/>
                <w:kern w:val="0"/>
                <w:sz w:val="22"/>
              </w:rPr>
              <w:t>63</w:t>
            </w:r>
          </w:p>
        </w:tc>
      </w:tr>
      <w:tr w14:paraId="7B17BD61">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11B4C05">
            <w:pPr>
              <w:widowControl/>
              <w:spacing w:line="240" w:lineRule="auto"/>
              <w:jc w:val="center"/>
              <w:rPr>
                <w:rFonts w:hint="eastAsia" w:cs="宋体"/>
                <w:color w:val="000000"/>
                <w:kern w:val="0"/>
                <w:sz w:val="22"/>
              </w:rPr>
            </w:pPr>
            <w:r>
              <w:rPr>
                <w:rFonts w:cs="宋体"/>
                <w:color w:val="000000"/>
                <w:kern w:val="0"/>
                <w:sz w:val="22"/>
              </w:rPr>
              <w:t>11</w:t>
            </w:r>
          </w:p>
        </w:tc>
        <w:tc>
          <w:tcPr>
            <w:tcW w:w="152" w:type="pct"/>
            <w:vMerge w:val="continue"/>
            <w:tcBorders>
              <w:top w:val="nil"/>
              <w:left w:val="single" w:color="auto" w:sz="4" w:space="0"/>
              <w:bottom w:val="single" w:color="000000" w:sz="4" w:space="0"/>
              <w:right w:val="single" w:color="auto" w:sz="4" w:space="0"/>
            </w:tcBorders>
            <w:vAlign w:val="center"/>
          </w:tcPr>
          <w:p w14:paraId="3F404F48">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212E538D">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9480C43">
            <w:pPr>
              <w:widowControl/>
              <w:spacing w:line="240" w:lineRule="auto"/>
              <w:rPr>
                <w:rFonts w:hint="eastAsia" w:cs="宋体"/>
                <w:color w:val="000000"/>
                <w:kern w:val="0"/>
                <w:sz w:val="22"/>
              </w:rPr>
            </w:pPr>
            <w:r>
              <w:rPr>
                <w:rFonts w:cs="宋体"/>
                <w:color w:val="000000"/>
                <w:kern w:val="0"/>
                <w:sz w:val="22"/>
              </w:rPr>
              <w:t>国产化平板电脑</w:t>
            </w:r>
          </w:p>
        </w:tc>
        <w:tc>
          <w:tcPr>
            <w:tcW w:w="3643" w:type="pct"/>
            <w:tcBorders>
              <w:top w:val="nil"/>
              <w:left w:val="nil"/>
              <w:bottom w:val="single" w:color="auto" w:sz="4" w:space="0"/>
              <w:right w:val="single" w:color="auto" w:sz="4" w:space="0"/>
            </w:tcBorders>
            <w:vAlign w:val="center"/>
          </w:tcPr>
          <w:p w14:paraId="2C0B171F">
            <w:pPr>
              <w:widowControl/>
              <w:spacing w:line="240" w:lineRule="auto"/>
              <w:rPr>
                <w:rFonts w:hint="eastAsia" w:cs="宋体"/>
                <w:color w:val="000000"/>
                <w:kern w:val="0"/>
                <w:sz w:val="22"/>
              </w:rPr>
            </w:pPr>
            <w:r>
              <w:rPr>
                <w:rFonts w:cs="宋体"/>
                <w:color w:val="000000"/>
                <w:kern w:val="0"/>
                <w:sz w:val="22"/>
              </w:rPr>
              <w:t>操作系统：国产化操作系统</w:t>
            </w:r>
            <w:r>
              <w:rPr>
                <w:rFonts w:cs="宋体"/>
                <w:color w:val="000000"/>
                <w:kern w:val="0"/>
                <w:sz w:val="22"/>
              </w:rPr>
              <w:br w:type="textWrapping"/>
            </w:r>
            <w:r>
              <w:rPr>
                <w:rFonts w:cs="宋体"/>
                <w:color w:val="000000"/>
                <w:kern w:val="0"/>
                <w:sz w:val="22"/>
              </w:rPr>
              <w:t>内存：不小于12GB</w:t>
            </w:r>
            <w:r>
              <w:rPr>
                <w:rFonts w:cs="宋体"/>
                <w:color w:val="000000"/>
                <w:kern w:val="0"/>
                <w:sz w:val="22"/>
              </w:rPr>
              <w:br w:type="textWrapping"/>
            </w:r>
            <w:r>
              <w:rPr>
                <w:rFonts w:cs="宋体"/>
                <w:color w:val="000000"/>
                <w:kern w:val="0"/>
                <w:sz w:val="22"/>
              </w:rPr>
              <w:t>存储：不小于256GB</w:t>
            </w:r>
            <w:r>
              <w:rPr>
                <w:rFonts w:cs="宋体"/>
                <w:color w:val="000000"/>
                <w:kern w:val="0"/>
                <w:sz w:val="22"/>
              </w:rPr>
              <w:br w:type="textWrapping"/>
            </w:r>
            <w:r>
              <w:rPr>
                <w:rFonts w:cs="宋体"/>
                <w:color w:val="000000"/>
                <w:kern w:val="0"/>
                <w:sz w:val="22"/>
              </w:rPr>
              <w:t>网络连接：Wi-Fi</w:t>
            </w:r>
            <w:r>
              <w:rPr>
                <w:rFonts w:cs="宋体"/>
                <w:color w:val="000000"/>
                <w:kern w:val="0"/>
                <w:sz w:val="22"/>
              </w:rPr>
              <w:br w:type="textWrapping"/>
            </w:r>
            <w:r>
              <w:rPr>
                <w:rFonts w:cs="宋体"/>
                <w:color w:val="000000"/>
                <w:kern w:val="0"/>
                <w:sz w:val="22"/>
              </w:rPr>
              <w:t>前置摄像头：≥1600W</w:t>
            </w:r>
            <w:r>
              <w:rPr>
                <w:rFonts w:cs="宋体"/>
                <w:color w:val="000000"/>
                <w:kern w:val="0"/>
                <w:sz w:val="22"/>
              </w:rPr>
              <w:br w:type="textWrapping"/>
            </w:r>
            <w:r>
              <w:rPr>
                <w:rFonts w:cs="宋体"/>
                <w:color w:val="000000"/>
                <w:kern w:val="0"/>
                <w:sz w:val="22"/>
              </w:rPr>
              <w:t>电池容量：≥8000mAh</w:t>
            </w:r>
          </w:p>
        </w:tc>
        <w:tc>
          <w:tcPr>
            <w:tcW w:w="216" w:type="pct"/>
            <w:tcBorders>
              <w:top w:val="nil"/>
              <w:left w:val="nil"/>
              <w:bottom w:val="single" w:color="auto" w:sz="4" w:space="0"/>
              <w:right w:val="single" w:color="auto" w:sz="4" w:space="0"/>
            </w:tcBorders>
            <w:noWrap/>
            <w:vAlign w:val="center"/>
          </w:tcPr>
          <w:p w14:paraId="4082BD41">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72A33AE8">
            <w:pPr>
              <w:widowControl/>
              <w:spacing w:line="240" w:lineRule="auto"/>
              <w:jc w:val="center"/>
              <w:rPr>
                <w:rFonts w:hint="eastAsia" w:cs="宋体"/>
                <w:color w:val="000000"/>
                <w:kern w:val="0"/>
                <w:sz w:val="22"/>
              </w:rPr>
            </w:pPr>
            <w:r>
              <w:rPr>
                <w:rFonts w:cs="宋体"/>
                <w:color w:val="000000"/>
                <w:kern w:val="0"/>
                <w:sz w:val="22"/>
              </w:rPr>
              <w:t>1</w:t>
            </w:r>
          </w:p>
        </w:tc>
      </w:tr>
      <w:tr w14:paraId="23A1524B">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8C9300B">
            <w:pPr>
              <w:widowControl/>
              <w:spacing w:line="240" w:lineRule="auto"/>
              <w:jc w:val="center"/>
              <w:rPr>
                <w:rFonts w:hint="eastAsia" w:cs="宋体"/>
                <w:color w:val="000000"/>
                <w:kern w:val="0"/>
                <w:sz w:val="22"/>
              </w:rPr>
            </w:pPr>
            <w:r>
              <w:rPr>
                <w:rFonts w:cs="宋体"/>
                <w:color w:val="000000"/>
                <w:kern w:val="0"/>
                <w:sz w:val="22"/>
              </w:rPr>
              <w:t>12</w:t>
            </w:r>
          </w:p>
        </w:tc>
        <w:tc>
          <w:tcPr>
            <w:tcW w:w="152" w:type="pct"/>
            <w:vMerge w:val="continue"/>
            <w:tcBorders>
              <w:top w:val="nil"/>
              <w:left w:val="single" w:color="auto" w:sz="4" w:space="0"/>
              <w:bottom w:val="single" w:color="000000" w:sz="4" w:space="0"/>
              <w:right w:val="single" w:color="auto" w:sz="4" w:space="0"/>
            </w:tcBorders>
            <w:vAlign w:val="center"/>
          </w:tcPr>
          <w:p w14:paraId="3944EEF0">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248F37F8">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562E336">
            <w:pPr>
              <w:widowControl/>
              <w:spacing w:line="240" w:lineRule="auto"/>
              <w:rPr>
                <w:rFonts w:hint="eastAsia" w:cs="宋体"/>
                <w:color w:val="000000"/>
                <w:kern w:val="0"/>
                <w:sz w:val="22"/>
              </w:rPr>
            </w:pPr>
            <w:r>
              <w:rPr>
                <w:rFonts w:cs="宋体"/>
                <w:color w:val="000000"/>
                <w:kern w:val="0"/>
                <w:sz w:val="22"/>
              </w:rPr>
              <w:t>便携式户外移动电源</w:t>
            </w:r>
          </w:p>
        </w:tc>
        <w:tc>
          <w:tcPr>
            <w:tcW w:w="3643" w:type="pct"/>
            <w:tcBorders>
              <w:top w:val="nil"/>
              <w:left w:val="nil"/>
              <w:bottom w:val="single" w:color="auto" w:sz="4" w:space="0"/>
              <w:right w:val="single" w:color="auto" w:sz="4" w:space="0"/>
            </w:tcBorders>
            <w:vAlign w:val="center"/>
          </w:tcPr>
          <w:p w14:paraId="5DB35858">
            <w:pPr>
              <w:widowControl/>
              <w:spacing w:line="240" w:lineRule="auto"/>
              <w:rPr>
                <w:rFonts w:hint="eastAsia" w:cs="宋体"/>
                <w:color w:val="000000"/>
                <w:kern w:val="0"/>
                <w:sz w:val="22"/>
              </w:rPr>
            </w:pPr>
            <w:r>
              <w:rPr>
                <w:rFonts w:cs="宋体"/>
                <w:color w:val="000000"/>
                <w:kern w:val="0"/>
                <w:sz w:val="22"/>
              </w:rPr>
              <w:t>1.电池组能量：60Ah/51.2Vdc(3000Wh)</w:t>
            </w:r>
            <w:r>
              <w:rPr>
                <w:rFonts w:cs="宋体"/>
                <w:color w:val="000000"/>
                <w:kern w:val="0"/>
                <w:sz w:val="22"/>
              </w:rPr>
              <w:br w:type="textWrapping"/>
            </w:r>
            <w:r>
              <w:rPr>
                <w:rFonts w:cs="宋体"/>
                <w:color w:val="000000"/>
                <w:kern w:val="0"/>
                <w:sz w:val="22"/>
              </w:rPr>
              <w:t>2.AC额定输出能量：2396Wh (220V~, 16.36A)</w:t>
            </w:r>
            <w:r>
              <w:rPr>
                <w:rFonts w:cs="宋体"/>
                <w:color w:val="000000"/>
                <w:kern w:val="0"/>
                <w:sz w:val="22"/>
              </w:rPr>
              <w:br w:type="textWrapping"/>
            </w:r>
            <w:r>
              <w:rPr>
                <w:rFonts w:cs="宋体"/>
                <w:color w:val="000000"/>
                <w:kern w:val="0"/>
                <w:sz w:val="22"/>
              </w:rPr>
              <w:t>3.循环寿命：4000次循环（70%+）</w:t>
            </w:r>
            <w:r>
              <w:rPr>
                <w:rFonts w:cs="宋体"/>
                <w:color w:val="000000"/>
                <w:kern w:val="0"/>
                <w:sz w:val="22"/>
              </w:rPr>
              <w:br w:type="textWrapping"/>
            </w:r>
            <w:r>
              <w:rPr>
                <w:rFonts w:cs="宋体"/>
                <w:color w:val="000000"/>
                <w:kern w:val="0"/>
                <w:sz w:val="22"/>
              </w:rPr>
              <w:t xml:space="preserve">4.AC输入: 220V-240V~50Hz.10A Max </w:t>
            </w:r>
            <w:r>
              <w:rPr>
                <w:rFonts w:cs="宋体"/>
                <w:color w:val="000000"/>
                <w:kern w:val="0"/>
                <w:sz w:val="22"/>
              </w:rPr>
              <w:br w:type="textWrapping"/>
            </w:r>
            <w:r>
              <w:rPr>
                <w:rFonts w:cs="宋体"/>
                <w:color w:val="000000"/>
                <w:kern w:val="0"/>
                <w:sz w:val="22"/>
              </w:rPr>
              <w:t xml:space="preserve">5.DC输入(8020端口):光伏16V-60V/12A,双路24A/1000W Max </w:t>
            </w:r>
            <w:r>
              <w:rPr>
                <w:rFonts w:cs="宋体"/>
                <w:color w:val="000000"/>
                <w:kern w:val="0"/>
                <w:sz w:val="22"/>
              </w:rPr>
              <w:br w:type="textWrapping"/>
            </w:r>
            <w:r>
              <w:rPr>
                <w:rFonts w:cs="宋体"/>
                <w:color w:val="000000"/>
                <w:kern w:val="0"/>
                <w:sz w:val="22"/>
              </w:rPr>
              <w:t xml:space="preserve">6.车充输入： 12V-16V/8A Max,双路8A Max </w:t>
            </w:r>
            <w:r>
              <w:rPr>
                <w:rFonts w:cs="宋体"/>
                <w:color w:val="000000"/>
                <w:kern w:val="0"/>
                <w:sz w:val="22"/>
              </w:rPr>
              <w:br w:type="textWrapping"/>
            </w:r>
            <w:r>
              <w:rPr>
                <w:rFonts w:cs="宋体"/>
                <w:color w:val="000000"/>
                <w:kern w:val="0"/>
                <w:sz w:val="22"/>
              </w:rPr>
              <w:t xml:space="preserve">7.3xAC 输出: 220V~50Hz,10A Max </w:t>
            </w:r>
            <w:r>
              <w:rPr>
                <w:rFonts w:cs="宋体"/>
                <w:color w:val="000000"/>
                <w:kern w:val="0"/>
                <w:sz w:val="22"/>
              </w:rPr>
              <w:br w:type="textWrapping"/>
            </w:r>
            <w:r>
              <w:rPr>
                <w:rFonts w:cs="宋体"/>
                <w:color w:val="000000"/>
                <w:kern w:val="0"/>
                <w:sz w:val="22"/>
              </w:rPr>
              <w:t xml:space="preserve">8.1xAC 输出: 220V~50Hz,16A Max </w:t>
            </w:r>
            <w:r>
              <w:rPr>
                <w:rFonts w:cs="宋体"/>
                <w:color w:val="000000"/>
                <w:kern w:val="0"/>
                <w:sz w:val="22"/>
              </w:rPr>
              <w:br w:type="textWrapping"/>
            </w:r>
            <w:r>
              <w:rPr>
                <w:rFonts w:cs="宋体"/>
                <w:color w:val="000000"/>
                <w:kern w:val="0"/>
                <w:sz w:val="22"/>
              </w:rPr>
              <w:t xml:space="preserve">9.AC总输出:额定3600W,峰值7200W </w:t>
            </w:r>
            <w:r>
              <w:rPr>
                <w:rFonts w:cs="宋体"/>
                <w:color w:val="000000"/>
                <w:kern w:val="0"/>
                <w:sz w:val="22"/>
              </w:rPr>
              <w:br w:type="textWrapping"/>
            </w:r>
            <w:r>
              <w:rPr>
                <w:rFonts w:cs="宋体"/>
                <w:color w:val="000000"/>
                <w:kern w:val="0"/>
                <w:sz w:val="22"/>
              </w:rPr>
              <w:t>10.2xUSB-C输出: 100WMax,5V/3A,9V/3A,12V/3A,15V/3A,20V/5A</w:t>
            </w:r>
            <w:r>
              <w:rPr>
                <w:rFonts w:cs="宋体"/>
                <w:color w:val="000000"/>
                <w:kern w:val="0"/>
                <w:sz w:val="22"/>
              </w:rPr>
              <w:br w:type="textWrapping"/>
            </w:r>
            <w:r>
              <w:rPr>
                <w:rFonts w:cs="宋体"/>
                <w:color w:val="000000"/>
                <w:kern w:val="0"/>
                <w:sz w:val="22"/>
              </w:rPr>
              <w:t>11.2xUSB-A输出: 18WMax,5-6V/3A,6-9V/2A,9-12V/1.5A</w:t>
            </w:r>
            <w:r>
              <w:rPr>
                <w:rFonts w:cs="宋体"/>
                <w:color w:val="000000"/>
                <w:kern w:val="0"/>
                <w:sz w:val="22"/>
              </w:rPr>
              <w:br w:type="textWrapping"/>
            </w:r>
            <w:r>
              <w:rPr>
                <w:rFonts w:cs="宋体"/>
                <w:color w:val="000000"/>
                <w:kern w:val="0"/>
                <w:sz w:val="22"/>
              </w:rPr>
              <w:t>12.车充输出: 12V/10A Max</w:t>
            </w:r>
            <w:r>
              <w:rPr>
                <w:rFonts w:cs="宋体"/>
                <w:color w:val="000000"/>
                <w:kern w:val="0"/>
                <w:sz w:val="22"/>
              </w:rPr>
              <w:br w:type="textWrapping"/>
            </w:r>
            <w:r>
              <w:rPr>
                <w:rFonts w:cs="宋体"/>
                <w:color w:val="000000"/>
                <w:kern w:val="0"/>
                <w:sz w:val="22"/>
              </w:rPr>
              <w:t>13.充电温度:0°C ~ 45°C</w:t>
            </w:r>
            <w:r>
              <w:rPr>
                <w:rFonts w:cs="宋体"/>
                <w:color w:val="000000"/>
                <w:kern w:val="0"/>
                <w:sz w:val="22"/>
              </w:rPr>
              <w:br w:type="textWrapping"/>
            </w:r>
            <w:r>
              <w:rPr>
                <w:rFonts w:cs="宋体"/>
                <w:color w:val="000000"/>
                <w:kern w:val="0"/>
                <w:sz w:val="22"/>
              </w:rPr>
              <w:t>14.放电温度:-15°C ~ 45°C</w:t>
            </w:r>
          </w:p>
        </w:tc>
        <w:tc>
          <w:tcPr>
            <w:tcW w:w="216" w:type="pct"/>
            <w:tcBorders>
              <w:top w:val="nil"/>
              <w:left w:val="nil"/>
              <w:bottom w:val="single" w:color="auto" w:sz="4" w:space="0"/>
              <w:right w:val="single" w:color="auto" w:sz="4" w:space="0"/>
            </w:tcBorders>
            <w:noWrap/>
            <w:vAlign w:val="center"/>
          </w:tcPr>
          <w:p w14:paraId="44511DFB">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76F8033E">
            <w:pPr>
              <w:widowControl/>
              <w:spacing w:line="240" w:lineRule="auto"/>
              <w:jc w:val="center"/>
              <w:rPr>
                <w:rFonts w:hint="eastAsia" w:cs="宋体"/>
                <w:color w:val="000000"/>
                <w:kern w:val="0"/>
                <w:sz w:val="22"/>
              </w:rPr>
            </w:pPr>
            <w:r>
              <w:rPr>
                <w:rFonts w:cs="宋体"/>
                <w:color w:val="000000"/>
                <w:kern w:val="0"/>
                <w:sz w:val="22"/>
              </w:rPr>
              <w:t>1</w:t>
            </w:r>
          </w:p>
        </w:tc>
      </w:tr>
      <w:tr w14:paraId="30F6ECF9">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EDEC8F4">
            <w:pPr>
              <w:widowControl/>
              <w:spacing w:line="240" w:lineRule="auto"/>
              <w:jc w:val="center"/>
              <w:rPr>
                <w:rFonts w:hint="eastAsia" w:cs="宋体"/>
                <w:color w:val="000000"/>
                <w:kern w:val="0"/>
                <w:sz w:val="22"/>
              </w:rPr>
            </w:pPr>
            <w:r>
              <w:rPr>
                <w:rFonts w:cs="宋体"/>
                <w:color w:val="000000"/>
                <w:kern w:val="0"/>
                <w:sz w:val="22"/>
              </w:rPr>
              <w:t>13</w:t>
            </w:r>
          </w:p>
        </w:tc>
        <w:tc>
          <w:tcPr>
            <w:tcW w:w="152" w:type="pct"/>
            <w:vMerge w:val="restart"/>
            <w:tcBorders>
              <w:top w:val="nil"/>
              <w:left w:val="single" w:color="auto" w:sz="4" w:space="0"/>
              <w:bottom w:val="single" w:color="000000" w:sz="4" w:space="0"/>
              <w:right w:val="single" w:color="auto" w:sz="4" w:space="0"/>
            </w:tcBorders>
            <w:noWrap/>
            <w:vAlign w:val="center"/>
          </w:tcPr>
          <w:p w14:paraId="43D0444F">
            <w:pPr>
              <w:widowControl/>
              <w:spacing w:line="240" w:lineRule="auto"/>
              <w:jc w:val="center"/>
              <w:rPr>
                <w:rFonts w:hint="eastAsia" w:cs="宋体"/>
                <w:color w:val="000000"/>
                <w:kern w:val="0"/>
                <w:sz w:val="22"/>
              </w:rPr>
            </w:pPr>
            <w:r>
              <w:rPr>
                <w:rFonts w:cs="宋体"/>
                <w:color w:val="000000"/>
                <w:kern w:val="0"/>
                <w:sz w:val="22"/>
              </w:rPr>
              <w:t>分局</w:t>
            </w:r>
          </w:p>
        </w:tc>
        <w:tc>
          <w:tcPr>
            <w:tcW w:w="331" w:type="pct"/>
            <w:vMerge w:val="restart"/>
            <w:tcBorders>
              <w:top w:val="nil"/>
              <w:left w:val="single" w:color="auto" w:sz="4" w:space="0"/>
              <w:bottom w:val="single" w:color="000000" w:sz="4" w:space="0"/>
              <w:right w:val="single" w:color="auto" w:sz="4" w:space="0"/>
            </w:tcBorders>
            <w:noWrap/>
            <w:vAlign w:val="center"/>
          </w:tcPr>
          <w:p w14:paraId="27D9545B">
            <w:pPr>
              <w:widowControl/>
              <w:spacing w:line="240" w:lineRule="auto"/>
              <w:jc w:val="center"/>
              <w:rPr>
                <w:rFonts w:hint="eastAsia" w:cs="宋体"/>
                <w:color w:val="000000"/>
                <w:kern w:val="0"/>
                <w:sz w:val="22"/>
              </w:rPr>
            </w:pPr>
            <w:r>
              <w:rPr>
                <w:rFonts w:cs="宋体"/>
                <w:color w:val="000000"/>
                <w:kern w:val="0"/>
                <w:sz w:val="22"/>
              </w:rPr>
              <w:t>大屏建设</w:t>
            </w:r>
          </w:p>
        </w:tc>
        <w:tc>
          <w:tcPr>
            <w:tcW w:w="202" w:type="pct"/>
            <w:tcBorders>
              <w:top w:val="nil"/>
              <w:left w:val="nil"/>
              <w:bottom w:val="single" w:color="auto" w:sz="4" w:space="0"/>
              <w:right w:val="single" w:color="auto" w:sz="4" w:space="0"/>
            </w:tcBorders>
            <w:vAlign w:val="center"/>
          </w:tcPr>
          <w:p w14:paraId="5785EFBD">
            <w:pPr>
              <w:widowControl/>
              <w:spacing w:line="240" w:lineRule="auto"/>
              <w:rPr>
                <w:rFonts w:hint="eastAsia" w:cs="宋体"/>
                <w:color w:val="000000"/>
                <w:kern w:val="0"/>
                <w:sz w:val="22"/>
              </w:rPr>
            </w:pPr>
            <w:r>
              <w:rPr>
                <w:rFonts w:cs="宋体"/>
                <w:color w:val="000000"/>
                <w:kern w:val="0"/>
                <w:sz w:val="22"/>
              </w:rPr>
              <w:t>led曲面大屏</w:t>
            </w:r>
          </w:p>
        </w:tc>
        <w:tc>
          <w:tcPr>
            <w:tcW w:w="3643" w:type="pct"/>
            <w:tcBorders>
              <w:top w:val="nil"/>
              <w:left w:val="nil"/>
              <w:bottom w:val="single" w:color="auto" w:sz="4" w:space="0"/>
              <w:right w:val="single" w:color="auto" w:sz="4" w:space="0"/>
            </w:tcBorders>
            <w:vAlign w:val="center"/>
          </w:tcPr>
          <w:p w14:paraId="484B06D8">
            <w:pPr>
              <w:widowControl/>
              <w:spacing w:line="240" w:lineRule="auto"/>
              <w:rPr>
                <w:rFonts w:hint="eastAsia" w:cs="宋体"/>
                <w:color w:val="000000"/>
                <w:kern w:val="0"/>
                <w:sz w:val="22"/>
              </w:rPr>
            </w:pPr>
            <w:r>
              <w:rPr>
                <w:rFonts w:cs="宋体"/>
                <w:color w:val="000000"/>
                <w:kern w:val="0"/>
                <w:sz w:val="22"/>
              </w:rPr>
              <w:t>1.点间距≤1.25mm ；</w:t>
            </w:r>
            <w:r>
              <w:rPr>
                <w:rFonts w:cs="宋体"/>
                <w:color w:val="000000"/>
                <w:kern w:val="0"/>
                <w:sz w:val="22"/>
              </w:rPr>
              <w:br w:type="textWrapping"/>
            </w:r>
            <w:r>
              <w:rPr>
                <w:rFonts w:cs="宋体"/>
                <w:color w:val="000000"/>
                <w:kern w:val="0"/>
                <w:sz w:val="22"/>
              </w:rPr>
              <w:t>2.亮度不低于 200-800cd/m²，支持亮度调节及定时调节；</w:t>
            </w:r>
            <w:r>
              <w:rPr>
                <w:rFonts w:cs="宋体"/>
                <w:color w:val="000000"/>
                <w:kern w:val="0"/>
                <w:sz w:val="22"/>
              </w:rPr>
              <w:br w:type="textWrapping"/>
            </w:r>
            <w:r>
              <w:rPr>
                <w:rFonts w:cs="宋体"/>
                <w:color w:val="000000"/>
                <w:kern w:val="0"/>
                <w:sz w:val="22"/>
              </w:rPr>
              <w:t>3.对比度≥10000：1；LED 显示屏杂点率≤1/100000 且无连续失控点；LED 显示屏亮度均匀性≥99%；LED 显示色度均匀性±0.001Cx,Cy 之内；LED 显示屏像素中心距相对偏差≤1%；LED 显示屏观看水平/垂直视角≥175°；LED 显示屏平均故障恢复时间（MTTR）≤2分钟；</w:t>
            </w:r>
            <w:r>
              <w:rPr>
                <w:rFonts w:cs="宋体"/>
                <w:color w:val="000000"/>
                <w:kern w:val="0"/>
                <w:sz w:val="22"/>
              </w:rPr>
              <w:br w:type="textWrapping"/>
            </w:r>
            <w:r>
              <w:rPr>
                <w:rFonts w:cs="宋体"/>
                <w:color w:val="000000"/>
                <w:kern w:val="0"/>
                <w:sz w:val="22"/>
              </w:rPr>
              <w:t>4.PCB板表面 采用 FR-4 四层板同等级或更高材料，TG≥170℃，备防潮/防尘/防静电；</w:t>
            </w:r>
            <w:r>
              <w:rPr>
                <w:rFonts w:cs="宋体"/>
                <w:color w:val="000000"/>
                <w:kern w:val="0"/>
                <w:sz w:val="22"/>
              </w:rPr>
              <w:br w:type="textWrapping"/>
            </w:r>
            <w:r>
              <w:rPr>
                <w:rFonts w:cs="宋体"/>
                <w:color w:val="000000"/>
                <w:kern w:val="0"/>
                <w:sz w:val="22"/>
              </w:rPr>
              <w:t>5.单电源漏电电流≤0.3mA；</w:t>
            </w:r>
            <w:r>
              <w:rPr>
                <w:rFonts w:cs="宋体"/>
                <w:color w:val="000000"/>
                <w:kern w:val="0"/>
                <w:sz w:val="22"/>
              </w:rPr>
              <w:br w:type="textWrapping"/>
            </w:r>
            <w:r>
              <w:rPr>
                <w:rFonts w:cs="宋体"/>
                <w:color w:val="000000"/>
                <w:kern w:val="0"/>
                <w:sz w:val="22"/>
              </w:rPr>
              <w:t>6.支持低蓝光模式，可选择 30%、40%、70%三挡调节显示屏蓝光输出；</w:t>
            </w:r>
            <w:r>
              <w:rPr>
                <w:rFonts w:cs="宋体"/>
                <w:color w:val="000000"/>
                <w:kern w:val="0"/>
                <w:sz w:val="22"/>
              </w:rPr>
              <w:br w:type="textWrapping"/>
            </w:r>
            <w:r>
              <w:rPr>
                <w:rFonts w:cs="宋体"/>
                <w:color w:val="000000"/>
                <w:kern w:val="0"/>
                <w:sz w:val="22"/>
              </w:rPr>
              <w:t>7.不低于IP5X 防护等级；</w:t>
            </w:r>
          </w:p>
        </w:tc>
        <w:tc>
          <w:tcPr>
            <w:tcW w:w="216" w:type="pct"/>
            <w:tcBorders>
              <w:top w:val="nil"/>
              <w:left w:val="nil"/>
              <w:bottom w:val="single" w:color="auto" w:sz="4" w:space="0"/>
              <w:right w:val="single" w:color="auto" w:sz="4" w:space="0"/>
            </w:tcBorders>
            <w:vAlign w:val="center"/>
          </w:tcPr>
          <w:p w14:paraId="01525681">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4ECD31A9">
            <w:pPr>
              <w:widowControl/>
              <w:spacing w:line="240" w:lineRule="auto"/>
              <w:jc w:val="center"/>
              <w:rPr>
                <w:rFonts w:hint="eastAsia" w:cs="宋体"/>
                <w:color w:val="000000"/>
                <w:kern w:val="0"/>
                <w:sz w:val="22"/>
              </w:rPr>
            </w:pPr>
            <w:r>
              <w:rPr>
                <w:rFonts w:cs="宋体"/>
                <w:color w:val="000000"/>
                <w:kern w:val="0"/>
                <w:sz w:val="22"/>
              </w:rPr>
              <w:t>19.85</w:t>
            </w:r>
          </w:p>
        </w:tc>
      </w:tr>
      <w:tr w14:paraId="66CC8B61">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BEDE3D4">
            <w:pPr>
              <w:widowControl/>
              <w:spacing w:line="240" w:lineRule="auto"/>
              <w:jc w:val="center"/>
              <w:rPr>
                <w:rFonts w:hint="eastAsia" w:cs="宋体"/>
                <w:color w:val="000000"/>
                <w:kern w:val="0"/>
                <w:sz w:val="22"/>
              </w:rPr>
            </w:pPr>
            <w:r>
              <w:rPr>
                <w:rFonts w:cs="宋体"/>
                <w:color w:val="000000"/>
                <w:kern w:val="0"/>
                <w:sz w:val="22"/>
              </w:rPr>
              <w:t>14</w:t>
            </w:r>
          </w:p>
        </w:tc>
        <w:tc>
          <w:tcPr>
            <w:tcW w:w="152" w:type="pct"/>
            <w:vMerge w:val="continue"/>
            <w:tcBorders>
              <w:top w:val="nil"/>
              <w:left w:val="single" w:color="auto" w:sz="4" w:space="0"/>
              <w:bottom w:val="single" w:color="000000" w:sz="4" w:space="0"/>
              <w:right w:val="single" w:color="auto" w:sz="4" w:space="0"/>
            </w:tcBorders>
            <w:vAlign w:val="center"/>
          </w:tcPr>
          <w:p w14:paraId="4049E78D">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E44D427">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18BC464">
            <w:pPr>
              <w:widowControl/>
              <w:spacing w:line="240" w:lineRule="auto"/>
              <w:rPr>
                <w:rFonts w:hint="eastAsia" w:cs="宋体"/>
                <w:color w:val="000000"/>
                <w:kern w:val="0"/>
                <w:sz w:val="22"/>
              </w:rPr>
            </w:pPr>
            <w:r>
              <w:rPr>
                <w:rFonts w:cs="宋体"/>
                <w:color w:val="000000"/>
                <w:kern w:val="0"/>
                <w:sz w:val="22"/>
              </w:rPr>
              <w:t>弧形支架</w:t>
            </w:r>
          </w:p>
        </w:tc>
        <w:tc>
          <w:tcPr>
            <w:tcW w:w="3643" w:type="pct"/>
            <w:tcBorders>
              <w:top w:val="nil"/>
              <w:left w:val="nil"/>
              <w:bottom w:val="single" w:color="auto" w:sz="4" w:space="0"/>
              <w:right w:val="single" w:color="auto" w:sz="4" w:space="0"/>
            </w:tcBorders>
            <w:vAlign w:val="center"/>
          </w:tcPr>
          <w:p w14:paraId="49FA23A4">
            <w:pPr>
              <w:widowControl/>
              <w:spacing w:line="240" w:lineRule="auto"/>
              <w:rPr>
                <w:rFonts w:hint="eastAsia" w:cs="宋体"/>
                <w:color w:val="000000"/>
                <w:kern w:val="0"/>
                <w:sz w:val="22"/>
              </w:rPr>
            </w:pPr>
            <w:r>
              <w:rPr>
                <w:rFonts w:cs="宋体"/>
                <w:color w:val="000000"/>
                <w:kern w:val="0"/>
                <w:sz w:val="22"/>
              </w:rPr>
              <w:t>LED一体化弧形支架</w:t>
            </w:r>
            <w:r>
              <w:rPr>
                <w:rFonts w:cs="宋体"/>
                <w:color w:val="000000"/>
                <w:kern w:val="0"/>
                <w:sz w:val="22"/>
              </w:rPr>
              <w:br w:type="textWrapping"/>
            </w:r>
            <w:r>
              <w:rPr>
                <w:rFonts w:cs="宋体"/>
                <w:color w:val="000000"/>
                <w:kern w:val="0"/>
                <w:sz w:val="22"/>
              </w:rPr>
              <w:t>前密封设计</w:t>
            </w:r>
            <w:r>
              <w:rPr>
                <w:rFonts w:cs="宋体"/>
                <w:color w:val="000000"/>
                <w:kern w:val="0"/>
                <w:sz w:val="22"/>
              </w:rPr>
              <w:br w:type="textWrapping"/>
            </w:r>
            <w:r>
              <w:rPr>
                <w:rFonts w:cs="宋体"/>
                <w:color w:val="000000"/>
                <w:kern w:val="0"/>
                <w:sz w:val="22"/>
              </w:rPr>
              <w:t>支持现场扩容</w:t>
            </w:r>
            <w:r>
              <w:rPr>
                <w:rFonts w:cs="宋体"/>
                <w:color w:val="000000"/>
                <w:kern w:val="0"/>
                <w:sz w:val="22"/>
              </w:rPr>
              <w:br w:type="textWrapping"/>
            </w:r>
            <w:r>
              <w:rPr>
                <w:rFonts w:cs="宋体"/>
                <w:color w:val="000000"/>
                <w:kern w:val="0"/>
                <w:sz w:val="22"/>
              </w:rPr>
              <w:t xml:space="preserve">产品配置：左右上封板，前封板后留空 </w:t>
            </w:r>
            <w:r>
              <w:rPr>
                <w:rFonts w:cs="宋体"/>
                <w:color w:val="000000"/>
                <w:kern w:val="0"/>
                <w:sz w:val="22"/>
              </w:rPr>
              <w:br w:type="textWrapping"/>
            </w:r>
            <w:r>
              <w:rPr>
                <w:rFonts w:cs="宋体"/>
                <w:color w:val="000000"/>
                <w:kern w:val="0"/>
                <w:sz w:val="22"/>
              </w:rPr>
              <w:t>材质：优质冷轧钢板(SPCC)</w:t>
            </w:r>
            <w:r>
              <w:rPr>
                <w:rFonts w:cs="宋体"/>
                <w:color w:val="000000"/>
                <w:kern w:val="0"/>
                <w:sz w:val="22"/>
              </w:rPr>
              <w:br w:type="textWrapping"/>
            </w:r>
            <w:r>
              <w:rPr>
                <w:rFonts w:cs="宋体"/>
                <w:color w:val="000000"/>
                <w:kern w:val="0"/>
                <w:sz w:val="22"/>
              </w:rPr>
              <w:t>表面处理：静电喷塑，涂层厚度&gt;60微米</w:t>
            </w:r>
            <w:r>
              <w:rPr>
                <w:rFonts w:cs="宋体"/>
                <w:color w:val="000000"/>
                <w:kern w:val="0"/>
                <w:sz w:val="22"/>
              </w:rPr>
              <w:br w:type="textWrapping"/>
            </w:r>
            <w:r>
              <w:rPr>
                <w:rFonts w:cs="宋体"/>
                <w:color w:val="000000"/>
                <w:kern w:val="0"/>
                <w:sz w:val="22"/>
              </w:rPr>
              <w:t>后拉杆长度：600-900mm</w:t>
            </w:r>
            <w:r>
              <w:rPr>
                <w:rFonts w:cs="宋体"/>
                <w:color w:val="000000"/>
                <w:kern w:val="0"/>
                <w:sz w:val="22"/>
              </w:rPr>
              <w:br w:type="textWrapping"/>
            </w:r>
            <w:r>
              <w:rPr>
                <w:rFonts w:cs="宋体"/>
                <w:color w:val="000000"/>
                <w:kern w:val="0"/>
                <w:sz w:val="22"/>
              </w:rPr>
              <w:t xml:space="preserve">弧度：0°-3° </w:t>
            </w:r>
            <w:r>
              <w:rPr>
                <w:rFonts w:cs="宋体"/>
                <w:color w:val="000000"/>
                <w:kern w:val="0"/>
                <w:sz w:val="22"/>
              </w:rPr>
              <w:br w:type="textWrapping"/>
            </w:r>
            <w:r>
              <w:rPr>
                <w:rFonts w:cs="宋体"/>
                <w:color w:val="000000"/>
                <w:kern w:val="0"/>
                <w:sz w:val="22"/>
              </w:rPr>
              <w:t xml:space="preserve">适用规模：不限制拼接规模 </w:t>
            </w:r>
            <w:r>
              <w:rPr>
                <w:rFonts w:cs="宋体"/>
                <w:color w:val="000000"/>
                <w:kern w:val="0"/>
                <w:sz w:val="22"/>
              </w:rPr>
              <w:br w:type="textWrapping"/>
            </w:r>
            <w:r>
              <w:rPr>
                <w:rFonts w:cs="宋体"/>
                <w:color w:val="000000"/>
                <w:kern w:val="0"/>
                <w:sz w:val="22"/>
              </w:rPr>
              <w:t>可定制：厚度，颜色，弧度(0~3°)，底座高度，后封板/后开门，前开门，拉杆长度，LOGO，机柜/储物隔板，屏幕凸出支架等</w:t>
            </w:r>
          </w:p>
        </w:tc>
        <w:tc>
          <w:tcPr>
            <w:tcW w:w="216" w:type="pct"/>
            <w:tcBorders>
              <w:top w:val="nil"/>
              <w:left w:val="nil"/>
              <w:bottom w:val="single" w:color="auto" w:sz="4" w:space="0"/>
              <w:right w:val="single" w:color="auto" w:sz="4" w:space="0"/>
            </w:tcBorders>
            <w:vAlign w:val="center"/>
          </w:tcPr>
          <w:p w14:paraId="1C363953">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6741EA75">
            <w:pPr>
              <w:widowControl/>
              <w:spacing w:line="240" w:lineRule="auto"/>
              <w:jc w:val="center"/>
              <w:rPr>
                <w:rFonts w:hint="eastAsia" w:cs="宋体"/>
                <w:color w:val="000000"/>
                <w:kern w:val="0"/>
                <w:sz w:val="22"/>
              </w:rPr>
            </w:pPr>
            <w:r>
              <w:rPr>
                <w:rFonts w:cs="宋体"/>
                <w:color w:val="000000"/>
                <w:kern w:val="0"/>
                <w:sz w:val="22"/>
              </w:rPr>
              <w:t>27</w:t>
            </w:r>
          </w:p>
        </w:tc>
      </w:tr>
      <w:tr w14:paraId="2F88A3F5">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00BF243">
            <w:pPr>
              <w:widowControl/>
              <w:spacing w:line="240" w:lineRule="auto"/>
              <w:jc w:val="center"/>
              <w:rPr>
                <w:rFonts w:hint="eastAsia" w:cs="宋体"/>
                <w:color w:val="000000"/>
                <w:kern w:val="0"/>
                <w:sz w:val="22"/>
              </w:rPr>
            </w:pPr>
            <w:r>
              <w:rPr>
                <w:rFonts w:cs="宋体"/>
                <w:color w:val="000000"/>
                <w:kern w:val="0"/>
                <w:sz w:val="22"/>
              </w:rPr>
              <w:t>15</w:t>
            </w:r>
          </w:p>
        </w:tc>
        <w:tc>
          <w:tcPr>
            <w:tcW w:w="152" w:type="pct"/>
            <w:vMerge w:val="continue"/>
            <w:tcBorders>
              <w:top w:val="nil"/>
              <w:left w:val="single" w:color="auto" w:sz="4" w:space="0"/>
              <w:bottom w:val="single" w:color="000000" w:sz="4" w:space="0"/>
              <w:right w:val="single" w:color="auto" w:sz="4" w:space="0"/>
            </w:tcBorders>
            <w:vAlign w:val="center"/>
          </w:tcPr>
          <w:p w14:paraId="7559CF00">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1672AF7">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3DE7F1DD">
            <w:pPr>
              <w:widowControl/>
              <w:spacing w:line="240" w:lineRule="auto"/>
              <w:rPr>
                <w:rFonts w:hint="eastAsia" w:cs="宋体"/>
                <w:color w:val="000000"/>
                <w:kern w:val="0"/>
                <w:sz w:val="22"/>
              </w:rPr>
            </w:pPr>
            <w:r>
              <w:rPr>
                <w:rFonts w:cs="宋体"/>
                <w:color w:val="000000"/>
                <w:kern w:val="0"/>
                <w:sz w:val="22"/>
              </w:rPr>
              <w:t>LED视频处理器</w:t>
            </w:r>
          </w:p>
        </w:tc>
        <w:tc>
          <w:tcPr>
            <w:tcW w:w="3643" w:type="pct"/>
            <w:tcBorders>
              <w:top w:val="nil"/>
              <w:left w:val="nil"/>
              <w:bottom w:val="single" w:color="auto" w:sz="4" w:space="0"/>
              <w:right w:val="single" w:color="auto" w:sz="4" w:space="0"/>
            </w:tcBorders>
            <w:vAlign w:val="center"/>
          </w:tcPr>
          <w:p w14:paraId="0636849B">
            <w:pPr>
              <w:widowControl/>
              <w:spacing w:line="240" w:lineRule="auto"/>
              <w:rPr>
                <w:rFonts w:hint="eastAsia" w:cs="宋体"/>
                <w:color w:val="000000"/>
                <w:kern w:val="0"/>
                <w:sz w:val="22"/>
              </w:rPr>
            </w:pPr>
            <w:r>
              <w:rPr>
                <w:rFonts w:cs="宋体"/>
                <w:color w:val="000000"/>
                <w:kern w:val="0"/>
                <w:sz w:val="22"/>
              </w:rPr>
              <w:t>1.支持带载面积≥230万像素，宽度≥3840点，高度≥3840点；</w:t>
            </w:r>
            <w:r>
              <w:rPr>
                <w:rFonts w:cs="宋体"/>
                <w:color w:val="000000"/>
                <w:kern w:val="0"/>
                <w:sz w:val="22"/>
              </w:rPr>
              <w:br w:type="textWrapping"/>
            </w:r>
            <w:r>
              <w:rPr>
                <w:rFonts w:cs="宋体"/>
                <w:color w:val="000000"/>
                <w:kern w:val="0"/>
                <w:sz w:val="22"/>
              </w:rPr>
              <w:t>2.支持≥1路光探头接口；</w:t>
            </w:r>
            <w:r>
              <w:rPr>
                <w:rFonts w:cs="宋体"/>
                <w:color w:val="000000"/>
                <w:kern w:val="0"/>
                <w:sz w:val="22"/>
              </w:rPr>
              <w:br w:type="textWrapping"/>
            </w:r>
            <w:r>
              <w:rPr>
                <w:rFonts w:cs="宋体"/>
                <w:color w:val="000000"/>
                <w:kern w:val="0"/>
                <w:sz w:val="22"/>
              </w:rPr>
              <w:t>3.支持逐点亮色度校正功能；</w:t>
            </w:r>
            <w:r>
              <w:rPr>
                <w:rFonts w:cs="宋体"/>
                <w:color w:val="000000"/>
                <w:kern w:val="0"/>
                <w:sz w:val="22"/>
              </w:rPr>
              <w:br w:type="textWrapping"/>
            </w:r>
            <w:r>
              <w:rPr>
                <w:rFonts w:cs="宋体"/>
                <w:color w:val="000000"/>
                <w:kern w:val="0"/>
                <w:sz w:val="22"/>
              </w:rPr>
              <w:t>4.支持≥1路DVI输入接口，≥1路HDMI1.3输入接口，≥4路网口输出；</w:t>
            </w:r>
          </w:p>
        </w:tc>
        <w:tc>
          <w:tcPr>
            <w:tcW w:w="216" w:type="pct"/>
            <w:tcBorders>
              <w:top w:val="nil"/>
              <w:left w:val="nil"/>
              <w:bottom w:val="single" w:color="auto" w:sz="4" w:space="0"/>
              <w:right w:val="single" w:color="auto" w:sz="4" w:space="0"/>
            </w:tcBorders>
            <w:vAlign w:val="center"/>
          </w:tcPr>
          <w:p w14:paraId="7489CF33">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65DECDC3">
            <w:pPr>
              <w:widowControl/>
              <w:spacing w:line="240" w:lineRule="auto"/>
              <w:jc w:val="center"/>
              <w:rPr>
                <w:rFonts w:hint="eastAsia" w:cs="宋体"/>
                <w:color w:val="000000"/>
                <w:kern w:val="0"/>
                <w:sz w:val="22"/>
              </w:rPr>
            </w:pPr>
            <w:r>
              <w:rPr>
                <w:rFonts w:cs="宋体"/>
                <w:color w:val="000000"/>
                <w:kern w:val="0"/>
                <w:sz w:val="22"/>
              </w:rPr>
              <w:t>8</w:t>
            </w:r>
          </w:p>
        </w:tc>
      </w:tr>
      <w:tr w14:paraId="7FD64359">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806B9FC">
            <w:pPr>
              <w:widowControl/>
              <w:spacing w:line="240" w:lineRule="auto"/>
              <w:jc w:val="center"/>
              <w:rPr>
                <w:rFonts w:hint="eastAsia" w:cs="宋体"/>
                <w:color w:val="000000"/>
                <w:kern w:val="0"/>
                <w:sz w:val="22"/>
              </w:rPr>
            </w:pPr>
            <w:r>
              <w:rPr>
                <w:rFonts w:cs="宋体"/>
                <w:color w:val="000000"/>
                <w:kern w:val="0"/>
                <w:sz w:val="22"/>
              </w:rPr>
              <w:t>16</w:t>
            </w:r>
          </w:p>
        </w:tc>
        <w:tc>
          <w:tcPr>
            <w:tcW w:w="152" w:type="pct"/>
            <w:vMerge w:val="continue"/>
            <w:tcBorders>
              <w:top w:val="nil"/>
              <w:left w:val="single" w:color="auto" w:sz="4" w:space="0"/>
              <w:bottom w:val="single" w:color="000000" w:sz="4" w:space="0"/>
              <w:right w:val="single" w:color="auto" w:sz="4" w:space="0"/>
            </w:tcBorders>
            <w:vAlign w:val="center"/>
          </w:tcPr>
          <w:p w14:paraId="2519B311">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5F767B1">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F51ED4E">
            <w:pPr>
              <w:widowControl/>
              <w:spacing w:line="240" w:lineRule="auto"/>
              <w:rPr>
                <w:rFonts w:hint="eastAsia" w:cs="宋体"/>
                <w:color w:val="000000"/>
                <w:kern w:val="0"/>
                <w:sz w:val="22"/>
              </w:rPr>
            </w:pPr>
            <w:r>
              <w:rPr>
                <w:rFonts w:cs="宋体"/>
                <w:color w:val="000000"/>
                <w:kern w:val="0"/>
                <w:sz w:val="22"/>
              </w:rPr>
              <w:t>配电柜</w:t>
            </w:r>
          </w:p>
        </w:tc>
        <w:tc>
          <w:tcPr>
            <w:tcW w:w="3643" w:type="pct"/>
            <w:tcBorders>
              <w:top w:val="nil"/>
              <w:left w:val="nil"/>
              <w:bottom w:val="single" w:color="auto" w:sz="4" w:space="0"/>
              <w:right w:val="single" w:color="auto" w:sz="4" w:space="0"/>
            </w:tcBorders>
            <w:vAlign w:val="center"/>
          </w:tcPr>
          <w:p w14:paraId="6509BAC7">
            <w:pPr>
              <w:widowControl/>
              <w:spacing w:line="240" w:lineRule="auto"/>
              <w:rPr>
                <w:rFonts w:hint="eastAsia" w:cs="宋体"/>
                <w:color w:val="000000"/>
                <w:kern w:val="0"/>
                <w:sz w:val="22"/>
              </w:rPr>
            </w:pPr>
            <w:r>
              <w:rPr>
                <w:rFonts w:cs="宋体"/>
                <w:color w:val="000000"/>
                <w:kern w:val="0"/>
                <w:sz w:val="22"/>
              </w:rPr>
              <w:t>1.额定功率：≥20kW，输出路数：≥6路；</w:t>
            </w:r>
            <w:r>
              <w:rPr>
                <w:rFonts w:cs="宋体"/>
                <w:color w:val="000000"/>
                <w:kern w:val="0"/>
                <w:sz w:val="22"/>
              </w:rPr>
              <w:br w:type="textWrapping"/>
            </w:r>
            <w:r>
              <w:rPr>
                <w:rFonts w:cs="宋体"/>
                <w:color w:val="000000"/>
                <w:kern w:val="0"/>
                <w:sz w:val="22"/>
              </w:rPr>
              <w:t>2.输入电压：三相五线制AC380V±10%，频率50Hz±5%；</w:t>
            </w:r>
            <w:r>
              <w:rPr>
                <w:rFonts w:cs="宋体"/>
                <w:color w:val="000000"/>
                <w:kern w:val="0"/>
                <w:sz w:val="22"/>
              </w:rPr>
              <w:br w:type="textWrapping"/>
            </w:r>
            <w:r>
              <w:rPr>
                <w:rFonts w:cs="宋体"/>
                <w:color w:val="000000"/>
                <w:kern w:val="0"/>
                <w:sz w:val="22"/>
              </w:rPr>
              <w:t>3.输出电压：单相220VAC；</w:t>
            </w:r>
            <w:r>
              <w:rPr>
                <w:rFonts w:cs="宋体"/>
                <w:color w:val="000000"/>
                <w:kern w:val="0"/>
                <w:sz w:val="22"/>
              </w:rPr>
              <w:br w:type="textWrapping"/>
            </w:r>
            <w:r>
              <w:rPr>
                <w:rFonts w:cs="宋体"/>
                <w:color w:val="000000"/>
                <w:kern w:val="0"/>
                <w:sz w:val="22"/>
              </w:rPr>
              <w:t>4.具备过流、短路、断路、过载、浪涌电气保护措施；</w:t>
            </w:r>
            <w:r>
              <w:rPr>
                <w:rFonts w:cs="宋体"/>
                <w:color w:val="000000"/>
                <w:kern w:val="0"/>
                <w:sz w:val="22"/>
              </w:rPr>
              <w:br w:type="textWrapping"/>
            </w:r>
            <w:r>
              <w:rPr>
                <w:rFonts w:cs="宋体"/>
                <w:color w:val="000000"/>
                <w:kern w:val="0"/>
                <w:sz w:val="22"/>
              </w:rPr>
              <w:t>5.具备实体按键、手持遥控器、电脑远控多种控制方式；</w:t>
            </w:r>
            <w:r>
              <w:rPr>
                <w:rFonts w:cs="宋体"/>
                <w:color w:val="000000"/>
                <w:kern w:val="0"/>
                <w:sz w:val="22"/>
              </w:rPr>
              <w:br w:type="textWrapping"/>
            </w:r>
            <w:r>
              <w:rPr>
                <w:rFonts w:cs="宋体"/>
                <w:color w:val="000000"/>
                <w:kern w:val="0"/>
                <w:sz w:val="22"/>
              </w:rPr>
              <w:t>6.具备单台、集群管理功能，采用RS485有线以太网远程通信端口，在局域网内任意一台电脑进行控制；</w:t>
            </w:r>
            <w:r>
              <w:rPr>
                <w:rFonts w:cs="宋体"/>
                <w:color w:val="000000"/>
                <w:kern w:val="0"/>
                <w:sz w:val="22"/>
              </w:rPr>
              <w:br w:type="textWrapping"/>
            </w:r>
            <w:r>
              <w:rPr>
                <w:rFonts w:cs="宋体"/>
                <w:color w:val="000000"/>
                <w:kern w:val="0"/>
                <w:sz w:val="22"/>
              </w:rPr>
              <w:t>7.具备设置≥4组开关时间，支持每天定时通电和断电功能；</w:t>
            </w:r>
            <w:r>
              <w:rPr>
                <w:rFonts w:cs="宋体"/>
                <w:color w:val="000000"/>
                <w:kern w:val="0"/>
                <w:sz w:val="22"/>
              </w:rPr>
              <w:br w:type="textWrapping"/>
            </w:r>
            <w:r>
              <w:rPr>
                <w:rFonts w:cs="宋体"/>
                <w:color w:val="000000"/>
                <w:kern w:val="0"/>
                <w:sz w:val="22"/>
              </w:rPr>
              <w:t>8.具备通过PLC软件实现实时温度、湿度监测，实时烟雾监测，高温、高湿、烟雾告警自动断电；</w:t>
            </w:r>
            <w:r>
              <w:rPr>
                <w:rFonts w:cs="宋体"/>
                <w:color w:val="000000"/>
                <w:kern w:val="0"/>
                <w:sz w:val="22"/>
              </w:rPr>
              <w:br w:type="textWrapping"/>
            </w:r>
            <w:r>
              <w:rPr>
                <w:rFonts w:cs="宋体"/>
                <w:color w:val="000000"/>
                <w:kern w:val="0"/>
                <w:sz w:val="22"/>
              </w:rPr>
              <w:t>9.具备触发告警后，电脑自动强制弹屏提示，PLC模块、电脑蜂鸣器长鸣多种告警方式；</w:t>
            </w:r>
            <w:r>
              <w:rPr>
                <w:rFonts w:cs="宋体"/>
                <w:color w:val="000000"/>
                <w:kern w:val="0"/>
                <w:sz w:val="22"/>
              </w:rPr>
              <w:br w:type="textWrapping"/>
            </w:r>
            <w:r>
              <w:rPr>
                <w:rFonts w:cs="宋体"/>
                <w:color w:val="000000"/>
                <w:kern w:val="0"/>
                <w:sz w:val="22"/>
              </w:rPr>
              <w:t>10.具备继电器回路整体上下电，也可通过PLC软件单独控制每个接触器的上下电；</w:t>
            </w:r>
            <w:r>
              <w:rPr>
                <w:rFonts w:cs="宋体"/>
                <w:color w:val="000000"/>
                <w:kern w:val="0"/>
                <w:sz w:val="22"/>
              </w:rPr>
              <w:br w:type="textWrapping"/>
            </w:r>
            <w:r>
              <w:rPr>
                <w:rFonts w:cs="宋体"/>
                <w:color w:val="000000"/>
                <w:kern w:val="0"/>
                <w:sz w:val="22"/>
              </w:rPr>
              <w:t>11.内置避雷器，具有避雷防雷功能；</w:t>
            </w:r>
          </w:p>
        </w:tc>
        <w:tc>
          <w:tcPr>
            <w:tcW w:w="216" w:type="pct"/>
            <w:tcBorders>
              <w:top w:val="nil"/>
              <w:left w:val="nil"/>
              <w:bottom w:val="single" w:color="auto" w:sz="4" w:space="0"/>
              <w:right w:val="single" w:color="auto" w:sz="4" w:space="0"/>
            </w:tcBorders>
            <w:vAlign w:val="center"/>
          </w:tcPr>
          <w:p w14:paraId="414F3E48">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18152FC4">
            <w:pPr>
              <w:widowControl/>
              <w:spacing w:line="240" w:lineRule="auto"/>
              <w:jc w:val="center"/>
              <w:rPr>
                <w:rFonts w:hint="eastAsia" w:cs="宋体"/>
                <w:color w:val="000000"/>
                <w:kern w:val="0"/>
                <w:sz w:val="22"/>
              </w:rPr>
            </w:pPr>
            <w:r>
              <w:rPr>
                <w:rFonts w:cs="宋体"/>
                <w:color w:val="000000"/>
                <w:kern w:val="0"/>
                <w:sz w:val="22"/>
              </w:rPr>
              <w:t>1</w:t>
            </w:r>
          </w:p>
        </w:tc>
      </w:tr>
      <w:tr w14:paraId="582A8F4E">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9E2A2AB">
            <w:pPr>
              <w:widowControl/>
              <w:spacing w:line="240" w:lineRule="auto"/>
              <w:jc w:val="center"/>
              <w:rPr>
                <w:rFonts w:hint="eastAsia" w:cs="宋体"/>
                <w:color w:val="000000"/>
                <w:kern w:val="0"/>
                <w:sz w:val="22"/>
              </w:rPr>
            </w:pPr>
            <w:r>
              <w:rPr>
                <w:rFonts w:cs="宋体"/>
                <w:color w:val="000000"/>
                <w:kern w:val="0"/>
                <w:sz w:val="22"/>
              </w:rPr>
              <w:t>17</w:t>
            </w:r>
          </w:p>
        </w:tc>
        <w:tc>
          <w:tcPr>
            <w:tcW w:w="152" w:type="pct"/>
            <w:vMerge w:val="continue"/>
            <w:tcBorders>
              <w:top w:val="nil"/>
              <w:left w:val="single" w:color="auto" w:sz="4" w:space="0"/>
              <w:bottom w:val="single" w:color="000000" w:sz="4" w:space="0"/>
              <w:right w:val="single" w:color="auto" w:sz="4" w:space="0"/>
            </w:tcBorders>
            <w:vAlign w:val="center"/>
          </w:tcPr>
          <w:p w14:paraId="66876557">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7347B808">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16C0DA9">
            <w:pPr>
              <w:widowControl/>
              <w:spacing w:line="240" w:lineRule="auto"/>
              <w:rPr>
                <w:rFonts w:hint="eastAsia" w:cs="宋体"/>
                <w:color w:val="000000"/>
                <w:kern w:val="0"/>
                <w:sz w:val="22"/>
              </w:rPr>
            </w:pPr>
            <w:r>
              <w:rPr>
                <w:rFonts w:cs="宋体"/>
                <w:color w:val="000000"/>
                <w:kern w:val="0"/>
                <w:sz w:val="22"/>
              </w:rPr>
              <w:t>辅材</w:t>
            </w:r>
          </w:p>
        </w:tc>
        <w:tc>
          <w:tcPr>
            <w:tcW w:w="3643" w:type="pct"/>
            <w:tcBorders>
              <w:top w:val="nil"/>
              <w:left w:val="nil"/>
              <w:bottom w:val="single" w:color="auto" w:sz="4" w:space="0"/>
              <w:right w:val="single" w:color="auto" w:sz="4" w:space="0"/>
            </w:tcBorders>
            <w:noWrap/>
            <w:vAlign w:val="center"/>
          </w:tcPr>
          <w:p w14:paraId="4954BE85">
            <w:pPr>
              <w:widowControl/>
              <w:spacing w:line="240" w:lineRule="auto"/>
              <w:rPr>
                <w:rFonts w:hint="eastAsia" w:cs="宋体"/>
                <w:color w:val="000000"/>
                <w:kern w:val="0"/>
                <w:sz w:val="22"/>
              </w:rPr>
            </w:pPr>
            <w:r>
              <w:rPr>
                <w:rFonts w:cs="宋体"/>
                <w:color w:val="000000"/>
                <w:kern w:val="0"/>
                <w:sz w:val="22"/>
              </w:rPr>
              <w:t>网线、电源线、高清视频线等</w:t>
            </w:r>
          </w:p>
        </w:tc>
        <w:tc>
          <w:tcPr>
            <w:tcW w:w="216" w:type="pct"/>
            <w:tcBorders>
              <w:top w:val="nil"/>
              <w:left w:val="nil"/>
              <w:bottom w:val="single" w:color="auto" w:sz="4" w:space="0"/>
              <w:right w:val="single" w:color="auto" w:sz="4" w:space="0"/>
            </w:tcBorders>
            <w:vAlign w:val="center"/>
          </w:tcPr>
          <w:p w14:paraId="531DE203">
            <w:pPr>
              <w:widowControl/>
              <w:spacing w:line="240" w:lineRule="auto"/>
              <w:jc w:val="center"/>
              <w:rPr>
                <w:rFonts w:hint="eastAsia" w:cs="宋体"/>
                <w:color w:val="000000"/>
                <w:kern w:val="0"/>
                <w:sz w:val="22"/>
              </w:rPr>
            </w:pPr>
            <w:r>
              <w:rPr>
                <w:rFonts w:cs="宋体"/>
                <w:color w:val="000000"/>
                <w:kern w:val="0"/>
                <w:sz w:val="22"/>
              </w:rPr>
              <w:t>批</w:t>
            </w:r>
          </w:p>
        </w:tc>
        <w:tc>
          <w:tcPr>
            <w:tcW w:w="202" w:type="pct"/>
            <w:tcBorders>
              <w:top w:val="nil"/>
              <w:left w:val="nil"/>
              <w:bottom w:val="single" w:color="auto" w:sz="4" w:space="0"/>
              <w:right w:val="single" w:color="auto" w:sz="4" w:space="0"/>
            </w:tcBorders>
            <w:vAlign w:val="center"/>
          </w:tcPr>
          <w:p w14:paraId="3C7463EF">
            <w:pPr>
              <w:widowControl/>
              <w:spacing w:line="240" w:lineRule="auto"/>
              <w:jc w:val="center"/>
              <w:rPr>
                <w:rFonts w:hint="eastAsia" w:cs="宋体"/>
                <w:color w:val="000000"/>
                <w:kern w:val="0"/>
                <w:sz w:val="22"/>
              </w:rPr>
            </w:pPr>
            <w:r>
              <w:rPr>
                <w:rFonts w:cs="宋体"/>
                <w:color w:val="000000"/>
                <w:kern w:val="0"/>
                <w:sz w:val="22"/>
              </w:rPr>
              <w:t>1</w:t>
            </w:r>
          </w:p>
        </w:tc>
      </w:tr>
      <w:tr w14:paraId="5C611B71">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3C8881D">
            <w:pPr>
              <w:widowControl/>
              <w:spacing w:line="240" w:lineRule="auto"/>
              <w:jc w:val="center"/>
              <w:rPr>
                <w:rFonts w:hint="eastAsia" w:cs="宋体"/>
                <w:color w:val="000000"/>
                <w:kern w:val="0"/>
                <w:sz w:val="22"/>
              </w:rPr>
            </w:pPr>
            <w:r>
              <w:rPr>
                <w:rFonts w:cs="宋体"/>
                <w:color w:val="000000"/>
                <w:kern w:val="0"/>
                <w:sz w:val="22"/>
              </w:rPr>
              <w:t>18</w:t>
            </w:r>
          </w:p>
        </w:tc>
        <w:tc>
          <w:tcPr>
            <w:tcW w:w="152" w:type="pct"/>
            <w:vMerge w:val="continue"/>
            <w:tcBorders>
              <w:top w:val="nil"/>
              <w:left w:val="single" w:color="auto" w:sz="4" w:space="0"/>
              <w:bottom w:val="single" w:color="000000" w:sz="4" w:space="0"/>
              <w:right w:val="single" w:color="auto" w:sz="4" w:space="0"/>
            </w:tcBorders>
            <w:vAlign w:val="center"/>
          </w:tcPr>
          <w:p w14:paraId="6F1AA623">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C64723E">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47F9328">
            <w:pPr>
              <w:widowControl/>
              <w:spacing w:line="240" w:lineRule="auto"/>
              <w:rPr>
                <w:rFonts w:hint="eastAsia" w:cs="宋体"/>
                <w:color w:val="000000"/>
                <w:kern w:val="0"/>
                <w:sz w:val="22"/>
              </w:rPr>
            </w:pPr>
            <w:r>
              <w:rPr>
                <w:rFonts w:cs="宋体"/>
                <w:color w:val="000000"/>
                <w:kern w:val="0"/>
                <w:sz w:val="22"/>
              </w:rPr>
              <w:t>拼接控制器</w:t>
            </w:r>
          </w:p>
        </w:tc>
        <w:tc>
          <w:tcPr>
            <w:tcW w:w="3643" w:type="pct"/>
            <w:tcBorders>
              <w:top w:val="nil"/>
              <w:left w:val="nil"/>
              <w:bottom w:val="single" w:color="auto" w:sz="4" w:space="0"/>
              <w:right w:val="single" w:color="auto" w:sz="4" w:space="0"/>
            </w:tcBorders>
            <w:vAlign w:val="center"/>
          </w:tcPr>
          <w:p w14:paraId="0D3D4F42">
            <w:pPr>
              <w:widowControl/>
              <w:spacing w:line="240" w:lineRule="auto"/>
              <w:rPr>
                <w:rFonts w:hint="eastAsia" w:cs="宋体"/>
                <w:color w:val="000000"/>
                <w:kern w:val="0"/>
                <w:sz w:val="22"/>
              </w:rPr>
            </w:pPr>
            <w:r>
              <w:rPr>
                <w:rFonts w:cs="宋体"/>
                <w:color w:val="000000"/>
                <w:kern w:val="0"/>
                <w:sz w:val="22"/>
              </w:rPr>
              <w:t>（一）机箱</w:t>
            </w:r>
            <w:r>
              <w:rPr>
                <w:rFonts w:cs="宋体"/>
                <w:color w:val="000000"/>
                <w:kern w:val="0"/>
                <w:sz w:val="22"/>
              </w:rPr>
              <w:br w:type="textWrapping"/>
            </w:r>
            <w:r>
              <w:rPr>
                <w:rFonts w:cs="宋体"/>
                <w:color w:val="000000"/>
                <w:kern w:val="0"/>
                <w:sz w:val="22"/>
              </w:rPr>
              <w:t>1.机箱支持≥8槽位</w:t>
            </w:r>
            <w:r>
              <w:rPr>
                <w:rFonts w:cs="宋体"/>
                <w:color w:val="000000"/>
                <w:kern w:val="0"/>
                <w:sz w:val="22"/>
              </w:rPr>
              <w:br w:type="textWrapping"/>
            </w:r>
            <w:r>
              <w:rPr>
                <w:rFonts w:cs="宋体"/>
                <w:color w:val="000000"/>
                <w:kern w:val="0"/>
                <w:sz w:val="22"/>
              </w:rPr>
              <w:t>2.单张输出板卡可开≥16个图层，支持任意开窗、叠加、漫游、缩放。</w:t>
            </w:r>
            <w:r>
              <w:rPr>
                <w:rFonts w:cs="宋体"/>
                <w:color w:val="000000"/>
                <w:kern w:val="0"/>
                <w:sz w:val="22"/>
              </w:rPr>
              <w:br w:type="textWrapping"/>
            </w:r>
            <w:r>
              <w:rPr>
                <w:rFonts w:cs="宋体"/>
                <w:color w:val="000000"/>
                <w:kern w:val="0"/>
                <w:sz w:val="22"/>
              </w:rPr>
              <w:t>3.基于纯硬件FPGA架构，主机具备拼接、矩阵一体化功能，输出端可选拼接或矩阵模式。</w:t>
            </w:r>
            <w:r>
              <w:rPr>
                <w:rFonts w:cs="宋体"/>
                <w:color w:val="000000"/>
                <w:kern w:val="0"/>
                <w:sz w:val="22"/>
              </w:rPr>
              <w:br w:type="textWrapping"/>
            </w:r>
            <w:r>
              <w:rPr>
                <w:rFonts w:cs="宋体"/>
                <w:color w:val="000000"/>
                <w:kern w:val="0"/>
                <w:sz w:val="22"/>
              </w:rPr>
              <w:t>4.支持配置IP输入卡，支持无限制添加接入ONVIF协议、GB/T 28181等标准的监控信号，进行统一管理、统一调度，并支持可视化预览，可解码≥4096*2160@30fps的IP码流。</w:t>
            </w:r>
            <w:r>
              <w:rPr>
                <w:rFonts w:cs="宋体"/>
                <w:color w:val="000000"/>
                <w:kern w:val="0"/>
                <w:sz w:val="22"/>
              </w:rPr>
              <w:br w:type="textWrapping"/>
            </w:r>
            <w:r>
              <w:rPr>
                <w:rFonts w:cs="宋体"/>
                <w:color w:val="000000"/>
                <w:kern w:val="0"/>
                <w:sz w:val="22"/>
              </w:rPr>
              <w:t>5.单卡支持创建≥4个屏幕，单台主机支持创建≥20个屏幕；具备屏幕非规则建屏，可实现单卡单接口建屏。</w:t>
            </w:r>
            <w:r>
              <w:rPr>
                <w:rFonts w:cs="宋体"/>
                <w:color w:val="000000"/>
                <w:kern w:val="0"/>
                <w:sz w:val="22"/>
              </w:rPr>
              <w:br w:type="textWrapping"/>
            </w:r>
            <w:r>
              <w:rPr>
                <w:rFonts w:cs="宋体"/>
                <w:color w:val="000000"/>
                <w:kern w:val="0"/>
                <w:sz w:val="22"/>
              </w:rPr>
              <w:t>6.支持图层参数设置功能，包括缩放、图层置顶置底、布局模式、叠加；并采用无极缩放算法，保障画面放大缩小细节不丢失。</w:t>
            </w:r>
            <w:r>
              <w:rPr>
                <w:rFonts w:cs="宋体"/>
                <w:color w:val="000000"/>
                <w:kern w:val="0"/>
                <w:sz w:val="22"/>
              </w:rPr>
              <w:br w:type="textWrapping"/>
            </w:r>
            <w:r>
              <w:rPr>
                <w:rFonts w:cs="宋体"/>
                <w:color w:val="000000"/>
                <w:kern w:val="0"/>
                <w:sz w:val="22"/>
              </w:rPr>
              <w:t>7.支持通过RS-232和TCP/IP控制对接中控系统，实现可视化界面管控，用户可通过控制端实时预览、放大、缩小、拖动并切换拼接矩阵视频信号，可对输入信号源进行置底、置顶以及一键清屏操作</w:t>
            </w:r>
            <w:r>
              <w:rPr>
                <w:rFonts w:cs="宋体"/>
                <w:color w:val="000000"/>
                <w:kern w:val="0"/>
                <w:sz w:val="22"/>
              </w:rPr>
              <w:br w:type="textWrapping"/>
            </w:r>
            <w:r>
              <w:rPr>
                <w:rFonts w:cs="宋体"/>
                <w:color w:val="000000"/>
                <w:kern w:val="0"/>
                <w:sz w:val="22"/>
              </w:rPr>
              <w:t>8.支持双控制卡备份功能，切换过程画面无黑屏，音频无卡顿；同时支持双电源备份、输入和输出端口备份功能。</w:t>
            </w:r>
            <w:r>
              <w:rPr>
                <w:rFonts w:cs="宋体"/>
                <w:color w:val="000000"/>
                <w:kern w:val="0"/>
                <w:sz w:val="22"/>
              </w:rPr>
              <w:br w:type="textWrapping"/>
            </w:r>
            <w:r>
              <w:rPr>
                <w:rFonts w:cs="宋体"/>
                <w:color w:val="000000"/>
                <w:kern w:val="0"/>
                <w:sz w:val="22"/>
              </w:rPr>
              <w:t>9.软件支持对系统进行可视化管理、信号切换、画面叠加、画中画、画面拼接、画面漫游、画面放大/缩小、画面移动/关闭等操作，支持对显示控制区域实时监控；支持多用户多平台同步操作。</w:t>
            </w:r>
            <w:r>
              <w:rPr>
                <w:rFonts w:cs="宋体"/>
                <w:color w:val="000000"/>
                <w:kern w:val="0"/>
                <w:sz w:val="22"/>
              </w:rPr>
              <w:br w:type="textWrapping"/>
            </w:r>
            <w:r>
              <w:rPr>
                <w:rFonts w:cs="宋体"/>
                <w:color w:val="000000"/>
                <w:kern w:val="0"/>
                <w:sz w:val="22"/>
              </w:rPr>
              <w:t>（二）解码卡</w:t>
            </w:r>
            <w:r>
              <w:rPr>
                <w:rFonts w:cs="宋体"/>
                <w:color w:val="000000"/>
                <w:kern w:val="0"/>
                <w:sz w:val="22"/>
              </w:rPr>
              <w:br w:type="textWrapping"/>
            </w:r>
            <w:r>
              <w:rPr>
                <w:rFonts w:cs="宋体"/>
                <w:color w:val="000000"/>
                <w:kern w:val="0"/>
                <w:sz w:val="22"/>
              </w:rPr>
              <w:t>1.最大支持64路输入图像预览功能；</w:t>
            </w:r>
            <w:r>
              <w:rPr>
                <w:rFonts w:cs="宋体"/>
                <w:color w:val="000000"/>
                <w:kern w:val="0"/>
                <w:sz w:val="22"/>
              </w:rPr>
              <w:br w:type="textWrapping"/>
            </w:r>
            <w:r>
              <w:rPr>
                <w:rFonts w:cs="宋体"/>
                <w:color w:val="000000"/>
                <w:kern w:val="0"/>
                <w:sz w:val="22"/>
              </w:rPr>
              <w:t>2.支持网口通信；</w:t>
            </w:r>
            <w:r>
              <w:rPr>
                <w:rFonts w:cs="宋体"/>
                <w:color w:val="000000"/>
                <w:kern w:val="0"/>
                <w:sz w:val="22"/>
              </w:rPr>
              <w:br w:type="textWrapping"/>
            </w:r>
            <w:r>
              <w:rPr>
                <w:rFonts w:cs="宋体"/>
                <w:color w:val="000000"/>
                <w:kern w:val="0"/>
                <w:sz w:val="22"/>
              </w:rPr>
              <w:t>3.接口：≥RJ45*1。</w:t>
            </w:r>
            <w:r>
              <w:rPr>
                <w:rFonts w:cs="宋体"/>
                <w:color w:val="000000"/>
                <w:kern w:val="0"/>
                <w:sz w:val="22"/>
              </w:rPr>
              <w:br w:type="textWrapping"/>
            </w:r>
            <w:r>
              <w:rPr>
                <w:rFonts w:cs="宋体"/>
                <w:color w:val="000000"/>
                <w:kern w:val="0"/>
                <w:sz w:val="22"/>
              </w:rPr>
              <w:t>（三）输入卡</w:t>
            </w:r>
            <w:r>
              <w:rPr>
                <w:rFonts w:cs="宋体"/>
                <w:color w:val="000000"/>
                <w:kern w:val="0"/>
                <w:sz w:val="22"/>
              </w:rPr>
              <w:br w:type="textWrapping"/>
            </w:r>
            <w:r>
              <w:rPr>
                <w:rFonts w:cs="宋体"/>
                <w:color w:val="000000"/>
                <w:kern w:val="0"/>
                <w:sz w:val="22"/>
              </w:rPr>
              <w:t>输入卡*2</w:t>
            </w:r>
            <w:r>
              <w:rPr>
                <w:rFonts w:cs="宋体"/>
                <w:color w:val="000000"/>
                <w:kern w:val="0"/>
                <w:sz w:val="22"/>
              </w:rPr>
              <w:br w:type="textWrapping"/>
            </w:r>
            <w:r>
              <w:rPr>
                <w:rFonts w:cs="宋体"/>
                <w:color w:val="000000"/>
                <w:kern w:val="0"/>
                <w:sz w:val="22"/>
              </w:rPr>
              <w:t>1.接口类型：HDMI1.4</w:t>
            </w:r>
            <w:r>
              <w:rPr>
                <w:rFonts w:cs="宋体"/>
                <w:color w:val="000000"/>
                <w:kern w:val="0"/>
                <w:sz w:val="22"/>
              </w:rPr>
              <w:br w:type="textWrapping"/>
            </w:r>
            <w:r>
              <w:rPr>
                <w:rFonts w:cs="宋体"/>
                <w:color w:val="000000"/>
                <w:kern w:val="0"/>
                <w:sz w:val="22"/>
              </w:rPr>
              <w:t>2.接口数量：≥4</w:t>
            </w:r>
            <w:r>
              <w:rPr>
                <w:rFonts w:cs="宋体"/>
                <w:color w:val="000000"/>
                <w:kern w:val="0"/>
                <w:sz w:val="22"/>
              </w:rPr>
              <w:br w:type="textWrapping"/>
            </w:r>
            <w:r>
              <w:rPr>
                <w:rFonts w:cs="宋体"/>
                <w:color w:val="000000"/>
                <w:kern w:val="0"/>
                <w:sz w:val="22"/>
              </w:rPr>
              <w:t>3.输入信号：HDMI</w:t>
            </w:r>
            <w:r>
              <w:rPr>
                <w:rFonts w:cs="宋体"/>
                <w:color w:val="000000"/>
                <w:kern w:val="0"/>
                <w:sz w:val="22"/>
              </w:rPr>
              <w:br w:type="textWrapping"/>
            </w:r>
            <w:r>
              <w:rPr>
                <w:rFonts w:cs="宋体"/>
                <w:color w:val="000000"/>
                <w:kern w:val="0"/>
                <w:sz w:val="22"/>
              </w:rPr>
              <w:t>4.最高分辨率：优于或等于4096*2160@30Hz</w:t>
            </w:r>
            <w:r>
              <w:rPr>
                <w:rFonts w:cs="宋体"/>
                <w:color w:val="000000"/>
                <w:kern w:val="0"/>
                <w:sz w:val="22"/>
              </w:rPr>
              <w:br w:type="textWrapping"/>
            </w:r>
            <w:r>
              <w:rPr>
                <w:rFonts w:cs="宋体"/>
                <w:color w:val="000000"/>
                <w:kern w:val="0"/>
                <w:sz w:val="22"/>
              </w:rPr>
              <w:t>（三）输出卡1</w:t>
            </w:r>
            <w:r>
              <w:rPr>
                <w:rFonts w:cs="宋体"/>
                <w:color w:val="000000"/>
                <w:kern w:val="0"/>
                <w:sz w:val="22"/>
              </w:rPr>
              <w:br w:type="textWrapping"/>
            </w:r>
            <w:r>
              <w:rPr>
                <w:rFonts w:cs="宋体"/>
                <w:color w:val="000000"/>
                <w:kern w:val="0"/>
                <w:sz w:val="22"/>
              </w:rPr>
              <w:t>输出卡*2</w:t>
            </w:r>
            <w:r>
              <w:rPr>
                <w:rFonts w:cs="宋体"/>
                <w:color w:val="000000"/>
                <w:kern w:val="0"/>
                <w:sz w:val="22"/>
              </w:rPr>
              <w:br w:type="textWrapping"/>
            </w:r>
            <w:r>
              <w:rPr>
                <w:rFonts w:cs="宋体"/>
                <w:color w:val="000000"/>
                <w:kern w:val="0"/>
                <w:sz w:val="22"/>
              </w:rPr>
              <w:t>1.接口类型：DVI-D</w:t>
            </w:r>
            <w:r>
              <w:rPr>
                <w:rFonts w:cs="宋体"/>
                <w:color w:val="000000"/>
                <w:kern w:val="0"/>
                <w:sz w:val="22"/>
              </w:rPr>
              <w:br w:type="textWrapping"/>
            </w:r>
            <w:r>
              <w:rPr>
                <w:rFonts w:cs="宋体"/>
                <w:color w:val="000000"/>
                <w:kern w:val="0"/>
                <w:sz w:val="22"/>
              </w:rPr>
              <w:t>2.接口数量：≥4</w:t>
            </w:r>
            <w:r>
              <w:rPr>
                <w:rFonts w:cs="宋体"/>
                <w:color w:val="000000"/>
                <w:kern w:val="0"/>
                <w:sz w:val="22"/>
              </w:rPr>
              <w:br w:type="textWrapping"/>
            </w:r>
            <w:r>
              <w:rPr>
                <w:rFonts w:cs="宋体"/>
                <w:color w:val="000000"/>
                <w:kern w:val="0"/>
                <w:sz w:val="22"/>
              </w:rPr>
              <w:t>3.输出信号：DVI</w:t>
            </w:r>
            <w:r>
              <w:rPr>
                <w:rFonts w:cs="宋体"/>
                <w:color w:val="000000"/>
                <w:kern w:val="0"/>
                <w:sz w:val="22"/>
              </w:rPr>
              <w:br w:type="textWrapping"/>
            </w:r>
            <w:r>
              <w:rPr>
                <w:rFonts w:cs="宋体"/>
                <w:color w:val="000000"/>
                <w:kern w:val="0"/>
                <w:sz w:val="22"/>
              </w:rPr>
              <w:t>4.最高分辨率：优于或等于1920*1200@60Hz</w:t>
            </w:r>
            <w:r>
              <w:rPr>
                <w:rFonts w:cs="宋体"/>
                <w:color w:val="000000"/>
                <w:kern w:val="0"/>
                <w:sz w:val="22"/>
              </w:rPr>
              <w:br w:type="textWrapping"/>
            </w:r>
            <w:r>
              <w:rPr>
                <w:rFonts w:cs="宋体"/>
                <w:color w:val="000000"/>
                <w:kern w:val="0"/>
                <w:sz w:val="22"/>
              </w:rPr>
              <w:t>（四）输出卡2</w:t>
            </w:r>
            <w:r>
              <w:rPr>
                <w:rFonts w:cs="宋体"/>
                <w:color w:val="000000"/>
                <w:kern w:val="0"/>
                <w:sz w:val="22"/>
              </w:rPr>
              <w:br w:type="textWrapping"/>
            </w:r>
            <w:r>
              <w:rPr>
                <w:rFonts w:cs="宋体"/>
                <w:color w:val="000000"/>
                <w:kern w:val="0"/>
                <w:sz w:val="22"/>
              </w:rPr>
              <w:t>输出卡*2</w:t>
            </w:r>
            <w:r>
              <w:rPr>
                <w:rFonts w:cs="宋体"/>
                <w:color w:val="000000"/>
                <w:kern w:val="0"/>
                <w:sz w:val="22"/>
              </w:rPr>
              <w:br w:type="textWrapping"/>
            </w:r>
            <w:r>
              <w:rPr>
                <w:rFonts w:cs="宋体"/>
                <w:color w:val="000000"/>
                <w:kern w:val="0"/>
                <w:sz w:val="22"/>
              </w:rPr>
              <w:t>1.接口类型：HDMI1.4</w:t>
            </w:r>
            <w:r>
              <w:rPr>
                <w:rFonts w:cs="宋体"/>
                <w:color w:val="000000"/>
                <w:kern w:val="0"/>
                <w:sz w:val="22"/>
              </w:rPr>
              <w:br w:type="textWrapping"/>
            </w:r>
            <w:r>
              <w:rPr>
                <w:rFonts w:cs="宋体"/>
                <w:color w:val="000000"/>
                <w:kern w:val="0"/>
                <w:sz w:val="22"/>
              </w:rPr>
              <w:t>2.接口数量：≥4</w:t>
            </w:r>
            <w:r>
              <w:rPr>
                <w:rFonts w:cs="宋体"/>
                <w:color w:val="000000"/>
                <w:kern w:val="0"/>
                <w:sz w:val="22"/>
              </w:rPr>
              <w:br w:type="textWrapping"/>
            </w:r>
            <w:r>
              <w:rPr>
                <w:rFonts w:cs="宋体"/>
                <w:color w:val="000000"/>
                <w:kern w:val="0"/>
                <w:sz w:val="22"/>
              </w:rPr>
              <w:t>3.输出信号：HDMI</w:t>
            </w:r>
            <w:r>
              <w:rPr>
                <w:rFonts w:cs="宋体"/>
                <w:color w:val="000000"/>
                <w:kern w:val="0"/>
                <w:sz w:val="22"/>
              </w:rPr>
              <w:br w:type="textWrapping"/>
            </w:r>
            <w:r>
              <w:rPr>
                <w:rFonts w:cs="宋体"/>
                <w:color w:val="000000"/>
                <w:kern w:val="0"/>
                <w:sz w:val="22"/>
              </w:rPr>
              <w:t>4.最高分辨率：优于或等于4096*2160@30Hz</w:t>
            </w:r>
          </w:p>
        </w:tc>
        <w:tc>
          <w:tcPr>
            <w:tcW w:w="216" w:type="pct"/>
            <w:tcBorders>
              <w:top w:val="nil"/>
              <w:left w:val="nil"/>
              <w:bottom w:val="single" w:color="auto" w:sz="4" w:space="0"/>
              <w:right w:val="single" w:color="auto" w:sz="4" w:space="0"/>
            </w:tcBorders>
            <w:noWrap/>
            <w:vAlign w:val="center"/>
          </w:tcPr>
          <w:p w14:paraId="041655C5">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noWrap/>
            <w:vAlign w:val="center"/>
          </w:tcPr>
          <w:p w14:paraId="67E52248">
            <w:pPr>
              <w:widowControl/>
              <w:spacing w:line="240" w:lineRule="auto"/>
              <w:jc w:val="center"/>
              <w:rPr>
                <w:rFonts w:hint="eastAsia" w:cs="宋体"/>
                <w:color w:val="000000"/>
                <w:kern w:val="0"/>
                <w:sz w:val="22"/>
              </w:rPr>
            </w:pPr>
            <w:r>
              <w:rPr>
                <w:rFonts w:cs="宋体"/>
                <w:color w:val="000000"/>
                <w:kern w:val="0"/>
                <w:sz w:val="22"/>
              </w:rPr>
              <w:t>1</w:t>
            </w:r>
          </w:p>
        </w:tc>
      </w:tr>
      <w:tr w14:paraId="729D7057">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4669E7D">
            <w:pPr>
              <w:widowControl/>
              <w:spacing w:line="240" w:lineRule="auto"/>
              <w:jc w:val="center"/>
              <w:rPr>
                <w:rFonts w:hint="eastAsia" w:cs="宋体"/>
                <w:color w:val="000000"/>
                <w:kern w:val="0"/>
                <w:sz w:val="22"/>
              </w:rPr>
            </w:pPr>
            <w:r>
              <w:rPr>
                <w:rFonts w:cs="宋体"/>
                <w:color w:val="000000"/>
                <w:kern w:val="0"/>
                <w:sz w:val="22"/>
              </w:rPr>
              <w:t>19</w:t>
            </w:r>
          </w:p>
        </w:tc>
        <w:tc>
          <w:tcPr>
            <w:tcW w:w="152" w:type="pct"/>
            <w:vMerge w:val="continue"/>
            <w:tcBorders>
              <w:top w:val="nil"/>
              <w:left w:val="single" w:color="auto" w:sz="4" w:space="0"/>
              <w:bottom w:val="single" w:color="000000" w:sz="4" w:space="0"/>
              <w:right w:val="single" w:color="auto" w:sz="4" w:space="0"/>
            </w:tcBorders>
            <w:vAlign w:val="center"/>
          </w:tcPr>
          <w:p w14:paraId="3FDACC1F">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47D58945">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5FFE4E5">
            <w:pPr>
              <w:widowControl/>
              <w:spacing w:line="240" w:lineRule="auto"/>
              <w:rPr>
                <w:rFonts w:hint="eastAsia" w:cs="宋体"/>
                <w:color w:val="000000"/>
                <w:kern w:val="0"/>
                <w:sz w:val="22"/>
              </w:rPr>
            </w:pPr>
            <w:r>
              <w:rPr>
                <w:rFonts w:cs="宋体"/>
                <w:color w:val="000000"/>
                <w:kern w:val="0"/>
                <w:sz w:val="22"/>
              </w:rPr>
              <w:t>图形工作站</w:t>
            </w:r>
          </w:p>
        </w:tc>
        <w:tc>
          <w:tcPr>
            <w:tcW w:w="3643" w:type="pct"/>
            <w:tcBorders>
              <w:top w:val="nil"/>
              <w:left w:val="nil"/>
              <w:bottom w:val="nil"/>
              <w:right w:val="nil"/>
            </w:tcBorders>
            <w:vAlign w:val="center"/>
          </w:tcPr>
          <w:p w14:paraId="24FD1450">
            <w:pPr>
              <w:widowControl/>
              <w:spacing w:line="240" w:lineRule="auto"/>
              <w:rPr>
                <w:rFonts w:hint="eastAsia" w:cs="宋体"/>
                <w:color w:val="000000"/>
                <w:kern w:val="0"/>
                <w:sz w:val="22"/>
              </w:rPr>
            </w:pPr>
            <w:r>
              <w:rPr>
                <w:rFonts w:cs="宋体"/>
                <w:color w:val="000000"/>
                <w:kern w:val="0"/>
                <w:sz w:val="22"/>
              </w:rPr>
              <w:t>（一）主机</w:t>
            </w:r>
            <w:r>
              <w:rPr>
                <w:rFonts w:cs="宋体"/>
                <w:color w:val="000000"/>
                <w:kern w:val="0"/>
                <w:sz w:val="22"/>
              </w:rPr>
              <w:br w:type="textWrapping"/>
            </w:r>
            <w:r>
              <w:rPr>
                <w:rFonts w:cs="宋体"/>
                <w:color w:val="000000"/>
                <w:kern w:val="0"/>
                <w:sz w:val="22"/>
              </w:rPr>
              <w:t>1、CPU：≥16核24线程，频率≥2.2GHz，</w:t>
            </w:r>
            <w:r>
              <w:rPr>
                <w:rFonts w:cs="宋体"/>
                <w:color w:val="000000"/>
                <w:kern w:val="0"/>
                <w:sz w:val="22"/>
              </w:rPr>
              <w:br w:type="textWrapping"/>
            </w:r>
            <w:r>
              <w:rPr>
                <w:rFonts w:cs="宋体"/>
                <w:color w:val="000000"/>
                <w:kern w:val="0"/>
                <w:sz w:val="22"/>
              </w:rPr>
              <w:t>2、内存：不低于DDR5规格，32GB容量</w:t>
            </w:r>
            <w:r>
              <w:rPr>
                <w:rFonts w:cs="宋体"/>
                <w:color w:val="000000"/>
                <w:kern w:val="0"/>
                <w:sz w:val="22"/>
              </w:rPr>
              <w:br w:type="textWrapping"/>
            </w:r>
            <w:r>
              <w:rPr>
                <w:rFonts w:cs="宋体"/>
                <w:color w:val="000000"/>
                <w:kern w:val="0"/>
                <w:sz w:val="22"/>
              </w:rPr>
              <w:t>3、存储：不低于M.2 SSD 1TB</w:t>
            </w:r>
            <w:r>
              <w:rPr>
                <w:rFonts w:cs="宋体"/>
                <w:color w:val="000000"/>
                <w:kern w:val="0"/>
                <w:sz w:val="22"/>
              </w:rPr>
              <w:br w:type="textWrapping"/>
            </w:r>
            <w:r>
              <w:rPr>
                <w:rFonts w:cs="宋体"/>
                <w:color w:val="000000"/>
                <w:kern w:val="0"/>
                <w:sz w:val="22"/>
              </w:rPr>
              <w:t>4、电源：不低于1100W电源</w:t>
            </w:r>
            <w:r>
              <w:rPr>
                <w:rFonts w:cs="宋体"/>
                <w:color w:val="000000"/>
                <w:kern w:val="0"/>
                <w:sz w:val="22"/>
              </w:rPr>
              <w:br w:type="textWrapping"/>
            </w:r>
            <w:r>
              <w:rPr>
                <w:rFonts w:cs="宋体"/>
                <w:color w:val="000000"/>
                <w:kern w:val="0"/>
                <w:sz w:val="22"/>
              </w:rPr>
              <w:t>（二）显示器</w:t>
            </w:r>
            <w:r>
              <w:rPr>
                <w:rFonts w:cs="宋体"/>
                <w:color w:val="000000"/>
                <w:kern w:val="0"/>
                <w:sz w:val="22"/>
              </w:rPr>
              <w:br w:type="textWrapping"/>
            </w:r>
            <w:r>
              <w:rPr>
                <w:rFonts w:cs="宋体"/>
                <w:color w:val="000000"/>
                <w:kern w:val="0"/>
                <w:sz w:val="22"/>
              </w:rPr>
              <w:t>1、屏幕比例：16 : 9</w:t>
            </w:r>
            <w:r>
              <w:rPr>
                <w:rFonts w:cs="宋体"/>
                <w:color w:val="000000"/>
                <w:kern w:val="0"/>
                <w:sz w:val="22"/>
              </w:rPr>
              <w:br w:type="textWrapping"/>
            </w:r>
            <w:r>
              <w:rPr>
                <w:rFonts w:cs="宋体"/>
                <w:color w:val="000000"/>
                <w:kern w:val="0"/>
                <w:sz w:val="22"/>
              </w:rPr>
              <w:t>2、亮度：不低于350cd/㎡</w:t>
            </w:r>
            <w:r>
              <w:rPr>
                <w:rFonts w:cs="宋体"/>
                <w:color w:val="000000"/>
                <w:kern w:val="0"/>
                <w:sz w:val="22"/>
              </w:rPr>
              <w:br w:type="textWrapping"/>
            </w:r>
            <w:r>
              <w:rPr>
                <w:rFonts w:cs="宋体"/>
                <w:color w:val="000000"/>
                <w:kern w:val="0"/>
                <w:sz w:val="22"/>
              </w:rPr>
              <w:t>3、屏幕刷新率：不低于60Hz</w:t>
            </w:r>
            <w:r>
              <w:rPr>
                <w:rFonts w:cs="宋体"/>
                <w:color w:val="000000"/>
                <w:kern w:val="0"/>
                <w:sz w:val="22"/>
              </w:rPr>
              <w:br w:type="textWrapping"/>
            </w:r>
            <w:r>
              <w:rPr>
                <w:rFonts w:cs="宋体"/>
                <w:color w:val="000000"/>
                <w:kern w:val="0"/>
                <w:sz w:val="22"/>
              </w:rPr>
              <w:t>4、接口：HDMI，DP</w:t>
            </w:r>
            <w:r>
              <w:rPr>
                <w:rFonts w:cs="宋体"/>
                <w:color w:val="000000"/>
                <w:kern w:val="0"/>
                <w:sz w:val="22"/>
              </w:rPr>
              <w:br w:type="textWrapping"/>
            </w:r>
            <w:r>
              <w:rPr>
                <w:rFonts w:cs="宋体"/>
                <w:color w:val="000000"/>
                <w:kern w:val="0"/>
                <w:sz w:val="22"/>
              </w:rPr>
              <w:t>5、分辨率：不低于3840*2160</w:t>
            </w:r>
            <w:r>
              <w:rPr>
                <w:rFonts w:cs="宋体"/>
                <w:color w:val="000000"/>
                <w:kern w:val="0"/>
                <w:sz w:val="22"/>
              </w:rPr>
              <w:br w:type="textWrapping"/>
            </w:r>
            <w:r>
              <w:rPr>
                <w:rFonts w:cs="宋体"/>
                <w:color w:val="000000"/>
                <w:kern w:val="0"/>
                <w:sz w:val="22"/>
              </w:rPr>
              <w:t>6、曲率：平面</w:t>
            </w:r>
            <w:r>
              <w:rPr>
                <w:rFonts w:cs="宋体"/>
                <w:color w:val="000000"/>
                <w:kern w:val="0"/>
                <w:sz w:val="22"/>
              </w:rPr>
              <w:br w:type="textWrapping"/>
            </w:r>
            <w:r>
              <w:rPr>
                <w:rFonts w:cs="宋体"/>
                <w:color w:val="000000"/>
                <w:kern w:val="0"/>
                <w:sz w:val="22"/>
              </w:rPr>
              <w:t>7、屏幕尺寸：27英寸</w:t>
            </w:r>
            <w:r>
              <w:rPr>
                <w:rFonts w:cs="宋体"/>
                <w:color w:val="000000"/>
                <w:kern w:val="0"/>
                <w:sz w:val="22"/>
              </w:rPr>
              <w:br w:type="textWrapping"/>
            </w:r>
            <w:r>
              <w:rPr>
                <w:rFonts w:cs="宋体"/>
                <w:color w:val="000000"/>
                <w:kern w:val="0"/>
                <w:sz w:val="22"/>
              </w:rPr>
              <w:t>8、数量：4台</w:t>
            </w:r>
          </w:p>
        </w:tc>
        <w:tc>
          <w:tcPr>
            <w:tcW w:w="216" w:type="pct"/>
            <w:tcBorders>
              <w:top w:val="nil"/>
              <w:left w:val="single" w:color="auto" w:sz="4" w:space="0"/>
              <w:bottom w:val="single" w:color="auto" w:sz="4" w:space="0"/>
              <w:right w:val="single" w:color="auto" w:sz="4" w:space="0"/>
            </w:tcBorders>
            <w:noWrap/>
            <w:vAlign w:val="center"/>
          </w:tcPr>
          <w:p w14:paraId="1C0102DA">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6DD72B1A">
            <w:pPr>
              <w:widowControl/>
              <w:spacing w:line="240" w:lineRule="auto"/>
              <w:jc w:val="center"/>
              <w:rPr>
                <w:rFonts w:hint="eastAsia" w:cs="宋体"/>
                <w:color w:val="000000"/>
                <w:kern w:val="0"/>
                <w:sz w:val="22"/>
              </w:rPr>
            </w:pPr>
            <w:r>
              <w:rPr>
                <w:rFonts w:cs="宋体"/>
                <w:color w:val="000000"/>
                <w:kern w:val="0"/>
                <w:sz w:val="22"/>
              </w:rPr>
              <w:t>2</w:t>
            </w:r>
          </w:p>
        </w:tc>
      </w:tr>
      <w:tr w14:paraId="537ABDC4">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CEBA907">
            <w:pPr>
              <w:widowControl/>
              <w:spacing w:line="240" w:lineRule="auto"/>
              <w:jc w:val="center"/>
              <w:rPr>
                <w:rFonts w:hint="eastAsia" w:cs="宋体"/>
                <w:color w:val="000000"/>
                <w:kern w:val="0"/>
                <w:sz w:val="22"/>
              </w:rPr>
            </w:pPr>
            <w:r>
              <w:rPr>
                <w:rFonts w:cs="宋体"/>
                <w:color w:val="000000"/>
                <w:kern w:val="0"/>
                <w:sz w:val="22"/>
              </w:rPr>
              <w:t>20</w:t>
            </w:r>
          </w:p>
        </w:tc>
        <w:tc>
          <w:tcPr>
            <w:tcW w:w="152" w:type="pct"/>
            <w:vMerge w:val="continue"/>
            <w:tcBorders>
              <w:top w:val="nil"/>
              <w:left w:val="single" w:color="auto" w:sz="4" w:space="0"/>
              <w:bottom w:val="single" w:color="000000" w:sz="4" w:space="0"/>
              <w:right w:val="single" w:color="auto" w:sz="4" w:space="0"/>
            </w:tcBorders>
            <w:vAlign w:val="center"/>
          </w:tcPr>
          <w:p w14:paraId="17C028EB">
            <w:pPr>
              <w:widowControl/>
              <w:spacing w:line="240" w:lineRule="auto"/>
              <w:rPr>
                <w:rFonts w:hint="eastAsia" w:cs="宋体"/>
                <w:color w:val="000000"/>
                <w:kern w:val="0"/>
                <w:sz w:val="22"/>
              </w:rPr>
            </w:pPr>
          </w:p>
        </w:tc>
        <w:tc>
          <w:tcPr>
            <w:tcW w:w="331" w:type="pct"/>
            <w:vMerge w:val="restart"/>
            <w:tcBorders>
              <w:top w:val="nil"/>
              <w:left w:val="single" w:color="auto" w:sz="4" w:space="0"/>
              <w:bottom w:val="single" w:color="000000" w:sz="4" w:space="0"/>
              <w:right w:val="single" w:color="auto" w:sz="4" w:space="0"/>
            </w:tcBorders>
            <w:noWrap/>
            <w:vAlign w:val="center"/>
          </w:tcPr>
          <w:p w14:paraId="41EE7BC3">
            <w:pPr>
              <w:widowControl/>
              <w:spacing w:line="240" w:lineRule="auto"/>
              <w:jc w:val="center"/>
              <w:rPr>
                <w:rFonts w:hint="eastAsia" w:cs="宋体"/>
                <w:color w:val="000000"/>
                <w:kern w:val="0"/>
                <w:sz w:val="22"/>
              </w:rPr>
            </w:pPr>
            <w:r>
              <w:rPr>
                <w:rFonts w:cs="宋体"/>
                <w:color w:val="000000"/>
                <w:kern w:val="0"/>
                <w:sz w:val="22"/>
              </w:rPr>
              <w:t>视频会议</w:t>
            </w:r>
          </w:p>
        </w:tc>
        <w:tc>
          <w:tcPr>
            <w:tcW w:w="202" w:type="pct"/>
            <w:tcBorders>
              <w:top w:val="nil"/>
              <w:left w:val="nil"/>
              <w:bottom w:val="single" w:color="auto" w:sz="4" w:space="0"/>
              <w:right w:val="single" w:color="auto" w:sz="4" w:space="0"/>
            </w:tcBorders>
            <w:vAlign w:val="center"/>
          </w:tcPr>
          <w:p w14:paraId="750ED11C">
            <w:pPr>
              <w:widowControl/>
              <w:spacing w:line="240" w:lineRule="auto"/>
              <w:rPr>
                <w:rFonts w:hint="eastAsia" w:cs="宋体"/>
                <w:color w:val="000000"/>
                <w:kern w:val="0"/>
                <w:sz w:val="22"/>
              </w:rPr>
            </w:pPr>
            <w:r>
              <w:rPr>
                <w:rFonts w:cs="宋体"/>
                <w:color w:val="000000"/>
                <w:kern w:val="0"/>
                <w:sz w:val="22"/>
              </w:rPr>
              <w:t>分体式高清视频会议终端</w:t>
            </w:r>
          </w:p>
        </w:tc>
        <w:tc>
          <w:tcPr>
            <w:tcW w:w="3643" w:type="pct"/>
            <w:tcBorders>
              <w:top w:val="single" w:color="auto" w:sz="4" w:space="0"/>
              <w:left w:val="nil"/>
              <w:bottom w:val="single" w:color="auto" w:sz="4" w:space="0"/>
              <w:right w:val="single" w:color="auto" w:sz="4" w:space="0"/>
            </w:tcBorders>
            <w:vAlign w:val="center"/>
          </w:tcPr>
          <w:p w14:paraId="5479273E">
            <w:pPr>
              <w:widowControl/>
              <w:spacing w:line="240" w:lineRule="auto"/>
              <w:rPr>
                <w:rFonts w:hint="eastAsia" w:cs="宋体"/>
                <w:color w:val="000000"/>
                <w:kern w:val="0"/>
                <w:sz w:val="22"/>
              </w:rPr>
            </w:pPr>
            <w:r>
              <w:rPr>
                <w:rFonts w:cs="宋体"/>
                <w:color w:val="000000"/>
                <w:kern w:val="0"/>
                <w:sz w:val="22"/>
              </w:rPr>
              <w:t>1. 具备电信设备入网许可。</w:t>
            </w:r>
            <w:r>
              <w:rPr>
                <w:rFonts w:cs="宋体"/>
                <w:color w:val="000000"/>
                <w:kern w:val="0"/>
                <w:sz w:val="22"/>
              </w:rPr>
              <w:br w:type="textWrapping"/>
            </w:r>
            <w:r>
              <w:rPr>
                <w:rFonts w:cs="宋体"/>
                <w:color w:val="000000"/>
                <w:kern w:val="0"/>
                <w:sz w:val="22"/>
              </w:rPr>
              <w:t>★2. 终端采用国产嵌入式操作系统。（投标人需提供第三方权威机构检测报告证明）</w:t>
            </w:r>
            <w:r>
              <w:rPr>
                <w:rFonts w:cs="宋体"/>
                <w:color w:val="000000"/>
                <w:kern w:val="0"/>
                <w:sz w:val="22"/>
              </w:rPr>
              <w:br w:type="textWrapping"/>
            </w:r>
            <w:r>
              <w:rPr>
                <w:rFonts w:cs="宋体"/>
                <w:color w:val="000000"/>
                <w:kern w:val="0"/>
                <w:sz w:val="22"/>
              </w:rPr>
              <w:t>3. 终端核心芯片采用国产化元器件。</w:t>
            </w:r>
            <w:r>
              <w:rPr>
                <w:rFonts w:cs="宋体"/>
                <w:color w:val="000000"/>
                <w:kern w:val="0"/>
                <w:sz w:val="22"/>
              </w:rPr>
              <w:br w:type="textWrapping"/>
            </w:r>
            <w:r>
              <w:rPr>
                <w:rFonts w:cs="宋体"/>
                <w:color w:val="000000"/>
                <w:kern w:val="0"/>
                <w:sz w:val="22"/>
              </w:rPr>
              <w:t>4. 支持ITU-T H.320、H.323和IETF SIP、RTC通信标准，会议速率支持128Kbps－8Mbps。</w:t>
            </w:r>
            <w:r>
              <w:rPr>
                <w:rFonts w:cs="宋体"/>
                <w:color w:val="000000"/>
                <w:kern w:val="0"/>
                <w:sz w:val="22"/>
              </w:rPr>
              <w:br w:type="textWrapping"/>
            </w:r>
            <w:r>
              <w:rPr>
                <w:rFonts w:cs="宋体"/>
                <w:color w:val="000000"/>
                <w:kern w:val="0"/>
                <w:sz w:val="22"/>
              </w:rPr>
              <w:t>5. 支持H.264 BP、H.264 HP、H.265视频编解码协议。</w:t>
            </w:r>
            <w:r>
              <w:rPr>
                <w:rFonts w:cs="宋体"/>
                <w:color w:val="000000"/>
                <w:kern w:val="0"/>
                <w:sz w:val="22"/>
              </w:rPr>
              <w:br w:type="textWrapping"/>
            </w:r>
            <w:r>
              <w:rPr>
                <w:rFonts w:cs="宋体"/>
                <w:color w:val="000000"/>
                <w:kern w:val="0"/>
                <w:sz w:val="22"/>
              </w:rPr>
              <w:t>6. 支持G.711A-law、G.711µ-law、G.722、G.729、G.719、G.728、G.722.1C 、MPEG-4 AAC-LD、MPEG-4 AAC-LC、Opus等音频协议，可达到20KHz以上的宽频效果。</w:t>
            </w:r>
            <w:r>
              <w:rPr>
                <w:rFonts w:cs="宋体"/>
                <w:color w:val="000000"/>
                <w:kern w:val="0"/>
                <w:sz w:val="22"/>
              </w:rPr>
              <w:br w:type="textWrapping"/>
            </w:r>
            <w:r>
              <w:rPr>
                <w:rFonts w:cs="宋体"/>
                <w:color w:val="000000"/>
                <w:kern w:val="0"/>
                <w:sz w:val="22"/>
              </w:rPr>
              <w:t>7. 支持1080p60、1080p30、720p60、720p30高清分辨率，并向下兼容4CIF、CIF标清分辨率。。</w:t>
            </w:r>
            <w:r>
              <w:rPr>
                <w:rFonts w:cs="宋体"/>
                <w:color w:val="000000"/>
                <w:kern w:val="0"/>
                <w:sz w:val="22"/>
              </w:rPr>
              <w:br w:type="textWrapping"/>
            </w:r>
            <w:r>
              <w:rPr>
                <w:rFonts w:cs="宋体"/>
                <w:color w:val="000000"/>
                <w:kern w:val="0"/>
                <w:sz w:val="22"/>
              </w:rPr>
              <w:t>8. 支持在较低的带宽下实现超高清视频效果，支持512Kbps呼叫带宽情况下可实现1080p60图像传输；支持384Kbps呼叫带宽情况下可实现1080p30fps图像传输。</w:t>
            </w:r>
            <w:r>
              <w:rPr>
                <w:rFonts w:cs="宋体"/>
                <w:color w:val="000000"/>
                <w:kern w:val="0"/>
                <w:sz w:val="22"/>
              </w:rPr>
              <w:br w:type="textWrapping"/>
            </w:r>
            <w:r>
              <w:rPr>
                <w:rFonts w:cs="宋体"/>
                <w:color w:val="000000"/>
                <w:kern w:val="0"/>
                <w:sz w:val="22"/>
              </w:rPr>
              <w:t>9. 在保证主视频1080p60fps前提下，辅视频可以支持到1080p60fps。</w:t>
            </w:r>
            <w:r>
              <w:rPr>
                <w:rFonts w:cs="宋体"/>
                <w:color w:val="000000"/>
                <w:kern w:val="0"/>
                <w:sz w:val="22"/>
              </w:rPr>
              <w:br w:type="textWrapping"/>
            </w:r>
            <w:r>
              <w:rPr>
                <w:rFonts w:cs="宋体"/>
                <w:color w:val="000000"/>
                <w:kern w:val="0"/>
                <w:sz w:val="22"/>
              </w:rPr>
              <w:t>10. 支持2个10/100/1000M以太网接口，支持网口热备份。</w:t>
            </w:r>
            <w:r>
              <w:rPr>
                <w:rFonts w:cs="宋体"/>
                <w:color w:val="000000"/>
                <w:kern w:val="0"/>
                <w:sz w:val="22"/>
              </w:rPr>
              <w:br w:type="textWrapping"/>
            </w:r>
            <w:r>
              <w:rPr>
                <w:rFonts w:cs="宋体"/>
                <w:color w:val="000000"/>
                <w:kern w:val="0"/>
                <w:sz w:val="22"/>
              </w:rPr>
              <w:t>11. 支持在终端控制软件上对本地和远端会场图像进行实时图像+声音的监控及预览，实时图像帧率可达到30fps。</w:t>
            </w:r>
            <w:r>
              <w:rPr>
                <w:rFonts w:cs="宋体"/>
                <w:color w:val="000000"/>
                <w:kern w:val="0"/>
                <w:sz w:val="22"/>
              </w:rPr>
              <w:br w:type="textWrapping"/>
            </w:r>
            <w:r>
              <w:rPr>
                <w:rFonts w:cs="宋体"/>
                <w:color w:val="000000"/>
                <w:kern w:val="0"/>
                <w:sz w:val="22"/>
              </w:rPr>
              <w:t>12. 采用硬件分体式结构，非PC架构、非工控机架构。</w:t>
            </w:r>
            <w:r>
              <w:rPr>
                <w:rFonts w:cs="宋体"/>
                <w:color w:val="000000"/>
                <w:kern w:val="0"/>
                <w:sz w:val="22"/>
              </w:rPr>
              <w:br w:type="textWrapping"/>
            </w:r>
            <w:r>
              <w:rPr>
                <w:rFonts w:cs="宋体"/>
                <w:color w:val="000000"/>
                <w:kern w:val="0"/>
                <w:sz w:val="22"/>
              </w:rPr>
              <w:t>▲13.具备较强的网络抗丢包能力，在IP网络达到55%丢包率情况下声音清晰连续、视频清晰流畅、无马赛克；80%的丢包率情况下声音清晰流畅、可准确理解。（投标人需提供第三方权威机构检测报告证明）</w:t>
            </w:r>
            <w:r>
              <w:rPr>
                <w:rFonts w:cs="宋体"/>
                <w:color w:val="000000"/>
                <w:kern w:val="0"/>
                <w:sz w:val="22"/>
              </w:rPr>
              <w:br w:type="textWrapping"/>
            </w:r>
            <w:r>
              <w:rPr>
                <w:rFonts w:cs="宋体"/>
                <w:color w:val="000000"/>
                <w:kern w:val="0"/>
                <w:sz w:val="22"/>
              </w:rPr>
              <w:t>14. 支持智能视频编码（ROI），可对感兴趣的与会方增强编码，其他区域弱化编码，节省带宽的同时提高与会方图像的显示效果。</w:t>
            </w:r>
            <w:r>
              <w:rPr>
                <w:rFonts w:cs="宋体"/>
                <w:color w:val="000000"/>
                <w:kern w:val="0"/>
                <w:sz w:val="22"/>
              </w:rPr>
              <w:br w:type="textWrapping"/>
            </w:r>
            <w:r>
              <w:rPr>
                <w:rFonts w:cs="宋体"/>
                <w:color w:val="000000"/>
                <w:kern w:val="0"/>
                <w:sz w:val="22"/>
              </w:rPr>
              <w:t>15. 支持OLED屏显示设备运行状态，显示状态：如启动、升级、休眠、网络异常、错误码、温度异常、外设连接异常等</w:t>
            </w:r>
            <w:r>
              <w:rPr>
                <w:rFonts w:cs="宋体"/>
                <w:color w:val="000000"/>
                <w:kern w:val="0"/>
                <w:sz w:val="22"/>
              </w:rPr>
              <w:br w:type="textWrapping"/>
            </w:r>
            <w:r>
              <w:rPr>
                <w:rFonts w:cs="宋体"/>
                <w:color w:val="000000"/>
                <w:kern w:val="0"/>
                <w:sz w:val="22"/>
              </w:rPr>
              <w:t>16. 支持H.235协议的音视频加密，支持AES256加密算法</w:t>
            </w:r>
            <w:r>
              <w:rPr>
                <w:rFonts w:cs="宋体"/>
                <w:color w:val="000000"/>
                <w:kern w:val="0"/>
                <w:sz w:val="22"/>
              </w:rPr>
              <w:br w:type="textWrapping"/>
            </w:r>
            <w:r>
              <w:rPr>
                <w:rFonts w:cs="宋体"/>
                <w:color w:val="000000"/>
                <w:kern w:val="0"/>
                <w:sz w:val="22"/>
              </w:rPr>
              <w:t>17. 终端支持国家密码局认定的国产密码算法，保证信息安全自主可控。支持SM1、SM2、SM3、SM4等国密加密算法。</w:t>
            </w:r>
            <w:r>
              <w:rPr>
                <w:rFonts w:cs="宋体"/>
                <w:color w:val="000000"/>
                <w:kern w:val="0"/>
                <w:sz w:val="22"/>
              </w:rPr>
              <w:br w:type="textWrapping"/>
            </w:r>
            <w:r>
              <w:rPr>
                <w:rFonts w:cs="宋体"/>
                <w:color w:val="000000"/>
                <w:kern w:val="0"/>
                <w:sz w:val="22"/>
              </w:rPr>
              <w:t>18. 终端内置安全芯片，生产预置的设备证书及对应的私钥都存储在安全芯片内；支持一机一证，终端生产时向内置安全芯片烧写唯一的证书。</w:t>
            </w:r>
            <w:r>
              <w:rPr>
                <w:rFonts w:cs="宋体"/>
                <w:color w:val="000000"/>
                <w:kern w:val="0"/>
                <w:sz w:val="22"/>
              </w:rPr>
              <w:br w:type="textWrapping"/>
            </w:r>
            <w:r>
              <w:rPr>
                <w:rFonts w:cs="宋体"/>
                <w:color w:val="000000"/>
                <w:kern w:val="0"/>
                <w:sz w:val="22"/>
              </w:rPr>
              <w:t>19. 支持国密SSL控制信令加密，国密SSL协议实现满足《GB/T 38636-2020信息安全技术层密码协议(TLCP)》</w:t>
            </w:r>
            <w:r>
              <w:rPr>
                <w:rFonts w:cs="宋体"/>
                <w:color w:val="000000"/>
                <w:kern w:val="0"/>
                <w:sz w:val="22"/>
              </w:rPr>
              <w:br w:type="textWrapping"/>
            </w:r>
            <w:r>
              <w:rPr>
                <w:rFonts w:cs="宋体"/>
                <w:color w:val="000000"/>
                <w:kern w:val="0"/>
                <w:sz w:val="22"/>
              </w:rPr>
              <w:t>20. 支持SRTP码流加密，SRTP协议符合RFC3711规范，密钥协商遵循RFC4568规范。</w:t>
            </w:r>
          </w:p>
        </w:tc>
        <w:tc>
          <w:tcPr>
            <w:tcW w:w="216" w:type="pct"/>
            <w:tcBorders>
              <w:top w:val="nil"/>
              <w:left w:val="nil"/>
              <w:bottom w:val="single" w:color="auto" w:sz="4" w:space="0"/>
              <w:right w:val="single" w:color="auto" w:sz="4" w:space="0"/>
            </w:tcBorders>
            <w:noWrap/>
            <w:vAlign w:val="center"/>
          </w:tcPr>
          <w:p w14:paraId="46E349F8">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18997DC5">
            <w:pPr>
              <w:widowControl/>
              <w:spacing w:line="240" w:lineRule="auto"/>
              <w:jc w:val="center"/>
              <w:rPr>
                <w:rFonts w:hint="eastAsia" w:cs="宋体"/>
                <w:color w:val="000000"/>
                <w:kern w:val="0"/>
                <w:sz w:val="22"/>
              </w:rPr>
            </w:pPr>
            <w:r>
              <w:rPr>
                <w:rFonts w:cs="宋体"/>
                <w:color w:val="000000"/>
                <w:kern w:val="0"/>
                <w:sz w:val="22"/>
              </w:rPr>
              <w:t>1</w:t>
            </w:r>
          </w:p>
        </w:tc>
      </w:tr>
      <w:tr w14:paraId="4B6D8ED6">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6CEE1D2">
            <w:pPr>
              <w:widowControl/>
              <w:spacing w:line="240" w:lineRule="auto"/>
              <w:jc w:val="center"/>
              <w:rPr>
                <w:rFonts w:hint="eastAsia" w:cs="宋体"/>
                <w:color w:val="000000"/>
                <w:kern w:val="0"/>
                <w:sz w:val="22"/>
              </w:rPr>
            </w:pPr>
            <w:r>
              <w:rPr>
                <w:rFonts w:cs="宋体"/>
                <w:color w:val="000000"/>
                <w:kern w:val="0"/>
                <w:sz w:val="22"/>
              </w:rPr>
              <w:t>21</w:t>
            </w:r>
          </w:p>
        </w:tc>
        <w:tc>
          <w:tcPr>
            <w:tcW w:w="152" w:type="pct"/>
            <w:vMerge w:val="continue"/>
            <w:tcBorders>
              <w:top w:val="nil"/>
              <w:left w:val="single" w:color="auto" w:sz="4" w:space="0"/>
              <w:bottom w:val="single" w:color="000000" w:sz="4" w:space="0"/>
              <w:right w:val="single" w:color="auto" w:sz="4" w:space="0"/>
            </w:tcBorders>
            <w:vAlign w:val="center"/>
          </w:tcPr>
          <w:p w14:paraId="69B9F20E">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D87E8D7">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1FC4D36">
            <w:pPr>
              <w:widowControl/>
              <w:spacing w:line="240" w:lineRule="auto"/>
              <w:rPr>
                <w:rFonts w:hint="eastAsia" w:cs="宋体"/>
                <w:color w:val="000000"/>
                <w:kern w:val="0"/>
                <w:sz w:val="22"/>
              </w:rPr>
            </w:pPr>
            <w:r>
              <w:rPr>
                <w:rFonts w:cs="宋体"/>
                <w:color w:val="000000"/>
                <w:kern w:val="0"/>
                <w:sz w:val="22"/>
              </w:rPr>
              <w:t>广角高清视频会议摄像机</w:t>
            </w:r>
          </w:p>
        </w:tc>
        <w:tc>
          <w:tcPr>
            <w:tcW w:w="3643" w:type="pct"/>
            <w:tcBorders>
              <w:top w:val="nil"/>
              <w:left w:val="nil"/>
              <w:bottom w:val="single" w:color="auto" w:sz="4" w:space="0"/>
              <w:right w:val="single" w:color="auto" w:sz="4" w:space="0"/>
            </w:tcBorders>
            <w:vAlign w:val="center"/>
          </w:tcPr>
          <w:p w14:paraId="472AC092">
            <w:pPr>
              <w:widowControl/>
              <w:spacing w:line="240" w:lineRule="auto"/>
              <w:rPr>
                <w:rFonts w:hint="eastAsia" w:cs="宋体"/>
                <w:color w:val="000000"/>
                <w:kern w:val="0"/>
                <w:sz w:val="22"/>
              </w:rPr>
            </w:pPr>
            <w:r>
              <w:rPr>
                <w:rFonts w:cs="宋体"/>
                <w:color w:val="000000"/>
                <w:kern w:val="0"/>
                <w:sz w:val="22"/>
              </w:rPr>
              <w:t>1. 图像传感器采用不小于1/2.8"CMOS图像传感器，支持1080p60、1080p50、1080p30、1080p25、720p60、720p50等高清信号输出。</w:t>
            </w:r>
            <w:r>
              <w:rPr>
                <w:rFonts w:cs="宋体"/>
                <w:color w:val="000000"/>
                <w:kern w:val="0"/>
                <w:sz w:val="22"/>
              </w:rPr>
              <w:br w:type="textWrapping"/>
            </w:r>
            <w:r>
              <w:rPr>
                <w:rFonts w:cs="宋体"/>
                <w:color w:val="000000"/>
                <w:kern w:val="0"/>
                <w:sz w:val="22"/>
              </w:rPr>
              <w:t>2. 支持不小于12倍光学变倍，支持不小于16倍数字变焦。</w:t>
            </w:r>
            <w:r>
              <w:rPr>
                <w:rFonts w:cs="宋体"/>
                <w:color w:val="000000"/>
                <w:kern w:val="0"/>
                <w:sz w:val="22"/>
              </w:rPr>
              <w:br w:type="textWrapping"/>
            </w:r>
            <w:r>
              <w:rPr>
                <w:rFonts w:cs="宋体"/>
                <w:color w:val="000000"/>
                <w:kern w:val="0"/>
                <w:sz w:val="22"/>
              </w:rPr>
              <w:t>3. 支持广角镜头，水平视角不小于80°。</w:t>
            </w:r>
            <w:r>
              <w:rPr>
                <w:rFonts w:cs="宋体"/>
                <w:color w:val="000000"/>
                <w:kern w:val="0"/>
                <w:sz w:val="22"/>
              </w:rPr>
              <w:br w:type="textWrapping"/>
            </w:r>
            <w:r>
              <w:rPr>
                <w:rFonts w:cs="宋体"/>
                <w:color w:val="000000"/>
                <w:kern w:val="0"/>
                <w:sz w:val="22"/>
              </w:rPr>
              <w:t>4. 视频输出接口具备HDMI、USB接口。</w:t>
            </w:r>
            <w:r>
              <w:rPr>
                <w:rFonts w:cs="宋体"/>
                <w:color w:val="000000"/>
                <w:kern w:val="0"/>
                <w:sz w:val="22"/>
              </w:rPr>
              <w:br w:type="textWrapping"/>
            </w:r>
            <w:r>
              <w:rPr>
                <w:rFonts w:cs="宋体"/>
                <w:color w:val="000000"/>
                <w:kern w:val="0"/>
                <w:sz w:val="22"/>
              </w:rPr>
              <w:t>5. 支持RS422控制接口，支持标准VISCA和PELCO协议，支持摄像机通过控制口实现菊花链控制。</w:t>
            </w:r>
            <w:r>
              <w:rPr>
                <w:rFonts w:cs="宋体"/>
                <w:color w:val="000000"/>
                <w:kern w:val="0"/>
                <w:sz w:val="22"/>
              </w:rPr>
              <w:br w:type="textWrapping"/>
            </w:r>
            <w:r>
              <w:rPr>
                <w:rFonts w:cs="宋体"/>
                <w:color w:val="000000"/>
                <w:kern w:val="0"/>
                <w:sz w:val="22"/>
              </w:rPr>
              <w:t>6. 水平转动范围：≥ ±170°，垂直转动范围：≥ -30°～30°</w:t>
            </w:r>
            <w:r>
              <w:rPr>
                <w:rFonts w:cs="宋体"/>
                <w:color w:val="000000"/>
                <w:kern w:val="0"/>
                <w:sz w:val="22"/>
              </w:rPr>
              <w:br w:type="textWrapping"/>
            </w:r>
            <w:r>
              <w:rPr>
                <w:rFonts w:cs="宋体"/>
                <w:color w:val="000000"/>
                <w:kern w:val="0"/>
                <w:sz w:val="22"/>
              </w:rPr>
              <w:t>7. 支持图像防抖功能，可实现图像防抖。</w:t>
            </w:r>
            <w:r>
              <w:rPr>
                <w:rFonts w:cs="宋体"/>
                <w:color w:val="000000"/>
                <w:kern w:val="0"/>
                <w:sz w:val="22"/>
              </w:rPr>
              <w:br w:type="textWrapping"/>
            </w:r>
            <w:r>
              <w:rPr>
                <w:rFonts w:cs="宋体"/>
                <w:color w:val="000000"/>
                <w:kern w:val="0"/>
                <w:sz w:val="22"/>
              </w:rPr>
              <w:t>8. 支持HDR高动态功能，支持图像抗闪烁功能</w:t>
            </w:r>
            <w:r>
              <w:rPr>
                <w:rFonts w:cs="宋体"/>
                <w:color w:val="000000"/>
                <w:kern w:val="0"/>
                <w:sz w:val="22"/>
              </w:rPr>
              <w:br w:type="textWrapping"/>
            </w:r>
            <w:r>
              <w:rPr>
                <w:rFonts w:cs="宋体"/>
                <w:color w:val="000000"/>
                <w:kern w:val="0"/>
                <w:sz w:val="22"/>
              </w:rPr>
              <w:t>9. 支持终端遥控器通过摄像机反向控制会议终端。</w:t>
            </w:r>
          </w:p>
        </w:tc>
        <w:tc>
          <w:tcPr>
            <w:tcW w:w="216" w:type="pct"/>
            <w:tcBorders>
              <w:top w:val="nil"/>
              <w:left w:val="nil"/>
              <w:bottom w:val="single" w:color="auto" w:sz="4" w:space="0"/>
              <w:right w:val="single" w:color="auto" w:sz="4" w:space="0"/>
            </w:tcBorders>
            <w:noWrap/>
            <w:vAlign w:val="center"/>
          </w:tcPr>
          <w:p w14:paraId="4E2A8479">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5028E1DC">
            <w:pPr>
              <w:widowControl/>
              <w:spacing w:line="240" w:lineRule="auto"/>
              <w:jc w:val="center"/>
              <w:rPr>
                <w:rFonts w:hint="eastAsia" w:cs="宋体"/>
                <w:color w:val="000000"/>
                <w:kern w:val="0"/>
                <w:sz w:val="22"/>
              </w:rPr>
            </w:pPr>
            <w:r>
              <w:rPr>
                <w:rFonts w:cs="宋体"/>
                <w:color w:val="000000"/>
                <w:kern w:val="0"/>
                <w:sz w:val="22"/>
              </w:rPr>
              <w:t>2</w:t>
            </w:r>
          </w:p>
        </w:tc>
      </w:tr>
      <w:tr w14:paraId="2593BA9A">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450D8062">
            <w:pPr>
              <w:widowControl/>
              <w:spacing w:line="240" w:lineRule="auto"/>
              <w:jc w:val="center"/>
              <w:rPr>
                <w:rFonts w:hint="eastAsia" w:cs="宋体"/>
                <w:color w:val="000000"/>
                <w:kern w:val="0"/>
                <w:sz w:val="22"/>
              </w:rPr>
            </w:pPr>
            <w:r>
              <w:rPr>
                <w:rFonts w:cs="宋体"/>
                <w:color w:val="000000"/>
                <w:kern w:val="0"/>
                <w:sz w:val="22"/>
              </w:rPr>
              <w:t>22</w:t>
            </w:r>
          </w:p>
        </w:tc>
        <w:tc>
          <w:tcPr>
            <w:tcW w:w="152" w:type="pct"/>
            <w:vMerge w:val="continue"/>
            <w:tcBorders>
              <w:top w:val="nil"/>
              <w:left w:val="single" w:color="auto" w:sz="4" w:space="0"/>
              <w:bottom w:val="single" w:color="000000" w:sz="4" w:space="0"/>
              <w:right w:val="single" w:color="auto" w:sz="4" w:space="0"/>
            </w:tcBorders>
            <w:vAlign w:val="center"/>
          </w:tcPr>
          <w:p w14:paraId="320304DF">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38DEAD9D">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1B72844">
            <w:pPr>
              <w:widowControl/>
              <w:spacing w:line="240" w:lineRule="auto"/>
              <w:rPr>
                <w:rFonts w:hint="eastAsia" w:cs="宋体"/>
                <w:color w:val="000000"/>
                <w:kern w:val="0"/>
                <w:sz w:val="22"/>
              </w:rPr>
            </w:pPr>
            <w:r>
              <w:rPr>
                <w:rFonts w:cs="宋体"/>
                <w:color w:val="000000"/>
                <w:kern w:val="0"/>
                <w:sz w:val="22"/>
              </w:rPr>
              <w:t>长焦高清视频会议摄像机</w:t>
            </w:r>
          </w:p>
        </w:tc>
        <w:tc>
          <w:tcPr>
            <w:tcW w:w="3643" w:type="pct"/>
            <w:tcBorders>
              <w:top w:val="nil"/>
              <w:left w:val="nil"/>
              <w:bottom w:val="single" w:color="auto" w:sz="4" w:space="0"/>
              <w:right w:val="single" w:color="auto" w:sz="4" w:space="0"/>
            </w:tcBorders>
            <w:vAlign w:val="center"/>
          </w:tcPr>
          <w:p w14:paraId="7A90966F">
            <w:pPr>
              <w:widowControl/>
              <w:spacing w:line="240" w:lineRule="auto"/>
              <w:rPr>
                <w:rFonts w:hint="eastAsia" w:cs="宋体"/>
                <w:color w:val="000000"/>
                <w:kern w:val="0"/>
                <w:sz w:val="22"/>
              </w:rPr>
            </w:pPr>
            <w:r>
              <w:rPr>
                <w:rFonts w:cs="宋体"/>
                <w:color w:val="000000"/>
                <w:kern w:val="0"/>
                <w:sz w:val="22"/>
              </w:rPr>
              <w:t>1. 支持终端遥控器通过摄像机反向控制会议终端。</w:t>
            </w:r>
            <w:r>
              <w:rPr>
                <w:rFonts w:cs="宋体"/>
                <w:color w:val="000000"/>
                <w:kern w:val="0"/>
                <w:sz w:val="22"/>
              </w:rPr>
              <w:br w:type="textWrapping"/>
            </w:r>
            <w:r>
              <w:rPr>
                <w:rFonts w:cs="宋体"/>
                <w:color w:val="000000"/>
                <w:kern w:val="0"/>
                <w:sz w:val="22"/>
              </w:rPr>
              <w:t>2. 镜头图像传感器采用不小于1/1.9" 图像传感器，支持1080p60、1080p30、1080p25、720p60、720p50等高清信号输出。</w:t>
            </w:r>
            <w:r>
              <w:rPr>
                <w:rFonts w:cs="宋体"/>
                <w:color w:val="000000"/>
                <w:kern w:val="0"/>
                <w:sz w:val="22"/>
              </w:rPr>
              <w:br w:type="textWrapping"/>
            </w:r>
            <w:r>
              <w:rPr>
                <w:rFonts w:cs="宋体"/>
                <w:color w:val="000000"/>
                <w:kern w:val="0"/>
                <w:sz w:val="22"/>
              </w:rPr>
              <w:t>3. 支持不小于30倍光学变焦。</w:t>
            </w:r>
            <w:r>
              <w:rPr>
                <w:rFonts w:cs="宋体"/>
                <w:color w:val="000000"/>
                <w:kern w:val="0"/>
                <w:sz w:val="22"/>
              </w:rPr>
              <w:br w:type="textWrapping"/>
            </w:r>
            <w:r>
              <w:rPr>
                <w:rFonts w:cs="宋体"/>
                <w:color w:val="000000"/>
                <w:kern w:val="0"/>
                <w:sz w:val="22"/>
              </w:rPr>
              <w:t>4. 视频输出接口具备SDI、DVI、HDBaseT接口。</w:t>
            </w:r>
            <w:r>
              <w:rPr>
                <w:rFonts w:cs="宋体"/>
                <w:color w:val="000000"/>
                <w:kern w:val="0"/>
                <w:sz w:val="22"/>
              </w:rPr>
              <w:br w:type="textWrapping"/>
            </w:r>
            <w:r>
              <w:rPr>
                <w:rFonts w:cs="宋体"/>
                <w:color w:val="000000"/>
                <w:kern w:val="0"/>
                <w:sz w:val="22"/>
              </w:rPr>
              <w:t>5. 支持供电、显示、控制多线合一，只连接一根超五类网线实现供电、图像显示、摄像机控制，支持信号传输100米。</w:t>
            </w:r>
            <w:r>
              <w:rPr>
                <w:rFonts w:cs="宋体"/>
                <w:color w:val="000000"/>
                <w:kern w:val="0"/>
                <w:sz w:val="22"/>
              </w:rPr>
              <w:br w:type="textWrapping"/>
            </w:r>
            <w:r>
              <w:rPr>
                <w:rFonts w:cs="宋体"/>
                <w:color w:val="000000"/>
                <w:kern w:val="0"/>
                <w:sz w:val="22"/>
              </w:rPr>
              <w:t>6. 支持RS422控制接口，支持标准VISCA协议，支持摄像机通过控制口RS422实现菊花链控制，菊花链控制摄像机不小于7个。</w:t>
            </w:r>
            <w:r>
              <w:rPr>
                <w:rFonts w:cs="宋体"/>
                <w:color w:val="000000"/>
                <w:kern w:val="0"/>
                <w:sz w:val="22"/>
              </w:rPr>
              <w:br w:type="textWrapping"/>
            </w:r>
            <w:r>
              <w:rPr>
                <w:rFonts w:cs="宋体"/>
                <w:color w:val="000000"/>
                <w:kern w:val="0"/>
                <w:sz w:val="22"/>
              </w:rPr>
              <w:t>7. 支持中文OSD菜单，可在OSD中对摄像机进行设置。</w:t>
            </w:r>
            <w:r>
              <w:rPr>
                <w:rFonts w:cs="宋体"/>
                <w:color w:val="000000"/>
                <w:kern w:val="0"/>
                <w:sz w:val="22"/>
              </w:rPr>
              <w:br w:type="textWrapping"/>
            </w:r>
            <w:r>
              <w:rPr>
                <w:rFonts w:cs="宋体"/>
                <w:color w:val="000000"/>
                <w:kern w:val="0"/>
                <w:sz w:val="22"/>
              </w:rPr>
              <w:t>8. 水平转动范围：≥ ±160°，垂直转动范围：≥ -90°～50°</w:t>
            </w:r>
            <w:r>
              <w:rPr>
                <w:rFonts w:cs="宋体"/>
                <w:color w:val="000000"/>
                <w:kern w:val="0"/>
                <w:sz w:val="22"/>
              </w:rPr>
              <w:br w:type="textWrapping"/>
            </w:r>
            <w:r>
              <w:rPr>
                <w:rFonts w:cs="宋体"/>
                <w:color w:val="000000"/>
                <w:kern w:val="0"/>
                <w:sz w:val="22"/>
              </w:rPr>
              <w:t>9. 支持自带显示屏，可方便显示视频输出分辨率。</w:t>
            </w:r>
            <w:r>
              <w:rPr>
                <w:rFonts w:cs="宋体"/>
                <w:color w:val="000000"/>
                <w:kern w:val="0"/>
                <w:sz w:val="22"/>
              </w:rPr>
              <w:br w:type="textWrapping"/>
            </w:r>
            <w:r>
              <w:rPr>
                <w:rFonts w:cs="宋体"/>
                <w:color w:val="000000"/>
                <w:kern w:val="0"/>
                <w:sz w:val="22"/>
              </w:rPr>
              <w:t>10. 支持根据安装方向自动翻转图像。</w:t>
            </w:r>
            <w:r>
              <w:rPr>
                <w:rFonts w:cs="宋体"/>
                <w:color w:val="000000"/>
                <w:kern w:val="0"/>
                <w:sz w:val="22"/>
              </w:rPr>
              <w:br w:type="textWrapping"/>
            </w:r>
            <w:r>
              <w:rPr>
                <w:rFonts w:cs="宋体"/>
                <w:color w:val="000000"/>
                <w:kern w:val="0"/>
                <w:sz w:val="22"/>
              </w:rPr>
              <w:t>11. 支持保存不少于255个预置位。</w:t>
            </w:r>
            <w:r>
              <w:rPr>
                <w:rFonts w:cs="宋体"/>
                <w:color w:val="000000"/>
                <w:kern w:val="0"/>
                <w:sz w:val="22"/>
              </w:rPr>
              <w:br w:type="textWrapping"/>
            </w:r>
            <w:r>
              <w:rPr>
                <w:rFonts w:cs="宋体"/>
                <w:color w:val="000000"/>
                <w:kern w:val="0"/>
                <w:sz w:val="22"/>
              </w:rPr>
              <w:t>12. 支持ZigBee控制，支持360°控制、有遮挡物时也能正常控制。</w:t>
            </w:r>
            <w:r>
              <w:rPr>
                <w:rFonts w:cs="宋体"/>
                <w:color w:val="000000"/>
                <w:kern w:val="0"/>
                <w:sz w:val="22"/>
              </w:rPr>
              <w:br w:type="textWrapping"/>
            </w:r>
            <w:r>
              <w:rPr>
                <w:rFonts w:cs="宋体"/>
                <w:color w:val="000000"/>
                <w:kern w:val="0"/>
                <w:sz w:val="22"/>
              </w:rPr>
              <w:t>13. 支持终端遥控器通过摄像机反向控制会议终端。</w:t>
            </w:r>
          </w:p>
        </w:tc>
        <w:tc>
          <w:tcPr>
            <w:tcW w:w="216" w:type="pct"/>
            <w:tcBorders>
              <w:top w:val="nil"/>
              <w:left w:val="nil"/>
              <w:bottom w:val="single" w:color="auto" w:sz="4" w:space="0"/>
              <w:right w:val="single" w:color="auto" w:sz="4" w:space="0"/>
            </w:tcBorders>
            <w:noWrap/>
            <w:vAlign w:val="center"/>
          </w:tcPr>
          <w:p w14:paraId="17E82972">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408ABD7A">
            <w:pPr>
              <w:widowControl/>
              <w:spacing w:line="240" w:lineRule="auto"/>
              <w:jc w:val="center"/>
              <w:rPr>
                <w:rFonts w:hint="eastAsia" w:cs="宋体"/>
                <w:color w:val="000000"/>
                <w:kern w:val="0"/>
                <w:sz w:val="22"/>
              </w:rPr>
            </w:pPr>
            <w:r>
              <w:rPr>
                <w:rFonts w:cs="宋体"/>
                <w:color w:val="000000"/>
                <w:kern w:val="0"/>
                <w:sz w:val="22"/>
              </w:rPr>
              <w:t>1</w:t>
            </w:r>
          </w:p>
        </w:tc>
      </w:tr>
      <w:tr w14:paraId="5376BFE3">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F6A7226">
            <w:pPr>
              <w:widowControl/>
              <w:spacing w:line="240" w:lineRule="auto"/>
              <w:jc w:val="center"/>
              <w:rPr>
                <w:rFonts w:hint="eastAsia" w:cs="宋体"/>
                <w:color w:val="000000"/>
                <w:kern w:val="0"/>
                <w:sz w:val="22"/>
              </w:rPr>
            </w:pPr>
            <w:r>
              <w:rPr>
                <w:rFonts w:cs="宋体"/>
                <w:color w:val="000000"/>
                <w:kern w:val="0"/>
                <w:sz w:val="22"/>
              </w:rPr>
              <w:t>23</w:t>
            </w:r>
          </w:p>
        </w:tc>
        <w:tc>
          <w:tcPr>
            <w:tcW w:w="152" w:type="pct"/>
            <w:vMerge w:val="continue"/>
            <w:tcBorders>
              <w:top w:val="nil"/>
              <w:left w:val="single" w:color="auto" w:sz="4" w:space="0"/>
              <w:bottom w:val="single" w:color="000000" w:sz="4" w:space="0"/>
              <w:right w:val="single" w:color="auto" w:sz="4" w:space="0"/>
            </w:tcBorders>
            <w:vAlign w:val="center"/>
          </w:tcPr>
          <w:p w14:paraId="21A9EB3B">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EB1FE98">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D80BD9F">
            <w:pPr>
              <w:widowControl/>
              <w:spacing w:line="240" w:lineRule="auto"/>
              <w:rPr>
                <w:rFonts w:hint="eastAsia" w:cs="宋体"/>
                <w:color w:val="000000"/>
                <w:kern w:val="0"/>
                <w:sz w:val="22"/>
              </w:rPr>
            </w:pPr>
            <w:r>
              <w:rPr>
                <w:rFonts w:cs="宋体"/>
                <w:color w:val="000000"/>
                <w:kern w:val="0"/>
                <w:sz w:val="22"/>
              </w:rPr>
              <w:t>视频会议终端</w:t>
            </w:r>
          </w:p>
        </w:tc>
        <w:tc>
          <w:tcPr>
            <w:tcW w:w="3643" w:type="pct"/>
            <w:tcBorders>
              <w:top w:val="nil"/>
              <w:left w:val="nil"/>
              <w:bottom w:val="single" w:color="auto" w:sz="4" w:space="0"/>
              <w:right w:val="single" w:color="auto" w:sz="4" w:space="0"/>
            </w:tcBorders>
            <w:vAlign w:val="center"/>
          </w:tcPr>
          <w:p w14:paraId="2EF763A4">
            <w:pPr>
              <w:widowControl/>
              <w:spacing w:line="240" w:lineRule="auto"/>
              <w:rPr>
                <w:rFonts w:hint="eastAsia" w:cs="宋体"/>
                <w:color w:val="000000"/>
                <w:kern w:val="0"/>
                <w:sz w:val="22"/>
              </w:rPr>
            </w:pPr>
            <w:r>
              <w:rPr>
                <w:rFonts w:cs="宋体"/>
                <w:color w:val="000000"/>
                <w:kern w:val="0"/>
                <w:sz w:val="22"/>
              </w:rPr>
              <w:t>1. 终端采用一体式设计，内置编解码器、PTZ摄像机、数字阵列麦克等</w:t>
            </w:r>
            <w:r>
              <w:rPr>
                <w:rFonts w:cs="宋体"/>
                <w:color w:val="000000"/>
                <w:kern w:val="0"/>
                <w:sz w:val="22"/>
              </w:rPr>
              <w:br w:type="textWrapping"/>
            </w:r>
            <w:r>
              <w:rPr>
                <w:rFonts w:cs="宋体"/>
                <w:color w:val="000000"/>
                <w:kern w:val="0"/>
                <w:sz w:val="22"/>
              </w:rPr>
              <w:t>★2. 终端采用国产嵌入式操作系统。（投标人需提供第三方权威机构检测报告证明）</w:t>
            </w:r>
            <w:r>
              <w:rPr>
                <w:rFonts w:cs="宋体"/>
                <w:color w:val="000000"/>
                <w:kern w:val="0"/>
                <w:sz w:val="22"/>
              </w:rPr>
              <w:br w:type="textWrapping"/>
            </w:r>
            <w:r>
              <w:rPr>
                <w:rFonts w:cs="宋体"/>
                <w:color w:val="000000"/>
                <w:kern w:val="0"/>
                <w:sz w:val="22"/>
              </w:rPr>
              <w:t>3. 终端核心芯片采用国产化元器件。</w:t>
            </w:r>
            <w:r>
              <w:rPr>
                <w:rFonts w:cs="宋体"/>
                <w:color w:val="000000"/>
                <w:kern w:val="0"/>
                <w:sz w:val="22"/>
              </w:rPr>
              <w:br w:type="textWrapping"/>
            </w:r>
            <w:r>
              <w:rPr>
                <w:rFonts w:cs="宋体"/>
                <w:color w:val="000000"/>
                <w:kern w:val="0"/>
                <w:sz w:val="22"/>
              </w:rPr>
              <w:t>4. 支持ITU-T H.323和IETF SIP、RTC通信标准，会议速率支持128Kbps－8Mbps。</w:t>
            </w:r>
            <w:r>
              <w:rPr>
                <w:rFonts w:cs="宋体"/>
                <w:color w:val="000000"/>
                <w:kern w:val="0"/>
                <w:sz w:val="22"/>
              </w:rPr>
              <w:br w:type="textWrapping"/>
            </w:r>
            <w:r>
              <w:rPr>
                <w:rFonts w:cs="宋体"/>
                <w:color w:val="000000"/>
                <w:kern w:val="0"/>
                <w:sz w:val="22"/>
              </w:rPr>
              <w:t>5. 支持H.264 BP、H.264 HP、H.265视频编解码协议。</w:t>
            </w:r>
            <w:r>
              <w:rPr>
                <w:rFonts w:cs="宋体"/>
                <w:color w:val="000000"/>
                <w:kern w:val="0"/>
                <w:sz w:val="22"/>
              </w:rPr>
              <w:br w:type="textWrapping"/>
            </w:r>
            <w:r>
              <w:rPr>
                <w:rFonts w:cs="宋体"/>
                <w:color w:val="000000"/>
                <w:kern w:val="0"/>
                <w:sz w:val="22"/>
              </w:rPr>
              <w:t>6. 支持G.711A-law、G.711µ-law、G.722、G.729、G.719、G.728、G.722.1 C 、MPEG-4 AAC-LD、MPEG-4 AAC-LC、Opus等音频协议，可达到20KHz以上的宽频效果。</w:t>
            </w:r>
            <w:r>
              <w:rPr>
                <w:rFonts w:cs="宋体"/>
                <w:color w:val="000000"/>
                <w:kern w:val="0"/>
                <w:sz w:val="22"/>
              </w:rPr>
              <w:br w:type="textWrapping"/>
            </w:r>
            <w:r>
              <w:rPr>
                <w:rFonts w:cs="宋体"/>
                <w:color w:val="000000"/>
                <w:kern w:val="0"/>
                <w:sz w:val="22"/>
              </w:rPr>
              <w:t>7. 内置高清PTZ摄像机，采用不低于846万像素 1/2.8 英寸CMOS镜头，支持4K60视频图像采集，支持不少于5倍光学变焦，水平视角≥80°。</w:t>
            </w:r>
            <w:r>
              <w:rPr>
                <w:rFonts w:cs="宋体"/>
                <w:color w:val="000000"/>
                <w:kern w:val="0"/>
                <w:sz w:val="22"/>
              </w:rPr>
              <w:br w:type="textWrapping"/>
            </w:r>
            <w:r>
              <w:rPr>
                <w:rFonts w:cs="宋体"/>
                <w:color w:val="000000"/>
                <w:kern w:val="0"/>
                <w:sz w:val="22"/>
              </w:rPr>
              <w:t>8. 支持1080p60、1080p30、720p60、720p30高清分辨率，并向下兼容4CIF、CIF标清分辨率。</w:t>
            </w:r>
            <w:r>
              <w:rPr>
                <w:rFonts w:cs="宋体"/>
                <w:color w:val="000000"/>
                <w:kern w:val="0"/>
                <w:sz w:val="22"/>
              </w:rPr>
              <w:br w:type="textWrapping"/>
            </w:r>
            <w:r>
              <w:rPr>
                <w:rFonts w:cs="宋体"/>
                <w:color w:val="000000"/>
                <w:kern w:val="0"/>
                <w:sz w:val="22"/>
              </w:rPr>
              <w:t>9. 支持在较低的带宽下实现超高清视频效果，支持512Kbps呼叫带宽情况下可实现1080p60图像传输；支持384Kbps呼叫带宽情况下可实现1080p30fps图像传输。</w:t>
            </w:r>
            <w:r>
              <w:rPr>
                <w:rFonts w:cs="宋体"/>
                <w:color w:val="000000"/>
                <w:kern w:val="0"/>
                <w:sz w:val="22"/>
              </w:rPr>
              <w:br w:type="textWrapping"/>
            </w:r>
            <w:r>
              <w:rPr>
                <w:rFonts w:cs="宋体"/>
                <w:color w:val="000000"/>
                <w:kern w:val="0"/>
                <w:sz w:val="22"/>
              </w:rPr>
              <w:t>10. 支持智能视频编码（ROI），可对感兴趣的与会方增强编码，其他区域弱化编码，节省带宽的同时提高与会方图像的显示效果。</w:t>
            </w:r>
            <w:r>
              <w:rPr>
                <w:rFonts w:cs="宋体"/>
                <w:color w:val="000000"/>
                <w:kern w:val="0"/>
                <w:sz w:val="22"/>
              </w:rPr>
              <w:br w:type="textWrapping"/>
            </w:r>
            <w:r>
              <w:rPr>
                <w:rFonts w:cs="宋体"/>
                <w:color w:val="000000"/>
                <w:kern w:val="0"/>
                <w:sz w:val="22"/>
              </w:rPr>
              <w:t>11. 支持OLED屏显示设备运行状态，显示状态：启动、升级、休眠、网络异常、错误码、温度异常、风扇异常、IP地址以及号码</w:t>
            </w:r>
            <w:r>
              <w:rPr>
                <w:rFonts w:cs="宋体"/>
                <w:color w:val="000000"/>
                <w:kern w:val="0"/>
                <w:sz w:val="22"/>
              </w:rPr>
              <w:br w:type="textWrapping"/>
            </w:r>
            <w:r>
              <w:rPr>
                <w:rFonts w:cs="宋体"/>
                <w:color w:val="000000"/>
                <w:kern w:val="0"/>
                <w:sz w:val="22"/>
              </w:rPr>
              <w:t>12. 支持H.235协议的音视频加密，支持AES256加密算法</w:t>
            </w:r>
            <w:r>
              <w:rPr>
                <w:rFonts w:cs="宋体"/>
                <w:color w:val="000000"/>
                <w:kern w:val="0"/>
                <w:sz w:val="22"/>
              </w:rPr>
              <w:br w:type="textWrapping"/>
            </w:r>
            <w:r>
              <w:rPr>
                <w:rFonts w:cs="宋体"/>
                <w:color w:val="000000"/>
                <w:kern w:val="0"/>
                <w:sz w:val="22"/>
              </w:rPr>
              <w:t>13. 终端支持国家密码局认定的国产密码算法，保证信息安全自主可控。支持SM1、SM2、SM3、SM4等国密加密算法。</w:t>
            </w:r>
            <w:r>
              <w:rPr>
                <w:rFonts w:cs="宋体"/>
                <w:color w:val="000000"/>
                <w:kern w:val="0"/>
                <w:sz w:val="22"/>
              </w:rPr>
              <w:br w:type="textWrapping"/>
            </w:r>
            <w:r>
              <w:rPr>
                <w:rFonts w:cs="宋体"/>
                <w:color w:val="000000"/>
                <w:kern w:val="0"/>
                <w:sz w:val="22"/>
              </w:rPr>
              <w:t>14. 终端内置安全芯片，生产预置的设备证书及对应的私钥都存储在安全芯片内；支持一机一证，终端生产时向内置安全芯片烧写唯一的证书。</w:t>
            </w:r>
            <w:r>
              <w:rPr>
                <w:rFonts w:cs="宋体"/>
                <w:color w:val="000000"/>
                <w:kern w:val="0"/>
                <w:sz w:val="22"/>
              </w:rPr>
              <w:br w:type="textWrapping"/>
            </w:r>
            <w:r>
              <w:rPr>
                <w:rFonts w:cs="宋体"/>
                <w:color w:val="000000"/>
                <w:kern w:val="0"/>
                <w:sz w:val="22"/>
              </w:rPr>
              <w:t>15. 支持国密SSL控制信令加密，国密SSL协议实现满足《GB/T 38636-2020信息安全技术层密码协议(TLCP)》</w:t>
            </w:r>
            <w:r>
              <w:rPr>
                <w:rFonts w:cs="宋体"/>
                <w:color w:val="000000"/>
                <w:kern w:val="0"/>
                <w:sz w:val="22"/>
              </w:rPr>
              <w:br w:type="textWrapping"/>
            </w:r>
            <w:r>
              <w:rPr>
                <w:rFonts w:cs="宋体"/>
                <w:color w:val="000000"/>
                <w:kern w:val="0"/>
                <w:sz w:val="22"/>
              </w:rPr>
              <w:t>16. 支持SRTP码流加密，SRTP协议符合RFC3711规范，密钥协商遵循RFC4568规范。</w:t>
            </w:r>
            <w:r>
              <w:rPr>
                <w:rFonts w:cs="宋体"/>
                <w:color w:val="000000"/>
                <w:kern w:val="0"/>
                <w:sz w:val="22"/>
              </w:rPr>
              <w:br w:type="textWrapping"/>
            </w:r>
            <w:r>
              <w:rPr>
                <w:rFonts w:cs="宋体"/>
                <w:color w:val="000000"/>
                <w:kern w:val="0"/>
                <w:sz w:val="22"/>
              </w:rPr>
              <w:t>17. 支持防火墙和NAT穿越。</w:t>
            </w:r>
            <w:r>
              <w:rPr>
                <w:rFonts w:cs="宋体"/>
                <w:color w:val="000000"/>
                <w:kern w:val="0"/>
                <w:sz w:val="22"/>
              </w:rPr>
              <w:br w:type="textWrapping"/>
            </w:r>
            <w:r>
              <w:rPr>
                <w:rFonts w:cs="宋体"/>
                <w:color w:val="000000"/>
                <w:kern w:val="0"/>
                <w:sz w:val="22"/>
              </w:rPr>
              <w:t>▲18.具备较强的网络抗丢包能力，在IP网络达到55%丢包率情况下声音清晰连续、视频清晰流畅、无马赛克；80%的丢包率情况下声音清晰流畅、可准确理解。（投标人需提供第三方权威机构检测报告证明）</w:t>
            </w:r>
            <w:r>
              <w:rPr>
                <w:rFonts w:cs="宋体"/>
                <w:color w:val="000000"/>
                <w:kern w:val="0"/>
                <w:sz w:val="22"/>
              </w:rPr>
              <w:br w:type="textWrapping"/>
            </w:r>
            <w:r>
              <w:rPr>
                <w:rFonts w:cs="宋体"/>
                <w:color w:val="000000"/>
                <w:kern w:val="0"/>
                <w:sz w:val="22"/>
              </w:rPr>
              <w:t>19. 具备多种抗丢包策略，支持丢包重传、前向纠错、自适应丢包补偿技术、自适应抖动平滑技术。</w:t>
            </w:r>
            <w:r>
              <w:rPr>
                <w:rFonts w:cs="宋体"/>
                <w:color w:val="000000"/>
                <w:kern w:val="0"/>
                <w:sz w:val="22"/>
              </w:rPr>
              <w:br w:type="textWrapping"/>
            </w:r>
            <w:r>
              <w:rPr>
                <w:rFonts w:cs="宋体"/>
                <w:color w:val="000000"/>
                <w:kern w:val="0"/>
                <w:sz w:val="22"/>
              </w:rPr>
              <w:t>20. 具备电信设备入网证。</w:t>
            </w:r>
          </w:p>
        </w:tc>
        <w:tc>
          <w:tcPr>
            <w:tcW w:w="216" w:type="pct"/>
            <w:tcBorders>
              <w:top w:val="nil"/>
              <w:left w:val="nil"/>
              <w:bottom w:val="single" w:color="auto" w:sz="4" w:space="0"/>
              <w:right w:val="single" w:color="auto" w:sz="4" w:space="0"/>
            </w:tcBorders>
            <w:noWrap/>
            <w:vAlign w:val="center"/>
          </w:tcPr>
          <w:p w14:paraId="63B64D1D">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63B936C3">
            <w:pPr>
              <w:widowControl/>
              <w:spacing w:line="240" w:lineRule="auto"/>
              <w:jc w:val="center"/>
              <w:rPr>
                <w:rFonts w:hint="eastAsia" w:cs="宋体"/>
                <w:color w:val="000000"/>
                <w:kern w:val="0"/>
                <w:sz w:val="22"/>
              </w:rPr>
            </w:pPr>
            <w:r>
              <w:rPr>
                <w:rFonts w:cs="宋体"/>
                <w:color w:val="000000"/>
                <w:kern w:val="0"/>
                <w:sz w:val="22"/>
              </w:rPr>
              <w:t>2</w:t>
            </w:r>
          </w:p>
        </w:tc>
      </w:tr>
      <w:tr w14:paraId="60EAEAD0">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DAC5AA2">
            <w:pPr>
              <w:widowControl/>
              <w:spacing w:line="240" w:lineRule="auto"/>
              <w:jc w:val="center"/>
              <w:rPr>
                <w:rFonts w:hint="eastAsia" w:cs="宋体"/>
                <w:color w:val="000000"/>
                <w:kern w:val="0"/>
                <w:sz w:val="22"/>
              </w:rPr>
            </w:pPr>
            <w:r>
              <w:rPr>
                <w:rFonts w:cs="宋体"/>
                <w:color w:val="000000"/>
                <w:kern w:val="0"/>
                <w:sz w:val="22"/>
              </w:rPr>
              <w:t>24</w:t>
            </w:r>
          </w:p>
        </w:tc>
        <w:tc>
          <w:tcPr>
            <w:tcW w:w="152" w:type="pct"/>
            <w:vMerge w:val="continue"/>
            <w:tcBorders>
              <w:top w:val="nil"/>
              <w:left w:val="single" w:color="auto" w:sz="4" w:space="0"/>
              <w:bottom w:val="single" w:color="000000" w:sz="4" w:space="0"/>
              <w:right w:val="single" w:color="auto" w:sz="4" w:space="0"/>
            </w:tcBorders>
            <w:vAlign w:val="center"/>
          </w:tcPr>
          <w:p w14:paraId="281DB34C">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674382A">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39B56AA">
            <w:pPr>
              <w:widowControl/>
              <w:spacing w:line="240" w:lineRule="auto"/>
              <w:rPr>
                <w:rFonts w:hint="eastAsia" w:cs="宋体"/>
                <w:color w:val="000000"/>
                <w:kern w:val="0"/>
                <w:sz w:val="22"/>
              </w:rPr>
            </w:pPr>
            <w:r>
              <w:rPr>
                <w:rFonts w:cs="宋体"/>
                <w:color w:val="000000"/>
                <w:kern w:val="0"/>
                <w:sz w:val="22"/>
              </w:rPr>
              <w:t>视频会议电视墙</w:t>
            </w:r>
          </w:p>
        </w:tc>
        <w:tc>
          <w:tcPr>
            <w:tcW w:w="3643" w:type="pct"/>
            <w:tcBorders>
              <w:top w:val="nil"/>
              <w:left w:val="nil"/>
              <w:bottom w:val="single" w:color="auto" w:sz="4" w:space="0"/>
              <w:right w:val="single" w:color="auto" w:sz="4" w:space="0"/>
            </w:tcBorders>
            <w:vAlign w:val="center"/>
          </w:tcPr>
          <w:p w14:paraId="79585C18">
            <w:pPr>
              <w:widowControl/>
              <w:spacing w:line="240" w:lineRule="auto"/>
              <w:rPr>
                <w:rFonts w:hint="eastAsia" w:cs="宋体"/>
                <w:color w:val="000000"/>
                <w:kern w:val="0"/>
                <w:sz w:val="22"/>
              </w:rPr>
            </w:pPr>
            <w:r>
              <w:rPr>
                <w:rFonts w:cs="宋体"/>
                <w:color w:val="000000"/>
                <w:kern w:val="0"/>
                <w:sz w:val="22"/>
              </w:rPr>
              <w:t>1.支持远程网络连接MCU方式实现电视墙解码输出，即MCU和电视墙服务器之间距离不受限制。</w:t>
            </w:r>
            <w:r>
              <w:rPr>
                <w:rFonts w:cs="宋体"/>
                <w:color w:val="000000"/>
                <w:kern w:val="0"/>
                <w:sz w:val="22"/>
              </w:rPr>
              <w:br w:type="textWrapping"/>
            </w:r>
            <w:r>
              <w:rPr>
                <w:rFonts w:cs="宋体"/>
                <w:color w:val="000000"/>
                <w:kern w:val="0"/>
                <w:sz w:val="22"/>
              </w:rPr>
              <w:t>2.支持ITU-T H.263、H.264、H.264 High Profile、H.265等视频编解码协议。</w:t>
            </w:r>
            <w:r>
              <w:rPr>
                <w:rFonts w:cs="宋体"/>
                <w:color w:val="000000"/>
                <w:kern w:val="0"/>
                <w:sz w:val="22"/>
              </w:rPr>
              <w:br w:type="textWrapping"/>
            </w:r>
            <w:r>
              <w:rPr>
                <w:rFonts w:cs="宋体"/>
                <w:color w:val="000000"/>
                <w:kern w:val="0"/>
                <w:sz w:val="22"/>
              </w:rPr>
              <w:t>3.支持G.711、G.722、G.728、G.722.1AnnexC、G.719、MPEG4-AAC LC/LD等音频协议。</w:t>
            </w:r>
            <w:r>
              <w:rPr>
                <w:rFonts w:cs="宋体"/>
                <w:color w:val="000000"/>
                <w:kern w:val="0"/>
                <w:sz w:val="22"/>
              </w:rPr>
              <w:br w:type="textWrapping"/>
            </w:r>
            <w:r>
              <w:rPr>
                <w:rFonts w:cs="宋体"/>
                <w:color w:val="000000"/>
                <w:kern w:val="0"/>
                <w:sz w:val="22"/>
              </w:rPr>
              <w:t>4.支持4K30fps、1080p60、1080p30、720p60、720p30高清图像格式，并向下兼容4CIF、CIF标清图像格式。</w:t>
            </w:r>
            <w:r>
              <w:rPr>
                <w:rFonts w:cs="宋体"/>
                <w:color w:val="000000"/>
                <w:kern w:val="0"/>
                <w:sz w:val="22"/>
              </w:rPr>
              <w:br w:type="textWrapping"/>
            </w:r>
            <w:r>
              <w:rPr>
                <w:rFonts w:cs="宋体"/>
                <w:color w:val="000000"/>
                <w:kern w:val="0"/>
                <w:sz w:val="22"/>
              </w:rPr>
              <w:t>5.电视墙解码卡支持HDBaseT/HDMI等多种视频接口可选。本次要求配置4路1080p60fps高清输出，视频输出接口为HDMI</w:t>
            </w:r>
            <w:r>
              <w:rPr>
                <w:rFonts w:cs="宋体"/>
                <w:color w:val="000000"/>
                <w:kern w:val="0"/>
                <w:sz w:val="22"/>
              </w:rPr>
              <w:br w:type="textWrapping"/>
            </w:r>
            <w:r>
              <w:rPr>
                <w:rFonts w:cs="宋体"/>
                <w:color w:val="000000"/>
                <w:kern w:val="0"/>
                <w:sz w:val="22"/>
              </w:rPr>
              <w:t>6.支持在MCU中进行电视墙集群化管理、 支持解码板卡向资源池进行注册并统一管理。</w:t>
            </w:r>
            <w:r>
              <w:rPr>
                <w:rFonts w:cs="宋体"/>
                <w:color w:val="000000"/>
                <w:kern w:val="0"/>
                <w:sz w:val="22"/>
              </w:rPr>
              <w:br w:type="textWrapping"/>
            </w:r>
            <w:r>
              <w:rPr>
                <w:rFonts w:cs="宋体"/>
                <w:color w:val="000000"/>
                <w:kern w:val="0"/>
                <w:sz w:val="22"/>
              </w:rPr>
              <w:t>7.支持通过会议管理平台对电视墙输出进行控制，包括设置单通道的输出，发言人跟随、双流跟随、会议轮询跟随、单通道的轮询、多通道的批量轮询、电视墙预案保存。</w:t>
            </w:r>
            <w:r>
              <w:rPr>
                <w:rFonts w:cs="宋体"/>
                <w:color w:val="000000"/>
                <w:kern w:val="0"/>
                <w:sz w:val="22"/>
              </w:rPr>
              <w:br w:type="textWrapping"/>
            </w:r>
            <w:r>
              <w:rPr>
                <w:rFonts w:cs="宋体"/>
                <w:color w:val="000000"/>
                <w:kern w:val="0"/>
                <w:sz w:val="22"/>
              </w:rPr>
              <w:t>8.支持电视墙通道画面合成，可以在无需占用MCU画面合成资源情况下支持4路高清图像合成输出。</w:t>
            </w:r>
            <w:r>
              <w:rPr>
                <w:rFonts w:cs="宋体"/>
                <w:color w:val="000000"/>
                <w:kern w:val="0"/>
                <w:sz w:val="22"/>
              </w:rPr>
              <w:br w:type="textWrapping"/>
            </w:r>
            <w:r>
              <w:rPr>
                <w:rFonts w:cs="宋体"/>
                <w:color w:val="000000"/>
                <w:kern w:val="0"/>
                <w:sz w:val="22"/>
              </w:rPr>
              <w:t>9.支持虚拟电视墙， 按照用户拼接大屏实际拼接模式进行设置， 保存多个电视墙预案， 同时可以针对电视墙通道设置自主多画面，可设置不少于25种多画面风格，扩展电视墙画面显示的路数。</w:t>
            </w:r>
          </w:p>
        </w:tc>
        <w:tc>
          <w:tcPr>
            <w:tcW w:w="216" w:type="pct"/>
            <w:tcBorders>
              <w:top w:val="nil"/>
              <w:left w:val="nil"/>
              <w:bottom w:val="single" w:color="auto" w:sz="4" w:space="0"/>
              <w:right w:val="single" w:color="auto" w:sz="4" w:space="0"/>
            </w:tcBorders>
            <w:noWrap/>
            <w:vAlign w:val="center"/>
          </w:tcPr>
          <w:p w14:paraId="4DD20898">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0DA07D13">
            <w:pPr>
              <w:widowControl/>
              <w:spacing w:line="240" w:lineRule="auto"/>
              <w:jc w:val="center"/>
              <w:rPr>
                <w:rFonts w:hint="eastAsia" w:cs="宋体"/>
                <w:color w:val="000000"/>
                <w:kern w:val="0"/>
                <w:sz w:val="22"/>
              </w:rPr>
            </w:pPr>
            <w:r>
              <w:rPr>
                <w:rFonts w:cs="宋体"/>
                <w:color w:val="000000"/>
                <w:kern w:val="0"/>
                <w:sz w:val="22"/>
              </w:rPr>
              <w:t>1</w:t>
            </w:r>
          </w:p>
        </w:tc>
      </w:tr>
      <w:tr w14:paraId="43675CEF">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F3F0E25">
            <w:pPr>
              <w:widowControl/>
              <w:spacing w:line="240" w:lineRule="auto"/>
              <w:jc w:val="center"/>
              <w:rPr>
                <w:rFonts w:hint="eastAsia" w:cs="宋体"/>
                <w:color w:val="000000"/>
                <w:kern w:val="0"/>
                <w:sz w:val="22"/>
              </w:rPr>
            </w:pPr>
            <w:r>
              <w:rPr>
                <w:rFonts w:cs="宋体"/>
                <w:color w:val="000000"/>
                <w:kern w:val="0"/>
                <w:sz w:val="22"/>
              </w:rPr>
              <w:t>25</w:t>
            </w:r>
          </w:p>
        </w:tc>
        <w:tc>
          <w:tcPr>
            <w:tcW w:w="152" w:type="pct"/>
            <w:vMerge w:val="continue"/>
            <w:tcBorders>
              <w:top w:val="nil"/>
              <w:left w:val="single" w:color="auto" w:sz="4" w:space="0"/>
              <w:bottom w:val="single" w:color="000000" w:sz="4" w:space="0"/>
              <w:right w:val="single" w:color="auto" w:sz="4" w:space="0"/>
            </w:tcBorders>
            <w:vAlign w:val="center"/>
          </w:tcPr>
          <w:p w14:paraId="210E8074">
            <w:pPr>
              <w:widowControl/>
              <w:spacing w:line="240" w:lineRule="auto"/>
              <w:rPr>
                <w:rFonts w:hint="eastAsia" w:cs="宋体"/>
                <w:color w:val="000000"/>
                <w:kern w:val="0"/>
                <w:sz w:val="22"/>
              </w:rPr>
            </w:pPr>
          </w:p>
        </w:tc>
        <w:tc>
          <w:tcPr>
            <w:tcW w:w="331" w:type="pct"/>
            <w:vMerge w:val="restart"/>
            <w:tcBorders>
              <w:top w:val="nil"/>
              <w:left w:val="single" w:color="auto" w:sz="4" w:space="0"/>
              <w:bottom w:val="single" w:color="000000" w:sz="4" w:space="0"/>
              <w:right w:val="single" w:color="auto" w:sz="4" w:space="0"/>
            </w:tcBorders>
            <w:noWrap/>
            <w:vAlign w:val="center"/>
          </w:tcPr>
          <w:p w14:paraId="4462A1E8">
            <w:pPr>
              <w:widowControl/>
              <w:spacing w:line="240" w:lineRule="auto"/>
              <w:jc w:val="center"/>
              <w:rPr>
                <w:rFonts w:hint="eastAsia" w:cs="宋体"/>
                <w:color w:val="000000"/>
                <w:kern w:val="0"/>
                <w:sz w:val="22"/>
              </w:rPr>
            </w:pPr>
            <w:r>
              <w:rPr>
                <w:rFonts w:cs="宋体"/>
                <w:color w:val="000000"/>
                <w:kern w:val="0"/>
                <w:sz w:val="22"/>
              </w:rPr>
              <w:t>局级音频</w:t>
            </w:r>
          </w:p>
        </w:tc>
        <w:tc>
          <w:tcPr>
            <w:tcW w:w="202" w:type="pct"/>
            <w:tcBorders>
              <w:top w:val="nil"/>
              <w:left w:val="nil"/>
              <w:bottom w:val="single" w:color="auto" w:sz="4" w:space="0"/>
              <w:right w:val="single" w:color="auto" w:sz="4" w:space="0"/>
            </w:tcBorders>
            <w:vAlign w:val="center"/>
          </w:tcPr>
          <w:p w14:paraId="16EA0ADD">
            <w:pPr>
              <w:widowControl/>
              <w:spacing w:line="240" w:lineRule="auto"/>
              <w:rPr>
                <w:rFonts w:hint="eastAsia" w:cs="宋体"/>
                <w:color w:val="000000"/>
                <w:kern w:val="0"/>
                <w:sz w:val="22"/>
              </w:rPr>
            </w:pPr>
            <w:r>
              <w:rPr>
                <w:rFonts w:cs="宋体"/>
                <w:color w:val="000000"/>
                <w:kern w:val="0"/>
                <w:sz w:val="22"/>
              </w:rPr>
              <w:t>网络音频处理器</w:t>
            </w:r>
          </w:p>
        </w:tc>
        <w:tc>
          <w:tcPr>
            <w:tcW w:w="3643" w:type="pct"/>
            <w:tcBorders>
              <w:top w:val="nil"/>
              <w:left w:val="nil"/>
              <w:bottom w:val="single" w:color="auto" w:sz="4" w:space="0"/>
              <w:right w:val="single" w:color="auto" w:sz="4" w:space="0"/>
            </w:tcBorders>
            <w:vAlign w:val="center"/>
          </w:tcPr>
          <w:p w14:paraId="2BAF8200">
            <w:pPr>
              <w:widowControl/>
              <w:spacing w:line="240" w:lineRule="auto"/>
              <w:rPr>
                <w:rFonts w:hint="eastAsia" w:cs="宋体"/>
                <w:color w:val="000000"/>
                <w:kern w:val="0"/>
                <w:sz w:val="22"/>
              </w:rPr>
            </w:pPr>
            <w:r>
              <w:rPr>
                <w:rFonts w:cs="宋体"/>
                <w:color w:val="000000"/>
                <w:kern w:val="0"/>
                <w:sz w:val="22"/>
              </w:rPr>
              <w:t>▲1、模拟音频通道:支持≥8个模拟音频通道，支持≥8路自定义通道，最大支持16路音频输入或者输出（投标人需提供第三方权威机构检测报告证明）</w:t>
            </w:r>
            <w:r>
              <w:rPr>
                <w:rFonts w:cs="宋体"/>
                <w:color w:val="000000"/>
                <w:kern w:val="0"/>
                <w:sz w:val="22"/>
              </w:rPr>
              <w:br w:type="textWrapping"/>
            </w:r>
            <w:r>
              <w:rPr>
                <w:rFonts w:cs="宋体"/>
                <w:color w:val="000000"/>
                <w:kern w:val="0"/>
                <w:sz w:val="22"/>
              </w:rPr>
              <w:t>2、网络音频通道：支持≥8路网络通道，可支持≥8路网络音频流的输入和输出。</w:t>
            </w:r>
            <w:r>
              <w:rPr>
                <w:rFonts w:cs="宋体"/>
                <w:color w:val="000000"/>
                <w:kern w:val="0"/>
                <w:sz w:val="22"/>
              </w:rPr>
              <w:br w:type="textWrapping"/>
            </w:r>
            <w:r>
              <w:rPr>
                <w:rFonts w:cs="宋体"/>
                <w:color w:val="000000"/>
                <w:kern w:val="0"/>
                <w:sz w:val="22"/>
              </w:rPr>
              <w:t>3、采样率：采样率≥48kHz</w:t>
            </w:r>
            <w:r>
              <w:rPr>
                <w:rFonts w:cs="宋体"/>
                <w:color w:val="000000"/>
                <w:kern w:val="0"/>
                <w:sz w:val="22"/>
              </w:rPr>
              <w:br w:type="textWrapping"/>
            </w:r>
            <w:r>
              <w:rPr>
                <w:rFonts w:cs="宋体"/>
                <w:color w:val="000000"/>
                <w:kern w:val="0"/>
                <w:sz w:val="22"/>
              </w:rPr>
              <w:t>4、DSP算法：设备内置多种音频算法。</w:t>
            </w:r>
            <w:r>
              <w:rPr>
                <w:rFonts w:cs="宋体"/>
                <w:color w:val="000000"/>
                <w:kern w:val="0"/>
                <w:sz w:val="22"/>
              </w:rPr>
              <w:br w:type="textWrapping"/>
            </w:r>
            <w:r>
              <w:rPr>
                <w:rFonts w:cs="宋体"/>
                <w:color w:val="000000"/>
                <w:kern w:val="0"/>
                <w:sz w:val="22"/>
              </w:rPr>
              <w:t>5、DSP算法：支持输入与输出的矩阵混音</w:t>
            </w:r>
            <w:r>
              <w:rPr>
                <w:rFonts w:cs="宋体"/>
                <w:color w:val="000000"/>
                <w:kern w:val="0"/>
                <w:sz w:val="22"/>
              </w:rPr>
              <w:br w:type="textWrapping"/>
            </w:r>
            <w:r>
              <w:rPr>
                <w:rFonts w:cs="宋体"/>
                <w:color w:val="000000"/>
                <w:kern w:val="0"/>
                <w:sz w:val="22"/>
              </w:rPr>
              <w:t>6、参量均衡：支持≥8段参量均衡器，2个高低架滤波器，2个高低通滤波器</w:t>
            </w:r>
            <w:r>
              <w:rPr>
                <w:rFonts w:cs="宋体"/>
                <w:color w:val="000000"/>
                <w:kern w:val="0"/>
                <w:sz w:val="22"/>
              </w:rPr>
              <w:br w:type="textWrapping"/>
            </w:r>
            <w:r>
              <w:rPr>
                <w:rFonts w:cs="宋体"/>
                <w:color w:val="000000"/>
                <w:kern w:val="0"/>
                <w:sz w:val="22"/>
              </w:rPr>
              <w:t>▲7、反馈抑制：同时支持16个静态+16动态频点的反馈抑制功能（投标人需提供第三方权威机构检测报告证明）</w:t>
            </w:r>
            <w:r>
              <w:rPr>
                <w:rFonts w:cs="宋体"/>
                <w:color w:val="000000"/>
                <w:kern w:val="0"/>
                <w:sz w:val="22"/>
              </w:rPr>
              <w:br w:type="textWrapping"/>
            </w:r>
            <w:r>
              <w:rPr>
                <w:rFonts w:cs="宋体"/>
                <w:color w:val="000000"/>
                <w:kern w:val="0"/>
                <w:sz w:val="22"/>
              </w:rPr>
              <w:t>8、自动混音：支持输入的自动混音功能，具备阈值、启动时间、保持时间、通道优先级等功能配置</w:t>
            </w:r>
            <w:r>
              <w:rPr>
                <w:rFonts w:cs="宋体"/>
                <w:color w:val="000000"/>
                <w:kern w:val="0"/>
                <w:sz w:val="22"/>
              </w:rPr>
              <w:br w:type="textWrapping"/>
            </w:r>
            <w:r>
              <w:rPr>
                <w:rFonts w:cs="宋体"/>
                <w:color w:val="000000"/>
                <w:kern w:val="0"/>
                <w:sz w:val="22"/>
              </w:rPr>
              <w:t>9、自动增益：支持带门限检测的自动增益控制功能，最大增益20dB，-60dBFs~-20dBFs阈值可调</w:t>
            </w:r>
            <w:r>
              <w:rPr>
                <w:rFonts w:cs="宋体"/>
                <w:color w:val="000000"/>
                <w:kern w:val="0"/>
                <w:sz w:val="22"/>
              </w:rPr>
              <w:br w:type="textWrapping"/>
            </w:r>
            <w:r>
              <w:rPr>
                <w:rFonts w:cs="宋体"/>
                <w:color w:val="000000"/>
                <w:kern w:val="0"/>
                <w:sz w:val="22"/>
              </w:rPr>
              <w:t>10、信号发生器：支持白噪、粉噪、正弦波3种测试信号源</w:t>
            </w:r>
            <w:r>
              <w:rPr>
                <w:rFonts w:cs="宋体"/>
                <w:color w:val="000000"/>
                <w:kern w:val="0"/>
                <w:sz w:val="22"/>
              </w:rPr>
              <w:br w:type="textWrapping"/>
            </w:r>
            <w:r>
              <w:rPr>
                <w:rFonts w:cs="宋体"/>
                <w:color w:val="000000"/>
                <w:kern w:val="0"/>
                <w:sz w:val="22"/>
              </w:rPr>
              <w:t>11、调试软件：设备支持接入音频助手客户端，可进行网络搭建、系统配置、设备控制、参数调节、算法应用、音频调试等能力</w:t>
            </w:r>
          </w:p>
        </w:tc>
        <w:tc>
          <w:tcPr>
            <w:tcW w:w="216" w:type="pct"/>
            <w:tcBorders>
              <w:top w:val="nil"/>
              <w:left w:val="nil"/>
              <w:bottom w:val="single" w:color="auto" w:sz="4" w:space="0"/>
              <w:right w:val="single" w:color="auto" w:sz="4" w:space="0"/>
            </w:tcBorders>
            <w:noWrap/>
            <w:vAlign w:val="center"/>
          </w:tcPr>
          <w:p w14:paraId="071AF8F2">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noWrap/>
            <w:vAlign w:val="center"/>
          </w:tcPr>
          <w:p w14:paraId="30CCFF35">
            <w:pPr>
              <w:widowControl/>
              <w:spacing w:line="240" w:lineRule="auto"/>
              <w:jc w:val="center"/>
              <w:rPr>
                <w:rFonts w:hint="eastAsia" w:cs="宋体"/>
                <w:color w:val="000000"/>
                <w:kern w:val="0"/>
                <w:sz w:val="22"/>
              </w:rPr>
            </w:pPr>
            <w:r>
              <w:rPr>
                <w:rFonts w:cs="宋体"/>
                <w:color w:val="000000"/>
                <w:kern w:val="0"/>
                <w:sz w:val="22"/>
              </w:rPr>
              <w:t>1</w:t>
            </w:r>
          </w:p>
        </w:tc>
      </w:tr>
      <w:tr w14:paraId="7A39B1D0">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6F651E01">
            <w:pPr>
              <w:widowControl/>
              <w:spacing w:line="240" w:lineRule="auto"/>
              <w:jc w:val="center"/>
              <w:rPr>
                <w:rFonts w:hint="eastAsia" w:cs="宋体"/>
                <w:color w:val="000000"/>
                <w:kern w:val="0"/>
                <w:sz w:val="22"/>
              </w:rPr>
            </w:pPr>
            <w:r>
              <w:rPr>
                <w:rFonts w:cs="宋体"/>
                <w:color w:val="000000"/>
                <w:kern w:val="0"/>
                <w:sz w:val="22"/>
              </w:rPr>
              <w:t>26</w:t>
            </w:r>
          </w:p>
        </w:tc>
        <w:tc>
          <w:tcPr>
            <w:tcW w:w="152" w:type="pct"/>
            <w:vMerge w:val="continue"/>
            <w:tcBorders>
              <w:top w:val="nil"/>
              <w:left w:val="single" w:color="auto" w:sz="4" w:space="0"/>
              <w:bottom w:val="single" w:color="000000" w:sz="4" w:space="0"/>
              <w:right w:val="single" w:color="auto" w:sz="4" w:space="0"/>
            </w:tcBorders>
            <w:vAlign w:val="center"/>
          </w:tcPr>
          <w:p w14:paraId="153CFCC2">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5FB963A2">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63030CA">
            <w:pPr>
              <w:widowControl/>
              <w:spacing w:line="240" w:lineRule="auto"/>
              <w:rPr>
                <w:rFonts w:hint="eastAsia" w:cs="宋体"/>
                <w:color w:val="000000"/>
                <w:kern w:val="0"/>
                <w:sz w:val="22"/>
              </w:rPr>
            </w:pPr>
            <w:r>
              <w:rPr>
                <w:rFonts w:cs="宋体"/>
                <w:color w:val="000000"/>
                <w:kern w:val="0"/>
                <w:sz w:val="22"/>
              </w:rPr>
              <w:t>网络电源时序器</w:t>
            </w:r>
          </w:p>
        </w:tc>
        <w:tc>
          <w:tcPr>
            <w:tcW w:w="3643" w:type="pct"/>
            <w:tcBorders>
              <w:top w:val="nil"/>
              <w:left w:val="nil"/>
              <w:bottom w:val="single" w:color="auto" w:sz="4" w:space="0"/>
              <w:right w:val="single" w:color="auto" w:sz="4" w:space="0"/>
            </w:tcBorders>
            <w:vAlign w:val="center"/>
          </w:tcPr>
          <w:p w14:paraId="61CCA7A6">
            <w:pPr>
              <w:widowControl/>
              <w:spacing w:line="240" w:lineRule="auto"/>
              <w:rPr>
                <w:rFonts w:hint="eastAsia" w:cs="宋体"/>
                <w:color w:val="000000"/>
                <w:kern w:val="0"/>
                <w:sz w:val="22"/>
              </w:rPr>
            </w:pPr>
            <w:r>
              <w:rPr>
                <w:rFonts w:cs="宋体"/>
                <w:color w:val="000000"/>
                <w:kern w:val="0"/>
                <w:sz w:val="22"/>
              </w:rPr>
              <w:t>1、支持智能显示窗，可实时显示当前电压、日期时间、通道开关状态；</w:t>
            </w:r>
            <w:r>
              <w:rPr>
                <w:rFonts w:cs="宋体"/>
                <w:color w:val="000000"/>
                <w:kern w:val="0"/>
                <w:sz w:val="22"/>
              </w:rPr>
              <w:br w:type="textWrapping"/>
            </w:r>
            <w:r>
              <w:rPr>
                <w:rFonts w:cs="宋体"/>
                <w:color w:val="000000"/>
                <w:kern w:val="0"/>
                <w:sz w:val="22"/>
              </w:rPr>
              <w:t>2、支持电源EMI滤波器，可有效抑制电磁噪声，减小对设备音质的干扰；</w:t>
            </w:r>
            <w:r>
              <w:rPr>
                <w:rFonts w:cs="宋体"/>
                <w:color w:val="000000"/>
                <w:kern w:val="0"/>
                <w:sz w:val="22"/>
              </w:rPr>
              <w:br w:type="textWrapping"/>
            </w:r>
            <w:r>
              <w:rPr>
                <w:rFonts w:cs="宋体"/>
                <w:color w:val="000000"/>
                <w:kern w:val="0"/>
                <w:sz w:val="22"/>
              </w:rPr>
              <w:t>3、内置时钟芯片，可根据日期时间定时设置自动开关机,不须人为操作，支持脱机模式，在脱离服务器时，也能保证定时任务按时执行；</w:t>
            </w:r>
            <w:r>
              <w:rPr>
                <w:rFonts w:cs="宋体"/>
                <w:color w:val="000000"/>
                <w:kern w:val="0"/>
                <w:sz w:val="22"/>
              </w:rPr>
              <w:br w:type="textWrapping"/>
            </w:r>
            <w:r>
              <w:rPr>
                <w:rFonts w:cs="宋体"/>
                <w:color w:val="000000"/>
                <w:kern w:val="0"/>
                <w:sz w:val="22"/>
              </w:rPr>
              <w:t>4、支持485凤凰端子串口，支持≧8台设备级联顺序控制，级联自动检测设置；</w:t>
            </w:r>
            <w:r>
              <w:rPr>
                <w:rFonts w:cs="宋体"/>
                <w:color w:val="000000"/>
                <w:kern w:val="0"/>
                <w:sz w:val="22"/>
              </w:rPr>
              <w:br w:type="textWrapping"/>
            </w:r>
            <w:r>
              <w:rPr>
                <w:rFonts w:cs="宋体"/>
                <w:color w:val="000000"/>
                <w:kern w:val="0"/>
                <w:sz w:val="22"/>
              </w:rPr>
              <w:t>5、具有≥1个10M/100M网口，支持网络远程固件升级，多台设备通过级联后只需一路网口即可接入局域网通过软件控制；</w:t>
            </w:r>
            <w:r>
              <w:rPr>
                <w:rFonts w:cs="宋体"/>
                <w:color w:val="000000"/>
                <w:kern w:val="0"/>
                <w:sz w:val="22"/>
              </w:rPr>
              <w:br w:type="textWrapping"/>
            </w:r>
            <w:r>
              <w:rPr>
                <w:rFonts w:cs="宋体"/>
                <w:color w:val="000000"/>
                <w:kern w:val="0"/>
                <w:sz w:val="22"/>
              </w:rPr>
              <w:t>6、具有≥1路RS232接口，支持TCP/IP、RS232协议在电脑上控制，具有开放的第三方接口协议，支持第三方设备对接控制；</w:t>
            </w:r>
          </w:p>
        </w:tc>
        <w:tc>
          <w:tcPr>
            <w:tcW w:w="216" w:type="pct"/>
            <w:tcBorders>
              <w:top w:val="nil"/>
              <w:left w:val="nil"/>
              <w:bottom w:val="single" w:color="auto" w:sz="4" w:space="0"/>
              <w:right w:val="single" w:color="auto" w:sz="4" w:space="0"/>
            </w:tcBorders>
            <w:noWrap/>
            <w:vAlign w:val="center"/>
          </w:tcPr>
          <w:p w14:paraId="03486539">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noWrap/>
            <w:vAlign w:val="center"/>
          </w:tcPr>
          <w:p w14:paraId="0B5FEDFD">
            <w:pPr>
              <w:widowControl/>
              <w:spacing w:line="240" w:lineRule="auto"/>
              <w:jc w:val="center"/>
              <w:rPr>
                <w:rFonts w:hint="eastAsia" w:cs="宋体"/>
                <w:color w:val="000000"/>
                <w:kern w:val="0"/>
                <w:sz w:val="22"/>
              </w:rPr>
            </w:pPr>
            <w:r>
              <w:rPr>
                <w:rFonts w:cs="宋体"/>
                <w:color w:val="000000"/>
                <w:kern w:val="0"/>
                <w:sz w:val="22"/>
              </w:rPr>
              <w:t>1</w:t>
            </w:r>
          </w:p>
        </w:tc>
      </w:tr>
      <w:tr w14:paraId="27EE610C">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2678486">
            <w:pPr>
              <w:widowControl/>
              <w:spacing w:line="240" w:lineRule="auto"/>
              <w:jc w:val="center"/>
              <w:rPr>
                <w:rFonts w:hint="eastAsia" w:cs="宋体"/>
                <w:color w:val="000000"/>
                <w:kern w:val="0"/>
                <w:sz w:val="22"/>
              </w:rPr>
            </w:pPr>
            <w:r>
              <w:rPr>
                <w:rFonts w:cs="宋体"/>
                <w:color w:val="000000"/>
                <w:kern w:val="0"/>
                <w:sz w:val="22"/>
              </w:rPr>
              <w:t>27</w:t>
            </w:r>
          </w:p>
        </w:tc>
        <w:tc>
          <w:tcPr>
            <w:tcW w:w="152" w:type="pct"/>
            <w:vMerge w:val="continue"/>
            <w:tcBorders>
              <w:top w:val="nil"/>
              <w:left w:val="single" w:color="auto" w:sz="4" w:space="0"/>
              <w:bottom w:val="single" w:color="000000" w:sz="4" w:space="0"/>
              <w:right w:val="single" w:color="auto" w:sz="4" w:space="0"/>
            </w:tcBorders>
            <w:vAlign w:val="center"/>
          </w:tcPr>
          <w:p w14:paraId="2853B8B6">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2EE1E227">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AADC950">
            <w:pPr>
              <w:widowControl/>
              <w:spacing w:line="240" w:lineRule="auto"/>
              <w:rPr>
                <w:rFonts w:hint="eastAsia" w:cs="宋体"/>
                <w:color w:val="000000"/>
                <w:kern w:val="0"/>
                <w:sz w:val="22"/>
              </w:rPr>
            </w:pPr>
            <w:r>
              <w:rPr>
                <w:rFonts w:cs="宋体"/>
                <w:color w:val="000000"/>
                <w:kern w:val="0"/>
                <w:sz w:val="22"/>
              </w:rPr>
              <w:t>无线会议主机</w:t>
            </w:r>
          </w:p>
        </w:tc>
        <w:tc>
          <w:tcPr>
            <w:tcW w:w="3643" w:type="pct"/>
            <w:tcBorders>
              <w:top w:val="nil"/>
              <w:left w:val="nil"/>
              <w:bottom w:val="single" w:color="auto" w:sz="4" w:space="0"/>
              <w:right w:val="single" w:color="auto" w:sz="4" w:space="0"/>
            </w:tcBorders>
            <w:vAlign w:val="center"/>
          </w:tcPr>
          <w:p w14:paraId="6810BF0D">
            <w:pPr>
              <w:widowControl/>
              <w:spacing w:line="240" w:lineRule="auto"/>
              <w:rPr>
                <w:rFonts w:hint="eastAsia" w:cs="宋体"/>
                <w:color w:val="000000"/>
                <w:kern w:val="0"/>
                <w:sz w:val="22"/>
              </w:rPr>
            </w:pPr>
            <w:r>
              <w:rPr>
                <w:rFonts w:cs="宋体"/>
                <w:color w:val="000000"/>
                <w:kern w:val="0"/>
                <w:sz w:val="22"/>
              </w:rPr>
              <w:t>1.支持UHF四通道多频道设计，高精度锁相环频率合成PLL技术，传输更稳定。</w:t>
            </w:r>
            <w:r>
              <w:rPr>
                <w:rFonts w:cs="宋体"/>
                <w:color w:val="000000"/>
                <w:kern w:val="0"/>
                <w:sz w:val="22"/>
              </w:rPr>
              <w:br w:type="textWrapping"/>
            </w:r>
            <w:r>
              <w:rPr>
                <w:rFonts w:cs="宋体"/>
                <w:color w:val="000000"/>
                <w:kern w:val="0"/>
                <w:sz w:val="22"/>
              </w:rPr>
              <w:t>2.装备≥2.2英寸TFT-LCD高亮度显示屏，可动态显示系统信号通道、发言模式、发言人数。</w:t>
            </w:r>
            <w:r>
              <w:rPr>
                <w:rFonts w:cs="宋体"/>
                <w:color w:val="000000"/>
                <w:kern w:val="0"/>
                <w:sz w:val="22"/>
              </w:rPr>
              <w:br w:type="textWrapping"/>
            </w:r>
            <w:r>
              <w:rPr>
                <w:rFonts w:cs="宋体"/>
                <w:color w:val="000000"/>
                <w:kern w:val="0"/>
                <w:sz w:val="22"/>
              </w:rPr>
              <w:t>3.单台主机最大支持≥48台无线会议单元在线，支持连接主席单元，主席单元具备关闭、静音列席功能。</w:t>
            </w:r>
            <w:r>
              <w:rPr>
                <w:rFonts w:cs="宋体"/>
                <w:color w:val="000000"/>
                <w:kern w:val="0"/>
                <w:sz w:val="22"/>
              </w:rPr>
              <w:br w:type="textWrapping"/>
            </w:r>
            <w:r>
              <w:rPr>
                <w:rFonts w:cs="宋体"/>
                <w:color w:val="000000"/>
                <w:kern w:val="0"/>
                <w:sz w:val="22"/>
              </w:rPr>
              <w:t>4.支持轮替（先进先出）模式、申请发言、按住发言、自由发言，可同时开启4台单元，发言人数可设置为1/2/3/4台。</w:t>
            </w:r>
            <w:r>
              <w:rPr>
                <w:rFonts w:cs="宋体"/>
                <w:color w:val="000000"/>
                <w:kern w:val="0"/>
                <w:sz w:val="22"/>
              </w:rPr>
              <w:br w:type="textWrapping"/>
            </w:r>
            <w:r>
              <w:rPr>
                <w:rFonts w:cs="宋体"/>
                <w:color w:val="000000"/>
                <w:kern w:val="0"/>
                <w:sz w:val="22"/>
              </w:rPr>
              <w:t>5.系统可自定义会议单元房间编号，有效避免房间编号冲突，确保系统房间编号的唯一性。</w:t>
            </w:r>
            <w:r>
              <w:rPr>
                <w:rFonts w:cs="宋体"/>
                <w:color w:val="000000"/>
                <w:kern w:val="0"/>
                <w:sz w:val="22"/>
              </w:rPr>
              <w:br w:type="textWrapping"/>
            </w:r>
            <w:r>
              <w:rPr>
                <w:rFonts w:cs="宋体"/>
                <w:color w:val="000000"/>
                <w:kern w:val="0"/>
                <w:sz w:val="22"/>
              </w:rPr>
              <w:t>6.主机自带摄像跟踪，支持VISCA、PELCO-D、PELCO-P常规控制协议，采用RS-485与RS-232双控制接口、具备串口与视频矩阵主机连接。</w:t>
            </w:r>
            <w:r>
              <w:rPr>
                <w:rFonts w:cs="宋体"/>
                <w:color w:val="000000"/>
                <w:kern w:val="0"/>
                <w:sz w:val="22"/>
              </w:rPr>
              <w:br w:type="textWrapping"/>
            </w:r>
            <w:r>
              <w:rPr>
                <w:rFonts w:cs="宋体"/>
                <w:color w:val="000000"/>
                <w:kern w:val="0"/>
                <w:sz w:val="22"/>
              </w:rPr>
              <w:t>7.支持48KHz音频采样频率，频率响应为30Hz-20KHz，具备31级音量调节功能。</w:t>
            </w:r>
            <w:r>
              <w:rPr>
                <w:rFonts w:cs="宋体"/>
                <w:color w:val="000000"/>
                <w:kern w:val="0"/>
                <w:sz w:val="22"/>
              </w:rPr>
              <w:br w:type="textWrapping"/>
            </w:r>
            <w:r>
              <w:rPr>
                <w:rFonts w:cs="宋体"/>
                <w:color w:val="000000"/>
                <w:kern w:val="0"/>
                <w:sz w:val="22"/>
              </w:rPr>
              <w:t>8.具有强大USB声卡，音频可直接输入电脑、手机等设备，进行录音，调用音频等等功能。</w:t>
            </w:r>
            <w:r>
              <w:rPr>
                <w:rFonts w:cs="宋体"/>
                <w:color w:val="000000"/>
                <w:kern w:val="0"/>
                <w:sz w:val="22"/>
              </w:rPr>
              <w:br w:type="textWrapping"/>
            </w:r>
            <w:r>
              <w:rPr>
                <w:rFonts w:cs="宋体"/>
                <w:color w:val="000000"/>
                <w:kern w:val="0"/>
                <w:sz w:val="22"/>
              </w:rPr>
              <w:t>9.具备超远的发射与接收距离，理想环境有效距离可达60米。</w:t>
            </w:r>
            <w:r>
              <w:rPr>
                <w:rFonts w:cs="宋体"/>
                <w:color w:val="000000"/>
                <w:kern w:val="0"/>
                <w:sz w:val="22"/>
              </w:rPr>
              <w:br w:type="textWrapping"/>
            </w:r>
            <w:r>
              <w:rPr>
                <w:rFonts w:cs="宋体"/>
                <w:color w:val="000000"/>
                <w:kern w:val="0"/>
                <w:sz w:val="22"/>
              </w:rPr>
              <w:t>10.自带投票表决、评分、决议、签到等等强大功能，满足需要所有需要表决等会议场所。</w:t>
            </w:r>
            <w:r>
              <w:rPr>
                <w:rFonts w:cs="宋体"/>
                <w:color w:val="000000"/>
                <w:kern w:val="0"/>
                <w:sz w:val="22"/>
              </w:rPr>
              <w:br w:type="textWrapping"/>
            </w:r>
            <w:r>
              <w:rPr>
                <w:rFonts w:cs="宋体"/>
                <w:color w:val="000000"/>
                <w:kern w:val="0"/>
                <w:sz w:val="22"/>
              </w:rPr>
              <w:t>11.主机在脱离PC软件控制，亦可进行投票表决功能，并且主机能清晰显示投票结果。</w:t>
            </w:r>
            <w:r>
              <w:rPr>
                <w:rFonts w:cs="宋体"/>
                <w:color w:val="000000"/>
                <w:kern w:val="0"/>
                <w:sz w:val="22"/>
              </w:rPr>
              <w:br w:type="textWrapping"/>
            </w:r>
            <w:r>
              <w:rPr>
                <w:rFonts w:cs="宋体"/>
                <w:color w:val="000000"/>
                <w:kern w:val="0"/>
                <w:sz w:val="22"/>
              </w:rPr>
              <w:t>12.自带强大的PC操控软件，通过PC软件可以设置主机所有功能，更直观明了。并且强化了投票表决等功能。</w:t>
            </w:r>
            <w:r>
              <w:rPr>
                <w:rFonts w:cs="宋体"/>
                <w:color w:val="000000"/>
                <w:kern w:val="0"/>
                <w:sz w:val="22"/>
              </w:rPr>
              <w:br w:type="textWrapping"/>
            </w:r>
            <w:r>
              <w:rPr>
                <w:rFonts w:cs="宋体"/>
                <w:color w:val="000000"/>
                <w:kern w:val="0"/>
                <w:sz w:val="22"/>
              </w:rPr>
              <w:t>13.载波频率范围：≥640.000MHz-690.000MHz。</w:t>
            </w:r>
            <w:r>
              <w:rPr>
                <w:rFonts w:cs="宋体"/>
                <w:color w:val="000000"/>
                <w:kern w:val="0"/>
                <w:sz w:val="22"/>
              </w:rPr>
              <w:br w:type="textWrapping"/>
            </w:r>
            <w:r>
              <w:rPr>
                <w:rFonts w:cs="宋体"/>
                <w:color w:val="000000"/>
                <w:kern w:val="0"/>
                <w:sz w:val="22"/>
              </w:rPr>
              <w:t>14.接收方式：分集式双接收。</w:t>
            </w:r>
          </w:p>
        </w:tc>
        <w:tc>
          <w:tcPr>
            <w:tcW w:w="216" w:type="pct"/>
            <w:tcBorders>
              <w:top w:val="nil"/>
              <w:left w:val="nil"/>
              <w:bottom w:val="single" w:color="auto" w:sz="4" w:space="0"/>
              <w:right w:val="single" w:color="auto" w:sz="4" w:space="0"/>
            </w:tcBorders>
            <w:noWrap/>
            <w:vAlign w:val="center"/>
          </w:tcPr>
          <w:p w14:paraId="657E5061">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noWrap/>
            <w:vAlign w:val="center"/>
          </w:tcPr>
          <w:p w14:paraId="39DE8057">
            <w:pPr>
              <w:widowControl/>
              <w:spacing w:line="240" w:lineRule="auto"/>
              <w:jc w:val="center"/>
              <w:rPr>
                <w:rFonts w:hint="eastAsia" w:cs="宋体"/>
                <w:color w:val="000000"/>
                <w:kern w:val="0"/>
                <w:sz w:val="22"/>
              </w:rPr>
            </w:pPr>
            <w:r>
              <w:rPr>
                <w:rFonts w:cs="宋体"/>
                <w:color w:val="000000"/>
                <w:kern w:val="0"/>
                <w:sz w:val="22"/>
              </w:rPr>
              <w:t>1</w:t>
            </w:r>
          </w:p>
        </w:tc>
      </w:tr>
      <w:tr w14:paraId="4C4B087F">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F0DE239">
            <w:pPr>
              <w:widowControl/>
              <w:spacing w:line="240" w:lineRule="auto"/>
              <w:jc w:val="center"/>
              <w:rPr>
                <w:rFonts w:hint="eastAsia" w:cs="宋体"/>
                <w:color w:val="000000"/>
                <w:kern w:val="0"/>
                <w:sz w:val="22"/>
              </w:rPr>
            </w:pPr>
            <w:r>
              <w:rPr>
                <w:rFonts w:cs="宋体"/>
                <w:color w:val="000000"/>
                <w:kern w:val="0"/>
                <w:sz w:val="22"/>
              </w:rPr>
              <w:t>28</w:t>
            </w:r>
          </w:p>
        </w:tc>
        <w:tc>
          <w:tcPr>
            <w:tcW w:w="152" w:type="pct"/>
            <w:vMerge w:val="continue"/>
            <w:tcBorders>
              <w:top w:val="nil"/>
              <w:left w:val="single" w:color="auto" w:sz="4" w:space="0"/>
              <w:bottom w:val="single" w:color="000000" w:sz="4" w:space="0"/>
              <w:right w:val="single" w:color="auto" w:sz="4" w:space="0"/>
            </w:tcBorders>
            <w:vAlign w:val="center"/>
          </w:tcPr>
          <w:p w14:paraId="52AC8EE1">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40F2366A">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71E50D5">
            <w:pPr>
              <w:widowControl/>
              <w:spacing w:line="240" w:lineRule="auto"/>
              <w:rPr>
                <w:rFonts w:hint="eastAsia" w:cs="宋体"/>
                <w:color w:val="000000"/>
                <w:kern w:val="0"/>
                <w:sz w:val="22"/>
              </w:rPr>
            </w:pPr>
            <w:r>
              <w:rPr>
                <w:rFonts w:cs="宋体"/>
                <w:color w:val="000000"/>
                <w:kern w:val="0"/>
                <w:sz w:val="22"/>
              </w:rPr>
              <w:t>麦克风</w:t>
            </w:r>
          </w:p>
        </w:tc>
        <w:tc>
          <w:tcPr>
            <w:tcW w:w="3643" w:type="pct"/>
            <w:tcBorders>
              <w:top w:val="nil"/>
              <w:left w:val="nil"/>
              <w:bottom w:val="single" w:color="auto" w:sz="4" w:space="0"/>
              <w:right w:val="single" w:color="auto" w:sz="4" w:space="0"/>
            </w:tcBorders>
            <w:vAlign w:val="center"/>
          </w:tcPr>
          <w:p w14:paraId="510FCA6D">
            <w:pPr>
              <w:widowControl/>
              <w:spacing w:line="240" w:lineRule="auto"/>
              <w:rPr>
                <w:rFonts w:hint="eastAsia" w:cs="宋体"/>
                <w:color w:val="000000"/>
                <w:kern w:val="0"/>
                <w:sz w:val="22"/>
              </w:rPr>
            </w:pPr>
            <w:r>
              <w:rPr>
                <w:rFonts w:cs="宋体"/>
                <w:color w:val="000000"/>
                <w:kern w:val="0"/>
                <w:sz w:val="22"/>
              </w:rPr>
              <w:t>1、供电方式：支持POE供电，采用网络传输音频信号，兼容Dante协议</w:t>
            </w:r>
            <w:r>
              <w:rPr>
                <w:rFonts w:cs="宋体"/>
                <w:color w:val="000000"/>
                <w:kern w:val="0"/>
                <w:sz w:val="22"/>
              </w:rPr>
              <w:br w:type="textWrapping"/>
            </w:r>
            <w:r>
              <w:rPr>
                <w:rFonts w:cs="宋体"/>
                <w:color w:val="000000"/>
                <w:kern w:val="0"/>
                <w:sz w:val="22"/>
              </w:rPr>
              <w:t>2、音频参数：灵敏度≥-40dBV，信噪比≥67dB，采样率48kHz/24bit</w:t>
            </w:r>
            <w:r>
              <w:rPr>
                <w:rFonts w:cs="宋体"/>
                <w:color w:val="000000"/>
                <w:kern w:val="0"/>
                <w:sz w:val="22"/>
              </w:rPr>
              <w:br w:type="textWrapping"/>
            </w:r>
            <w:r>
              <w:rPr>
                <w:rFonts w:cs="宋体"/>
                <w:color w:val="000000"/>
                <w:kern w:val="0"/>
                <w:sz w:val="22"/>
              </w:rPr>
              <w:t>3、频率响应：频率响应20Hz~20kHz，动态范围≥96dB</w:t>
            </w:r>
            <w:r>
              <w:rPr>
                <w:rFonts w:cs="宋体"/>
                <w:color w:val="000000"/>
                <w:kern w:val="0"/>
                <w:sz w:val="22"/>
              </w:rPr>
              <w:br w:type="textWrapping"/>
            </w:r>
            <w:r>
              <w:rPr>
                <w:rFonts w:cs="宋体"/>
                <w:color w:val="000000"/>
                <w:kern w:val="0"/>
                <w:sz w:val="22"/>
              </w:rPr>
              <w:t>4、拾音距离：拾音距离≥40cm</w:t>
            </w:r>
            <w:r>
              <w:rPr>
                <w:rFonts w:cs="宋体"/>
                <w:color w:val="000000"/>
                <w:kern w:val="0"/>
                <w:sz w:val="22"/>
              </w:rPr>
              <w:br w:type="textWrapping"/>
            </w:r>
            <w:r>
              <w:rPr>
                <w:rFonts w:cs="宋体"/>
                <w:color w:val="000000"/>
                <w:kern w:val="0"/>
                <w:sz w:val="22"/>
              </w:rPr>
              <w:t>5、指向型：支持指向性调节，支持全指向型、强指向性、心型、超心型、8字型</w:t>
            </w:r>
            <w:r>
              <w:rPr>
                <w:rFonts w:cs="宋体"/>
                <w:color w:val="000000"/>
                <w:kern w:val="0"/>
                <w:sz w:val="22"/>
              </w:rPr>
              <w:br w:type="textWrapping"/>
            </w:r>
            <w:r>
              <w:rPr>
                <w:rFonts w:cs="宋体"/>
                <w:color w:val="000000"/>
                <w:kern w:val="0"/>
                <w:sz w:val="22"/>
              </w:rPr>
              <w:t>6、自动增益：支持带门限检测的自动增益控制功能，最大增益20dB，-60dBFs~-20dBFs阈值可调</w:t>
            </w:r>
            <w:r>
              <w:rPr>
                <w:rFonts w:cs="宋体"/>
                <w:color w:val="000000"/>
                <w:kern w:val="0"/>
                <w:sz w:val="22"/>
              </w:rPr>
              <w:br w:type="textWrapping"/>
            </w:r>
            <w:r>
              <w:rPr>
                <w:rFonts w:cs="宋体"/>
                <w:color w:val="000000"/>
                <w:kern w:val="0"/>
                <w:sz w:val="22"/>
              </w:rPr>
              <w:t>7、反馈抑制：内置反馈抑制算法，单话筒支持反馈抑制功能</w:t>
            </w:r>
          </w:p>
        </w:tc>
        <w:tc>
          <w:tcPr>
            <w:tcW w:w="216" w:type="pct"/>
            <w:tcBorders>
              <w:top w:val="nil"/>
              <w:left w:val="nil"/>
              <w:bottom w:val="single" w:color="auto" w:sz="4" w:space="0"/>
              <w:right w:val="single" w:color="auto" w:sz="4" w:space="0"/>
            </w:tcBorders>
            <w:noWrap/>
            <w:vAlign w:val="center"/>
          </w:tcPr>
          <w:p w14:paraId="65D5A9A3">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noWrap/>
            <w:vAlign w:val="center"/>
          </w:tcPr>
          <w:p w14:paraId="50D9BD96">
            <w:pPr>
              <w:widowControl/>
              <w:spacing w:line="240" w:lineRule="auto"/>
              <w:jc w:val="center"/>
              <w:rPr>
                <w:rFonts w:hint="eastAsia" w:cs="宋体"/>
                <w:color w:val="000000"/>
                <w:kern w:val="0"/>
                <w:sz w:val="22"/>
              </w:rPr>
            </w:pPr>
            <w:r>
              <w:rPr>
                <w:rFonts w:cs="宋体"/>
                <w:color w:val="000000"/>
                <w:kern w:val="0"/>
                <w:sz w:val="22"/>
              </w:rPr>
              <w:t>8</w:t>
            </w:r>
          </w:p>
        </w:tc>
      </w:tr>
      <w:tr w14:paraId="51FFEBF0">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591C447">
            <w:pPr>
              <w:widowControl/>
              <w:spacing w:line="240" w:lineRule="auto"/>
              <w:jc w:val="center"/>
              <w:rPr>
                <w:rFonts w:hint="eastAsia" w:cs="宋体"/>
                <w:color w:val="000000"/>
                <w:kern w:val="0"/>
                <w:sz w:val="22"/>
              </w:rPr>
            </w:pPr>
            <w:r>
              <w:rPr>
                <w:rFonts w:cs="宋体"/>
                <w:color w:val="000000"/>
                <w:kern w:val="0"/>
                <w:sz w:val="22"/>
              </w:rPr>
              <w:t>29</w:t>
            </w:r>
          </w:p>
        </w:tc>
        <w:tc>
          <w:tcPr>
            <w:tcW w:w="152" w:type="pct"/>
            <w:vMerge w:val="continue"/>
            <w:tcBorders>
              <w:top w:val="nil"/>
              <w:left w:val="single" w:color="auto" w:sz="4" w:space="0"/>
              <w:bottom w:val="single" w:color="000000" w:sz="4" w:space="0"/>
              <w:right w:val="single" w:color="auto" w:sz="4" w:space="0"/>
            </w:tcBorders>
            <w:vAlign w:val="center"/>
          </w:tcPr>
          <w:p w14:paraId="7423D751">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E0844A0">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3E3D6DE4">
            <w:pPr>
              <w:widowControl/>
              <w:spacing w:line="240" w:lineRule="auto"/>
              <w:rPr>
                <w:rFonts w:hint="eastAsia" w:cs="宋体"/>
                <w:color w:val="000000"/>
                <w:kern w:val="0"/>
                <w:sz w:val="22"/>
              </w:rPr>
            </w:pPr>
            <w:r>
              <w:rPr>
                <w:rFonts w:cs="宋体"/>
                <w:color w:val="000000"/>
                <w:kern w:val="0"/>
                <w:sz w:val="22"/>
              </w:rPr>
              <w:t>网络阵列音柱</w:t>
            </w:r>
          </w:p>
        </w:tc>
        <w:tc>
          <w:tcPr>
            <w:tcW w:w="3643" w:type="pct"/>
            <w:tcBorders>
              <w:top w:val="nil"/>
              <w:left w:val="nil"/>
              <w:bottom w:val="single" w:color="auto" w:sz="4" w:space="0"/>
              <w:right w:val="single" w:color="auto" w:sz="4" w:space="0"/>
            </w:tcBorders>
            <w:vAlign w:val="center"/>
          </w:tcPr>
          <w:p w14:paraId="55AD8D68">
            <w:pPr>
              <w:widowControl/>
              <w:spacing w:line="240" w:lineRule="auto"/>
              <w:rPr>
                <w:rFonts w:hint="eastAsia" w:cs="宋体"/>
                <w:color w:val="000000"/>
                <w:kern w:val="0"/>
                <w:sz w:val="22"/>
              </w:rPr>
            </w:pPr>
            <w:r>
              <w:rPr>
                <w:rFonts w:cs="宋体"/>
                <w:color w:val="000000"/>
                <w:kern w:val="0"/>
                <w:sz w:val="22"/>
              </w:rPr>
              <w:t>1、额定功率：额定功率≥300W</w:t>
            </w:r>
            <w:r>
              <w:rPr>
                <w:rFonts w:cs="宋体"/>
                <w:color w:val="000000"/>
                <w:kern w:val="0"/>
                <w:sz w:val="22"/>
              </w:rPr>
              <w:br w:type="textWrapping"/>
            </w:r>
            <w:r>
              <w:rPr>
                <w:rFonts w:cs="宋体"/>
                <w:color w:val="000000"/>
                <w:kern w:val="0"/>
                <w:sz w:val="22"/>
              </w:rPr>
              <w:t>2、灵敏度：灵敏度≥96dB（SPL/1W@1m）</w:t>
            </w:r>
            <w:r>
              <w:rPr>
                <w:rFonts w:cs="宋体"/>
                <w:color w:val="000000"/>
                <w:kern w:val="0"/>
                <w:sz w:val="22"/>
              </w:rPr>
              <w:br w:type="textWrapping"/>
            </w:r>
            <w:r>
              <w:rPr>
                <w:rFonts w:cs="宋体"/>
                <w:color w:val="000000"/>
                <w:kern w:val="0"/>
                <w:sz w:val="22"/>
              </w:rPr>
              <w:t>3、连续声压级：连续声压级≥121dB</w:t>
            </w:r>
            <w:r>
              <w:rPr>
                <w:rFonts w:cs="宋体"/>
                <w:color w:val="000000"/>
                <w:kern w:val="0"/>
                <w:sz w:val="22"/>
              </w:rPr>
              <w:br w:type="textWrapping"/>
            </w:r>
            <w:r>
              <w:rPr>
                <w:rFonts w:cs="宋体"/>
                <w:color w:val="000000"/>
                <w:kern w:val="0"/>
                <w:sz w:val="22"/>
              </w:rPr>
              <w:t>4、覆盖角度：水平覆盖角≥90°，垂直覆盖角≥60°</w:t>
            </w:r>
            <w:r>
              <w:rPr>
                <w:rFonts w:cs="宋体"/>
                <w:color w:val="000000"/>
                <w:kern w:val="0"/>
                <w:sz w:val="22"/>
              </w:rPr>
              <w:br w:type="textWrapping"/>
            </w:r>
            <w:r>
              <w:rPr>
                <w:rFonts w:cs="宋体"/>
                <w:color w:val="000000"/>
                <w:kern w:val="0"/>
                <w:sz w:val="22"/>
              </w:rPr>
              <w:t>5、输入输出接口：设备具备多种输入输出接口，网络输入≥2.卡农输入≥1，卡农输出≥1</w:t>
            </w:r>
            <w:r>
              <w:rPr>
                <w:rFonts w:cs="宋体"/>
                <w:color w:val="000000"/>
                <w:kern w:val="0"/>
                <w:sz w:val="22"/>
              </w:rPr>
              <w:br w:type="textWrapping"/>
            </w:r>
            <w:r>
              <w:rPr>
                <w:rFonts w:cs="宋体"/>
                <w:color w:val="000000"/>
                <w:kern w:val="0"/>
                <w:sz w:val="22"/>
              </w:rPr>
              <w:t>6、传输协议：支持AES67，支持兼容Dante设备</w:t>
            </w:r>
            <w:r>
              <w:rPr>
                <w:rFonts w:cs="宋体"/>
                <w:color w:val="000000"/>
                <w:kern w:val="0"/>
                <w:sz w:val="22"/>
              </w:rPr>
              <w:br w:type="textWrapping"/>
            </w:r>
            <w:r>
              <w:rPr>
                <w:rFonts w:cs="宋体"/>
                <w:color w:val="000000"/>
                <w:kern w:val="0"/>
                <w:sz w:val="22"/>
              </w:rPr>
              <w:t>7、参量均衡器：内置参量均衡器，支持≥8段参量均衡器，≥2个高低架滤波器，≥2个高低通滤波器</w:t>
            </w:r>
            <w:r>
              <w:rPr>
                <w:rFonts w:cs="宋体"/>
                <w:color w:val="000000"/>
                <w:kern w:val="0"/>
                <w:sz w:val="22"/>
              </w:rPr>
              <w:br w:type="textWrapping"/>
            </w:r>
            <w:r>
              <w:rPr>
                <w:rFonts w:cs="宋体"/>
                <w:color w:val="000000"/>
                <w:kern w:val="0"/>
                <w:sz w:val="22"/>
              </w:rPr>
              <w:t>8、延时器：内置延时器，支持0~10000ms可配置，精度小≤1ms</w:t>
            </w:r>
            <w:r>
              <w:rPr>
                <w:rFonts w:cs="宋体"/>
                <w:color w:val="000000"/>
                <w:kern w:val="0"/>
                <w:sz w:val="22"/>
              </w:rPr>
              <w:br w:type="textWrapping"/>
            </w:r>
            <w:r>
              <w:rPr>
                <w:rFonts w:cs="宋体"/>
                <w:color w:val="000000"/>
                <w:kern w:val="0"/>
                <w:sz w:val="22"/>
              </w:rPr>
              <w:t>9、混音：支持混音，≥5路输入*1路输出矩阵混音</w:t>
            </w:r>
            <w:r>
              <w:rPr>
                <w:rFonts w:cs="宋体"/>
                <w:color w:val="000000"/>
                <w:kern w:val="0"/>
                <w:sz w:val="22"/>
              </w:rPr>
              <w:br w:type="textWrapping"/>
            </w:r>
            <w:r>
              <w:rPr>
                <w:rFonts w:cs="宋体"/>
                <w:color w:val="000000"/>
                <w:kern w:val="0"/>
                <w:sz w:val="22"/>
              </w:rPr>
              <w:t>10、信号发生器：内置白噪、粉噪、正弦波3种测试信号源</w:t>
            </w:r>
            <w:r>
              <w:rPr>
                <w:rFonts w:cs="宋体"/>
                <w:color w:val="000000"/>
                <w:kern w:val="0"/>
                <w:sz w:val="22"/>
              </w:rPr>
              <w:br w:type="textWrapping"/>
            </w:r>
            <w:r>
              <w:rPr>
                <w:rFonts w:cs="宋体"/>
                <w:color w:val="000000"/>
                <w:kern w:val="0"/>
                <w:sz w:val="22"/>
              </w:rPr>
              <w:t>11、场景模式和电平条：内置≥32种场景模式，支持在线显示实时音量，具备峰值(黄色刻度)、平均值(蓝色刻度)两种显示</w:t>
            </w:r>
            <w:r>
              <w:rPr>
                <w:rFonts w:cs="宋体"/>
                <w:color w:val="000000"/>
                <w:kern w:val="0"/>
                <w:sz w:val="22"/>
              </w:rPr>
              <w:br w:type="textWrapping"/>
            </w:r>
            <w:r>
              <w:rPr>
                <w:rFonts w:cs="宋体"/>
                <w:color w:val="000000"/>
                <w:kern w:val="0"/>
                <w:sz w:val="22"/>
              </w:rPr>
              <w:t>12、平台管理：支持网络音频系统运维管理平台管理，具有系统配置、设备控制、参数调节、算法应用、音频调试等功能</w:t>
            </w:r>
            <w:r>
              <w:rPr>
                <w:rFonts w:cs="宋体"/>
                <w:color w:val="000000"/>
                <w:kern w:val="0"/>
                <w:sz w:val="22"/>
              </w:rPr>
              <w:br w:type="textWrapping"/>
            </w:r>
            <w:r>
              <w:rPr>
                <w:rFonts w:cs="宋体"/>
                <w:color w:val="000000"/>
                <w:kern w:val="0"/>
                <w:sz w:val="22"/>
              </w:rPr>
              <w:t>13、识别定位：支持音箱状态实时显示，一键设备识别，设备定位功能</w:t>
            </w:r>
          </w:p>
        </w:tc>
        <w:tc>
          <w:tcPr>
            <w:tcW w:w="216" w:type="pct"/>
            <w:tcBorders>
              <w:top w:val="nil"/>
              <w:left w:val="nil"/>
              <w:bottom w:val="single" w:color="auto" w:sz="4" w:space="0"/>
              <w:right w:val="single" w:color="auto" w:sz="4" w:space="0"/>
            </w:tcBorders>
            <w:noWrap/>
            <w:vAlign w:val="center"/>
          </w:tcPr>
          <w:p w14:paraId="7E16B6DA">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noWrap/>
            <w:vAlign w:val="center"/>
          </w:tcPr>
          <w:p w14:paraId="4871D4DD">
            <w:pPr>
              <w:widowControl/>
              <w:spacing w:line="240" w:lineRule="auto"/>
              <w:jc w:val="center"/>
              <w:rPr>
                <w:rFonts w:hint="eastAsia" w:cs="宋体"/>
                <w:color w:val="000000"/>
                <w:kern w:val="0"/>
                <w:sz w:val="22"/>
              </w:rPr>
            </w:pPr>
            <w:r>
              <w:rPr>
                <w:rFonts w:cs="宋体"/>
                <w:color w:val="000000"/>
                <w:kern w:val="0"/>
                <w:sz w:val="22"/>
              </w:rPr>
              <w:t>4</w:t>
            </w:r>
          </w:p>
        </w:tc>
      </w:tr>
      <w:tr w14:paraId="78CDC06B">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620B453B">
            <w:pPr>
              <w:widowControl/>
              <w:spacing w:line="240" w:lineRule="auto"/>
              <w:jc w:val="center"/>
              <w:rPr>
                <w:rFonts w:hint="eastAsia" w:cs="宋体"/>
                <w:color w:val="000000"/>
                <w:kern w:val="0"/>
                <w:sz w:val="22"/>
              </w:rPr>
            </w:pPr>
            <w:r>
              <w:rPr>
                <w:rFonts w:cs="宋体"/>
                <w:color w:val="000000"/>
                <w:kern w:val="0"/>
                <w:sz w:val="22"/>
              </w:rPr>
              <w:t>30</w:t>
            </w:r>
          </w:p>
        </w:tc>
        <w:tc>
          <w:tcPr>
            <w:tcW w:w="152" w:type="pct"/>
            <w:vMerge w:val="continue"/>
            <w:tcBorders>
              <w:top w:val="nil"/>
              <w:left w:val="single" w:color="auto" w:sz="4" w:space="0"/>
              <w:bottom w:val="single" w:color="000000" w:sz="4" w:space="0"/>
              <w:right w:val="single" w:color="auto" w:sz="4" w:space="0"/>
            </w:tcBorders>
            <w:vAlign w:val="center"/>
          </w:tcPr>
          <w:p w14:paraId="656BC99D">
            <w:pPr>
              <w:widowControl/>
              <w:spacing w:line="240" w:lineRule="auto"/>
              <w:rPr>
                <w:rFonts w:hint="eastAsia" w:cs="宋体"/>
                <w:color w:val="000000"/>
                <w:kern w:val="0"/>
                <w:sz w:val="22"/>
              </w:rPr>
            </w:pPr>
          </w:p>
        </w:tc>
        <w:tc>
          <w:tcPr>
            <w:tcW w:w="331" w:type="pct"/>
            <w:vMerge w:val="restart"/>
            <w:tcBorders>
              <w:top w:val="nil"/>
              <w:left w:val="single" w:color="auto" w:sz="4" w:space="0"/>
              <w:bottom w:val="single" w:color="000000" w:sz="4" w:space="0"/>
              <w:right w:val="single" w:color="auto" w:sz="4" w:space="0"/>
            </w:tcBorders>
            <w:noWrap/>
            <w:vAlign w:val="center"/>
          </w:tcPr>
          <w:p w14:paraId="73227C6D">
            <w:pPr>
              <w:widowControl/>
              <w:spacing w:line="240" w:lineRule="auto"/>
              <w:jc w:val="center"/>
              <w:rPr>
                <w:rFonts w:hint="eastAsia" w:cs="宋体"/>
                <w:color w:val="000000"/>
                <w:kern w:val="0"/>
                <w:sz w:val="22"/>
              </w:rPr>
            </w:pPr>
            <w:r>
              <w:rPr>
                <w:rFonts w:cs="宋体"/>
                <w:color w:val="000000"/>
                <w:kern w:val="0"/>
                <w:sz w:val="22"/>
              </w:rPr>
              <w:t>分布式</w:t>
            </w:r>
          </w:p>
        </w:tc>
        <w:tc>
          <w:tcPr>
            <w:tcW w:w="202" w:type="pct"/>
            <w:tcBorders>
              <w:top w:val="nil"/>
              <w:left w:val="nil"/>
              <w:bottom w:val="single" w:color="auto" w:sz="4" w:space="0"/>
              <w:right w:val="single" w:color="auto" w:sz="4" w:space="0"/>
            </w:tcBorders>
            <w:vAlign w:val="center"/>
          </w:tcPr>
          <w:p w14:paraId="0D0C4D20">
            <w:pPr>
              <w:widowControl/>
              <w:spacing w:line="240" w:lineRule="auto"/>
              <w:rPr>
                <w:rFonts w:hint="eastAsia" w:cs="宋体"/>
                <w:color w:val="000000"/>
                <w:kern w:val="0"/>
                <w:sz w:val="22"/>
              </w:rPr>
            </w:pPr>
            <w:r>
              <w:rPr>
                <w:rFonts w:cs="宋体"/>
                <w:color w:val="000000"/>
                <w:kern w:val="0"/>
                <w:sz w:val="22"/>
              </w:rPr>
              <w:t>分布式中控主机</w:t>
            </w:r>
          </w:p>
        </w:tc>
        <w:tc>
          <w:tcPr>
            <w:tcW w:w="3643" w:type="pct"/>
            <w:tcBorders>
              <w:top w:val="nil"/>
              <w:left w:val="nil"/>
              <w:bottom w:val="single" w:color="auto" w:sz="4" w:space="0"/>
              <w:right w:val="single" w:color="auto" w:sz="4" w:space="0"/>
            </w:tcBorders>
            <w:vAlign w:val="center"/>
          </w:tcPr>
          <w:p w14:paraId="2BF76AEA">
            <w:pPr>
              <w:widowControl/>
              <w:spacing w:line="240" w:lineRule="auto"/>
              <w:rPr>
                <w:rFonts w:hint="eastAsia" w:cs="宋体"/>
                <w:color w:val="000000"/>
                <w:kern w:val="0"/>
                <w:sz w:val="22"/>
              </w:rPr>
            </w:pPr>
            <w:r>
              <w:rPr>
                <w:rFonts w:cs="宋体"/>
                <w:color w:val="000000"/>
                <w:kern w:val="0"/>
                <w:sz w:val="22"/>
              </w:rPr>
              <w:t>硬件参数</w:t>
            </w:r>
            <w:r>
              <w:rPr>
                <w:rFonts w:cs="宋体"/>
                <w:color w:val="000000"/>
                <w:kern w:val="0"/>
                <w:sz w:val="22"/>
              </w:rPr>
              <w:br w:type="textWrapping"/>
            </w:r>
            <w:r>
              <w:rPr>
                <w:rFonts w:cs="宋体"/>
                <w:color w:val="000000"/>
                <w:kern w:val="0"/>
                <w:sz w:val="22"/>
              </w:rPr>
              <w:t>1.采用处理器配置≥64位4核、主频≥1.5GHz。</w:t>
            </w:r>
            <w:r>
              <w:rPr>
                <w:rFonts w:cs="宋体"/>
                <w:color w:val="000000"/>
                <w:kern w:val="0"/>
                <w:sz w:val="22"/>
              </w:rPr>
              <w:br w:type="textWrapping"/>
            </w:r>
            <w:r>
              <w:rPr>
                <w:rFonts w:cs="宋体"/>
                <w:color w:val="000000"/>
                <w:kern w:val="0"/>
                <w:sz w:val="22"/>
              </w:rPr>
              <w:t>2.具备≥两个千兆网口；</w:t>
            </w:r>
            <w:r>
              <w:rPr>
                <w:rFonts w:cs="宋体"/>
                <w:color w:val="000000"/>
                <w:kern w:val="0"/>
                <w:sz w:val="22"/>
              </w:rPr>
              <w:br w:type="textWrapping"/>
            </w:r>
            <w:r>
              <w:rPr>
                <w:rFonts w:cs="宋体"/>
                <w:color w:val="000000"/>
                <w:kern w:val="0"/>
                <w:sz w:val="22"/>
              </w:rPr>
              <w:t>3.支持对大屏、投影、一体机等设备的电源控制；</w:t>
            </w:r>
            <w:r>
              <w:rPr>
                <w:rFonts w:cs="宋体"/>
                <w:color w:val="000000"/>
                <w:kern w:val="0"/>
                <w:sz w:val="22"/>
              </w:rPr>
              <w:br w:type="textWrapping"/>
            </w:r>
            <w:r>
              <w:rPr>
                <w:rFonts w:cs="宋体"/>
                <w:color w:val="000000"/>
                <w:kern w:val="0"/>
                <w:sz w:val="22"/>
              </w:rPr>
              <w:t>4.支持大屏拼接控制，实时对视频窗口的放大、缩小、移动、关闭，还可以在触摸屏实现回显，预览内容和大屏内容同步，含配套红外学习和发射；</w:t>
            </w:r>
            <w:r>
              <w:rPr>
                <w:rFonts w:cs="宋体"/>
                <w:color w:val="000000"/>
                <w:kern w:val="0"/>
                <w:sz w:val="22"/>
              </w:rPr>
              <w:br w:type="textWrapping"/>
            </w:r>
            <w:r>
              <w:rPr>
                <w:rFonts w:cs="宋体"/>
                <w:color w:val="000000"/>
                <w:kern w:val="0"/>
                <w:sz w:val="22"/>
              </w:rPr>
              <w:t>5.可分配不同权限，设置不同登录帐号，具备≥双向反馈功能；</w:t>
            </w:r>
            <w:r>
              <w:rPr>
                <w:rFonts w:cs="宋体"/>
                <w:color w:val="000000"/>
                <w:kern w:val="0"/>
                <w:sz w:val="22"/>
              </w:rPr>
              <w:br w:type="textWrapping"/>
            </w:r>
            <w:r>
              <w:rPr>
                <w:rFonts w:cs="宋体"/>
                <w:color w:val="000000"/>
                <w:kern w:val="0"/>
                <w:sz w:val="22"/>
              </w:rPr>
              <w:t>6.支持第三方设备的多样化控制，主机支持≥2路千兆网口，≥10路RS232，≥10路RS485/RS422（支持Modbus协议），≥8路IR（内嵌智能红外学习功能模块），≥8路弱继电器，≥8个输入输出I/O接口，≥4个模拟量输入接口，≥1个模拟量输出接口，≥1个DMX512灯光控制接口，带DC24V@1.1A输出，支持对接第三方设备；</w:t>
            </w:r>
            <w:r>
              <w:rPr>
                <w:rFonts w:cs="宋体"/>
                <w:color w:val="000000"/>
                <w:kern w:val="0"/>
                <w:sz w:val="22"/>
              </w:rPr>
              <w:br w:type="textWrapping"/>
            </w:r>
            <w:r>
              <w:rPr>
                <w:rFonts w:cs="宋体"/>
                <w:color w:val="000000"/>
                <w:kern w:val="0"/>
                <w:sz w:val="22"/>
              </w:rPr>
              <w:t>功能</w:t>
            </w:r>
            <w:r>
              <w:rPr>
                <w:rFonts w:cs="宋体"/>
                <w:color w:val="000000"/>
                <w:kern w:val="0"/>
                <w:sz w:val="22"/>
              </w:rPr>
              <w:br w:type="textWrapping"/>
            </w:r>
            <w:r>
              <w:rPr>
                <w:rFonts w:cs="宋体"/>
                <w:color w:val="000000"/>
                <w:kern w:val="0"/>
                <w:sz w:val="22"/>
              </w:rPr>
              <w:t>1.支持布局切换功能；</w:t>
            </w:r>
            <w:r>
              <w:rPr>
                <w:rFonts w:cs="宋体"/>
                <w:color w:val="000000"/>
                <w:kern w:val="0"/>
                <w:sz w:val="22"/>
              </w:rPr>
              <w:br w:type="textWrapping"/>
            </w:r>
            <w:r>
              <w:rPr>
                <w:rFonts w:cs="宋体"/>
                <w:color w:val="000000"/>
                <w:kern w:val="0"/>
                <w:sz w:val="22"/>
              </w:rPr>
              <w:t>2.支持信号源可视化预览，实时显示输入盒信号源图像，支持搜索信号源；</w:t>
            </w:r>
            <w:r>
              <w:rPr>
                <w:rFonts w:cs="宋体"/>
                <w:color w:val="000000"/>
                <w:kern w:val="0"/>
                <w:sz w:val="22"/>
              </w:rPr>
              <w:br w:type="textWrapping"/>
            </w:r>
            <w:r>
              <w:rPr>
                <w:rFonts w:cs="宋体"/>
                <w:color w:val="000000"/>
                <w:kern w:val="0"/>
                <w:sz w:val="22"/>
              </w:rPr>
              <w:t>3.支持分组显示拼墙列表，选中拼墙时，自动回显该拼墙的画面内容，可拼墙进行调整画面布局、开窗、关窗、切换场景、锁定或解锁布局等操作，开窗模式支持自由模式、固化模式、两点模式；</w:t>
            </w:r>
            <w:r>
              <w:rPr>
                <w:rFonts w:cs="宋体"/>
                <w:color w:val="000000"/>
                <w:kern w:val="0"/>
                <w:sz w:val="22"/>
              </w:rPr>
              <w:br w:type="textWrapping"/>
            </w:r>
            <w:r>
              <w:rPr>
                <w:rFonts w:cs="宋体"/>
                <w:color w:val="000000"/>
                <w:kern w:val="0"/>
                <w:sz w:val="22"/>
              </w:rPr>
              <w:t>4.支持自由操控，支持拖曳视频源到显示控制区域，可实现所有视频信号源的视窗管理、拼接、任意缩放、画中画、画面漫游等功能，可实现对视窗参数的调整（叠加关系、位置、大小、比例等），可打开或关闭拼墙回显视频画面，支持调整拼墙声音输出的音量大小；</w:t>
            </w:r>
            <w:r>
              <w:rPr>
                <w:rFonts w:cs="宋体"/>
                <w:color w:val="000000"/>
                <w:kern w:val="0"/>
                <w:sz w:val="22"/>
              </w:rPr>
              <w:br w:type="textWrapping"/>
            </w:r>
            <w:r>
              <w:rPr>
                <w:rFonts w:cs="宋体"/>
                <w:color w:val="000000"/>
                <w:kern w:val="0"/>
                <w:sz w:val="22"/>
              </w:rPr>
              <w:t>5.支持中控功能，切换拼墙后自动显示改拼墙的中控界面，可实现高清矩阵信号切换、电源设备开关、摄像头的转动方向放大缩小等中控功能；</w:t>
            </w:r>
            <w:r>
              <w:rPr>
                <w:rFonts w:cs="宋体"/>
                <w:color w:val="000000"/>
                <w:kern w:val="0"/>
                <w:sz w:val="22"/>
              </w:rPr>
              <w:br w:type="textWrapping"/>
            </w:r>
            <w:r>
              <w:rPr>
                <w:rFonts w:cs="宋体"/>
                <w:color w:val="000000"/>
                <w:kern w:val="0"/>
                <w:sz w:val="22"/>
              </w:rPr>
              <w:t>6.支持显示系统全局预案，点击即可执行全局预案；</w:t>
            </w:r>
          </w:p>
        </w:tc>
        <w:tc>
          <w:tcPr>
            <w:tcW w:w="216" w:type="pct"/>
            <w:tcBorders>
              <w:top w:val="nil"/>
              <w:left w:val="nil"/>
              <w:bottom w:val="single" w:color="auto" w:sz="4" w:space="0"/>
              <w:right w:val="single" w:color="auto" w:sz="4" w:space="0"/>
            </w:tcBorders>
            <w:noWrap/>
            <w:vAlign w:val="center"/>
          </w:tcPr>
          <w:p w14:paraId="4DCD65E1">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5BCA3E88">
            <w:pPr>
              <w:widowControl/>
              <w:spacing w:line="240" w:lineRule="auto"/>
              <w:jc w:val="center"/>
              <w:rPr>
                <w:rFonts w:hint="eastAsia" w:cs="宋体"/>
                <w:color w:val="000000"/>
                <w:kern w:val="0"/>
                <w:sz w:val="22"/>
              </w:rPr>
            </w:pPr>
            <w:r>
              <w:rPr>
                <w:rFonts w:cs="宋体"/>
                <w:color w:val="000000"/>
                <w:kern w:val="0"/>
                <w:sz w:val="22"/>
              </w:rPr>
              <w:t>1</w:t>
            </w:r>
          </w:p>
        </w:tc>
      </w:tr>
      <w:tr w14:paraId="417C5593">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85BC0FC">
            <w:pPr>
              <w:widowControl/>
              <w:spacing w:line="240" w:lineRule="auto"/>
              <w:jc w:val="center"/>
              <w:rPr>
                <w:rFonts w:hint="eastAsia" w:cs="宋体"/>
                <w:color w:val="000000"/>
                <w:kern w:val="0"/>
                <w:sz w:val="22"/>
              </w:rPr>
            </w:pPr>
            <w:r>
              <w:rPr>
                <w:rFonts w:cs="宋体"/>
                <w:color w:val="000000"/>
                <w:kern w:val="0"/>
                <w:sz w:val="22"/>
              </w:rPr>
              <w:t>31</w:t>
            </w:r>
          </w:p>
        </w:tc>
        <w:tc>
          <w:tcPr>
            <w:tcW w:w="152" w:type="pct"/>
            <w:vMerge w:val="continue"/>
            <w:tcBorders>
              <w:top w:val="nil"/>
              <w:left w:val="single" w:color="auto" w:sz="4" w:space="0"/>
              <w:bottom w:val="single" w:color="000000" w:sz="4" w:space="0"/>
              <w:right w:val="single" w:color="auto" w:sz="4" w:space="0"/>
            </w:tcBorders>
            <w:vAlign w:val="center"/>
          </w:tcPr>
          <w:p w14:paraId="43073D9E">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7D3A779">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DCC94F6">
            <w:pPr>
              <w:widowControl/>
              <w:spacing w:line="240" w:lineRule="auto"/>
              <w:rPr>
                <w:rFonts w:hint="eastAsia" w:cs="宋体"/>
                <w:color w:val="000000"/>
                <w:kern w:val="0"/>
                <w:sz w:val="22"/>
              </w:rPr>
            </w:pPr>
            <w:r>
              <w:rPr>
                <w:rFonts w:cs="宋体"/>
                <w:color w:val="000000"/>
                <w:kern w:val="0"/>
                <w:sz w:val="22"/>
              </w:rPr>
              <w:t>分布式节点</w:t>
            </w:r>
          </w:p>
        </w:tc>
        <w:tc>
          <w:tcPr>
            <w:tcW w:w="3643" w:type="pct"/>
            <w:tcBorders>
              <w:top w:val="nil"/>
              <w:left w:val="nil"/>
              <w:bottom w:val="single" w:color="auto" w:sz="4" w:space="0"/>
              <w:right w:val="single" w:color="auto" w:sz="4" w:space="0"/>
            </w:tcBorders>
            <w:vAlign w:val="center"/>
          </w:tcPr>
          <w:p w14:paraId="0C7B9090">
            <w:pPr>
              <w:widowControl/>
              <w:spacing w:line="240" w:lineRule="auto"/>
              <w:rPr>
                <w:rFonts w:hint="eastAsia" w:cs="宋体"/>
                <w:color w:val="000000"/>
                <w:kern w:val="0"/>
                <w:sz w:val="22"/>
              </w:rPr>
            </w:pPr>
            <w:r>
              <w:rPr>
                <w:rFonts w:cs="宋体"/>
                <w:color w:val="000000"/>
                <w:kern w:val="0"/>
                <w:sz w:val="22"/>
              </w:rPr>
              <w:t>1.终端采用国产芯片、采用输入输出一体化设计，根据需求可任意配置为输入终端、输出终端、KVM输入终端或KVM输出终端。</w:t>
            </w:r>
            <w:r>
              <w:rPr>
                <w:rFonts w:cs="宋体"/>
                <w:color w:val="000000"/>
                <w:kern w:val="0"/>
                <w:sz w:val="22"/>
              </w:rPr>
              <w:br w:type="textWrapping"/>
            </w:r>
            <w:r>
              <w:rPr>
                <w:rFonts w:cs="宋体"/>
                <w:color w:val="000000"/>
                <w:kern w:val="0"/>
                <w:sz w:val="22"/>
              </w:rPr>
              <w:t>2.支持国密算法SM2、SM3、SM4对信令和媒体流进行加密传输。</w:t>
            </w:r>
            <w:r>
              <w:rPr>
                <w:rFonts w:cs="宋体"/>
                <w:color w:val="000000"/>
                <w:kern w:val="0"/>
                <w:sz w:val="22"/>
              </w:rPr>
              <w:br w:type="textWrapping"/>
            </w:r>
            <w:r>
              <w:rPr>
                <w:rFonts w:cs="宋体"/>
                <w:color w:val="000000"/>
                <w:kern w:val="0"/>
                <w:sz w:val="22"/>
              </w:rPr>
              <w:t>3.作为输入节点时，支持≥4K@60fps高清视频信号输入并向下兼容，4K输入可同时兼容4K及2K输出终端；作为输出节点时，支持≥2路4K@60或≥8路1080P@60fps的H.264/H.265解码显示，具备画面平铺、缩放、叠加、分割功能。</w:t>
            </w:r>
            <w:r>
              <w:rPr>
                <w:rFonts w:cs="宋体"/>
                <w:color w:val="000000"/>
                <w:kern w:val="0"/>
                <w:sz w:val="22"/>
              </w:rPr>
              <w:br w:type="textWrapping"/>
            </w:r>
            <w:r>
              <w:rPr>
                <w:rFonts w:cs="宋体"/>
                <w:color w:val="000000"/>
                <w:kern w:val="0"/>
                <w:sz w:val="22"/>
              </w:rPr>
              <w:t>4.具有≥1路HDMI视频输入接口、≥1路HDMI视频输出接口、≥1路DP视频输出接口，以及≥2路网口、≥1路光纤接口。</w:t>
            </w:r>
            <w:r>
              <w:rPr>
                <w:rFonts w:cs="宋体"/>
                <w:color w:val="000000"/>
                <w:kern w:val="0"/>
                <w:sz w:val="22"/>
              </w:rPr>
              <w:br w:type="textWrapping"/>
            </w:r>
            <w:r>
              <w:rPr>
                <w:rFonts w:cs="宋体"/>
                <w:color w:val="000000"/>
                <w:kern w:val="0"/>
                <w:sz w:val="22"/>
              </w:rPr>
              <w:t>5.视频信号经过采集、编码、传输、解码、显示后，与原始图像对比延迟≤30ms。</w:t>
            </w:r>
            <w:r>
              <w:rPr>
                <w:rFonts w:cs="宋体"/>
                <w:color w:val="000000"/>
                <w:kern w:val="0"/>
                <w:sz w:val="22"/>
              </w:rPr>
              <w:br w:type="textWrapping"/>
            </w:r>
            <w:r>
              <w:rPr>
                <w:rFonts w:cs="宋体"/>
                <w:color w:val="000000"/>
                <w:kern w:val="0"/>
                <w:sz w:val="22"/>
              </w:rPr>
              <w:t>6.具备中控功能，具备独立的RS-485口、RS-232口、弱继电器口、IO口输出接口，支持自定义编程。</w:t>
            </w:r>
            <w:r>
              <w:rPr>
                <w:rFonts w:cs="宋体"/>
                <w:color w:val="000000"/>
                <w:kern w:val="0"/>
                <w:sz w:val="22"/>
              </w:rPr>
              <w:br w:type="textWrapping"/>
            </w:r>
            <w:r>
              <w:rPr>
                <w:rFonts w:cs="宋体"/>
                <w:color w:val="000000"/>
                <w:kern w:val="0"/>
                <w:sz w:val="22"/>
              </w:rPr>
              <w:t>▲7.支持网络丢包时修复机制，20%网络丢包时，音视频清晰流畅，无卡顿、无马赛克。（投标人需提供第三方权威机构检测报告证明）</w:t>
            </w:r>
            <w:r>
              <w:rPr>
                <w:rFonts w:cs="宋体"/>
                <w:color w:val="000000"/>
                <w:kern w:val="0"/>
                <w:sz w:val="22"/>
              </w:rPr>
              <w:br w:type="textWrapping"/>
            </w:r>
            <w:r>
              <w:rPr>
                <w:rFonts w:cs="宋体"/>
                <w:color w:val="000000"/>
                <w:kern w:val="0"/>
                <w:sz w:val="22"/>
              </w:rPr>
              <w:t>8.支持节点与节点之间可用网线串联，实现设备间通信。</w:t>
            </w:r>
            <w:r>
              <w:rPr>
                <w:rFonts w:cs="宋体"/>
                <w:color w:val="000000"/>
                <w:kern w:val="0"/>
                <w:sz w:val="22"/>
              </w:rPr>
              <w:br w:type="textWrapping"/>
            </w:r>
            <w:r>
              <w:rPr>
                <w:rFonts w:cs="宋体"/>
                <w:color w:val="000000"/>
                <w:kern w:val="0"/>
                <w:sz w:val="22"/>
              </w:rPr>
              <w:t>9.支持信号双网口备份功能，可通过≥2路网口实现当主链路传输异常时，自动切换至备链路传输，显示图像不受影响；当主链路恢复时，自动切换回主链路传输，切换过程用户无操作、无黑场。</w:t>
            </w:r>
            <w:r>
              <w:rPr>
                <w:rFonts w:cs="宋体"/>
                <w:color w:val="000000"/>
                <w:kern w:val="0"/>
                <w:sz w:val="22"/>
              </w:rPr>
              <w:br w:type="textWrapping"/>
            </w:r>
            <w:r>
              <w:rPr>
                <w:rFonts w:cs="宋体"/>
                <w:color w:val="000000"/>
                <w:kern w:val="0"/>
                <w:sz w:val="22"/>
              </w:rPr>
              <w:t>10.支持信号光网备份功能，可通过≥1路光口和1路网口实现当网络链路传输异常时，自动切换至光链路传输，显示图像不受影响；当网络链路恢复时，自动切换回网络链路传输，切换过程用户无操作、无黑场。</w:t>
            </w:r>
          </w:p>
        </w:tc>
        <w:tc>
          <w:tcPr>
            <w:tcW w:w="216" w:type="pct"/>
            <w:tcBorders>
              <w:top w:val="nil"/>
              <w:left w:val="nil"/>
              <w:bottom w:val="single" w:color="auto" w:sz="4" w:space="0"/>
              <w:right w:val="single" w:color="auto" w:sz="4" w:space="0"/>
            </w:tcBorders>
            <w:noWrap/>
            <w:vAlign w:val="center"/>
          </w:tcPr>
          <w:p w14:paraId="7B65AD11">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06AD4D54">
            <w:pPr>
              <w:widowControl/>
              <w:spacing w:line="240" w:lineRule="auto"/>
              <w:jc w:val="center"/>
              <w:rPr>
                <w:rFonts w:hint="eastAsia" w:cs="宋体"/>
                <w:color w:val="000000"/>
                <w:kern w:val="0"/>
                <w:sz w:val="22"/>
              </w:rPr>
            </w:pPr>
            <w:r>
              <w:rPr>
                <w:rFonts w:cs="宋体"/>
                <w:color w:val="000000"/>
                <w:kern w:val="0"/>
                <w:sz w:val="22"/>
              </w:rPr>
              <w:t>20</w:t>
            </w:r>
          </w:p>
        </w:tc>
      </w:tr>
      <w:tr w14:paraId="5A74D089">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9EBBBDF">
            <w:pPr>
              <w:widowControl/>
              <w:spacing w:line="240" w:lineRule="auto"/>
              <w:jc w:val="center"/>
              <w:rPr>
                <w:rFonts w:hint="eastAsia" w:cs="宋体"/>
                <w:color w:val="000000"/>
                <w:kern w:val="0"/>
                <w:sz w:val="22"/>
              </w:rPr>
            </w:pPr>
            <w:r>
              <w:rPr>
                <w:rFonts w:cs="宋体"/>
                <w:color w:val="000000"/>
                <w:kern w:val="0"/>
                <w:sz w:val="22"/>
              </w:rPr>
              <w:t>32</w:t>
            </w:r>
          </w:p>
        </w:tc>
        <w:tc>
          <w:tcPr>
            <w:tcW w:w="152" w:type="pct"/>
            <w:vMerge w:val="continue"/>
            <w:tcBorders>
              <w:top w:val="nil"/>
              <w:left w:val="single" w:color="auto" w:sz="4" w:space="0"/>
              <w:bottom w:val="single" w:color="000000" w:sz="4" w:space="0"/>
              <w:right w:val="single" w:color="auto" w:sz="4" w:space="0"/>
            </w:tcBorders>
            <w:vAlign w:val="center"/>
          </w:tcPr>
          <w:p w14:paraId="43934130">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338ACDA">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304BD594">
            <w:pPr>
              <w:widowControl/>
              <w:spacing w:line="240" w:lineRule="auto"/>
              <w:rPr>
                <w:rFonts w:hint="eastAsia" w:cs="宋体"/>
                <w:color w:val="000000"/>
                <w:kern w:val="0"/>
                <w:sz w:val="22"/>
              </w:rPr>
            </w:pPr>
            <w:r>
              <w:rPr>
                <w:rFonts w:cs="宋体"/>
                <w:color w:val="000000"/>
                <w:kern w:val="0"/>
                <w:sz w:val="22"/>
              </w:rPr>
              <w:t>8位散热机架</w:t>
            </w:r>
          </w:p>
        </w:tc>
        <w:tc>
          <w:tcPr>
            <w:tcW w:w="3643" w:type="pct"/>
            <w:tcBorders>
              <w:top w:val="nil"/>
              <w:left w:val="nil"/>
              <w:bottom w:val="single" w:color="auto" w:sz="4" w:space="0"/>
              <w:right w:val="single" w:color="auto" w:sz="4" w:space="0"/>
            </w:tcBorders>
            <w:vAlign w:val="center"/>
          </w:tcPr>
          <w:p w14:paraId="684D52F3">
            <w:pPr>
              <w:widowControl/>
              <w:spacing w:line="240" w:lineRule="auto"/>
              <w:rPr>
                <w:rFonts w:hint="eastAsia" w:cs="宋体"/>
                <w:color w:val="000000"/>
                <w:kern w:val="0"/>
                <w:sz w:val="22"/>
              </w:rPr>
            </w:pPr>
            <w:r>
              <w:rPr>
                <w:rFonts w:cs="宋体"/>
                <w:color w:val="000000"/>
                <w:kern w:val="0"/>
                <w:sz w:val="22"/>
              </w:rPr>
              <w:t>1.供电输入：110-240V 50-60Hz，具备8路DC12V@1.5A电源输出接口。</w:t>
            </w:r>
            <w:r>
              <w:rPr>
                <w:rFonts w:cs="宋体"/>
                <w:color w:val="000000"/>
                <w:kern w:val="0"/>
                <w:sz w:val="22"/>
              </w:rPr>
              <w:br w:type="textWrapping"/>
            </w:r>
            <w:r>
              <w:rPr>
                <w:rFonts w:cs="宋体"/>
                <w:color w:val="000000"/>
                <w:kern w:val="0"/>
                <w:sz w:val="22"/>
              </w:rPr>
              <w:t>2.具备8个终端安装卡位。</w:t>
            </w:r>
            <w:r>
              <w:rPr>
                <w:rFonts w:cs="宋体"/>
                <w:color w:val="000000"/>
                <w:kern w:val="0"/>
                <w:sz w:val="22"/>
              </w:rPr>
              <w:br w:type="textWrapping"/>
            </w:r>
            <w:r>
              <w:rPr>
                <w:rFonts w:cs="宋体"/>
                <w:color w:val="000000"/>
                <w:kern w:val="0"/>
                <w:sz w:val="22"/>
              </w:rPr>
              <w:t>3.多风扇设计，良好散热，终端锁扣式固定方式。</w:t>
            </w:r>
          </w:p>
        </w:tc>
        <w:tc>
          <w:tcPr>
            <w:tcW w:w="216" w:type="pct"/>
            <w:tcBorders>
              <w:top w:val="nil"/>
              <w:left w:val="nil"/>
              <w:bottom w:val="single" w:color="auto" w:sz="4" w:space="0"/>
              <w:right w:val="single" w:color="auto" w:sz="4" w:space="0"/>
            </w:tcBorders>
            <w:noWrap/>
            <w:vAlign w:val="center"/>
          </w:tcPr>
          <w:p w14:paraId="7974305B">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79700B77">
            <w:pPr>
              <w:widowControl/>
              <w:spacing w:line="240" w:lineRule="auto"/>
              <w:jc w:val="center"/>
              <w:rPr>
                <w:rFonts w:hint="eastAsia" w:cs="宋体"/>
                <w:color w:val="000000"/>
                <w:kern w:val="0"/>
                <w:sz w:val="22"/>
              </w:rPr>
            </w:pPr>
            <w:r>
              <w:rPr>
                <w:rFonts w:cs="宋体"/>
                <w:color w:val="000000"/>
                <w:kern w:val="0"/>
                <w:sz w:val="22"/>
              </w:rPr>
              <w:t>2</w:t>
            </w:r>
          </w:p>
        </w:tc>
      </w:tr>
      <w:tr w14:paraId="088A05AC">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4E70FECC">
            <w:pPr>
              <w:widowControl/>
              <w:spacing w:line="240" w:lineRule="auto"/>
              <w:jc w:val="center"/>
              <w:rPr>
                <w:rFonts w:hint="eastAsia" w:cs="宋体"/>
                <w:color w:val="000000"/>
                <w:kern w:val="0"/>
                <w:sz w:val="22"/>
              </w:rPr>
            </w:pPr>
            <w:r>
              <w:rPr>
                <w:rFonts w:cs="宋体"/>
                <w:color w:val="000000"/>
                <w:kern w:val="0"/>
                <w:sz w:val="22"/>
              </w:rPr>
              <w:t>33</w:t>
            </w:r>
          </w:p>
        </w:tc>
        <w:tc>
          <w:tcPr>
            <w:tcW w:w="152" w:type="pct"/>
            <w:vMerge w:val="continue"/>
            <w:tcBorders>
              <w:top w:val="nil"/>
              <w:left w:val="single" w:color="auto" w:sz="4" w:space="0"/>
              <w:bottom w:val="single" w:color="000000" w:sz="4" w:space="0"/>
              <w:right w:val="single" w:color="auto" w:sz="4" w:space="0"/>
            </w:tcBorders>
            <w:vAlign w:val="center"/>
          </w:tcPr>
          <w:p w14:paraId="5FEBA895">
            <w:pPr>
              <w:widowControl/>
              <w:spacing w:line="240" w:lineRule="auto"/>
              <w:rPr>
                <w:rFonts w:hint="eastAsia" w:cs="宋体"/>
                <w:color w:val="000000"/>
                <w:kern w:val="0"/>
                <w:sz w:val="22"/>
              </w:rPr>
            </w:pPr>
          </w:p>
        </w:tc>
        <w:tc>
          <w:tcPr>
            <w:tcW w:w="331" w:type="pct"/>
            <w:tcBorders>
              <w:top w:val="nil"/>
              <w:left w:val="nil"/>
              <w:bottom w:val="single" w:color="auto" w:sz="4" w:space="0"/>
              <w:right w:val="single" w:color="auto" w:sz="4" w:space="0"/>
            </w:tcBorders>
            <w:noWrap/>
            <w:vAlign w:val="center"/>
          </w:tcPr>
          <w:p w14:paraId="6EAF391D">
            <w:pPr>
              <w:widowControl/>
              <w:spacing w:line="240" w:lineRule="auto"/>
              <w:jc w:val="center"/>
              <w:rPr>
                <w:rFonts w:hint="eastAsia" w:cs="宋体"/>
                <w:color w:val="000000"/>
                <w:kern w:val="0"/>
                <w:sz w:val="22"/>
              </w:rPr>
            </w:pPr>
            <w:r>
              <w:rPr>
                <w:rFonts w:cs="宋体"/>
                <w:color w:val="000000"/>
                <w:kern w:val="0"/>
                <w:sz w:val="22"/>
              </w:rPr>
              <w:t>交换机</w:t>
            </w:r>
          </w:p>
        </w:tc>
        <w:tc>
          <w:tcPr>
            <w:tcW w:w="202" w:type="pct"/>
            <w:tcBorders>
              <w:top w:val="nil"/>
              <w:left w:val="nil"/>
              <w:bottom w:val="single" w:color="auto" w:sz="4" w:space="0"/>
              <w:right w:val="single" w:color="auto" w:sz="4" w:space="0"/>
            </w:tcBorders>
            <w:vAlign w:val="center"/>
          </w:tcPr>
          <w:p w14:paraId="532EF755">
            <w:pPr>
              <w:widowControl/>
              <w:spacing w:line="240" w:lineRule="auto"/>
              <w:rPr>
                <w:rFonts w:hint="eastAsia" w:cs="宋体"/>
                <w:color w:val="000000"/>
                <w:kern w:val="0"/>
                <w:sz w:val="22"/>
              </w:rPr>
            </w:pPr>
            <w:r>
              <w:rPr>
                <w:rFonts w:cs="宋体"/>
                <w:color w:val="000000"/>
                <w:kern w:val="0"/>
                <w:sz w:val="22"/>
              </w:rPr>
              <w:t>24口交换机</w:t>
            </w:r>
          </w:p>
        </w:tc>
        <w:tc>
          <w:tcPr>
            <w:tcW w:w="3643" w:type="pct"/>
            <w:tcBorders>
              <w:top w:val="nil"/>
              <w:left w:val="nil"/>
              <w:bottom w:val="single" w:color="auto" w:sz="4" w:space="0"/>
              <w:right w:val="single" w:color="auto" w:sz="4" w:space="0"/>
            </w:tcBorders>
            <w:vAlign w:val="center"/>
          </w:tcPr>
          <w:p w14:paraId="4BD36400">
            <w:pPr>
              <w:widowControl/>
              <w:spacing w:line="240" w:lineRule="auto"/>
              <w:rPr>
                <w:rFonts w:hint="eastAsia" w:cs="宋体"/>
                <w:color w:val="000000"/>
                <w:kern w:val="0"/>
                <w:sz w:val="22"/>
              </w:rPr>
            </w:pPr>
            <w:r>
              <w:rPr>
                <w:rFonts w:cs="宋体"/>
                <w:color w:val="000000"/>
                <w:kern w:val="0"/>
                <w:sz w:val="22"/>
              </w:rPr>
              <w:t>端口配置</w:t>
            </w:r>
            <w:r>
              <w:rPr>
                <w:rFonts w:ascii="Times New Roman" w:hAnsi="Times New Roman" w:cs="Times New Roman"/>
                <w:color w:val="000000"/>
                <w:kern w:val="0"/>
                <w:sz w:val="22"/>
              </w:rPr>
              <w:t>‌</w:t>
            </w:r>
            <w:r>
              <w:rPr>
                <w:rFonts w:cs="宋体"/>
                <w:color w:val="000000"/>
                <w:kern w:val="0"/>
                <w:sz w:val="22"/>
              </w:rPr>
              <w:t>：24个10/100/1000BASE-T以太网电接口 + 4个10G SFP+光接口，共28个端口</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交换容量</w:t>
            </w:r>
            <w:r>
              <w:rPr>
                <w:rFonts w:ascii="Times New Roman" w:hAnsi="Times New Roman" w:cs="Times New Roman"/>
                <w:color w:val="000000"/>
                <w:kern w:val="0"/>
                <w:sz w:val="22"/>
              </w:rPr>
              <w:t>‌</w:t>
            </w:r>
            <w:r>
              <w:rPr>
                <w:rFonts w:cs="宋体"/>
                <w:color w:val="000000"/>
                <w:kern w:val="0"/>
                <w:sz w:val="22"/>
              </w:rPr>
              <w:t>：672Gbps / 6.72Tbps</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包转发率</w:t>
            </w:r>
            <w:r>
              <w:rPr>
                <w:rFonts w:ascii="Times New Roman" w:hAnsi="Times New Roman" w:cs="Times New Roman"/>
                <w:color w:val="000000"/>
                <w:kern w:val="0"/>
                <w:sz w:val="22"/>
              </w:rPr>
              <w:t>‌</w:t>
            </w:r>
            <w:r>
              <w:rPr>
                <w:rFonts w:cs="宋体"/>
                <w:color w:val="000000"/>
                <w:kern w:val="0"/>
                <w:sz w:val="22"/>
              </w:rPr>
              <w:t>：126Mpps</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MAC地址表</w:t>
            </w:r>
            <w:r>
              <w:rPr>
                <w:rFonts w:ascii="Times New Roman" w:hAnsi="Times New Roman" w:cs="Times New Roman"/>
                <w:color w:val="000000"/>
                <w:kern w:val="0"/>
                <w:sz w:val="22"/>
              </w:rPr>
              <w:t>‌</w:t>
            </w:r>
            <w:r>
              <w:rPr>
                <w:rFonts w:cs="宋体"/>
                <w:color w:val="000000"/>
                <w:kern w:val="0"/>
                <w:sz w:val="22"/>
              </w:rPr>
              <w:t>：16K</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堆叠支持</w:t>
            </w:r>
            <w:r>
              <w:rPr>
                <w:rFonts w:ascii="Times New Roman" w:hAnsi="Times New Roman" w:cs="Times New Roman"/>
                <w:color w:val="000000"/>
                <w:kern w:val="0"/>
                <w:sz w:val="22"/>
              </w:rPr>
              <w:t>‌</w:t>
            </w:r>
            <w:r>
              <w:rPr>
                <w:rFonts w:cs="宋体"/>
                <w:color w:val="000000"/>
                <w:kern w:val="0"/>
                <w:sz w:val="22"/>
              </w:rPr>
              <w:t>：支持iStack智能堆叠，可简化管理并提升链路冗余</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VLAN支持</w:t>
            </w:r>
            <w:r>
              <w:rPr>
                <w:rFonts w:ascii="Times New Roman" w:hAnsi="Times New Roman" w:cs="Times New Roman"/>
                <w:color w:val="000000"/>
                <w:kern w:val="0"/>
                <w:sz w:val="22"/>
              </w:rPr>
              <w:t>‌</w:t>
            </w:r>
            <w:r>
              <w:rPr>
                <w:rFonts w:cs="宋体"/>
                <w:color w:val="000000"/>
                <w:kern w:val="0"/>
                <w:sz w:val="22"/>
              </w:rPr>
              <w:t>：支持4K VLAN、Voice VLAN、MUX VLAN、VLAN Stacking与Mapping</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QoS功能</w:t>
            </w:r>
            <w:r>
              <w:rPr>
                <w:rFonts w:ascii="Times New Roman" w:hAnsi="Times New Roman" w:cs="Times New Roman"/>
                <w:color w:val="000000"/>
                <w:kern w:val="0"/>
                <w:sz w:val="22"/>
              </w:rPr>
              <w:t>‌</w:t>
            </w:r>
            <w:r>
              <w:rPr>
                <w:rFonts w:cs="宋体"/>
                <w:color w:val="000000"/>
                <w:kern w:val="0"/>
                <w:sz w:val="22"/>
              </w:rPr>
              <w:t>：支持基于端口的流量监管、双速三色CAR、8个队列调度（DRR/SP/DRR+SP）、优先级重标记等</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组播管理</w:t>
            </w:r>
            <w:r>
              <w:rPr>
                <w:rFonts w:ascii="Times New Roman" w:hAnsi="Times New Roman" w:cs="Times New Roman"/>
                <w:color w:val="000000"/>
                <w:kern w:val="0"/>
                <w:sz w:val="22"/>
              </w:rPr>
              <w:t>‌</w:t>
            </w:r>
            <w:r>
              <w:rPr>
                <w:rFonts w:cs="宋体"/>
                <w:color w:val="000000"/>
                <w:kern w:val="0"/>
                <w:sz w:val="22"/>
              </w:rPr>
              <w:t>：支持PIM DM/SM/SSM、IGMP v1/v2/v3 Snooping、MLD Snooping</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网络管理</w:t>
            </w:r>
            <w:r>
              <w:rPr>
                <w:rFonts w:ascii="Times New Roman" w:hAnsi="Times New Roman" w:cs="Times New Roman"/>
                <w:color w:val="000000"/>
                <w:kern w:val="0"/>
                <w:sz w:val="22"/>
              </w:rPr>
              <w:t>‌</w:t>
            </w:r>
            <w:r>
              <w:rPr>
                <w:rFonts w:cs="宋体"/>
                <w:color w:val="000000"/>
                <w:kern w:val="0"/>
                <w:sz w:val="22"/>
              </w:rPr>
              <w:t>：支持Netconf/Yang、SNMPv1/v2/v3、RMON、Telnet、Web网管、HTTPS、LLDP/LLDP-MED</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安全管理</w:t>
            </w:r>
            <w:r>
              <w:rPr>
                <w:rFonts w:ascii="Times New Roman" w:hAnsi="Times New Roman" w:cs="Times New Roman"/>
                <w:color w:val="000000"/>
                <w:kern w:val="0"/>
                <w:sz w:val="22"/>
              </w:rPr>
              <w:t>‌</w:t>
            </w:r>
            <w:r>
              <w:rPr>
                <w:rFonts w:cs="宋体"/>
                <w:color w:val="000000"/>
                <w:kern w:val="0"/>
                <w:sz w:val="22"/>
              </w:rPr>
              <w:t>：支持IEEE 802.1X认证、Portal认证、AAA认证（Radius/HWTACACS）、DHCP Snooping、防ARP攻击、CPU保护、黑白名单等</w:t>
            </w:r>
            <w:r>
              <w:rPr>
                <w:rFonts w:cs="宋体"/>
                <w:color w:val="000000"/>
                <w:kern w:val="0"/>
                <w:sz w:val="22"/>
              </w:rPr>
              <w:br w:type="textWrapping"/>
            </w:r>
            <w:r>
              <w:rPr>
                <w:rFonts w:cs="宋体"/>
                <w:color w:val="000000"/>
                <w:kern w:val="0"/>
                <w:sz w:val="22"/>
              </w:rPr>
              <w:t>工作温度</w:t>
            </w:r>
            <w:r>
              <w:rPr>
                <w:rFonts w:ascii="Times New Roman" w:hAnsi="Times New Roman" w:cs="Times New Roman"/>
                <w:color w:val="000000"/>
                <w:kern w:val="0"/>
                <w:sz w:val="22"/>
              </w:rPr>
              <w:t>‌</w:t>
            </w:r>
            <w:r>
              <w:rPr>
                <w:rFonts w:cs="宋体"/>
                <w:color w:val="000000"/>
                <w:kern w:val="0"/>
                <w:sz w:val="22"/>
              </w:rPr>
              <w:t>：-5°C 至 +45°C（海拔0~1800m）；海拔每升高220m，最高温度降低1°C</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防护等级</w:t>
            </w:r>
            <w:r>
              <w:rPr>
                <w:rFonts w:ascii="Times New Roman" w:hAnsi="Times New Roman" w:cs="Times New Roman"/>
                <w:color w:val="000000"/>
                <w:kern w:val="0"/>
                <w:sz w:val="22"/>
              </w:rPr>
              <w:t>‌</w:t>
            </w:r>
            <w:r>
              <w:rPr>
                <w:rFonts w:cs="宋体"/>
                <w:color w:val="000000"/>
                <w:kern w:val="0"/>
                <w:sz w:val="22"/>
              </w:rPr>
              <w:t>：IP20（防尘防水）</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电源防雷</w:t>
            </w:r>
            <w:r>
              <w:rPr>
                <w:rFonts w:ascii="Times New Roman" w:hAnsi="Times New Roman" w:cs="Times New Roman"/>
                <w:color w:val="000000"/>
                <w:kern w:val="0"/>
                <w:sz w:val="22"/>
              </w:rPr>
              <w:t>‌</w:t>
            </w:r>
            <w:r>
              <w:rPr>
                <w:rFonts w:cs="宋体"/>
                <w:color w:val="000000"/>
                <w:kern w:val="0"/>
                <w:sz w:val="22"/>
              </w:rPr>
              <w:t>：差模±6kV，共模±6kV</w:t>
            </w:r>
          </w:p>
        </w:tc>
        <w:tc>
          <w:tcPr>
            <w:tcW w:w="216" w:type="pct"/>
            <w:tcBorders>
              <w:top w:val="nil"/>
              <w:left w:val="nil"/>
              <w:bottom w:val="single" w:color="auto" w:sz="4" w:space="0"/>
              <w:right w:val="single" w:color="auto" w:sz="4" w:space="0"/>
            </w:tcBorders>
            <w:noWrap/>
            <w:vAlign w:val="center"/>
          </w:tcPr>
          <w:p w14:paraId="07B031F7">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0D797BAB">
            <w:pPr>
              <w:widowControl/>
              <w:spacing w:line="240" w:lineRule="auto"/>
              <w:jc w:val="center"/>
              <w:rPr>
                <w:rFonts w:hint="eastAsia" w:cs="宋体"/>
                <w:color w:val="000000"/>
                <w:kern w:val="0"/>
                <w:sz w:val="22"/>
              </w:rPr>
            </w:pPr>
            <w:r>
              <w:rPr>
                <w:rFonts w:cs="宋体"/>
                <w:color w:val="000000"/>
                <w:kern w:val="0"/>
                <w:sz w:val="22"/>
              </w:rPr>
              <w:t>2</w:t>
            </w:r>
          </w:p>
        </w:tc>
      </w:tr>
      <w:tr w14:paraId="14194C5C">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320853F4">
            <w:pPr>
              <w:widowControl/>
              <w:spacing w:line="240" w:lineRule="auto"/>
              <w:jc w:val="center"/>
              <w:rPr>
                <w:rFonts w:hint="eastAsia" w:cs="宋体"/>
                <w:color w:val="000000"/>
                <w:kern w:val="0"/>
                <w:sz w:val="22"/>
              </w:rPr>
            </w:pPr>
            <w:r>
              <w:rPr>
                <w:rFonts w:cs="宋体"/>
                <w:color w:val="000000"/>
                <w:kern w:val="0"/>
                <w:sz w:val="22"/>
              </w:rPr>
              <w:t>34</w:t>
            </w:r>
          </w:p>
        </w:tc>
        <w:tc>
          <w:tcPr>
            <w:tcW w:w="152" w:type="pct"/>
            <w:vMerge w:val="continue"/>
            <w:tcBorders>
              <w:top w:val="nil"/>
              <w:left w:val="single" w:color="auto" w:sz="4" w:space="0"/>
              <w:bottom w:val="single" w:color="000000" w:sz="4" w:space="0"/>
              <w:right w:val="single" w:color="auto" w:sz="4" w:space="0"/>
            </w:tcBorders>
            <w:vAlign w:val="center"/>
          </w:tcPr>
          <w:p w14:paraId="04898186">
            <w:pPr>
              <w:widowControl/>
              <w:spacing w:line="240" w:lineRule="auto"/>
              <w:rPr>
                <w:rFonts w:hint="eastAsia" w:cs="宋体"/>
                <w:color w:val="000000"/>
                <w:kern w:val="0"/>
                <w:sz w:val="22"/>
              </w:rPr>
            </w:pPr>
          </w:p>
        </w:tc>
        <w:tc>
          <w:tcPr>
            <w:tcW w:w="331" w:type="pct"/>
            <w:tcBorders>
              <w:top w:val="nil"/>
              <w:left w:val="nil"/>
              <w:bottom w:val="single" w:color="auto" w:sz="4" w:space="0"/>
              <w:right w:val="single" w:color="auto" w:sz="4" w:space="0"/>
            </w:tcBorders>
            <w:noWrap/>
            <w:vAlign w:val="center"/>
          </w:tcPr>
          <w:p w14:paraId="2A3AA8E7">
            <w:pPr>
              <w:widowControl/>
              <w:spacing w:line="240" w:lineRule="auto"/>
              <w:jc w:val="center"/>
              <w:rPr>
                <w:rFonts w:hint="eastAsia" w:cs="宋体"/>
                <w:color w:val="000000"/>
                <w:kern w:val="0"/>
                <w:sz w:val="22"/>
              </w:rPr>
            </w:pPr>
            <w:r>
              <w:rPr>
                <w:rFonts w:cs="宋体"/>
                <w:color w:val="000000"/>
                <w:kern w:val="0"/>
                <w:sz w:val="22"/>
              </w:rPr>
              <w:t>等保及密码应用</w:t>
            </w:r>
          </w:p>
        </w:tc>
        <w:tc>
          <w:tcPr>
            <w:tcW w:w="202" w:type="pct"/>
            <w:tcBorders>
              <w:top w:val="nil"/>
              <w:left w:val="nil"/>
              <w:bottom w:val="single" w:color="auto" w:sz="4" w:space="0"/>
              <w:right w:val="single" w:color="auto" w:sz="4" w:space="0"/>
            </w:tcBorders>
            <w:vAlign w:val="center"/>
          </w:tcPr>
          <w:p w14:paraId="276E7ABD">
            <w:pPr>
              <w:widowControl/>
              <w:spacing w:line="240" w:lineRule="auto"/>
              <w:rPr>
                <w:rFonts w:hint="eastAsia" w:cs="宋体"/>
                <w:color w:val="000000"/>
                <w:kern w:val="0"/>
                <w:sz w:val="22"/>
              </w:rPr>
            </w:pPr>
            <w:r>
              <w:rPr>
                <w:rFonts w:cs="宋体"/>
                <w:color w:val="000000"/>
                <w:kern w:val="0"/>
                <w:sz w:val="22"/>
              </w:rPr>
              <w:t>入侵防护系统</w:t>
            </w:r>
          </w:p>
        </w:tc>
        <w:tc>
          <w:tcPr>
            <w:tcW w:w="3643" w:type="pct"/>
            <w:tcBorders>
              <w:top w:val="nil"/>
              <w:left w:val="nil"/>
              <w:bottom w:val="single" w:color="auto" w:sz="4" w:space="0"/>
              <w:right w:val="single" w:color="auto" w:sz="4" w:space="0"/>
            </w:tcBorders>
            <w:vAlign w:val="center"/>
          </w:tcPr>
          <w:p w14:paraId="54676FD0">
            <w:pPr>
              <w:widowControl/>
              <w:spacing w:line="240" w:lineRule="auto"/>
              <w:rPr>
                <w:rFonts w:hint="eastAsia" w:cs="宋体"/>
                <w:color w:val="000000"/>
                <w:kern w:val="0"/>
                <w:sz w:val="22"/>
              </w:rPr>
            </w:pPr>
            <w:r>
              <w:rPr>
                <w:rFonts w:cs="宋体"/>
                <w:color w:val="000000"/>
                <w:kern w:val="0"/>
                <w:sz w:val="22"/>
              </w:rPr>
              <w:t>1、1个RJ-45Console口，1个管理口，1个HA口，4个具备BYPASS功能的10/100/1000Base-T接口，≥2个千兆光口，≥2个万兆光口;</w:t>
            </w:r>
            <w:r>
              <w:rPr>
                <w:rFonts w:cs="宋体"/>
                <w:color w:val="000000"/>
                <w:kern w:val="0"/>
                <w:sz w:val="22"/>
              </w:rPr>
              <w:br w:type="textWrapping"/>
            </w:r>
            <w:r>
              <w:rPr>
                <w:rFonts w:cs="宋体"/>
                <w:color w:val="000000"/>
                <w:kern w:val="0"/>
                <w:sz w:val="22"/>
              </w:rPr>
              <w:t>2、网络层最大吞吐量≥16G；最大并发连接数≥220万；每秒新建HTTP连接数≥1.6万；应用层GOODPUT(512K页面)≥4.3G；</w:t>
            </w:r>
            <w:r>
              <w:rPr>
                <w:rFonts w:cs="宋体"/>
                <w:color w:val="000000"/>
                <w:kern w:val="0"/>
                <w:sz w:val="22"/>
              </w:rPr>
              <w:br w:type="textWrapping"/>
            </w:r>
            <w:r>
              <w:rPr>
                <w:rFonts w:cs="宋体"/>
                <w:color w:val="000000"/>
                <w:kern w:val="0"/>
                <w:sz w:val="22"/>
              </w:rPr>
              <w:t>3、支持多种规则变更部署模式，至少包括自动防御模式、试运行模式和手动防御模式；</w:t>
            </w:r>
            <w:r>
              <w:rPr>
                <w:rFonts w:cs="宋体"/>
                <w:color w:val="000000"/>
                <w:kern w:val="0"/>
                <w:sz w:val="22"/>
              </w:rPr>
              <w:br w:type="textWrapping"/>
            </w:r>
            <w:r>
              <w:rPr>
                <w:rFonts w:cs="宋体"/>
                <w:color w:val="000000"/>
                <w:kern w:val="0"/>
                <w:sz w:val="22"/>
              </w:rPr>
              <w:t>4、支持密码穷举探测功能，提供至少20种应用的密码穷举行为探测和阻断；</w:t>
            </w:r>
            <w:r>
              <w:rPr>
                <w:rFonts w:cs="宋体"/>
                <w:color w:val="000000"/>
                <w:kern w:val="0"/>
                <w:sz w:val="22"/>
              </w:rPr>
              <w:br w:type="textWrapping"/>
            </w:r>
            <w:r>
              <w:rPr>
                <w:rFonts w:cs="宋体"/>
                <w:color w:val="000000"/>
                <w:kern w:val="0"/>
                <w:sz w:val="22"/>
              </w:rPr>
              <w:t>5、支持病毒检测，支持检测恶意文件包括、Office文档、压缩文件、图形文件至少10类50种；支持启发式病毒检测引擎，支持手动上传样本进行鉴定；</w:t>
            </w:r>
            <w:r>
              <w:rPr>
                <w:rFonts w:cs="宋体"/>
                <w:color w:val="000000"/>
                <w:kern w:val="0"/>
                <w:sz w:val="22"/>
              </w:rPr>
              <w:br w:type="textWrapping"/>
            </w:r>
            <w:r>
              <w:rPr>
                <w:rFonts w:cs="宋体"/>
                <w:color w:val="000000"/>
                <w:kern w:val="0"/>
                <w:sz w:val="22"/>
              </w:rPr>
              <w:t>6、支持与终端管理系统协同工作，实现对终端的网络准入认证控制；</w:t>
            </w:r>
            <w:r>
              <w:rPr>
                <w:rFonts w:cs="宋体"/>
                <w:color w:val="000000"/>
                <w:kern w:val="0"/>
                <w:sz w:val="22"/>
              </w:rPr>
              <w:br w:type="textWrapping"/>
            </w:r>
            <w:r>
              <w:rPr>
                <w:rFonts w:cs="宋体"/>
                <w:color w:val="000000"/>
                <w:kern w:val="0"/>
                <w:sz w:val="22"/>
              </w:rPr>
              <w:t>7、支持攻击日志展示自动聚合，聚合条件包含源、目的IP+威胁名称、目的IP+威胁名称、威胁名称，系统应支持攻击源目地址归属地显示，日志信息应包含威胁级别、攻击阶段、攻击结果、标识状态、处置状态展示，应支持存储攻击日志网络负载，其中WEB攻击应支持存储HTTP头；</w:t>
            </w:r>
            <w:r>
              <w:rPr>
                <w:rFonts w:cs="宋体"/>
                <w:color w:val="000000"/>
                <w:kern w:val="0"/>
                <w:sz w:val="22"/>
              </w:rPr>
              <w:br w:type="textWrapping"/>
            </w:r>
            <w:r>
              <w:rPr>
                <w:rFonts w:cs="宋体"/>
                <w:color w:val="000000"/>
                <w:kern w:val="0"/>
                <w:sz w:val="22"/>
              </w:rPr>
              <w:t>8、系统应支持三权分立，不少于五种认证方式，至少包括超级SIM认证、密码、双因子认证等；</w:t>
            </w:r>
            <w:r>
              <w:rPr>
                <w:rFonts w:cs="宋体"/>
                <w:color w:val="000000"/>
                <w:kern w:val="0"/>
                <w:sz w:val="22"/>
              </w:rPr>
              <w:br w:type="textWrapping"/>
            </w:r>
            <w:r>
              <w:rPr>
                <w:rFonts w:cs="宋体"/>
                <w:color w:val="000000"/>
                <w:kern w:val="0"/>
                <w:sz w:val="22"/>
              </w:rPr>
              <w:t>9、带3年的入侵防御特征库升级授权</w:t>
            </w:r>
            <w:r>
              <w:rPr>
                <w:rFonts w:cs="宋体"/>
                <w:color w:val="000000"/>
                <w:kern w:val="0"/>
                <w:sz w:val="22"/>
              </w:rPr>
              <w:br w:type="textWrapping"/>
            </w:r>
            <w:r>
              <w:rPr>
                <w:rFonts w:cs="宋体"/>
                <w:color w:val="000000"/>
                <w:kern w:val="0"/>
                <w:sz w:val="22"/>
              </w:rPr>
              <w:t>▲产品资质证书：所投产品须具备《网络关键设备和网络安全专用产品安全认证证书》、《网专检测报告》、《计算机软件著作权登记证书》、《多核多线程ASIC并行操作系统软件著作权》；</w:t>
            </w:r>
          </w:p>
        </w:tc>
        <w:tc>
          <w:tcPr>
            <w:tcW w:w="216" w:type="pct"/>
            <w:tcBorders>
              <w:top w:val="nil"/>
              <w:left w:val="nil"/>
              <w:bottom w:val="single" w:color="auto" w:sz="4" w:space="0"/>
              <w:right w:val="single" w:color="auto" w:sz="4" w:space="0"/>
            </w:tcBorders>
            <w:noWrap/>
            <w:vAlign w:val="center"/>
          </w:tcPr>
          <w:p w14:paraId="1F395F86">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77124CCD">
            <w:pPr>
              <w:widowControl/>
              <w:spacing w:line="240" w:lineRule="auto"/>
              <w:jc w:val="center"/>
              <w:rPr>
                <w:rFonts w:hint="eastAsia" w:cs="宋体"/>
                <w:color w:val="000000"/>
                <w:kern w:val="0"/>
                <w:sz w:val="22"/>
              </w:rPr>
            </w:pPr>
            <w:r>
              <w:rPr>
                <w:rFonts w:cs="宋体"/>
                <w:color w:val="000000"/>
                <w:kern w:val="0"/>
                <w:sz w:val="22"/>
              </w:rPr>
              <w:t>1</w:t>
            </w:r>
          </w:p>
        </w:tc>
      </w:tr>
      <w:tr w14:paraId="328EC38F">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99330E0">
            <w:pPr>
              <w:widowControl/>
              <w:spacing w:line="240" w:lineRule="auto"/>
              <w:jc w:val="center"/>
              <w:rPr>
                <w:rFonts w:hint="eastAsia" w:cs="宋体"/>
                <w:color w:val="000000"/>
                <w:kern w:val="0"/>
                <w:sz w:val="22"/>
              </w:rPr>
            </w:pPr>
            <w:r>
              <w:rPr>
                <w:rFonts w:cs="宋体"/>
                <w:color w:val="000000"/>
                <w:kern w:val="0"/>
                <w:sz w:val="22"/>
              </w:rPr>
              <w:t>35</w:t>
            </w:r>
          </w:p>
        </w:tc>
        <w:tc>
          <w:tcPr>
            <w:tcW w:w="152" w:type="pct"/>
            <w:vMerge w:val="restart"/>
            <w:tcBorders>
              <w:top w:val="nil"/>
              <w:left w:val="single" w:color="auto" w:sz="4" w:space="0"/>
              <w:bottom w:val="single" w:color="000000" w:sz="4" w:space="0"/>
              <w:right w:val="single" w:color="auto" w:sz="4" w:space="0"/>
            </w:tcBorders>
            <w:vAlign w:val="center"/>
          </w:tcPr>
          <w:p w14:paraId="0EC6D7D8">
            <w:pPr>
              <w:widowControl/>
              <w:spacing w:line="240" w:lineRule="auto"/>
              <w:jc w:val="center"/>
              <w:rPr>
                <w:rFonts w:hint="eastAsia" w:cs="宋体"/>
                <w:color w:val="000000"/>
                <w:kern w:val="0"/>
                <w:sz w:val="22"/>
              </w:rPr>
            </w:pPr>
            <w:r>
              <w:rPr>
                <w:rFonts w:cs="宋体"/>
                <w:color w:val="000000"/>
                <w:kern w:val="0"/>
                <w:sz w:val="22"/>
              </w:rPr>
              <w:t>分局-机房信息化建设</w:t>
            </w:r>
          </w:p>
        </w:tc>
        <w:tc>
          <w:tcPr>
            <w:tcW w:w="331" w:type="pct"/>
            <w:vMerge w:val="restart"/>
            <w:tcBorders>
              <w:top w:val="nil"/>
              <w:left w:val="single" w:color="auto" w:sz="4" w:space="0"/>
              <w:bottom w:val="single" w:color="000000" w:sz="4" w:space="0"/>
              <w:right w:val="single" w:color="auto" w:sz="4" w:space="0"/>
            </w:tcBorders>
            <w:vAlign w:val="center"/>
          </w:tcPr>
          <w:p w14:paraId="7D534478">
            <w:pPr>
              <w:widowControl/>
              <w:spacing w:line="240" w:lineRule="auto"/>
              <w:jc w:val="center"/>
              <w:rPr>
                <w:rFonts w:hint="eastAsia" w:cs="宋体"/>
                <w:color w:val="000000"/>
                <w:kern w:val="0"/>
                <w:sz w:val="22"/>
              </w:rPr>
            </w:pPr>
            <w:r>
              <w:rPr>
                <w:rFonts w:cs="宋体"/>
                <w:color w:val="000000"/>
                <w:kern w:val="0"/>
                <w:sz w:val="22"/>
              </w:rPr>
              <w:t>设备</w:t>
            </w:r>
          </w:p>
        </w:tc>
        <w:tc>
          <w:tcPr>
            <w:tcW w:w="202" w:type="pct"/>
            <w:tcBorders>
              <w:top w:val="nil"/>
              <w:left w:val="nil"/>
              <w:bottom w:val="single" w:color="auto" w:sz="4" w:space="0"/>
              <w:right w:val="single" w:color="auto" w:sz="4" w:space="0"/>
            </w:tcBorders>
            <w:vAlign w:val="center"/>
          </w:tcPr>
          <w:p w14:paraId="7E76A8F9">
            <w:pPr>
              <w:widowControl/>
              <w:spacing w:line="240" w:lineRule="auto"/>
              <w:rPr>
                <w:rFonts w:hint="eastAsia" w:cs="宋体"/>
                <w:color w:val="000000"/>
                <w:kern w:val="0"/>
                <w:sz w:val="22"/>
              </w:rPr>
            </w:pPr>
            <w:r>
              <w:rPr>
                <w:rFonts w:cs="宋体"/>
                <w:color w:val="000000"/>
                <w:kern w:val="0"/>
                <w:sz w:val="22"/>
              </w:rPr>
              <w:t>精密配电柜（双面）</w:t>
            </w:r>
          </w:p>
        </w:tc>
        <w:tc>
          <w:tcPr>
            <w:tcW w:w="3643" w:type="pct"/>
            <w:tcBorders>
              <w:top w:val="nil"/>
              <w:left w:val="nil"/>
              <w:bottom w:val="single" w:color="auto" w:sz="4" w:space="0"/>
              <w:right w:val="single" w:color="auto" w:sz="4" w:space="0"/>
            </w:tcBorders>
            <w:vAlign w:val="center"/>
          </w:tcPr>
          <w:p w14:paraId="293D628D">
            <w:pPr>
              <w:widowControl/>
              <w:spacing w:line="240" w:lineRule="auto"/>
              <w:rPr>
                <w:rFonts w:hint="eastAsia" w:cs="宋体"/>
                <w:color w:val="000000"/>
                <w:kern w:val="0"/>
                <w:sz w:val="22"/>
              </w:rPr>
            </w:pPr>
            <w:r>
              <w:rPr>
                <w:rFonts w:cs="宋体"/>
                <w:color w:val="000000"/>
                <w:kern w:val="0"/>
                <w:sz w:val="22"/>
              </w:rPr>
              <w:t>1、以北斗、GLONASS和QZSS定时信号建立时间参考；</w:t>
            </w:r>
            <w:r>
              <w:rPr>
                <w:rFonts w:cs="宋体"/>
                <w:color w:val="000000"/>
                <w:kern w:val="0"/>
                <w:sz w:val="22"/>
              </w:rPr>
              <w:br w:type="textWrapping"/>
            </w:r>
            <w:r>
              <w:rPr>
                <w:rFonts w:cs="宋体"/>
                <w:color w:val="000000"/>
                <w:kern w:val="0"/>
                <w:sz w:val="22"/>
              </w:rPr>
              <w:t>2、提供不少于6路NTP网络授时接口；</w:t>
            </w:r>
            <w:r>
              <w:rPr>
                <w:rFonts w:cs="宋体"/>
                <w:color w:val="000000"/>
                <w:kern w:val="0"/>
                <w:sz w:val="22"/>
              </w:rPr>
              <w:br w:type="textWrapping"/>
            </w:r>
            <w:r>
              <w:rPr>
                <w:rFonts w:cs="宋体"/>
                <w:color w:val="000000"/>
                <w:kern w:val="0"/>
                <w:sz w:val="22"/>
              </w:rPr>
              <w:t>3、前面板显示年月日时分秒、卫星颗数及天线状态、电源状态、GNSS状态、NTP授时状态、告警状态、等信息；</w:t>
            </w:r>
            <w:r>
              <w:rPr>
                <w:rFonts w:cs="宋体"/>
                <w:color w:val="000000"/>
                <w:kern w:val="0"/>
                <w:sz w:val="22"/>
              </w:rPr>
              <w:br w:type="textWrapping"/>
            </w:r>
            <w:r>
              <w:rPr>
                <w:rFonts w:cs="宋体"/>
                <w:color w:val="000000"/>
                <w:kern w:val="0"/>
                <w:sz w:val="22"/>
              </w:rPr>
              <w:t>4、同步误差 ≤100ns；</w:t>
            </w:r>
            <w:r>
              <w:rPr>
                <w:rFonts w:cs="宋体"/>
                <w:color w:val="000000"/>
                <w:kern w:val="0"/>
                <w:sz w:val="22"/>
              </w:rPr>
              <w:br w:type="textWrapping"/>
            </w:r>
            <w:r>
              <w:rPr>
                <w:rFonts w:cs="宋体"/>
                <w:color w:val="000000"/>
                <w:kern w:val="0"/>
                <w:sz w:val="22"/>
              </w:rPr>
              <w:t>5、支持NTP v1.v2.v3&amp;v4,SNTP等协议。</w:t>
            </w:r>
          </w:p>
        </w:tc>
        <w:tc>
          <w:tcPr>
            <w:tcW w:w="216" w:type="pct"/>
            <w:tcBorders>
              <w:top w:val="nil"/>
              <w:left w:val="nil"/>
              <w:bottom w:val="single" w:color="auto" w:sz="4" w:space="0"/>
              <w:right w:val="single" w:color="auto" w:sz="4" w:space="0"/>
            </w:tcBorders>
            <w:vAlign w:val="center"/>
          </w:tcPr>
          <w:p w14:paraId="32FA8C12">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50DC6801">
            <w:pPr>
              <w:widowControl/>
              <w:spacing w:line="240" w:lineRule="auto"/>
              <w:jc w:val="center"/>
              <w:rPr>
                <w:rFonts w:hint="eastAsia" w:cs="宋体"/>
                <w:color w:val="000000"/>
                <w:kern w:val="0"/>
                <w:sz w:val="22"/>
              </w:rPr>
            </w:pPr>
            <w:r>
              <w:rPr>
                <w:rFonts w:cs="宋体"/>
                <w:color w:val="000000"/>
                <w:kern w:val="0"/>
                <w:sz w:val="22"/>
              </w:rPr>
              <w:t>1</w:t>
            </w:r>
          </w:p>
        </w:tc>
      </w:tr>
      <w:tr w14:paraId="3256E5AA">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9F10C95">
            <w:pPr>
              <w:widowControl/>
              <w:spacing w:line="240" w:lineRule="auto"/>
              <w:jc w:val="center"/>
              <w:rPr>
                <w:rFonts w:hint="eastAsia" w:cs="宋体"/>
                <w:color w:val="000000"/>
                <w:kern w:val="0"/>
                <w:sz w:val="22"/>
              </w:rPr>
            </w:pPr>
            <w:r>
              <w:rPr>
                <w:rFonts w:cs="宋体"/>
                <w:color w:val="000000"/>
                <w:kern w:val="0"/>
                <w:sz w:val="22"/>
              </w:rPr>
              <w:t>36</w:t>
            </w:r>
          </w:p>
        </w:tc>
        <w:tc>
          <w:tcPr>
            <w:tcW w:w="152" w:type="pct"/>
            <w:vMerge w:val="continue"/>
            <w:tcBorders>
              <w:top w:val="nil"/>
              <w:left w:val="single" w:color="auto" w:sz="4" w:space="0"/>
              <w:bottom w:val="single" w:color="000000" w:sz="4" w:space="0"/>
              <w:right w:val="single" w:color="auto" w:sz="4" w:space="0"/>
            </w:tcBorders>
            <w:vAlign w:val="center"/>
          </w:tcPr>
          <w:p w14:paraId="1F7C7C7C">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5C0580C">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3EFE8446">
            <w:pPr>
              <w:widowControl/>
              <w:spacing w:line="240" w:lineRule="auto"/>
              <w:rPr>
                <w:rFonts w:hint="eastAsia" w:cs="宋体"/>
                <w:color w:val="000000"/>
                <w:kern w:val="0"/>
                <w:sz w:val="22"/>
              </w:rPr>
            </w:pPr>
            <w:r>
              <w:rPr>
                <w:rFonts w:cs="宋体"/>
                <w:color w:val="000000"/>
                <w:kern w:val="0"/>
                <w:sz w:val="22"/>
              </w:rPr>
              <w:t>精密空调</w:t>
            </w:r>
          </w:p>
        </w:tc>
        <w:tc>
          <w:tcPr>
            <w:tcW w:w="3643" w:type="pct"/>
            <w:tcBorders>
              <w:top w:val="nil"/>
              <w:left w:val="nil"/>
              <w:bottom w:val="single" w:color="auto" w:sz="4" w:space="0"/>
              <w:right w:val="single" w:color="auto" w:sz="4" w:space="0"/>
            </w:tcBorders>
            <w:vAlign w:val="center"/>
          </w:tcPr>
          <w:p w14:paraId="452548F2">
            <w:pPr>
              <w:widowControl/>
              <w:spacing w:line="240" w:lineRule="auto"/>
              <w:rPr>
                <w:rFonts w:hint="eastAsia" w:cs="宋体"/>
                <w:color w:val="000000"/>
                <w:kern w:val="0"/>
                <w:sz w:val="22"/>
              </w:rPr>
            </w:pPr>
            <w:r>
              <w:rPr>
                <w:rFonts w:cs="宋体"/>
                <w:color w:val="000000"/>
                <w:kern w:val="0"/>
                <w:sz w:val="22"/>
              </w:rPr>
              <w:t>精密空调下送风，制冷量：≥12.5kw，风量≥2800m³/h，R410A制冷剂，电源制式380Vac。</w:t>
            </w:r>
            <w:r>
              <w:rPr>
                <w:rFonts w:cs="宋体"/>
                <w:color w:val="000000"/>
                <w:kern w:val="0"/>
                <w:sz w:val="22"/>
              </w:rPr>
              <w:br w:type="textWrapping"/>
            </w:r>
            <w:r>
              <w:rPr>
                <w:rFonts w:cs="宋体"/>
                <w:color w:val="000000"/>
                <w:kern w:val="0"/>
                <w:sz w:val="22"/>
              </w:rPr>
              <w:t>1．机房专用空调机组的机械性能</w:t>
            </w:r>
            <w:r>
              <w:rPr>
                <w:rFonts w:cs="宋体"/>
                <w:color w:val="000000"/>
                <w:kern w:val="0"/>
                <w:sz w:val="22"/>
              </w:rPr>
              <w:br w:type="textWrapping"/>
            </w:r>
            <w:r>
              <w:rPr>
                <w:rFonts w:cs="宋体"/>
                <w:color w:val="000000"/>
                <w:kern w:val="0"/>
                <w:sz w:val="22"/>
              </w:rPr>
              <w:t>1)外观工艺、检查：机柜表面喷涂均匀、无破损；信号灯、开关、测量显示装置布局合理。</w:t>
            </w:r>
            <w:r>
              <w:rPr>
                <w:rFonts w:cs="宋体"/>
                <w:color w:val="000000"/>
                <w:kern w:val="0"/>
                <w:sz w:val="22"/>
              </w:rPr>
              <w:br w:type="textWrapping"/>
            </w:r>
            <w:r>
              <w:rPr>
                <w:rFonts w:cs="宋体"/>
                <w:color w:val="000000"/>
                <w:kern w:val="0"/>
                <w:sz w:val="22"/>
              </w:rPr>
              <w:t>2)操作及维修安全、方便。</w:t>
            </w:r>
            <w:r>
              <w:rPr>
                <w:rFonts w:cs="宋体"/>
                <w:color w:val="000000"/>
                <w:kern w:val="0"/>
                <w:sz w:val="22"/>
              </w:rPr>
              <w:br w:type="textWrapping"/>
            </w:r>
            <w:r>
              <w:rPr>
                <w:rFonts w:cs="宋体"/>
                <w:color w:val="000000"/>
                <w:kern w:val="0"/>
                <w:sz w:val="22"/>
              </w:rPr>
              <w:t>3)结构工艺：部件排列合理、整齐；导线颜色和截面合理，布放平整；接插件牢固；进出线符合工程需要；具备抗震措施。</w:t>
            </w:r>
            <w:r>
              <w:rPr>
                <w:rFonts w:cs="宋体"/>
                <w:color w:val="000000"/>
                <w:kern w:val="0"/>
                <w:sz w:val="22"/>
              </w:rPr>
              <w:br w:type="textWrapping"/>
            </w:r>
            <w:r>
              <w:rPr>
                <w:rFonts w:cs="宋体"/>
                <w:color w:val="000000"/>
                <w:kern w:val="0"/>
                <w:sz w:val="22"/>
              </w:rPr>
              <w:t>4)材质要求：空调设备外壳应采用全金属防腐材质，空射设备室内风机应采用全金属防腐材质。</w:t>
            </w:r>
            <w:r>
              <w:rPr>
                <w:rFonts w:cs="宋体"/>
                <w:color w:val="000000"/>
                <w:kern w:val="0"/>
                <w:sz w:val="22"/>
              </w:rPr>
              <w:br w:type="textWrapping"/>
            </w:r>
            <w:r>
              <w:rPr>
                <w:rFonts w:cs="宋体"/>
                <w:color w:val="000000"/>
                <w:kern w:val="0"/>
                <w:sz w:val="22"/>
              </w:rPr>
              <w:t>5)标牌、标记：应平整清晰。</w:t>
            </w:r>
            <w:r>
              <w:rPr>
                <w:rFonts w:cs="宋体"/>
                <w:color w:val="000000"/>
                <w:kern w:val="0"/>
                <w:sz w:val="22"/>
              </w:rPr>
              <w:br w:type="textWrapping"/>
            </w:r>
            <w:r>
              <w:rPr>
                <w:rFonts w:cs="宋体"/>
                <w:color w:val="000000"/>
                <w:kern w:val="0"/>
                <w:sz w:val="22"/>
              </w:rPr>
              <w:t>2．机房专用空调机组的电气性能</w:t>
            </w:r>
            <w:r>
              <w:rPr>
                <w:rFonts w:cs="宋体"/>
                <w:color w:val="000000"/>
                <w:kern w:val="0"/>
                <w:sz w:val="22"/>
              </w:rPr>
              <w:br w:type="textWrapping"/>
            </w:r>
            <w:r>
              <w:rPr>
                <w:rFonts w:cs="宋体"/>
                <w:color w:val="000000"/>
                <w:kern w:val="0"/>
                <w:sz w:val="22"/>
              </w:rPr>
              <w:t>1)机房专用空调机组的的电气性能应符合IEC标准</w:t>
            </w:r>
            <w:r>
              <w:rPr>
                <w:rFonts w:cs="宋体"/>
                <w:color w:val="000000"/>
                <w:kern w:val="0"/>
                <w:sz w:val="22"/>
              </w:rPr>
              <w:br w:type="textWrapping"/>
            </w:r>
            <w:r>
              <w:rPr>
                <w:rFonts w:cs="宋体"/>
                <w:color w:val="000000"/>
                <w:kern w:val="0"/>
                <w:sz w:val="22"/>
              </w:rPr>
              <w:t>2)输入电压允许波动范围：380V +15% ~  -15%</w:t>
            </w:r>
            <w:r>
              <w:rPr>
                <w:rFonts w:cs="宋体"/>
                <w:color w:val="000000"/>
                <w:kern w:val="0"/>
                <w:sz w:val="22"/>
              </w:rPr>
              <w:br w:type="textWrapping"/>
            </w:r>
            <w:r>
              <w:rPr>
                <w:rFonts w:cs="宋体"/>
                <w:color w:val="000000"/>
                <w:kern w:val="0"/>
                <w:sz w:val="22"/>
              </w:rPr>
              <w:t xml:space="preserve">3)频率：50Hz±2Hz </w:t>
            </w:r>
            <w:r>
              <w:rPr>
                <w:rFonts w:cs="宋体"/>
                <w:color w:val="000000"/>
                <w:kern w:val="0"/>
                <w:sz w:val="22"/>
              </w:rPr>
              <w:br w:type="textWrapping"/>
            </w:r>
            <w:r>
              <w:rPr>
                <w:rFonts w:cs="宋体"/>
                <w:color w:val="000000"/>
                <w:kern w:val="0"/>
                <w:sz w:val="22"/>
              </w:rPr>
              <w:t>3．机房专用空调机组的适应环境</w:t>
            </w:r>
            <w:r>
              <w:rPr>
                <w:rFonts w:cs="宋体"/>
                <w:color w:val="000000"/>
                <w:kern w:val="0"/>
                <w:sz w:val="22"/>
              </w:rPr>
              <w:br w:type="textWrapping"/>
            </w:r>
            <w:r>
              <w:rPr>
                <w:rFonts w:cs="宋体"/>
                <w:color w:val="000000"/>
                <w:kern w:val="0"/>
                <w:sz w:val="22"/>
              </w:rPr>
              <w:t>温度：室内  -10℃ ~ +30℃</w:t>
            </w:r>
            <w:r>
              <w:rPr>
                <w:rFonts w:cs="宋体"/>
                <w:color w:val="000000"/>
                <w:kern w:val="0"/>
                <w:sz w:val="22"/>
              </w:rPr>
              <w:br w:type="textWrapping"/>
            </w:r>
            <w:r>
              <w:rPr>
                <w:rFonts w:cs="宋体"/>
                <w:color w:val="000000"/>
                <w:kern w:val="0"/>
                <w:sz w:val="22"/>
              </w:rPr>
              <w:t xml:space="preserve">      室外  -34℃ ~ +45℃</w:t>
            </w:r>
            <w:r>
              <w:rPr>
                <w:rFonts w:cs="宋体"/>
                <w:color w:val="000000"/>
                <w:kern w:val="0"/>
                <w:sz w:val="22"/>
              </w:rPr>
              <w:br w:type="textWrapping"/>
            </w:r>
            <w:r>
              <w:rPr>
                <w:rFonts w:cs="宋体"/>
                <w:color w:val="000000"/>
                <w:kern w:val="0"/>
                <w:sz w:val="22"/>
              </w:rPr>
              <w:t>湿度：≤95%RH</w:t>
            </w:r>
            <w:r>
              <w:rPr>
                <w:rFonts w:cs="宋体"/>
                <w:color w:val="000000"/>
                <w:kern w:val="0"/>
                <w:sz w:val="22"/>
              </w:rPr>
              <w:br w:type="textWrapping"/>
            </w:r>
            <w:r>
              <w:rPr>
                <w:rFonts w:cs="宋体"/>
                <w:color w:val="000000"/>
                <w:kern w:val="0"/>
                <w:sz w:val="22"/>
              </w:rPr>
              <w:t>4．机房专用空调机组的温度、湿度控制性能</w:t>
            </w:r>
            <w:r>
              <w:rPr>
                <w:rFonts w:cs="宋体"/>
                <w:color w:val="000000"/>
                <w:kern w:val="0"/>
                <w:sz w:val="22"/>
              </w:rPr>
              <w:br w:type="textWrapping"/>
            </w:r>
            <w:r>
              <w:rPr>
                <w:rFonts w:cs="宋体"/>
                <w:color w:val="000000"/>
                <w:kern w:val="0"/>
                <w:sz w:val="22"/>
              </w:rPr>
              <w:t>1)机房专用空调应能按要求自动调节室内温度，具有制冷功能。</w:t>
            </w:r>
            <w:r>
              <w:rPr>
                <w:rFonts w:cs="宋体"/>
                <w:color w:val="000000"/>
                <w:kern w:val="0"/>
                <w:sz w:val="22"/>
              </w:rPr>
              <w:br w:type="textWrapping"/>
            </w:r>
            <w:r>
              <w:rPr>
                <w:rFonts w:cs="宋体"/>
                <w:color w:val="000000"/>
                <w:kern w:val="0"/>
                <w:sz w:val="22"/>
              </w:rPr>
              <w:t>2)温度调节范围：+17℃ ~  +28℃</w:t>
            </w:r>
            <w:r>
              <w:rPr>
                <w:rFonts w:cs="宋体"/>
                <w:color w:val="000000"/>
                <w:kern w:val="0"/>
                <w:sz w:val="22"/>
              </w:rPr>
              <w:br w:type="textWrapping"/>
            </w:r>
            <w:r>
              <w:rPr>
                <w:rFonts w:cs="宋体"/>
                <w:color w:val="000000"/>
                <w:kern w:val="0"/>
                <w:sz w:val="22"/>
              </w:rPr>
              <w:t xml:space="preserve">3)温度调节精度：±2℃温度变化率&lt; 5℃/小时 </w:t>
            </w:r>
            <w:r>
              <w:rPr>
                <w:rFonts w:cs="宋体"/>
                <w:color w:val="000000"/>
                <w:kern w:val="0"/>
                <w:sz w:val="22"/>
              </w:rPr>
              <w:br w:type="textWrapping"/>
            </w:r>
            <w:r>
              <w:rPr>
                <w:rFonts w:cs="宋体"/>
                <w:color w:val="000000"/>
                <w:kern w:val="0"/>
                <w:sz w:val="22"/>
              </w:rPr>
              <w:t>4)温度波动超限应能发出报警信号</w:t>
            </w:r>
            <w:r>
              <w:rPr>
                <w:rFonts w:cs="宋体"/>
                <w:color w:val="000000"/>
                <w:kern w:val="0"/>
                <w:sz w:val="22"/>
              </w:rPr>
              <w:br w:type="textWrapping"/>
            </w:r>
            <w:r>
              <w:rPr>
                <w:rFonts w:cs="宋体"/>
                <w:color w:val="000000"/>
                <w:kern w:val="0"/>
                <w:sz w:val="22"/>
              </w:rPr>
              <w:t>室外机</w:t>
            </w:r>
            <w:r>
              <w:rPr>
                <w:rFonts w:cs="宋体"/>
                <w:color w:val="000000"/>
                <w:kern w:val="0"/>
                <w:sz w:val="22"/>
              </w:rPr>
              <w:br w:type="textWrapping"/>
            </w:r>
            <w:r>
              <w:rPr>
                <w:rFonts w:cs="宋体"/>
                <w:color w:val="000000"/>
                <w:kern w:val="0"/>
                <w:sz w:val="22"/>
              </w:rPr>
              <w:t>1、机房专用空调机组采用风冷的冷却方式。</w:t>
            </w:r>
            <w:r>
              <w:rPr>
                <w:rFonts w:cs="宋体"/>
                <w:color w:val="000000"/>
                <w:kern w:val="0"/>
                <w:sz w:val="22"/>
              </w:rPr>
              <w:br w:type="textWrapping"/>
            </w:r>
            <w:r>
              <w:rPr>
                <w:rFonts w:cs="宋体"/>
                <w:color w:val="000000"/>
                <w:kern w:val="0"/>
                <w:sz w:val="22"/>
              </w:rPr>
              <w:t>2、机房专用室外冷凝器的选配按照室外温度最高45°C选型，保证足够的散热量需求。</w:t>
            </w:r>
            <w:r>
              <w:rPr>
                <w:rFonts w:cs="宋体"/>
                <w:color w:val="000000"/>
                <w:kern w:val="0"/>
                <w:sz w:val="22"/>
              </w:rPr>
              <w:br w:type="textWrapping"/>
            </w:r>
            <w:r>
              <w:rPr>
                <w:rFonts w:cs="宋体"/>
                <w:color w:val="000000"/>
                <w:kern w:val="0"/>
                <w:sz w:val="22"/>
              </w:rPr>
              <w:t>3、机房专用空调室外机应具有良好的刚性和防腐性能，适应多种环境条件。</w:t>
            </w:r>
            <w:r>
              <w:rPr>
                <w:rFonts w:cs="宋体"/>
                <w:color w:val="000000"/>
                <w:kern w:val="0"/>
                <w:sz w:val="22"/>
              </w:rPr>
              <w:br w:type="textWrapping"/>
            </w:r>
            <w:r>
              <w:rPr>
                <w:rFonts w:cs="宋体"/>
                <w:color w:val="000000"/>
                <w:kern w:val="0"/>
                <w:sz w:val="22"/>
              </w:rPr>
              <w:t>4、机房专用空调机组的风冷室外机采用水平直立的安装方式。</w:t>
            </w:r>
            <w:r>
              <w:rPr>
                <w:rFonts w:cs="宋体"/>
                <w:color w:val="000000"/>
                <w:kern w:val="0"/>
                <w:sz w:val="22"/>
              </w:rPr>
              <w:br w:type="textWrapping"/>
            </w:r>
            <w:r>
              <w:rPr>
                <w:rFonts w:cs="宋体"/>
                <w:color w:val="000000"/>
                <w:kern w:val="0"/>
                <w:sz w:val="22"/>
              </w:rPr>
              <w:t>5、机房专用空调机组的风冷冷凝器的风机电机、风机调速器、压力控制器等应有良好的防水性能。</w:t>
            </w:r>
            <w:r>
              <w:rPr>
                <w:rFonts w:cs="宋体"/>
                <w:color w:val="000000"/>
                <w:kern w:val="0"/>
                <w:sz w:val="22"/>
              </w:rPr>
              <w:br w:type="textWrapping"/>
            </w:r>
            <w:r>
              <w:rPr>
                <w:rFonts w:cs="宋体"/>
                <w:color w:val="000000"/>
                <w:kern w:val="0"/>
                <w:sz w:val="22"/>
              </w:rPr>
              <w:t>机房专用空调机组的室外机出厂时应保压，管路端口应有防止异物进入的措施。</w:t>
            </w:r>
          </w:p>
        </w:tc>
        <w:tc>
          <w:tcPr>
            <w:tcW w:w="216" w:type="pct"/>
            <w:tcBorders>
              <w:top w:val="nil"/>
              <w:left w:val="nil"/>
              <w:bottom w:val="single" w:color="auto" w:sz="4" w:space="0"/>
              <w:right w:val="single" w:color="auto" w:sz="4" w:space="0"/>
            </w:tcBorders>
            <w:vAlign w:val="center"/>
          </w:tcPr>
          <w:p w14:paraId="426C4BBF">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4FA2C470">
            <w:pPr>
              <w:widowControl/>
              <w:spacing w:line="240" w:lineRule="auto"/>
              <w:jc w:val="center"/>
              <w:rPr>
                <w:rFonts w:hint="eastAsia" w:cs="宋体"/>
                <w:color w:val="000000"/>
                <w:kern w:val="0"/>
                <w:sz w:val="22"/>
              </w:rPr>
            </w:pPr>
            <w:r>
              <w:rPr>
                <w:rFonts w:cs="宋体"/>
                <w:color w:val="000000"/>
                <w:kern w:val="0"/>
                <w:sz w:val="22"/>
              </w:rPr>
              <w:t>1</w:t>
            </w:r>
          </w:p>
        </w:tc>
      </w:tr>
      <w:tr w14:paraId="02E8CA5D">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4AB57097">
            <w:pPr>
              <w:widowControl/>
              <w:spacing w:line="240" w:lineRule="auto"/>
              <w:jc w:val="center"/>
              <w:rPr>
                <w:rFonts w:hint="eastAsia" w:cs="宋体"/>
                <w:color w:val="000000"/>
                <w:kern w:val="0"/>
                <w:sz w:val="22"/>
              </w:rPr>
            </w:pPr>
            <w:r>
              <w:rPr>
                <w:rFonts w:cs="宋体"/>
                <w:color w:val="000000"/>
                <w:kern w:val="0"/>
                <w:sz w:val="22"/>
              </w:rPr>
              <w:t>37</w:t>
            </w:r>
          </w:p>
        </w:tc>
        <w:tc>
          <w:tcPr>
            <w:tcW w:w="152" w:type="pct"/>
            <w:vMerge w:val="continue"/>
            <w:tcBorders>
              <w:top w:val="nil"/>
              <w:left w:val="single" w:color="auto" w:sz="4" w:space="0"/>
              <w:bottom w:val="single" w:color="000000" w:sz="4" w:space="0"/>
              <w:right w:val="single" w:color="auto" w:sz="4" w:space="0"/>
            </w:tcBorders>
            <w:vAlign w:val="center"/>
          </w:tcPr>
          <w:p w14:paraId="2DAD35C9">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8F52D32">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0D3B474">
            <w:pPr>
              <w:widowControl/>
              <w:spacing w:line="240" w:lineRule="auto"/>
              <w:rPr>
                <w:rFonts w:hint="eastAsia" w:cs="宋体"/>
                <w:color w:val="000000"/>
                <w:kern w:val="0"/>
                <w:sz w:val="22"/>
              </w:rPr>
            </w:pPr>
            <w:r>
              <w:rPr>
                <w:rFonts w:cs="宋体"/>
                <w:color w:val="000000"/>
                <w:kern w:val="0"/>
                <w:sz w:val="22"/>
              </w:rPr>
              <w:t>服务器机柜</w:t>
            </w:r>
          </w:p>
        </w:tc>
        <w:tc>
          <w:tcPr>
            <w:tcW w:w="3643" w:type="pct"/>
            <w:tcBorders>
              <w:top w:val="nil"/>
              <w:left w:val="nil"/>
              <w:bottom w:val="single" w:color="auto" w:sz="4" w:space="0"/>
              <w:right w:val="single" w:color="auto" w:sz="4" w:space="0"/>
            </w:tcBorders>
            <w:noWrap/>
            <w:vAlign w:val="center"/>
          </w:tcPr>
          <w:p w14:paraId="74BE7F15">
            <w:pPr>
              <w:widowControl/>
              <w:spacing w:line="240" w:lineRule="auto"/>
              <w:rPr>
                <w:rFonts w:hint="eastAsia" w:cs="宋体"/>
                <w:color w:val="000000"/>
                <w:kern w:val="0"/>
                <w:sz w:val="22"/>
              </w:rPr>
            </w:pPr>
            <w:r>
              <w:rPr>
                <w:rFonts w:cs="宋体"/>
                <w:color w:val="000000"/>
                <w:kern w:val="0"/>
                <w:sz w:val="22"/>
              </w:rPr>
              <w:t>42U，宽600mm*深1200mm*高2000mm/黑色哑光前单后双网孔门，材料采用≥1.5mm冷板，静态负荷≥2550KG，通风率≥80%/每机柜标配底板及侧板，并柜机柜无需侧板。每机柜需配置≥20个1U塑胶盲板，2个承载能力不小于50kg的托盘，1个1U水平理线单元，2套L型导轨。</w:t>
            </w:r>
          </w:p>
        </w:tc>
        <w:tc>
          <w:tcPr>
            <w:tcW w:w="216" w:type="pct"/>
            <w:tcBorders>
              <w:top w:val="nil"/>
              <w:left w:val="nil"/>
              <w:bottom w:val="single" w:color="auto" w:sz="4" w:space="0"/>
              <w:right w:val="single" w:color="auto" w:sz="4" w:space="0"/>
            </w:tcBorders>
            <w:vAlign w:val="center"/>
          </w:tcPr>
          <w:p w14:paraId="4B1E4AA1">
            <w:pPr>
              <w:widowControl/>
              <w:spacing w:line="240" w:lineRule="auto"/>
              <w:jc w:val="center"/>
              <w:rPr>
                <w:rFonts w:hint="eastAsia" w:cs="宋体"/>
                <w:color w:val="000000"/>
                <w:kern w:val="0"/>
                <w:sz w:val="22"/>
              </w:rPr>
            </w:pPr>
            <w:r>
              <w:rPr>
                <w:rFonts w:cs="宋体"/>
                <w:color w:val="000000"/>
                <w:kern w:val="0"/>
                <w:sz w:val="22"/>
              </w:rPr>
              <w:t>个</w:t>
            </w:r>
          </w:p>
        </w:tc>
        <w:tc>
          <w:tcPr>
            <w:tcW w:w="202" w:type="pct"/>
            <w:tcBorders>
              <w:top w:val="nil"/>
              <w:left w:val="nil"/>
              <w:bottom w:val="single" w:color="auto" w:sz="4" w:space="0"/>
              <w:right w:val="single" w:color="auto" w:sz="4" w:space="0"/>
            </w:tcBorders>
            <w:vAlign w:val="center"/>
          </w:tcPr>
          <w:p w14:paraId="6421E205">
            <w:pPr>
              <w:widowControl/>
              <w:spacing w:line="240" w:lineRule="auto"/>
              <w:jc w:val="center"/>
              <w:rPr>
                <w:rFonts w:hint="eastAsia" w:cs="宋体"/>
                <w:color w:val="000000"/>
                <w:kern w:val="0"/>
                <w:sz w:val="22"/>
              </w:rPr>
            </w:pPr>
            <w:r>
              <w:rPr>
                <w:rFonts w:cs="宋体"/>
                <w:color w:val="000000"/>
                <w:kern w:val="0"/>
                <w:sz w:val="22"/>
              </w:rPr>
              <w:t>5</w:t>
            </w:r>
          </w:p>
        </w:tc>
      </w:tr>
      <w:tr w14:paraId="0FF7BA1A">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37A7FE85">
            <w:pPr>
              <w:widowControl/>
              <w:spacing w:line="240" w:lineRule="auto"/>
              <w:jc w:val="center"/>
              <w:rPr>
                <w:rFonts w:hint="eastAsia" w:cs="宋体"/>
                <w:color w:val="000000"/>
                <w:kern w:val="0"/>
                <w:sz w:val="22"/>
              </w:rPr>
            </w:pPr>
            <w:r>
              <w:rPr>
                <w:rFonts w:cs="宋体"/>
                <w:color w:val="000000"/>
                <w:kern w:val="0"/>
                <w:sz w:val="22"/>
              </w:rPr>
              <w:t>38</w:t>
            </w:r>
          </w:p>
        </w:tc>
        <w:tc>
          <w:tcPr>
            <w:tcW w:w="152" w:type="pct"/>
            <w:vMerge w:val="continue"/>
            <w:tcBorders>
              <w:top w:val="nil"/>
              <w:left w:val="single" w:color="auto" w:sz="4" w:space="0"/>
              <w:bottom w:val="single" w:color="000000" w:sz="4" w:space="0"/>
              <w:right w:val="single" w:color="auto" w:sz="4" w:space="0"/>
            </w:tcBorders>
            <w:vAlign w:val="center"/>
          </w:tcPr>
          <w:p w14:paraId="42DBF8A7">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BDF0253">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568F3F6">
            <w:pPr>
              <w:widowControl/>
              <w:spacing w:line="240" w:lineRule="auto"/>
              <w:rPr>
                <w:rFonts w:hint="eastAsia" w:cs="宋体"/>
                <w:color w:val="000000"/>
                <w:kern w:val="0"/>
                <w:sz w:val="22"/>
              </w:rPr>
            </w:pPr>
            <w:r>
              <w:rPr>
                <w:rFonts w:cs="宋体"/>
                <w:color w:val="000000"/>
                <w:kern w:val="0"/>
                <w:sz w:val="22"/>
              </w:rPr>
              <w:t>PDU</w:t>
            </w:r>
          </w:p>
        </w:tc>
        <w:tc>
          <w:tcPr>
            <w:tcW w:w="3643" w:type="pct"/>
            <w:tcBorders>
              <w:top w:val="nil"/>
              <w:left w:val="nil"/>
              <w:bottom w:val="single" w:color="auto" w:sz="4" w:space="0"/>
              <w:right w:val="single" w:color="auto" w:sz="4" w:space="0"/>
            </w:tcBorders>
            <w:noWrap/>
            <w:vAlign w:val="center"/>
          </w:tcPr>
          <w:p w14:paraId="2663D49F">
            <w:pPr>
              <w:widowControl/>
              <w:spacing w:line="240" w:lineRule="auto"/>
              <w:rPr>
                <w:rFonts w:hint="eastAsia" w:cs="宋体"/>
                <w:color w:val="000000"/>
                <w:kern w:val="0"/>
                <w:sz w:val="22"/>
              </w:rPr>
            </w:pPr>
            <w:r>
              <w:rPr>
                <w:rFonts w:cs="宋体"/>
                <w:color w:val="000000"/>
                <w:kern w:val="0"/>
                <w:sz w:val="22"/>
              </w:rPr>
              <w:t>32A总输入，20位10A国标输出+4位16A国标输出。</w:t>
            </w:r>
          </w:p>
        </w:tc>
        <w:tc>
          <w:tcPr>
            <w:tcW w:w="216" w:type="pct"/>
            <w:tcBorders>
              <w:top w:val="nil"/>
              <w:left w:val="nil"/>
              <w:bottom w:val="single" w:color="auto" w:sz="4" w:space="0"/>
              <w:right w:val="single" w:color="auto" w:sz="4" w:space="0"/>
            </w:tcBorders>
            <w:vAlign w:val="center"/>
          </w:tcPr>
          <w:p w14:paraId="5EE0B0B3">
            <w:pPr>
              <w:widowControl/>
              <w:spacing w:line="240" w:lineRule="auto"/>
              <w:jc w:val="center"/>
              <w:rPr>
                <w:rFonts w:hint="eastAsia" w:cs="宋体"/>
                <w:color w:val="000000"/>
                <w:kern w:val="0"/>
                <w:sz w:val="22"/>
              </w:rPr>
            </w:pPr>
            <w:r>
              <w:rPr>
                <w:rFonts w:cs="宋体"/>
                <w:color w:val="000000"/>
                <w:kern w:val="0"/>
                <w:sz w:val="22"/>
              </w:rPr>
              <w:t>个</w:t>
            </w:r>
          </w:p>
        </w:tc>
        <w:tc>
          <w:tcPr>
            <w:tcW w:w="202" w:type="pct"/>
            <w:tcBorders>
              <w:top w:val="nil"/>
              <w:left w:val="nil"/>
              <w:bottom w:val="single" w:color="auto" w:sz="4" w:space="0"/>
              <w:right w:val="single" w:color="auto" w:sz="4" w:space="0"/>
            </w:tcBorders>
            <w:vAlign w:val="center"/>
          </w:tcPr>
          <w:p w14:paraId="6CE7B42B">
            <w:pPr>
              <w:widowControl/>
              <w:spacing w:line="240" w:lineRule="auto"/>
              <w:jc w:val="center"/>
              <w:rPr>
                <w:rFonts w:hint="eastAsia" w:cs="宋体"/>
                <w:color w:val="000000"/>
                <w:kern w:val="0"/>
                <w:sz w:val="22"/>
              </w:rPr>
            </w:pPr>
            <w:r>
              <w:rPr>
                <w:rFonts w:cs="宋体"/>
                <w:color w:val="000000"/>
                <w:kern w:val="0"/>
                <w:sz w:val="22"/>
              </w:rPr>
              <w:t>10</w:t>
            </w:r>
          </w:p>
        </w:tc>
      </w:tr>
      <w:tr w14:paraId="0D78D1DA">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DAB4140">
            <w:pPr>
              <w:widowControl/>
              <w:spacing w:line="240" w:lineRule="auto"/>
              <w:jc w:val="center"/>
              <w:rPr>
                <w:rFonts w:hint="eastAsia" w:cs="宋体"/>
                <w:color w:val="000000"/>
                <w:kern w:val="0"/>
                <w:sz w:val="22"/>
              </w:rPr>
            </w:pPr>
            <w:r>
              <w:rPr>
                <w:rFonts w:cs="宋体"/>
                <w:color w:val="000000"/>
                <w:kern w:val="0"/>
                <w:sz w:val="22"/>
              </w:rPr>
              <w:t>39</w:t>
            </w:r>
          </w:p>
        </w:tc>
        <w:tc>
          <w:tcPr>
            <w:tcW w:w="152" w:type="pct"/>
            <w:vMerge w:val="continue"/>
            <w:tcBorders>
              <w:top w:val="nil"/>
              <w:left w:val="single" w:color="auto" w:sz="4" w:space="0"/>
              <w:bottom w:val="single" w:color="000000" w:sz="4" w:space="0"/>
              <w:right w:val="single" w:color="auto" w:sz="4" w:space="0"/>
            </w:tcBorders>
            <w:vAlign w:val="center"/>
          </w:tcPr>
          <w:p w14:paraId="1DF30ADF">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FF4BF97">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3B66CEA2">
            <w:pPr>
              <w:widowControl/>
              <w:spacing w:line="240" w:lineRule="auto"/>
              <w:rPr>
                <w:rFonts w:hint="eastAsia" w:cs="宋体"/>
                <w:color w:val="000000"/>
                <w:kern w:val="0"/>
                <w:sz w:val="22"/>
              </w:rPr>
            </w:pPr>
            <w:r>
              <w:rPr>
                <w:rFonts w:cs="宋体"/>
                <w:color w:val="000000"/>
                <w:kern w:val="0"/>
                <w:sz w:val="22"/>
              </w:rPr>
              <w:t>国密读卡器</w:t>
            </w:r>
          </w:p>
        </w:tc>
        <w:tc>
          <w:tcPr>
            <w:tcW w:w="3643" w:type="pct"/>
            <w:tcBorders>
              <w:top w:val="nil"/>
              <w:left w:val="nil"/>
              <w:bottom w:val="single" w:color="auto" w:sz="4" w:space="0"/>
              <w:right w:val="single" w:color="auto" w:sz="4" w:space="0"/>
            </w:tcBorders>
            <w:vAlign w:val="center"/>
          </w:tcPr>
          <w:p w14:paraId="72120154">
            <w:pPr>
              <w:widowControl/>
              <w:spacing w:line="240" w:lineRule="auto"/>
              <w:rPr>
                <w:rFonts w:hint="eastAsia" w:cs="宋体"/>
                <w:color w:val="000000"/>
                <w:kern w:val="0"/>
                <w:sz w:val="22"/>
              </w:rPr>
            </w:pPr>
            <w:r>
              <w:rPr>
                <w:rFonts w:cs="宋体"/>
                <w:color w:val="000000"/>
                <w:kern w:val="0"/>
                <w:sz w:val="22"/>
              </w:rPr>
              <w:t>读卡功能：支持国密CPU卡片读卡</w:t>
            </w:r>
            <w:r>
              <w:rPr>
                <w:rFonts w:cs="宋体"/>
                <w:color w:val="000000"/>
                <w:kern w:val="0"/>
                <w:sz w:val="22"/>
              </w:rPr>
              <w:br w:type="textWrapping"/>
            </w:r>
            <w:r>
              <w:rPr>
                <w:rFonts w:cs="宋体"/>
                <w:color w:val="000000"/>
                <w:kern w:val="0"/>
                <w:sz w:val="22"/>
              </w:rPr>
              <w:t>通讯功能：支持RS485通讯接口；RS485采用国密算法加密处理，通讯更加安全</w:t>
            </w:r>
            <w:r>
              <w:rPr>
                <w:rFonts w:cs="宋体"/>
                <w:color w:val="000000"/>
                <w:kern w:val="0"/>
                <w:sz w:val="22"/>
              </w:rPr>
              <w:br w:type="textWrapping"/>
            </w:r>
            <w:r>
              <w:rPr>
                <w:rFonts w:cs="宋体"/>
                <w:color w:val="000000"/>
                <w:kern w:val="0"/>
                <w:sz w:val="22"/>
              </w:rPr>
              <w:t>密码功能：内置国密SE加密芯片，支持SM1/SM4加密方式加密处理</w:t>
            </w:r>
            <w:r>
              <w:rPr>
                <w:rFonts w:cs="宋体"/>
                <w:color w:val="000000"/>
                <w:kern w:val="0"/>
                <w:sz w:val="22"/>
              </w:rPr>
              <w:br w:type="textWrapping"/>
            </w:r>
            <w:r>
              <w:rPr>
                <w:rFonts w:cs="宋体"/>
                <w:color w:val="000000"/>
                <w:kern w:val="0"/>
                <w:sz w:val="22"/>
              </w:rPr>
              <w:t>提示功能：内建Buzzer声响提示功能，供读卡状态辨识</w:t>
            </w:r>
            <w:r>
              <w:rPr>
                <w:rFonts w:cs="宋体"/>
                <w:color w:val="000000"/>
                <w:kern w:val="0"/>
                <w:sz w:val="22"/>
              </w:rPr>
              <w:br w:type="textWrapping"/>
            </w:r>
            <w:r>
              <w:rPr>
                <w:rFonts w:cs="宋体"/>
                <w:color w:val="000000"/>
                <w:kern w:val="0"/>
                <w:sz w:val="22"/>
              </w:rPr>
              <w:t>防拆功能：支持防拆报警功能</w:t>
            </w:r>
            <w:r>
              <w:rPr>
                <w:rFonts w:cs="宋体"/>
                <w:color w:val="000000"/>
                <w:kern w:val="0"/>
                <w:sz w:val="22"/>
              </w:rPr>
              <w:br w:type="textWrapping"/>
            </w:r>
            <w:r>
              <w:rPr>
                <w:rFonts w:cs="宋体"/>
                <w:color w:val="000000"/>
                <w:kern w:val="0"/>
                <w:sz w:val="22"/>
              </w:rPr>
              <w:t>稳定性：内置看门狗程序，确保设备长期稳定运行</w:t>
            </w:r>
            <w:r>
              <w:rPr>
                <w:rFonts w:cs="宋体"/>
                <w:color w:val="000000"/>
                <w:kern w:val="0"/>
                <w:sz w:val="22"/>
              </w:rPr>
              <w:br w:type="textWrapping"/>
            </w:r>
            <w:r>
              <w:rPr>
                <w:rFonts w:cs="宋体"/>
                <w:color w:val="000000"/>
                <w:kern w:val="0"/>
                <w:sz w:val="22"/>
              </w:rPr>
              <w:t>国密加密：内置国密SE安全加密芯片，支持SM1、SM2、SM3、SM4加密处理，满足商用密码检测认证中心GM/T0028《密码安全模块安全技术要求》第二级要求，支持国密CPU卡片读卡识别</w:t>
            </w:r>
            <w:r>
              <w:rPr>
                <w:rFonts w:cs="宋体"/>
                <w:color w:val="000000"/>
                <w:kern w:val="0"/>
                <w:sz w:val="22"/>
              </w:rPr>
              <w:br w:type="textWrapping"/>
            </w:r>
            <w:r>
              <w:rPr>
                <w:rFonts w:cs="宋体"/>
                <w:color w:val="000000"/>
                <w:kern w:val="0"/>
                <w:sz w:val="22"/>
              </w:rPr>
              <w:t xml:space="preserve">韦根：1个 </w:t>
            </w:r>
            <w:r>
              <w:rPr>
                <w:rFonts w:cs="宋体"/>
                <w:color w:val="000000"/>
                <w:kern w:val="0"/>
                <w:sz w:val="22"/>
              </w:rPr>
              <w:br w:type="textWrapping"/>
            </w:r>
            <w:r>
              <w:rPr>
                <w:rFonts w:cs="宋体"/>
                <w:color w:val="000000"/>
                <w:kern w:val="0"/>
                <w:sz w:val="22"/>
              </w:rPr>
              <w:t>读卡类型：国密卡</w:t>
            </w:r>
          </w:p>
        </w:tc>
        <w:tc>
          <w:tcPr>
            <w:tcW w:w="216" w:type="pct"/>
            <w:tcBorders>
              <w:top w:val="nil"/>
              <w:left w:val="nil"/>
              <w:bottom w:val="single" w:color="auto" w:sz="4" w:space="0"/>
              <w:right w:val="single" w:color="auto" w:sz="4" w:space="0"/>
            </w:tcBorders>
            <w:vAlign w:val="center"/>
          </w:tcPr>
          <w:p w14:paraId="37C9E39C">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572DA752">
            <w:pPr>
              <w:widowControl/>
              <w:spacing w:line="240" w:lineRule="auto"/>
              <w:jc w:val="center"/>
              <w:rPr>
                <w:rFonts w:hint="eastAsia" w:cs="宋体"/>
                <w:color w:val="000000"/>
                <w:kern w:val="0"/>
                <w:sz w:val="22"/>
              </w:rPr>
            </w:pPr>
            <w:r>
              <w:rPr>
                <w:rFonts w:cs="宋体"/>
                <w:color w:val="000000"/>
                <w:kern w:val="0"/>
                <w:sz w:val="22"/>
              </w:rPr>
              <w:t>1</w:t>
            </w:r>
          </w:p>
        </w:tc>
      </w:tr>
      <w:tr w14:paraId="4891005B">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6F176299">
            <w:pPr>
              <w:widowControl/>
              <w:spacing w:line="240" w:lineRule="auto"/>
              <w:jc w:val="center"/>
              <w:rPr>
                <w:rFonts w:hint="eastAsia" w:cs="宋体"/>
                <w:color w:val="000000"/>
                <w:kern w:val="0"/>
                <w:sz w:val="22"/>
              </w:rPr>
            </w:pPr>
            <w:r>
              <w:rPr>
                <w:rFonts w:cs="宋体"/>
                <w:color w:val="000000"/>
                <w:kern w:val="0"/>
                <w:sz w:val="22"/>
              </w:rPr>
              <w:t>40</w:t>
            </w:r>
          </w:p>
        </w:tc>
        <w:tc>
          <w:tcPr>
            <w:tcW w:w="152" w:type="pct"/>
            <w:vMerge w:val="continue"/>
            <w:tcBorders>
              <w:top w:val="nil"/>
              <w:left w:val="single" w:color="auto" w:sz="4" w:space="0"/>
              <w:bottom w:val="single" w:color="000000" w:sz="4" w:space="0"/>
              <w:right w:val="single" w:color="auto" w:sz="4" w:space="0"/>
            </w:tcBorders>
            <w:vAlign w:val="center"/>
          </w:tcPr>
          <w:p w14:paraId="6F2E6F94">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37B8576">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14BBF415">
            <w:pPr>
              <w:widowControl/>
              <w:spacing w:line="240" w:lineRule="auto"/>
              <w:rPr>
                <w:rFonts w:hint="eastAsia" w:cs="宋体"/>
                <w:color w:val="000000"/>
                <w:kern w:val="0"/>
                <w:sz w:val="22"/>
              </w:rPr>
            </w:pPr>
            <w:r>
              <w:rPr>
                <w:rFonts w:cs="宋体"/>
                <w:color w:val="000000"/>
                <w:kern w:val="0"/>
                <w:sz w:val="22"/>
              </w:rPr>
              <w:t>国密门禁主机</w:t>
            </w:r>
          </w:p>
        </w:tc>
        <w:tc>
          <w:tcPr>
            <w:tcW w:w="3643" w:type="pct"/>
            <w:tcBorders>
              <w:top w:val="nil"/>
              <w:left w:val="nil"/>
              <w:bottom w:val="single" w:color="auto" w:sz="4" w:space="0"/>
              <w:right w:val="single" w:color="auto" w:sz="4" w:space="0"/>
            </w:tcBorders>
            <w:vAlign w:val="center"/>
          </w:tcPr>
          <w:p w14:paraId="098F98E8">
            <w:pPr>
              <w:widowControl/>
              <w:spacing w:line="240" w:lineRule="auto"/>
              <w:rPr>
                <w:rFonts w:hint="eastAsia" w:cs="宋体"/>
                <w:color w:val="000000"/>
                <w:kern w:val="0"/>
                <w:sz w:val="22"/>
              </w:rPr>
            </w:pPr>
            <w:r>
              <w:rPr>
                <w:rFonts w:cs="宋体"/>
                <w:color w:val="000000"/>
                <w:kern w:val="0"/>
                <w:sz w:val="22"/>
              </w:rPr>
              <w:t>门禁控制：主机可直接管控2门；</w:t>
            </w:r>
            <w:r>
              <w:rPr>
                <w:rFonts w:cs="宋体"/>
                <w:color w:val="000000"/>
                <w:kern w:val="0"/>
                <w:sz w:val="22"/>
              </w:rPr>
              <w:br w:type="textWrapping"/>
            </w:r>
            <w:r>
              <w:rPr>
                <w:rFonts w:cs="宋体"/>
                <w:color w:val="000000"/>
                <w:kern w:val="0"/>
                <w:sz w:val="22"/>
              </w:rPr>
              <w:t xml:space="preserve"> 存储容量：本地支持10万人（含20万张卡、20万个密码、1万枚指纹），60万条事件记录；</w:t>
            </w:r>
            <w:r>
              <w:rPr>
                <w:rFonts w:cs="宋体"/>
                <w:color w:val="000000"/>
                <w:kern w:val="0"/>
                <w:sz w:val="22"/>
              </w:rPr>
              <w:br w:type="textWrapping"/>
            </w:r>
            <w:r>
              <w:rPr>
                <w:rFonts w:cs="宋体"/>
                <w:color w:val="000000"/>
                <w:kern w:val="0"/>
                <w:sz w:val="22"/>
              </w:rPr>
              <w:t xml:space="preserve"> 认证方式：搭配读卡器可以实现刷卡、指纹、密码等认证方式；</w:t>
            </w:r>
            <w:r>
              <w:rPr>
                <w:rFonts w:cs="宋体"/>
                <w:color w:val="000000"/>
                <w:kern w:val="0"/>
                <w:sz w:val="22"/>
              </w:rPr>
              <w:br w:type="textWrapping"/>
            </w:r>
            <w:r>
              <w:rPr>
                <w:rFonts w:cs="宋体"/>
                <w:color w:val="000000"/>
                <w:kern w:val="0"/>
                <w:sz w:val="22"/>
              </w:rPr>
              <w:t xml:space="preserve"> 组合认证：搭配读卡器可实现刷卡+密码、刷卡+指纹、刷卡+指纹+密码等组合认证方式；</w:t>
            </w:r>
            <w:r>
              <w:rPr>
                <w:rFonts w:cs="宋体"/>
                <w:color w:val="000000"/>
                <w:kern w:val="0"/>
                <w:sz w:val="22"/>
              </w:rPr>
              <w:br w:type="textWrapping"/>
            </w:r>
            <w:r>
              <w:rPr>
                <w:rFonts w:cs="宋体"/>
                <w:color w:val="000000"/>
                <w:kern w:val="0"/>
                <w:sz w:val="22"/>
              </w:rPr>
              <w:t xml:space="preserve"> 多重认证：支持多个人员认证（刷卡、密码、指纹等）通过后才开门；</w:t>
            </w:r>
            <w:r>
              <w:rPr>
                <w:rFonts w:cs="宋体"/>
                <w:color w:val="000000"/>
                <w:kern w:val="0"/>
                <w:sz w:val="22"/>
              </w:rPr>
              <w:br w:type="textWrapping"/>
            </w:r>
            <w:r>
              <w:rPr>
                <w:rFonts w:cs="宋体"/>
                <w:color w:val="000000"/>
                <w:kern w:val="0"/>
                <w:sz w:val="22"/>
              </w:rPr>
              <w:t xml:space="preserve"> 门禁计划模板：支持256组计划模板管理，256个周计划（每天8个时段），1024个假日计划；支持常开、常闭时段管理；实现人员的门禁权限按时间段管控；</w:t>
            </w:r>
            <w:r>
              <w:rPr>
                <w:rFonts w:cs="宋体"/>
                <w:color w:val="000000"/>
                <w:kern w:val="0"/>
                <w:sz w:val="22"/>
              </w:rPr>
              <w:br w:type="textWrapping"/>
            </w:r>
            <w:r>
              <w:rPr>
                <w:rFonts w:cs="宋体"/>
                <w:color w:val="000000"/>
                <w:kern w:val="0"/>
                <w:sz w:val="22"/>
              </w:rPr>
              <w:t xml:space="preserve"> 门禁高级功能：反潜回功能、多门互锁功能、首卡常开功能、首开授权功能、超级密码开门功能、胁迫密码开门功能、闭门回锁功能等；</w:t>
            </w:r>
            <w:r>
              <w:rPr>
                <w:rFonts w:cs="宋体"/>
                <w:color w:val="000000"/>
                <w:kern w:val="0"/>
                <w:sz w:val="22"/>
              </w:rPr>
              <w:br w:type="textWrapping"/>
            </w:r>
            <w:r>
              <w:rPr>
                <w:rFonts w:cs="宋体"/>
                <w:color w:val="000000"/>
                <w:kern w:val="0"/>
                <w:sz w:val="22"/>
              </w:rPr>
              <w:t xml:space="preserve"> 事件上传：在线状态下将设备认证结果信息实时上传给平台，支持断网续传功能，设备离线状态下产生事件在与平台连接后会重新上传；</w:t>
            </w:r>
            <w:r>
              <w:rPr>
                <w:rFonts w:cs="宋体"/>
                <w:color w:val="000000"/>
                <w:kern w:val="0"/>
                <w:sz w:val="22"/>
              </w:rPr>
              <w:br w:type="textWrapping"/>
            </w:r>
            <w:r>
              <w:rPr>
                <w:rFonts w:cs="宋体"/>
                <w:color w:val="000000"/>
                <w:kern w:val="0"/>
                <w:sz w:val="22"/>
              </w:rPr>
              <w:t xml:space="preserve"> 报警功能：支持防拆报警、门被异常打开、门超时未关、胁迫卡和胁迫密码报警等；</w:t>
            </w:r>
            <w:r>
              <w:rPr>
                <w:rFonts w:cs="宋体"/>
                <w:color w:val="000000"/>
                <w:kern w:val="0"/>
                <w:sz w:val="22"/>
              </w:rPr>
              <w:br w:type="textWrapping"/>
            </w:r>
            <w:r>
              <w:rPr>
                <w:rFonts w:cs="宋体"/>
                <w:color w:val="000000"/>
                <w:kern w:val="0"/>
                <w:sz w:val="22"/>
              </w:rPr>
              <w:t xml:space="preserve"> 报警联动：具有报警输入接口，实现外部报警信号输入，并上传报警事件；具有报警输出接口，可配置实现事件联动报警输出功能。</w:t>
            </w:r>
            <w:r>
              <w:rPr>
                <w:rFonts w:cs="宋体"/>
                <w:color w:val="000000"/>
                <w:kern w:val="0"/>
                <w:sz w:val="22"/>
              </w:rPr>
              <w:br w:type="textWrapping"/>
            </w:r>
            <w:r>
              <w:rPr>
                <w:rFonts w:cs="宋体"/>
                <w:color w:val="000000"/>
                <w:kern w:val="0"/>
                <w:sz w:val="22"/>
              </w:rPr>
              <w:t xml:space="preserve"> 消防联动：自带消防联动继电器，实现当消防信号输入时，可直接联动锁断电开门；</w:t>
            </w:r>
            <w:r>
              <w:rPr>
                <w:rFonts w:cs="宋体"/>
                <w:color w:val="000000"/>
                <w:kern w:val="0"/>
                <w:sz w:val="22"/>
              </w:rPr>
              <w:br w:type="textWrapping"/>
            </w:r>
            <w:r>
              <w:rPr>
                <w:rFonts w:cs="宋体"/>
                <w:color w:val="000000"/>
                <w:kern w:val="0"/>
                <w:sz w:val="22"/>
              </w:rPr>
              <w:t xml:space="preserve"> 蓄电池接入：可接蓄电池，当设备外部电源断电时，可不间断切换为蓄电池供电；外部电源恢复时可自动给蓄电池充电；并支持蓄电池欠压报警；</w:t>
            </w:r>
            <w:r>
              <w:rPr>
                <w:rFonts w:cs="宋体"/>
                <w:color w:val="000000"/>
                <w:kern w:val="0"/>
                <w:sz w:val="22"/>
              </w:rPr>
              <w:br w:type="textWrapping"/>
            </w:r>
            <w:r>
              <w:rPr>
                <w:rFonts w:cs="宋体"/>
                <w:color w:val="000000"/>
                <w:kern w:val="0"/>
                <w:sz w:val="22"/>
              </w:rPr>
              <w:t xml:space="preserve"> 状态指示：具有电源、网络通讯、485通讯、布放状态、门锁状态指示灯，方便调试及故障排查；</w:t>
            </w:r>
            <w:r>
              <w:rPr>
                <w:rFonts w:cs="宋体"/>
                <w:color w:val="000000"/>
                <w:kern w:val="0"/>
                <w:sz w:val="22"/>
              </w:rPr>
              <w:br w:type="textWrapping"/>
            </w:r>
            <w:r>
              <w:rPr>
                <w:rFonts w:cs="宋体"/>
                <w:color w:val="000000"/>
                <w:kern w:val="0"/>
                <w:sz w:val="22"/>
              </w:rPr>
              <w:t xml:space="preserve"> 升级功能：支持USB、WEB、客户端等方式给主机升级；</w:t>
            </w:r>
            <w:r>
              <w:rPr>
                <w:rFonts w:cs="宋体"/>
                <w:color w:val="000000"/>
                <w:kern w:val="0"/>
                <w:sz w:val="22"/>
              </w:rPr>
              <w:br w:type="textWrapping"/>
            </w:r>
            <w:r>
              <w:rPr>
                <w:rFonts w:cs="宋体"/>
                <w:color w:val="000000"/>
                <w:kern w:val="0"/>
                <w:sz w:val="22"/>
              </w:rPr>
              <w:t>国密加密：内置国密SE安全加密芯片，支持SM1、SM2、SM3、SM4加密处理，满足商用密码检测认证中心GM/T0028《密码安全模块安全技术要求》第二级要求，支持国密CPU卡片读卡识别</w:t>
            </w:r>
          </w:p>
        </w:tc>
        <w:tc>
          <w:tcPr>
            <w:tcW w:w="216" w:type="pct"/>
            <w:tcBorders>
              <w:top w:val="nil"/>
              <w:left w:val="nil"/>
              <w:bottom w:val="single" w:color="auto" w:sz="4" w:space="0"/>
              <w:right w:val="single" w:color="auto" w:sz="4" w:space="0"/>
            </w:tcBorders>
            <w:vAlign w:val="center"/>
          </w:tcPr>
          <w:p w14:paraId="64E9B680">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750B2B82">
            <w:pPr>
              <w:widowControl/>
              <w:spacing w:line="240" w:lineRule="auto"/>
              <w:jc w:val="center"/>
              <w:rPr>
                <w:rFonts w:hint="eastAsia" w:cs="宋体"/>
                <w:color w:val="000000"/>
                <w:kern w:val="0"/>
                <w:sz w:val="22"/>
              </w:rPr>
            </w:pPr>
            <w:r>
              <w:rPr>
                <w:rFonts w:cs="宋体"/>
                <w:color w:val="000000"/>
                <w:kern w:val="0"/>
                <w:sz w:val="22"/>
              </w:rPr>
              <w:t>1</w:t>
            </w:r>
          </w:p>
        </w:tc>
      </w:tr>
      <w:tr w14:paraId="5EA4F2D9">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DC76CB6">
            <w:pPr>
              <w:widowControl/>
              <w:spacing w:line="240" w:lineRule="auto"/>
              <w:jc w:val="center"/>
              <w:rPr>
                <w:rFonts w:hint="eastAsia" w:cs="宋体"/>
                <w:color w:val="000000"/>
                <w:kern w:val="0"/>
                <w:sz w:val="22"/>
              </w:rPr>
            </w:pPr>
            <w:r>
              <w:rPr>
                <w:rFonts w:cs="宋体"/>
                <w:color w:val="000000"/>
                <w:kern w:val="0"/>
                <w:sz w:val="22"/>
              </w:rPr>
              <w:t>41</w:t>
            </w:r>
          </w:p>
        </w:tc>
        <w:tc>
          <w:tcPr>
            <w:tcW w:w="152" w:type="pct"/>
            <w:vMerge w:val="continue"/>
            <w:tcBorders>
              <w:top w:val="nil"/>
              <w:left w:val="single" w:color="auto" w:sz="4" w:space="0"/>
              <w:bottom w:val="single" w:color="000000" w:sz="4" w:space="0"/>
              <w:right w:val="single" w:color="auto" w:sz="4" w:space="0"/>
            </w:tcBorders>
            <w:vAlign w:val="center"/>
          </w:tcPr>
          <w:p w14:paraId="66A27129">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0DC133B">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15DA700A">
            <w:pPr>
              <w:widowControl/>
              <w:spacing w:line="240" w:lineRule="auto"/>
              <w:rPr>
                <w:rFonts w:hint="eastAsia" w:cs="宋体"/>
                <w:color w:val="000000"/>
                <w:kern w:val="0"/>
                <w:sz w:val="22"/>
              </w:rPr>
            </w:pPr>
            <w:r>
              <w:rPr>
                <w:rFonts w:cs="宋体"/>
                <w:color w:val="000000"/>
                <w:kern w:val="0"/>
                <w:sz w:val="22"/>
              </w:rPr>
              <w:t>发卡器</w:t>
            </w:r>
          </w:p>
        </w:tc>
        <w:tc>
          <w:tcPr>
            <w:tcW w:w="3643" w:type="pct"/>
            <w:tcBorders>
              <w:top w:val="nil"/>
              <w:left w:val="nil"/>
              <w:bottom w:val="single" w:color="auto" w:sz="4" w:space="0"/>
              <w:right w:val="single" w:color="auto" w:sz="4" w:space="0"/>
            </w:tcBorders>
            <w:noWrap/>
            <w:vAlign w:val="center"/>
          </w:tcPr>
          <w:p w14:paraId="7808EC8C">
            <w:pPr>
              <w:widowControl/>
              <w:spacing w:line="240" w:lineRule="auto"/>
              <w:rPr>
                <w:rFonts w:hint="eastAsia" w:cs="宋体"/>
                <w:color w:val="000000"/>
                <w:kern w:val="0"/>
                <w:sz w:val="22"/>
              </w:rPr>
            </w:pPr>
            <w:r>
              <w:rPr>
                <w:rFonts w:cs="宋体"/>
                <w:color w:val="000000"/>
                <w:kern w:val="0"/>
                <w:sz w:val="22"/>
              </w:rPr>
              <w:t>支持发卡类型：ID卡、IC卡、身份证物料卡号（序列号）、普通CPU卡、国密CPU卡；</w:t>
            </w:r>
          </w:p>
        </w:tc>
        <w:tc>
          <w:tcPr>
            <w:tcW w:w="216" w:type="pct"/>
            <w:tcBorders>
              <w:top w:val="nil"/>
              <w:left w:val="nil"/>
              <w:bottom w:val="single" w:color="auto" w:sz="4" w:space="0"/>
              <w:right w:val="single" w:color="auto" w:sz="4" w:space="0"/>
            </w:tcBorders>
            <w:vAlign w:val="center"/>
          </w:tcPr>
          <w:p w14:paraId="0967B60E">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6ABFE444">
            <w:pPr>
              <w:widowControl/>
              <w:spacing w:line="240" w:lineRule="auto"/>
              <w:jc w:val="center"/>
              <w:rPr>
                <w:rFonts w:hint="eastAsia" w:cs="宋体"/>
                <w:color w:val="000000"/>
                <w:kern w:val="0"/>
                <w:sz w:val="22"/>
              </w:rPr>
            </w:pPr>
            <w:r>
              <w:rPr>
                <w:rFonts w:cs="宋体"/>
                <w:color w:val="000000"/>
                <w:kern w:val="0"/>
                <w:sz w:val="22"/>
              </w:rPr>
              <w:t>1</w:t>
            </w:r>
          </w:p>
        </w:tc>
      </w:tr>
      <w:tr w14:paraId="13C2E576">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905491E">
            <w:pPr>
              <w:widowControl/>
              <w:spacing w:line="240" w:lineRule="auto"/>
              <w:jc w:val="center"/>
              <w:rPr>
                <w:rFonts w:hint="eastAsia" w:cs="宋体"/>
                <w:color w:val="000000"/>
                <w:kern w:val="0"/>
                <w:sz w:val="22"/>
              </w:rPr>
            </w:pPr>
            <w:r>
              <w:rPr>
                <w:rFonts w:cs="宋体"/>
                <w:color w:val="000000"/>
                <w:kern w:val="0"/>
                <w:sz w:val="22"/>
              </w:rPr>
              <w:t>42</w:t>
            </w:r>
          </w:p>
        </w:tc>
        <w:tc>
          <w:tcPr>
            <w:tcW w:w="152" w:type="pct"/>
            <w:vMerge w:val="continue"/>
            <w:tcBorders>
              <w:top w:val="nil"/>
              <w:left w:val="single" w:color="auto" w:sz="4" w:space="0"/>
              <w:bottom w:val="single" w:color="000000" w:sz="4" w:space="0"/>
              <w:right w:val="single" w:color="auto" w:sz="4" w:space="0"/>
            </w:tcBorders>
            <w:vAlign w:val="center"/>
          </w:tcPr>
          <w:p w14:paraId="5AD2FF61">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B9C1343">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D9BE82D">
            <w:pPr>
              <w:widowControl/>
              <w:spacing w:line="240" w:lineRule="auto"/>
              <w:rPr>
                <w:rFonts w:hint="eastAsia" w:cs="宋体"/>
                <w:color w:val="000000"/>
                <w:kern w:val="0"/>
                <w:sz w:val="22"/>
              </w:rPr>
            </w:pPr>
            <w:r>
              <w:rPr>
                <w:rFonts w:cs="宋体"/>
                <w:color w:val="000000"/>
                <w:kern w:val="0"/>
                <w:sz w:val="22"/>
              </w:rPr>
              <w:t>国密CPU卡</w:t>
            </w:r>
          </w:p>
        </w:tc>
        <w:tc>
          <w:tcPr>
            <w:tcW w:w="3643" w:type="pct"/>
            <w:tcBorders>
              <w:top w:val="nil"/>
              <w:left w:val="nil"/>
              <w:bottom w:val="single" w:color="auto" w:sz="4" w:space="0"/>
              <w:right w:val="single" w:color="auto" w:sz="4" w:space="0"/>
            </w:tcBorders>
            <w:vAlign w:val="center"/>
          </w:tcPr>
          <w:p w14:paraId="4126E37C">
            <w:pPr>
              <w:widowControl/>
              <w:spacing w:line="240" w:lineRule="auto"/>
              <w:rPr>
                <w:rFonts w:hint="eastAsia" w:cs="宋体"/>
                <w:color w:val="000000"/>
                <w:kern w:val="0"/>
                <w:sz w:val="22"/>
              </w:rPr>
            </w:pPr>
            <w:r>
              <w:rPr>
                <w:rFonts w:cs="宋体"/>
                <w:color w:val="000000"/>
                <w:kern w:val="0"/>
                <w:sz w:val="22"/>
              </w:rPr>
              <w:t>感应频率13.56MHZ；</w:t>
            </w:r>
            <w:r>
              <w:rPr>
                <w:rFonts w:cs="宋体"/>
                <w:color w:val="000000"/>
                <w:kern w:val="0"/>
                <w:sz w:val="22"/>
              </w:rPr>
              <w:br w:type="textWrapping"/>
            </w:r>
            <w:r>
              <w:rPr>
                <w:rFonts w:cs="宋体"/>
                <w:color w:val="000000"/>
                <w:kern w:val="0"/>
                <w:sz w:val="22"/>
              </w:rPr>
              <w:t>支持国密SM1、SM4算法加密；</w:t>
            </w:r>
          </w:p>
        </w:tc>
        <w:tc>
          <w:tcPr>
            <w:tcW w:w="216" w:type="pct"/>
            <w:tcBorders>
              <w:top w:val="nil"/>
              <w:left w:val="nil"/>
              <w:bottom w:val="single" w:color="auto" w:sz="4" w:space="0"/>
              <w:right w:val="single" w:color="auto" w:sz="4" w:space="0"/>
            </w:tcBorders>
            <w:vAlign w:val="center"/>
          </w:tcPr>
          <w:p w14:paraId="0BF1DD6C">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58C835C0">
            <w:pPr>
              <w:widowControl/>
              <w:spacing w:line="240" w:lineRule="auto"/>
              <w:jc w:val="center"/>
              <w:rPr>
                <w:rFonts w:hint="eastAsia" w:cs="宋体"/>
                <w:color w:val="000000"/>
                <w:kern w:val="0"/>
                <w:sz w:val="22"/>
              </w:rPr>
            </w:pPr>
            <w:r>
              <w:rPr>
                <w:rFonts w:cs="宋体"/>
                <w:color w:val="000000"/>
                <w:kern w:val="0"/>
                <w:sz w:val="22"/>
              </w:rPr>
              <w:t>15</w:t>
            </w:r>
          </w:p>
        </w:tc>
      </w:tr>
      <w:tr w14:paraId="562EC43F">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36E9AA1F">
            <w:pPr>
              <w:widowControl/>
              <w:spacing w:line="240" w:lineRule="auto"/>
              <w:jc w:val="center"/>
              <w:rPr>
                <w:rFonts w:hint="eastAsia" w:cs="宋体"/>
                <w:color w:val="000000"/>
                <w:kern w:val="0"/>
                <w:sz w:val="22"/>
              </w:rPr>
            </w:pPr>
            <w:r>
              <w:rPr>
                <w:rFonts w:cs="宋体"/>
                <w:color w:val="000000"/>
                <w:kern w:val="0"/>
                <w:sz w:val="22"/>
              </w:rPr>
              <w:t>43</w:t>
            </w:r>
          </w:p>
        </w:tc>
        <w:tc>
          <w:tcPr>
            <w:tcW w:w="152" w:type="pct"/>
            <w:vMerge w:val="continue"/>
            <w:tcBorders>
              <w:top w:val="nil"/>
              <w:left w:val="single" w:color="auto" w:sz="4" w:space="0"/>
              <w:bottom w:val="single" w:color="000000" w:sz="4" w:space="0"/>
              <w:right w:val="single" w:color="auto" w:sz="4" w:space="0"/>
            </w:tcBorders>
            <w:vAlign w:val="center"/>
          </w:tcPr>
          <w:p w14:paraId="3D304153">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7F46F3BA">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00119F5">
            <w:pPr>
              <w:widowControl/>
              <w:spacing w:line="240" w:lineRule="auto"/>
              <w:rPr>
                <w:rFonts w:hint="eastAsia" w:cs="宋体"/>
                <w:color w:val="000000"/>
                <w:kern w:val="0"/>
                <w:sz w:val="22"/>
              </w:rPr>
            </w:pPr>
            <w:r>
              <w:rPr>
                <w:rFonts w:cs="宋体"/>
                <w:color w:val="000000"/>
                <w:kern w:val="0"/>
                <w:sz w:val="22"/>
              </w:rPr>
              <w:t>半球摄像机</w:t>
            </w:r>
          </w:p>
        </w:tc>
        <w:tc>
          <w:tcPr>
            <w:tcW w:w="3643" w:type="pct"/>
            <w:tcBorders>
              <w:top w:val="nil"/>
              <w:left w:val="nil"/>
              <w:bottom w:val="single" w:color="auto" w:sz="4" w:space="0"/>
              <w:right w:val="single" w:color="auto" w:sz="4" w:space="0"/>
            </w:tcBorders>
            <w:vAlign w:val="center"/>
          </w:tcPr>
          <w:p w14:paraId="254DC1B8">
            <w:pPr>
              <w:widowControl/>
              <w:spacing w:line="240" w:lineRule="auto"/>
              <w:rPr>
                <w:rFonts w:hint="eastAsia" w:cs="宋体"/>
                <w:color w:val="000000"/>
                <w:kern w:val="0"/>
                <w:sz w:val="22"/>
              </w:rPr>
            </w:pPr>
            <w:r>
              <w:rPr>
                <w:rFonts w:cs="宋体"/>
                <w:color w:val="000000"/>
                <w:kern w:val="0"/>
                <w:sz w:val="22"/>
              </w:rPr>
              <w:t>支持深度学习算法，自身提取目标特征；</w:t>
            </w:r>
            <w:r>
              <w:rPr>
                <w:rFonts w:cs="宋体"/>
                <w:color w:val="000000"/>
                <w:kern w:val="0"/>
                <w:sz w:val="22"/>
              </w:rPr>
              <w:br w:type="textWrapping"/>
            </w:r>
            <w:r>
              <w:rPr>
                <w:rFonts w:cs="宋体"/>
                <w:color w:val="000000"/>
                <w:kern w:val="0"/>
                <w:sz w:val="22"/>
              </w:rPr>
              <w:t>支持智能资源模式切换：人脸抓拍（默认），事件，热度图，人数统计，道路监控，普通监控</w:t>
            </w:r>
            <w:r>
              <w:rPr>
                <w:rFonts w:cs="宋体"/>
                <w:color w:val="000000"/>
                <w:kern w:val="0"/>
                <w:sz w:val="22"/>
              </w:rPr>
              <w:br w:type="textWrapping"/>
            </w:r>
            <w:r>
              <w:rPr>
                <w:rFonts w:cs="宋体"/>
                <w:color w:val="000000"/>
                <w:kern w:val="0"/>
                <w:sz w:val="22"/>
              </w:rPr>
              <w:t>人脸抓拍模式：支持同时检测并且抓拍30张人脸，支持对运动人脸进行检测、跟进查看、抓拍、评分、筛选输出优选的人脸抓图，支持优选抓拍，快速抓拍</w:t>
            </w:r>
            <w:r>
              <w:rPr>
                <w:rFonts w:cs="宋体"/>
                <w:color w:val="000000"/>
                <w:kern w:val="0"/>
                <w:sz w:val="22"/>
              </w:rPr>
              <w:br w:type="textWrapping"/>
            </w:r>
            <w:r>
              <w:rPr>
                <w:rFonts w:cs="宋体"/>
                <w:color w:val="000000"/>
                <w:kern w:val="0"/>
                <w:sz w:val="22"/>
              </w:rPr>
              <w:t>道路监控模式：a)车辆检测：支持车牌识别并抓拍，车牌号码/车身颜色/车辆类型/车辆品牌，b)混行检测：检测正向或逆向行驶的车辆以及行人和非机动车，自动对车辆牌照进行识别，可以抓拍无车牌的车辆图片</w:t>
            </w:r>
            <w:r>
              <w:rPr>
                <w:rFonts w:cs="宋体"/>
                <w:color w:val="000000"/>
                <w:kern w:val="0"/>
                <w:sz w:val="22"/>
              </w:rPr>
              <w:br w:type="textWrapping"/>
            </w:r>
            <w:r>
              <w:rPr>
                <w:rFonts w:cs="宋体"/>
                <w:color w:val="000000"/>
                <w:kern w:val="0"/>
                <w:sz w:val="22"/>
              </w:rPr>
              <w:t>事件模式：越界侦测，区域入侵侦测，进入/离开区域侦测，徘徊侦测，人员聚集侦测，快速运动侦测，停车侦测，物品遗留/拿取侦测，场景变更侦测，音频陡升/陡降侦测，音频有无侦测，虚焦侦测。其中越界侦测，区域入侵侦测，进入/离开区域侦测为深度学习算法，支持联动声音预警</w:t>
            </w:r>
            <w:r>
              <w:rPr>
                <w:rFonts w:cs="宋体"/>
                <w:color w:val="000000"/>
                <w:kern w:val="0"/>
                <w:sz w:val="22"/>
              </w:rPr>
              <w:br w:type="textWrapping"/>
            </w:r>
            <w:r>
              <w:rPr>
                <w:rFonts w:cs="宋体"/>
                <w:color w:val="000000"/>
                <w:kern w:val="0"/>
                <w:sz w:val="22"/>
              </w:rPr>
              <w:t>录像：支持断网续传功能保证录像不丢失，配合NVR/SD卡实现事件录像的智能后检索、分析和浓缩播放，编码：支持低码率、低延时、ROI感兴趣区域增强编码、SVC自适应编码技术，支持265编码</w:t>
            </w:r>
            <w:r>
              <w:rPr>
                <w:rFonts w:cs="宋体"/>
                <w:color w:val="000000"/>
                <w:kern w:val="0"/>
                <w:sz w:val="22"/>
              </w:rPr>
              <w:br w:type="textWrapping"/>
            </w:r>
            <w:r>
              <w:rPr>
                <w:rFonts w:cs="宋体"/>
                <w:color w:val="000000"/>
                <w:kern w:val="0"/>
                <w:sz w:val="22"/>
              </w:rPr>
              <w:t>鳞镜补光：采用隐藏式灯珠设计，通过鳞甲密布排列形成的镜面反射出光，见光不见灯。增加发光面积，降低聚光效果，补光柔和均匀。</w:t>
            </w:r>
            <w:r>
              <w:rPr>
                <w:rFonts w:cs="宋体"/>
                <w:color w:val="000000"/>
                <w:kern w:val="0"/>
                <w:sz w:val="22"/>
              </w:rPr>
              <w:br w:type="textWrapping"/>
            </w:r>
            <w:r>
              <w:rPr>
                <w:rFonts w:cs="宋体"/>
                <w:color w:val="000000"/>
                <w:kern w:val="0"/>
                <w:sz w:val="22"/>
              </w:rPr>
              <w:t>系统功能：支持开放型网络视频接口、ISAPI、GB/T28181-2016和OTAP；支持三码流技术，支持同时20路取流；</w:t>
            </w:r>
            <w:r>
              <w:rPr>
                <w:rFonts w:cs="宋体"/>
                <w:color w:val="000000"/>
                <w:kern w:val="0"/>
                <w:sz w:val="22"/>
              </w:rPr>
              <w:br w:type="textWrapping"/>
            </w:r>
            <w:r>
              <w:rPr>
                <w:rFonts w:cs="宋体"/>
                <w:color w:val="000000"/>
                <w:kern w:val="0"/>
                <w:sz w:val="22"/>
              </w:rPr>
              <w:t>宽动态：支持宽动态范围达120 dB，适合逆光环境监控</w:t>
            </w:r>
            <w:r>
              <w:rPr>
                <w:rFonts w:cs="宋体"/>
                <w:color w:val="000000"/>
                <w:kern w:val="0"/>
                <w:sz w:val="22"/>
              </w:rPr>
              <w:br w:type="textWrapping"/>
            </w:r>
            <w:r>
              <w:rPr>
                <w:rFonts w:cs="宋体"/>
                <w:color w:val="000000"/>
                <w:kern w:val="0"/>
                <w:sz w:val="22"/>
              </w:rPr>
              <w:t>图像相关：支持400万像素 @25 fps实时帧率，图像更流畅；支持透雾，电子防抖，具有多种白平衡模式；</w:t>
            </w:r>
            <w:r>
              <w:rPr>
                <w:rFonts w:cs="宋体"/>
                <w:color w:val="000000"/>
                <w:kern w:val="0"/>
                <w:sz w:val="22"/>
              </w:rPr>
              <w:br w:type="textWrapping"/>
            </w:r>
            <w:r>
              <w:rPr>
                <w:rFonts w:cs="宋体"/>
                <w:color w:val="000000"/>
                <w:kern w:val="0"/>
                <w:sz w:val="22"/>
              </w:rPr>
              <w:t>安全服务：支持三级用户权限管理，支持授权的用户和密码，支持IP地址过滤；</w:t>
            </w:r>
            <w:r>
              <w:rPr>
                <w:rFonts w:cs="宋体"/>
                <w:color w:val="000000"/>
                <w:kern w:val="0"/>
                <w:sz w:val="22"/>
              </w:rPr>
              <w:br w:type="textWrapping"/>
            </w:r>
            <w:r>
              <w:rPr>
                <w:rFonts w:cs="宋体"/>
                <w:color w:val="000000"/>
                <w:kern w:val="0"/>
                <w:sz w:val="22"/>
              </w:rPr>
              <w:t>商密能力：内置通过国家密码局检测认证的安全芯片，支持SM1/SM2/SM3/SM4等国家商用密码算法；支持基于数字证书的设备接入认证能力；支持基于国家商用密码算法的信令认证能力；支持符合国家商用密码算法标准的证书请求文件导出；支持符合国家商用密码算法标准的数字证书导入；支持数字证书签名加密双证书体系；支持CA系统根证书导入，用于校验平台身份可靠性；支持平台身份证书导入，用于接入平台认证</w:t>
            </w:r>
            <w:r>
              <w:rPr>
                <w:rFonts w:cs="宋体"/>
                <w:color w:val="000000"/>
                <w:kern w:val="0"/>
                <w:sz w:val="22"/>
              </w:rPr>
              <w:br w:type="textWrapping"/>
            </w:r>
            <w:r>
              <w:rPr>
                <w:rFonts w:cs="宋体"/>
                <w:color w:val="000000"/>
                <w:kern w:val="0"/>
                <w:sz w:val="22"/>
              </w:rPr>
              <w:t>接口功能：MicroSD/MicroSDHC/MicroSDXC插槽，最大支持 256 GB；支持10M/100M自适应网口；支持一对报警输入输出</w:t>
            </w:r>
            <w:r>
              <w:rPr>
                <w:rFonts w:cs="宋体"/>
                <w:color w:val="000000"/>
                <w:kern w:val="0"/>
                <w:sz w:val="22"/>
              </w:rPr>
              <w:br w:type="textWrapping"/>
            </w:r>
            <w:r>
              <w:rPr>
                <w:rFonts w:cs="宋体"/>
                <w:color w:val="000000"/>
                <w:kern w:val="0"/>
                <w:sz w:val="22"/>
              </w:rPr>
              <w:t>支持电量检测：支持设备功耗检测，支持设备功耗报表展示，报表类型支持日报表和周报表（默认日报表，单位瓦时（W·h））</w:t>
            </w:r>
            <w:r>
              <w:rPr>
                <w:rFonts w:cs="宋体"/>
                <w:color w:val="000000"/>
                <w:kern w:val="0"/>
                <w:sz w:val="22"/>
              </w:rPr>
              <w:br w:type="textWrapping"/>
            </w:r>
            <w:r>
              <w:rPr>
                <w:rFonts w:cs="宋体"/>
                <w:color w:val="000000"/>
                <w:kern w:val="0"/>
                <w:sz w:val="22"/>
              </w:rPr>
              <w:t>传感器类型：1/2.7" Progressive Scan CMOS</w:t>
            </w:r>
            <w:r>
              <w:rPr>
                <w:rFonts w:cs="宋体"/>
                <w:color w:val="000000"/>
                <w:kern w:val="0"/>
                <w:sz w:val="22"/>
              </w:rPr>
              <w:br w:type="textWrapping"/>
            </w:r>
            <w:r>
              <w:rPr>
                <w:rFonts w:cs="宋体"/>
                <w:color w:val="000000"/>
                <w:kern w:val="0"/>
                <w:sz w:val="22"/>
              </w:rPr>
              <w:t>最低照度：彩色：0.005 Lux @（F1.2，AGC ON）</w:t>
            </w:r>
            <w:r>
              <w:rPr>
                <w:rFonts w:cs="宋体"/>
                <w:color w:val="000000"/>
                <w:kern w:val="0"/>
                <w:sz w:val="22"/>
              </w:rPr>
              <w:br w:type="textWrapping"/>
            </w:r>
            <w:r>
              <w:rPr>
                <w:rFonts w:cs="宋体"/>
                <w:color w:val="000000"/>
                <w:kern w:val="0"/>
                <w:sz w:val="22"/>
              </w:rPr>
              <w:t>黑白：0.001 Lux @（F1.2，AGC ON），0 Lux with IR</w:t>
            </w:r>
            <w:r>
              <w:rPr>
                <w:rFonts w:cs="宋体"/>
                <w:color w:val="000000"/>
                <w:kern w:val="0"/>
                <w:sz w:val="22"/>
              </w:rPr>
              <w:br w:type="textWrapping"/>
            </w:r>
            <w:r>
              <w:rPr>
                <w:rFonts w:cs="宋体"/>
                <w:color w:val="000000"/>
                <w:kern w:val="0"/>
                <w:sz w:val="22"/>
              </w:rPr>
              <w:t>宽动态：120 dB</w:t>
            </w:r>
            <w:r>
              <w:rPr>
                <w:rFonts w:cs="宋体"/>
                <w:color w:val="000000"/>
                <w:kern w:val="0"/>
                <w:sz w:val="22"/>
              </w:rPr>
              <w:br w:type="textWrapping"/>
            </w:r>
            <w:r>
              <w:rPr>
                <w:rFonts w:cs="宋体"/>
                <w:color w:val="000000"/>
                <w:kern w:val="0"/>
                <w:sz w:val="22"/>
              </w:rPr>
              <w:t xml:space="preserve">调节角度：水平：0~355°，垂直：0~75°，旋转：0~355° </w:t>
            </w:r>
            <w:r>
              <w:rPr>
                <w:rFonts w:cs="宋体"/>
                <w:color w:val="000000"/>
                <w:kern w:val="0"/>
                <w:sz w:val="22"/>
              </w:rPr>
              <w:br w:type="textWrapping"/>
            </w:r>
            <w:r>
              <w:rPr>
                <w:rFonts w:cs="宋体"/>
                <w:color w:val="000000"/>
                <w:kern w:val="0"/>
                <w:sz w:val="22"/>
              </w:rPr>
              <w:t xml:space="preserve">焦距&amp;视场角：2.7~13.5 mm：水平视场角：96.6°~29.7°，垂直视场角：51.7°~16.7°，对角线视场角：114.2°~34° </w:t>
            </w:r>
            <w:r>
              <w:rPr>
                <w:rFonts w:cs="宋体"/>
                <w:color w:val="000000"/>
                <w:kern w:val="0"/>
                <w:sz w:val="22"/>
              </w:rPr>
              <w:br w:type="textWrapping"/>
            </w:r>
            <w:r>
              <w:rPr>
                <w:rFonts w:cs="宋体"/>
                <w:color w:val="000000"/>
                <w:kern w:val="0"/>
                <w:sz w:val="22"/>
              </w:rPr>
              <w:t>补光灯类型：鳞镜补光，红外850 nm，3颗灯珠</w:t>
            </w:r>
            <w:r>
              <w:rPr>
                <w:rFonts w:cs="宋体"/>
                <w:color w:val="000000"/>
                <w:kern w:val="0"/>
                <w:sz w:val="22"/>
              </w:rPr>
              <w:br w:type="textWrapping"/>
            </w:r>
            <w:r>
              <w:rPr>
                <w:rFonts w:cs="宋体"/>
                <w:color w:val="000000"/>
                <w:kern w:val="0"/>
                <w:sz w:val="22"/>
              </w:rPr>
              <w:t>补光距离：普通监控：30 m，人脸抓拍/识别：3 m</w:t>
            </w:r>
            <w:r>
              <w:rPr>
                <w:rFonts w:cs="宋体"/>
                <w:color w:val="000000"/>
                <w:kern w:val="0"/>
                <w:sz w:val="22"/>
              </w:rPr>
              <w:br w:type="textWrapping"/>
            </w:r>
            <w:r>
              <w:rPr>
                <w:rFonts w:cs="宋体"/>
                <w:color w:val="000000"/>
                <w:kern w:val="0"/>
                <w:sz w:val="22"/>
              </w:rPr>
              <w:t xml:space="preserve">防补光过曝：支持防补光过曝开启和关闭，开启下支持自动和手动，手动支持根据距离等级控制补光灯亮度 </w:t>
            </w:r>
            <w:r>
              <w:rPr>
                <w:rFonts w:cs="宋体"/>
                <w:color w:val="000000"/>
                <w:kern w:val="0"/>
                <w:sz w:val="22"/>
              </w:rPr>
              <w:br w:type="textWrapping"/>
            </w:r>
            <w:r>
              <w:rPr>
                <w:rFonts w:cs="宋体"/>
                <w:color w:val="000000"/>
                <w:kern w:val="0"/>
                <w:sz w:val="22"/>
              </w:rPr>
              <w:t>最大图像尺寸：2560 × 1440</w:t>
            </w:r>
            <w:r>
              <w:rPr>
                <w:rFonts w:cs="宋体"/>
                <w:color w:val="000000"/>
                <w:kern w:val="0"/>
                <w:sz w:val="22"/>
              </w:rPr>
              <w:br w:type="textWrapping"/>
            </w:r>
            <w:r>
              <w:rPr>
                <w:rFonts w:cs="宋体"/>
                <w:color w:val="000000"/>
                <w:kern w:val="0"/>
                <w:sz w:val="22"/>
              </w:rPr>
              <w:t xml:space="preserve">视频压缩标准：H.265/H.264/MJPEG </w:t>
            </w:r>
            <w:r>
              <w:rPr>
                <w:rFonts w:cs="宋体"/>
                <w:color w:val="000000"/>
                <w:kern w:val="0"/>
                <w:sz w:val="22"/>
              </w:rPr>
              <w:br w:type="textWrapping"/>
            </w:r>
            <w:r>
              <w:rPr>
                <w:rFonts w:cs="宋体"/>
                <w:color w:val="000000"/>
                <w:kern w:val="0"/>
                <w:sz w:val="22"/>
              </w:rPr>
              <w:t>接口类型：外甩线</w:t>
            </w:r>
            <w:r>
              <w:rPr>
                <w:rFonts w:cs="宋体"/>
                <w:color w:val="000000"/>
                <w:kern w:val="0"/>
                <w:sz w:val="22"/>
              </w:rPr>
              <w:br w:type="textWrapping"/>
            </w:r>
            <w:r>
              <w:rPr>
                <w:rFonts w:cs="宋体"/>
                <w:color w:val="000000"/>
                <w:kern w:val="0"/>
                <w:sz w:val="22"/>
              </w:rPr>
              <w:t>网络：1个RJ45 10 M/100 M自适应以太网口</w:t>
            </w:r>
            <w:r>
              <w:rPr>
                <w:rFonts w:cs="宋体"/>
                <w:color w:val="000000"/>
                <w:kern w:val="0"/>
                <w:sz w:val="22"/>
              </w:rPr>
              <w:br w:type="textWrapping"/>
            </w:r>
            <w:r>
              <w:rPr>
                <w:rFonts w:cs="宋体"/>
                <w:color w:val="000000"/>
                <w:kern w:val="0"/>
                <w:sz w:val="22"/>
              </w:rPr>
              <w:t>SD卡扩展：内置MicroSD/MicroSDHC/MicroSDXC插槽，最大支持512 GB</w:t>
            </w:r>
            <w:r>
              <w:rPr>
                <w:rFonts w:cs="宋体"/>
                <w:color w:val="000000"/>
                <w:kern w:val="0"/>
                <w:sz w:val="22"/>
              </w:rPr>
              <w:br w:type="textWrapping"/>
            </w:r>
            <w:r>
              <w:rPr>
                <w:rFonts w:cs="宋体"/>
                <w:color w:val="000000"/>
                <w:kern w:val="0"/>
                <w:sz w:val="22"/>
              </w:rPr>
              <w:t>音频：1 路输入（Line in），1路输出（Line out），2个内置麦克风，1个内置扬声器</w:t>
            </w:r>
            <w:r>
              <w:rPr>
                <w:rFonts w:cs="宋体"/>
                <w:color w:val="000000"/>
                <w:kern w:val="0"/>
                <w:sz w:val="22"/>
              </w:rPr>
              <w:br w:type="textWrapping"/>
            </w:r>
            <w:r>
              <w:rPr>
                <w:rFonts w:cs="宋体"/>
                <w:color w:val="000000"/>
                <w:kern w:val="0"/>
                <w:sz w:val="22"/>
              </w:rPr>
              <w:t>报警：1路输入，1路输出（报警输入支持开关量，报警输出最大支持DC12 V，30 mA）</w:t>
            </w:r>
            <w:r>
              <w:rPr>
                <w:rFonts w:cs="宋体"/>
                <w:color w:val="000000"/>
                <w:kern w:val="0"/>
                <w:sz w:val="22"/>
              </w:rPr>
              <w:br w:type="textWrapping"/>
            </w:r>
            <w:r>
              <w:rPr>
                <w:rFonts w:cs="宋体"/>
                <w:color w:val="000000"/>
                <w:kern w:val="0"/>
                <w:sz w:val="22"/>
              </w:rPr>
              <w:t>RS-485：1路RS-485接口，半双工模式，支持自适应HIKVISION，PELCO-P和PELCO-D协议</w:t>
            </w:r>
            <w:r>
              <w:rPr>
                <w:rFonts w:cs="宋体"/>
                <w:color w:val="000000"/>
                <w:kern w:val="0"/>
                <w:sz w:val="22"/>
              </w:rPr>
              <w:br w:type="textWrapping"/>
            </w:r>
            <w:r>
              <w:rPr>
                <w:rFonts w:cs="宋体"/>
                <w:color w:val="000000"/>
                <w:kern w:val="0"/>
                <w:sz w:val="22"/>
              </w:rPr>
              <w:t>启动和工作温湿度：-30 °C~60 °C，湿度小于95%（无凝结）</w:t>
            </w:r>
            <w:r>
              <w:rPr>
                <w:rFonts w:cs="宋体"/>
                <w:color w:val="000000"/>
                <w:kern w:val="0"/>
                <w:sz w:val="22"/>
              </w:rPr>
              <w:br w:type="textWrapping"/>
            </w:r>
            <w:r>
              <w:rPr>
                <w:rFonts w:cs="宋体"/>
                <w:color w:val="000000"/>
                <w:kern w:val="0"/>
                <w:sz w:val="22"/>
              </w:rPr>
              <w:t>PoE：802.3af，Type 1 Class 3</w:t>
            </w:r>
            <w:r>
              <w:rPr>
                <w:rFonts w:cs="宋体"/>
                <w:color w:val="000000"/>
                <w:kern w:val="0"/>
                <w:sz w:val="22"/>
              </w:rPr>
              <w:br w:type="textWrapping"/>
            </w:r>
            <w:r>
              <w:rPr>
                <w:rFonts w:cs="宋体"/>
                <w:color w:val="000000"/>
                <w:kern w:val="0"/>
                <w:sz w:val="22"/>
              </w:rPr>
              <w:t>防护：IP67</w:t>
            </w:r>
          </w:p>
        </w:tc>
        <w:tc>
          <w:tcPr>
            <w:tcW w:w="216" w:type="pct"/>
            <w:tcBorders>
              <w:top w:val="nil"/>
              <w:left w:val="nil"/>
              <w:bottom w:val="single" w:color="auto" w:sz="4" w:space="0"/>
              <w:right w:val="single" w:color="auto" w:sz="4" w:space="0"/>
            </w:tcBorders>
            <w:vAlign w:val="center"/>
          </w:tcPr>
          <w:p w14:paraId="330D7108">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25B61ACC">
            <w:pPr>
              <w:widowControl/>
              <w:spacing w:line="240" w:lineRule="auto"/>
              <w:jc w:val="center"/>
              <w:rPr>
                <w:rFonts w:hint="eastAsia" w:cs="宋体"/>
                <w:color w:val="000000"/>
                <w:kern w:val="0"/>
                <w:sz w:val="22"/>
              </w:rPr>
            </w:pPr>
            <w:r>
              <w:rPr>
                <w:rFonts w:cs="宋体"/>
                <w:color w:val="000000"/>
                <w:kern w:val="0"/>
                <w:sz w:val="22"/>
              </w:rPr>
              <w:t>2</w:t>
            </w:r>
          </w:p>
        </w:tc>
      </w:tr>
      <w:tr w14:paraId="0D12E77D">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B2B914E">
            <w:pPr>
              <w:widowControl/>
              <w:spacing w:line="240" w:lineRule="auto"/>
              <w:jc w:val="center"/>
              <w:rPr>
                <w:rFonts w:hint="eastAsia" w:cs="宋体"/>
                <w:color w:val="000000"/>
                <w:kern w:val="0"/>
                <w:sz w:val="22"/>
              </w:rPr>
            </w:pPr>
            <w:r>
              <w:rPr>
                <w:rFonts w:cs="宋体"/>
                <w:color w:val="000000"/>
                <w:kern w:val="0"/>
                <w:sz w:val="22"/>
              </w:rPr>
              <w:t>44</w:t>
            </w:r>
          </w:p>
        </w:tc>
        <w:tc>
          <w:tcPr>
            <w:tcW w:w="152" w:type="pct"/>
            <w:vMerge w:val="continue"/>
            <w:tcBorders>
              <w:top w:val="nil"/>
              <w:left w:val="single" w:color="auto" w:sz="4" w:space="0"/>
              <w:bottom w:val="single" w:color="000000" w:sz="4" w:space="0"/>
              <w:right w:val="single" w:color="auto" w:sz="4" w:space="0"/>
            </w:tcBorders>
            <w:vAlign w:val="center"/>
          </w:tcPr>
          <w:p w14:paraId="3172572C">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A86F3CD">
            <w:pPr>
              <w:widowControl/>
              <w:spacing w:line="240" w:lineRule="auto"/>
              <w:rPr>
                <w:rFonts w:hint="eastAsia" w:cs="宋体"/>
                <w:color w:val="000000"/>
                <w:kern w:val="0"/>
                <w:sz w:val="22"/>
              </w:rPr>
            </w:pPr>
          </w:p>
        </w:tc>
        <w:tc>
          <w:tcPr>
            <w:tcW w:w="202" w:type="pct"/>
            <w:vMerge w:val="restart"/>
            <w:tcBorders>
              <w:top w:val="nil"/>
              <w:left w:val="single" w:color="auto" w:sz="4" w:space="0"/>
              <w:bottom w:val="single" w:color="auto" w:sz="4" w:space="0"/>
              <w:right w:val="single" w:color="auto" w:sz="4" w:space="0"/>
            </w:tcBorders>
            <w:vAlign w:val="center"/>
          </w:tcPr>
          <w:p w14:paraId="7643B784">
            <w:pPr>
              <w:widowControl/>
              <w:spacing w:line="240" w:lineRule="auto"/>
              <w:rPr>
                <w:rFonts w:hint="eastAsia" w:cs="宋体"/>
                <w:color w:val="000000"/>
                <w:kern w:val="0"/>
                <w:sz w:val="22"/>
              </w:rPr>
            </w:pPr>
            <w:r>
              <w:rPr>
                <w:rFonts w:cs="宋体"/>
                <w:color w:val="000000"/>
                <w:kern w:val="0"/>
                <w:sz w:val="22"/>
              </w:rPr>
              <w:t>视频存储</w:t>
            </w:r>
          </w:p>
        </w:tc>
        <w:tc>
          <w:tcPr>
            <w:tcW w:w="3643" w:type="pct"/>
            <w:tcBorders>
              <w:top w:val="nil"/>
              <w:left w:val="nil"/>
              <w:bottom w:val="single" w:color="auto" w:sz="4" w:space="0"/>
              <w:right w:val="single" w:color="auto" w:sz="4" w:space="0"/>
            </w:tcBorders>
            <w:vAlign w:val="center"/>
          </w:tcPr>
          <w:p w14:paraId="1EE43E10">
            <w:pPr>
              <w:widowControl/>
              <w:spacing w:line="240" w:lineRule="auto"/>
              <w:rPr>
                <w:rFonts w:hint="eastAsia" w:cs="宋体"/>
                <w:color w:val="000000"/>
                <w:kern w:val="0"/>
                <w:sz w:val="22"/>
              </w:rPr>
            </w:pPr>
            <w:r>
              <w:rPr>
                <w:rFonts w:cs="宋体"/>
                <w:color w:val="000000"/>
                <w:kern w:val="0"/>
                <w:sz w:val="22"/>
              </w:rPr>
              <w:t>【安全功能】</w:t>
            </w:r>
            <w:r>
              <w:rPr>
                <w:rFonts w:cs="宋体"/>
                <w:color w:val="000000"/>
                <w:kern w:val="0"/>
                <w:sz w:val="22"/>
              </w:rPr>
              <w:br w:type="textWrapping"/>
            </w:r>
            <w:r>
              <w:rPr>
                <w:rFonts w:cs="宋体"/>
                <w:color w:val="000000"/>
                <w:kern w:val="0"/>
                <w:sz w:val="22"/>
              </w:rPr>
              <w:t>整机具有商密二级证书</w:t>
            </w:r>
            <w:r>
              <w:rPr>
                <w:rFonts w:cs="宋体"/>
                <w:color w:val="000000"/>
                <w:kern w:val="0"/>
                <w:sz w:val="22"/>
              </w:rPr>
              <w:br w:type="textWrapping"/>
            </w:r>
            <w:r>
              <w:rPr>
                <w:rFonts w:cs="宋体"/>
                <w:color w:val="000000"/>
                <w:kern w:val="0"/>
                <w:sz w:val="22"/>
              </w:rPr>
              <w:t>内置通过国家密码局检测认证的安全芯片，采用SM3对码流做HASH，SM2做签名和验签。</w:t>
            </w:r>
            <w:r>
              <w:rPr>
                <w:rFonts w:cs="宋体"/>
                <w:color w:val="000000"/>
                <w:kern w:val="0"/>
                <w:sz w:val="22"/>
              </w:rPr>
              <w:br w:type="textWrapping"/>
            </w:r>
            <w:r>
              <w:rPr>
                <w:rFonts w:cs="宋体"/>
                <w:color w:val="000000"/>
                <w:kern w:val="0"/>
                <w:sz w:val="22"/>
              </w:rPr>
              <w:t xml:space="preserve">支持基于数字证书的设备接入认证能力 </w:t>
            </w:r>
            <w:r>
              <w:rPr>
                <w:rFonts w:cs="宋体"/>
                <w:color w:val="000000"/>
                <w:kern w:val="0"/>
                <w:sz w:val="22"/>
              </w:rPr>
              <w:br w:type="textWrapping"/>
            </w:r>
            <w:r>
              <w:rPr>
                <w:rFonts w:cs="宋体"/>
                <w:color w:val="000000"/>
                <w:kern w:val="0"/>
                <w:sz w:val="22"/>
              </w:rPr>
              <w:t>支持芯片安全校验能力，包括随机数有效性检测，算法符合性检测等</w:t>
            </w:r>
            <w:r>
              <w:rPr>
                <w:rFonts w:cs="宋体"/>
                <w:color w:val="000000"/>
                <w:kern w:val="0"/>
                <w:sz w:val="22"/>
              </w:rPr>
              <w:br w:type="textWrapping"/>
            </w:r>
            <w:r>
              <w:rPr>
                <w:rFonts w:cs="宋体"/>
                <w:color w:val="000000"/>
                <w:kern w:val="0"/>
                <w:sz w:val="22"/>
              </w:rPr>
              <w:t>支持算法安全校验能力，包括开机自检，使用时自检和定期自检等</w:t>
            </w:r>
            <w:r>
              <w:rPr>
                <w:rFonts w:cs="宋体"/>
                <w:color w:val="000000"/>
                <w:kern w:val="0"/>
                <w:sz w:val="22"/>
              </w:rPr>
              <w:br w:type="textWrapping"/>
            </w:r>
            <w:r>
              <w:rPr>
                <w:rFonts w:cs="宋体"/>
                <w:color w:val="000000"/>
                <w:kern w:val="0"/>
                <w:sz w:val="22"/>
              </w:rPr>
              <w:br w:type="textWrapping"/>
            </w:r>
            <w:r>
              <w:rPr>
                <w:rFonts w:cs="宋体"/>
                <w:color w:val="000000"/>
                <w:kern w:val="0"/>
                <w:sz w:val="22"/>
              </w:rPr>
              <w:t>【硬件参数】</w:t>
            </w:r>
            <w:r>
              <w:rPr>
                <w:rFonts w:cs="宋体"/>
                <w:color w:val="000000"/>
                <w:kern w:val="0"/>
                <w:sz w:val="22"/>
              </w:rPr>
              <w:br w:type="textWrapping"/>
            </w:r>
            <w:r>
              <w:rPr>
                <w:rFonts w:cs="宋体"/>
                <w:color w:val="000000"/>
                <w:kern w:val="0"/>
                <w:sz w:val="22"/>
              </w:rPr>
              <w:t>存储接口：不小于9个SATA接口，总容量不低于144TB</w:t>
            </w:r>
            <w:r>
              <w:rPr>
                <w:rFonts w:cs="宋体"/>
                <w:color w:val="000000"/>
                <w:kern w:val="0"/>
                <w:sz w:val="22"/>
              </w:rPr>
              <w:br w:type="textWrapping"/>
            </w:r>
            <w:r>
              <w:rPr>
                <w:rFonts w:cs="宋体"/>
                <w:color w:val="000000"/>
                <w:kern w:val="0"/>
                <w:sz w:val="22"/>
              </w:rPr>
              <w:t>视频接口：不低于2×HDMI，2×VGA</w:t>
            </w:r>
            <w:r>
              <w:rPr>
                <w:rFonts w:cs="宋体"/>
                <w:color w:val="000000"/>
                <w:kern w:val="0"/>
                <w:sz w:val="22"/>
              </w:rPr>
              <w:br w:type="textWrapping"/>
            </w:r>
            <w:r>
              <w:rPr>
                <w:rFonts w:cs="宋体"/>
                <w:color w:val="000000"/>
                <w:kern w:val="0"/>
                <w:sz w:val="22"/>
              </w:rPr>
              <w:t>网络接口：不低于2×RJ45 10/100/1000Mbps自适应以太网口</w:t>
            </w:r>
            <w:r>
              <w:rPr>
                <w:rFonts w:cs="宋体"/>
                <w:color w:val="000000"/>
                <w:kern w:val="0"/>
                <w:sz w:val="22"/>
              </w:rPr>
              <w:br w:type="textWrapping"/>
            </w:r>
            <w:r>
              <w:rPr>
                <w:rFonts w:cs="宋体"/>
                <w:color w:val="000000"/>
                <w:kern w:val="0"/>
                <w:sz w:val="22"/>
              </w:rPr>
              <w:t>报警接口：不低于16路报警输入，9路报警输出</w:t>
            </w:r>
            <w:r>
              <w:rPr>
                <w:rFonts w:cs="宋体"/>
                <w:color w:val="000000"/>
                <w:kern w:val="0"/>
                <w:sz w:val="22"/>
              </w:rPr>
              <w:br w:type="textWrapping"/>
            </w:r>
            <w:r>
              <w:rPr>
                <w:rFonts w:cs="宋体"/>
                <w:color w:val="000000"/>
                <w:kern w:val="0"/>
                <w:sz w:val="22"/>
              </w:rPr>
              <w:t>反向供电：1路DC12V 1A</w:t>
            </w:r>
            <w:r>
              <w:rPr>
                <w:rFonts w:cs="宋体"/>
                <w:color w:val="000000"/>
                <w:kern w:val="0"/>
                <w:sz w:val="22"/>
              </w:rPr>
              <w:br w:type="textWrapping"/>
            </w:r>
            <w:r>
              <w:rPr>
                <w:rFonts w:cs="宋体"/>
                <w:color w:val="000000"/>
                <w:kern w:val="0"/>
                <w:sz w:val="22"/>
              </w:rPr>
              <w:t>串行接口：1路RS-232接口，1路全双工RS-485接口</w:t>
            </w:r>
            <w:r>
              <w:rPr>
                <w:rFonts w:cs="宋体"/>
                <w:color w:val="000000"/>
                <w:kern w:val="0"/>
                <w:sz w:val="22"/>
              </w:rPr>
              <w:br w:type="textWrapping"/>
            </w:r>
            <w:r>
              <w:rPr>
                <w:rFonts w:cs="宋体"/>
                <w:color w:val="000000"/>
                <w:kern w:val="0"/>
                <w:sz w:val="22"/>
              </w:rPr>
              <w:t>USB接口：不低于2×USB 2.0，2×USB 3.0</w:t>
            </w:r>
            <w:r>
              <w:rPr>
                <w:rFonts w:cs="宋体"/>
                <w:color w:val="000000"/>
                <w:kern w:val="0"/>
                <w:sz w:val="22"/>
              </w:rPr>
              <w:br w:type="textWrapping"/>
            </w:r>
            <w:r>
              <w:rPr>
                <w:rFonts w:cs="宋体"/>
                <w:color w:val="000000"/>
                <w:kern w:val="0"/>
                <w:sz w:val="22"/>
              </w:rPr>
              <w:br w:type="textWrapping"/>
            </w:r>
            <w:r>
              <w:rPr>
                <w:rFonts w:cs="宋体"/>
                <w:color w:val="000000"/>
                <w:kern w:val="0"/>
                <w:sz w:val="22"/>
              </w:rPr>
              <w:t>【产品性能】</w:t>
            </w:r>
            <w:r>
              <w:rPr>
                <w:rFonts w:cs="宋体"/>
                <w:color w:val="000000"/>
                <w:kern w:val="0"/>
                <w:sz w:val="22"/>
              </w:rPr>
              <w:br w:type="textWrapping"/>
            </w:r>
            <w:r>
              <w:rPr>
                <w:rFonts w:cs="宋体"/>
                <w:color w:val="000000"/>
                <w:kern w:val="0"/>
                <w:sz w:val="22"/>
              </w:rPr>
              <w:t>输入带宽：不低于320Mbps</w:t>
            </w:r>
            <w:r>
              <w:rPr>
                <w:rFonts w:cs="宋体"/>
                <w:color w:val="000000"/>
                <w:kern w:val="0"/>
                <w:sz w:val="22"/>
              </w:rPr>
              <w:br w:type="textWrapping"/>
            </w:r>
            <w:r>
              <w:rPr>
                <w:rFonts w:cs="宋体"/>
                <w:color w:val="000000"/>
                <w:kern w:val="0"/>
                <w:sz w:val="22"/>
              </w:rPr>
              <w:t>输出带宽：不低于256Mbps</w:t>
            </w:r>
            <w:r>
              <w:rPr>
                <w:rFonts w:cs="宋体"/>
                <w:color w:val="000000"/>
                <w:kern w:val="0"/>
                <w:sz w:val="22"/>
              </w:rPr>
              <w:br w:type="textWrapping"/>
            </w:r>
            <w:r>
              <w:rPr>
                <w:rFonts w:cs="宋体"/>
                <w:color w:val="000000"/>
                <w:kern w:val="0"/>
                <w:sz w:val="22"/>
              </w:rPr>
              <w:t>接入能力：不低于32路H.264、H.265格式高清码流接入</w:t>
            </w:r>
            <w:r>
              <w:rPr>
                <w:rFonts w:cs="宋体"/>
                <w:color w:val="000000"/>
                <w:kern w:val="0"/>
                <w:sz w:val="22"/>
              </w:rPr>
              <w:br w:type="textWrapping"/>
            </w:r>
            <w:r>
              <w:rPr>
                <w:rFonts w:cs="宋体"/>
                <w:color w:val="000000"/>
                <w:kern w:val="0"/>
                <w:sz w:val="22"/>
              </w:rPr>
              <w:t>解码能力：不低于32×1080P</w:t>
            </w:r>
            <w:r>
              <w:rPr>
                <w:rFonts w:cs="宋体"/>
                <w:color w:val="000000"/>
                <w:kern w:val="0"/>
                <w:sz w:val="22"/>
              </w:rPr>
              <w:br w:type="textWrapping"/>
            </w:r>
            <w:r>
              <w:rPr>
                <w:rFonts w:cs="宋体"/>
                <w:color w:val="000000"/>
                <w:kern w:val="0"/>
                <w:sz w:val="22"/>
              </w:rPr>
              <w:t>显示能力：不低于8K+1080P、2×4K异源输出</w:t>
            </w:r>
            <w:r>
              <w:rPr>
                <w:rFonts w:cs="宋体"/>
                <w:color w:val="000000"/>
                <w:kern w:val="0"/>
                <w:sz w:val="22"/>
              </w:rPr>
              <w:br w:type="textWrapping"/>
            </w:r>
            <w:r>
              <w:rPr>
                <w:rFonts w:cs="宋体"/>
                <w:color w:val="000000"/>
                <w:kern w:val="0"/>
                <w:sz w:val="22"/>
              </w:rPr>
              <w:t>RAID模式：RAID0、RAID1、RAID5、RAID6、RAID10，支持全局热备盘</w:t>
            </w:r>
          </w:p>
        </w:tc>
        <w:tc>
          <w:tcPr>
            <w:tcW w:w="216" w:type="pct"/>
            <w:tcBorders>
              <w:top w:val="nil"/>
              <w:left w:val="nil"/>
              <w:bottom w:val="single" w:color="auto" w:sz="4" w:space="0"/>
              <w:right w:val="single" w:color="auto" w:sz="4" w:space="0"/>
            </w:tcBorders>
            <w:vAlign w:val="center"/>
          </w:tcPr>
          <w:p w14:paraId="352DB013">
            <w:pPr>
              <w:widowControl/>
              <w:spacing w:line="240" w:lineRule="auto"/>
              <w:jc w:val="center"/>
              <w:rPr>
                <w:rFonts w:hint="eastAsia" w:cs="宋体"/>
                <w:color w:val="000000"/>
                <w:kern w:val="0"/>
                <w:sz w:val="22"/>
              </w:rPr>
            </w:pPr>
            <w:r>
              <w:rPr>
                <w:rFonts w:cs="宋体"/>
                <w:color w:val="000000"/>
                <w:kern w:val="0"/>
                <w:sz w:val="22"/>
              </w:rPr>
              <w:t>个</w:t>
            </w:r>
          </w:p>
        </w:tc>
        <w:tc>
          <w:tcPr>
            <w:tcW w:w="202" w:type="pct"/>
            <w:tcBorders>
              <w:top w:val="nil"/>
              <w:left w:val="nil"/>
              <w:bottom w:val="single" w:color="auto" w:sz="4" w:space="0"/>
              <w:right w:val="single" w:color="auto" w:sz="4" w:space="0"/>
            </w:tcBorders>
            <w:vAlign w:val="center"/>
          </w:tcPr>
          <w:p w14:paraId="34C88E96">
            <w:pPr>
              <w:widowControl/>
              <w:spacing w:line="240" w:lineRule="auto"/>
              <w:jc w:val="center"/>
              <w:rPr>
                <w:rFonts w:hint="eastAsia" w:cs="宋体"/>
                <w:color w:val="000000"/>
                <w:kern w:val="0"/>
                <w:sz w:val="22"/>
              </w:rPr>
            </w:pPr>
            <w:r>
              <w:rPr>
                <w:rFonts w:cs="宋体"/>
                <w:color w:val="000000"/>
                <w:kern w:val="0"/>
                <w:sz w:val="22"/>
              </w:rPr>
              <w:t>1</w:t>
            </w:r>
          </w:p>
        </w:tc>
      </w:tr>
      <w:tr w14:paraId="298008D6">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9475578">
            <w:pPr>
              <w:widowControl/>
              <w:spacing w:line="240" w:lineRule="auto"/>
              <w:jc w:val="center"/>
              <w:rPr>
                <w:rFonts w:hint="eastAsia" w:cs="宋体"/>
                <w:color w:val="000000"/>
                <w:kern w:val="0"/>
                <w:sz w:val="22"/>
              </w:rPr>
            </w:pPr>
            <w:r>
              <w:rPr>
                <w:rFonts w:cs="宋体"/>
                <w:color w:val="000000"/>
                <w:kern w:val="0"/>
                <w:sz w:val="22"/>
              </w:rPr>
              <w:t>45</w:t>
            </w:r>
          </w:p>
        </w:tc>
        <w:tc>
          <w:tcPr>
            <w:tcW w:w="152" w:type="pct"/>
            <w:vMerge w:val="continue"/>
            <w:tcBorders>
              <w:top w:val="nil"/>
              <w:left w:val="single" w:color="auto" w:sz="4" w:space="0"/>
              <w:bottom w:val="single" w:color="000000" w:sz="4" w:space="0"/>
              <w:right w:val="single" w:color="auto" w:sz="4" w:space="0"/>
            </w:tcBorders>
            <w:vAlign w:val="center"/>
          </w:tcPr>
          <w:p w14:paraId="30A692C5">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1594F8F">
            <w:pPr>
              <w:widowControl/>
              <w:spacing w:line="240" w:lineRule="auto"/>
              <w:rPr>
                <w:rFonts w:hint="eastAsia" w:cs="宋体"/>
                <w:color w:val="000000"/>
                <w:kern w:val="0"/>
                <w:sz w:val="22"/>
              </w:rPr>
            </w:pPr>
          </w:p>
        </w:tc>
        <w:tc>
          <w:tcPr>
            <w:tcW w:w="202" w:type="pct"/>
            <w:vMerge w:val="continue"/>
            <w:tcBorders>
              <w:top w:val="nil"/>
              <w:left w:val="single" w:color="auto" w:sz="4" w:space="0"/>
              <w:bottom w:val="single" w:color="auto" w:sz="4" w:space="0"/>
              <w:right w:val="single" w:color="auto" w:sz="4" w:space="0"/>
            </w:tcBorders>
            <w:vAlign w:val="center"/>
          </w:tcPr>
          <w:p w14:paraId="5A4DD912">
            <w:pPr>
              <w:widowControl/>
              <w:spacing w:line="240" w:lineRule="auto"/>
              <w:rPr>
                <w:rFonts w:hint="eastAsia" w:cs="宋体"/>
                <w:color w:val="000000"/>
                <w:kern w:val="0"/>
                <w:sz w:val="22"/>
              </w:rPr>
            </w:pPr>
          </w:p>
        </w:tc>
        <w:tc>
          <w:tcPr>
            <w:tcW w:w="3643" w:type="pct"/>
            <w:tcBorders>
              <w:top w:val="nil"/>
              <w:left w:val="nil"/>
              <w:bottom w:val="single" w:color="auto" w:sz="4" w:space="0"/>
              <w:right w:val="single" w:color="auto" w:sz="4" w:space="0"/>
            </w:tcBorders>
            <w:noWrap/>
            <w:vAlign w:val="center"/>
          </w:tcPr>
          <w:p w14:paraId="778D6340">
            <w:pPr>
              <w:widowControl/>
              <w:spacing w:line="240" w:lineRule="auto"/>
              <w:rPr>
                <w:rFonts w:hint="eastAsia" w:cs="宋体"/>
                <w:color w:val="000000"/>
                <w:kern w:val="0"/>
                <w:sz w:val="22"/>
              </w:rPr>
            </w:pPr>
            <w:r>
              <w:rPr>
                <w:rFonts w:cs="宋体"/>
                <w:color w:val="000000"/>
                <w:kern w:val="0"/>
                <w:sz w:val="22"/>
              </w:rPr>
              <w:t>3.5 HDD,4TB,7200RPM, 256MB,</w:t>
            </w:r>
          </w:p>
        </w:tc>
        <w:tc>
          <w:tcPr>
            <w:tcW w:w="216" w:type="pct"/>
            <w:tcBorders>
              <w:top w:val="nil"/>
              <w:left w:val="nil"/>
              <w:bottom w:val="single" w:color="auto" w:sz="4" w:space="0"/>
              <w:right w:val="single" w:color="auto" w:sz="4" w:space="0"/>
            </w:tcBorders>
            <w:vAlign w:val="center"/>
          </w:tcPr>
          <w:p w14:paraId="06258025">
            <w:pPr>
              <w:widowControl/>
              <w:spacing w:line="240" w:lineRule="auto"/>
              <w:jc w:val="center"/>
              <w:rPr>
                <w:rFonts w:hint="eastAsia" w:cs="宋体"/>
                <w:color w:val="000000"/>
                <w:kern w:val="0"/>
                <w:sz w:val="22"/>
              </w:rPr>
            </w:pPr>
            <w:r>
              <w:rPr>
                <w:rFonts w:cs="宋体"/>
                <w:color w:val="000000"/>
                <w:kern w:val="0"/>
                <w:sz w:val="22"/>
              </w:rPr>
              <w:t>块</w:t>
            </w:r>
          </w:p>
        </w:tc>
        <w:tc>
          <w:tcPr>
            <w:tcW w:w="202" w:type="pct"/>
            <w:tcBorders>
              <w:top w:val="nil"/>
              <w:left w:val="nil"/>
              <w:bottom w:val="single" w:color="auto" w:sz="4" w:space="0"/>
              <w:right w:val="single" w:color="auto" w:sz="4" w:space="0"/>
            </w:tcBorders>
            <w:vAlign w:val="center"/>
          </w:tcPr>
          <w:p w14:paraId="67B1C283">
            <w:pPr>
              <w:widowControl/>
              <w:spacing w:line="240" w:lineRule="auto"/>
              <w:jc w:val="center"/>
              <w:rPr>
                <w:rFonts w:hint="eastAsia" w:cs="宋体"/>
                <w:color w:val="000000"/>
                <w:kern w:val="0"/>
                <w:sz w:val="22"/>
              </w:rPr>
            </w:pPr>
            <w:r>
              <w:rPr>
                <w:rFonts w:cs="宋体"/>
                <w:color w:val="000000"/>
                <w:kern w:val="0"/>
                <w:sz w:val="22"/>
              </w:rPr>
              <w:t>1</w:t>
            </w:r>
          </w:p>
        </w:tc>
      </w:tr>
      <w:tr w14:paraId="49D36C3E">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FDFCD24">
            <w:pPr>
              <w:widowControl/>
              <w:spacing w:line="240" w:lineRule="auto"/>
              <w:jc w:val="center"/>
              <w:rPr>
                <w:rFonts w:hint="eastAsia" w:cs="宋体"/>
                <w:color w:val="000000"/>
                <w:kern w:val="0"/>
                <w:sz w:val="22"/>
              </w:rPr>
            </w:pPr>
            <w:r>
              <w:rPr>
                <w:rFonts w:cs="宋体"/>
                <w:color w:val="000000"/>
                <w:kern w:val="0"/>
                <w:sz w:val="22"/>
              </w:rPr>
              <w:t>46</w:t>
            </w:r>
          </w:p>
        </w:tc>
        <w:tc>
          <w:tcPr>
            <w:tcW w:w="152" w:type="pct"/>
            <w:vMerge w:val="continue"/>
            <w:tcBorders>
              <w:top w:val="nil"/>
              <w:left w:val="single" w:color="auto" w:sz="4" w:space="0"/>
              <w:bottom w:val="single" w:color="000000" w:sz="4" w:space="0"/>
              <w:right w:val="single" w:color="auto" w:sz="4" w:space="0"/>
            </w:tcBorders>
            <w:vAlign w:val="center"/>
          </w:tcPr>
          <w:p w14:paraId="37CD97EC">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54A1B43">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704D412">
            <w:pPr>
              <w:widowControl/>
              <w:spacing w:line="240" w:lineRule="auto"/>
              <w:rPr>
                <w:rFonts w:hint="eastAsia" w:cs="宋体"/>
                <w:color w:val="000000"/>
                <w:kern w:val="0"/>
                <w:sz w:val="22"/>
              </w:rPr>
            </w:pPr>
            <w:r>
              <w:rPr>
                <w:rFonts w:cs="宋体"/>
                <w:color w:val="000000"/>
                <w:kern w:val="0"/>
                <w:sz w:val="22"/>
              </w:rPr>
              <w:t>机房防火抗震桥架</w:t>
            </w:r>
          </w:p>
        </w:tc>
        <w:tc>
          <w:tcPr>
            <w:tcW w:w="3643" w:type="pct"/>
            <w:tcBorders>
              <w:top w:val="nil"/>
              <w:left w:val="nil"/>
              <w:bottom w:val="single" w:color="auto" w:sz="4" w:space="0"/>
              <w:right w:val="single" w:color="auto" w:sz="4" w:space="0"/>
            </w:tcBorders>
            <w:vAlign w:val="center"/>
          </w:tcPr>
          <w:p w14:paraId="3F48A49C">
            <w:pPr>
              <w:widowControl/>
              <w:spacing w:line="240" w:lineRule="auto"/>
              <w:rPr>
                <w:rFonts w:hint="eastAsia" w:cs="宋体"/>
                <w:color w:val="000000"/>
                <w:kern w:val="0"/>
                <w:sz w:val="22"/>
              </w:rPr>
            </w:pPr>
            <w:r>
              <w:rPr>
                <w:rFonts w:cs="宋体"/>
                <w:color w:val="000000"/>
                <w:kern w:val="0"/>
                <w:sz w:val="22"/>
              </w:rPr>
              <w:t>300*100梯形桥架</w:t>
            </w:r>
          </w:p>
        </w:tc>
        <w:tc>
          <w:tcPr>
            <w:tcW w:w="216" w:type="pct"/>
            <w:tcBorders>
              <w:top w:val="nil"/>
              <w:left w:val="nil"/>
              <w:bottom w:val="single" w:color="auto" w:sz="4" w:space="0"/>
              <w:right w:val="single" w:color="auto" w:sz="4" w:space="0"/>
            </w:tcBorders>
            <w:vAlign w:val="center"/>
          </w:tcPr>
          <w:p w14:paraId="60DFC7FE">
            <w:pPr>
              <w:widowControl/>
              <w:spacing w:line="240" w:lineRule="auto"/>
              <w:jc w:val="center"/>
              <w:rPr>
                <w:rFonts w:hint="eastAsia" w:cs="宋体"/>
                <w:color w:val="000000"/>
                <w:kern w:val="0"/>
                <w:sz w:val="22"/>
              </w:rPr>
            </w:pPr>
            <w:r>
              <w:rPr>
                <w:rFonts w:cs="宋体"/>
                <w:color w:val="000000"/>
                <w:kern w:val="0"/>
                <w:sz w:val="22"/>
              </w:rPr>
              <w:t>米</w:t>
            </w:r>
          </w:p>
        </w:tc>
        <w:tc>
          <w:tcPr>
            <w:tcW w:w="202" w:type="pct"/>
            <w:tcBorders>
              <w:top w:val="nil"/>
              <w:left w:val="nil"/>
              <w:bottom w:val="single" w:color="auto" w:sz="4" w:space="0"/>
              <w:right w:val="single" w:color="auto" w:sz="4" w:space="0"/>
            </w:tcBorders>
            <w:vAlign w:val="center"/>
          </w:tcPr>
          <w:p w14:paraId="04083484">
            <w:pPr>
              <w:widowControl/>
              <w:spacing w:line="240" w:lineRule="auto"/>
              <w:jc w:val="center"/>
              <w:rPr>
                <w:rFonts w:hint="eastAsia" w:cs="宋体"/>
                <w:color w:val="000000"/>
                <w:kern w:val="0"/>
                <w:sz w:val="22"/>
              </w:rPr>
            </w:pPr>
            <w:r>
              <w:rPr>
                <w:rFonts w:cs="宋体"/>
                <w:color w:val="000000"/>
                <w:kern w:val="0"/>
                <w:sz w:val="22"/>
              </w:rPr>
              <w:t>50</w:t>
            </w:r>
          </w:p>
        </w:tc>
      </w:tr>
      <w:tr w14:paraId="0062B871">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4EEC5A84">
            <w:pPr>
              <w:widowControl/>
              <w:spacing w:line="240" w:lineRule="auto"/>
              <w:jc w:val="center"/>
              <w:rPr>
                <w:rFonts w:hint="eastAsia" w:cs="宋体"/>
                <w:color w:val="000000"/>
                <w:kern w:val="0"/>
                <w:sz w:val="22"/>
              </w:rPr>
            </w:pPr>
            <w:r>
              <w:rPr>
                <w:rFonts w:cs="宋体"/>
                <w:color w:val="000000"/>
                <w:kern w:val="0"/>
                <w:sz w:val="22"/>
              </w:rPr>
              <w:t>47</w:t>
            </w:r>
          </w:p>
        </w:tc>
        <w:tc>
          <w:tcPr>
            <w:tcW w:w="152" w:type="pct"/>
            <w:vMerge w:val="continue"/>
            <w:tcBorders>
              <w:top w:val="nil"/>
              <w:left w:val="single" w:color="auto" w:sz="4" w:space="0"/>
              <w:bottom w:val="single" w:color="000000" w:sz="4" w:space="0"/>
              <w:right w:val="single" w:color="auto" w:sz="4" w:space="0"/>
            </w:tcBorders>
            <w:vAlign w:val="center"/>
          </w:tcPr>
          <w:p w14:paraId="5C596B8B">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D7F9B6B">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37A559A">
            <w:pPr>
              <w:widowControl/>
              <w:spacing w:line="240" w:lineRule="auto"/>
              <w:rPr>
                <w:rFonts w:hint="eastAsia" w:cs="宋体"/>
                <w:color w:val="000000"/>
                <w:kern w:val="0"/>
                <w:sz w:val="22"/>
              </w:rPr>
            </w:pPr>
            <w:r>
              <w:rPr>
                <w:rFonts w:cs="宋体"/>
                <w:color w:val="000000"/>
                <w:kern w:val="0"/>
                <w:sz w:val="22"/>
              </w:rPr>
              <w:t>电源线</w:t>
            </w:r>
          </w:p>
        </w:tc>
        <w:tc>
          <w:tcPr>
            <w:tcW w:w="3643" w:type="pct"/>
            <w:tcBorders>
              <w:top w:val="nil"/>
              <w:left w:val="nil"/>
              <w:bottom w:val="single" w:color="auto" w:sz="4" w:space="0"/>
              <w:right w:val="single" w:color="auto" w:sz="4" w:space="0"/>
            </w:tcBorders>
            <w:vAlign w:val="center"/>
          </w:tcPr>
          <w:p w14:paraId="1732C6FF">
            <w:pPr>
              <w:widowControl/>
              <w:spacing w:line="240" w:lineRule="auto"/>
              <w:rPr>
                <w:rFonts w:hint="eastAsia" w:cs="宋体"/>
                <w:color w:val="000000"/>
                <w:kern w:val="0"/>
                <w:sz w:val="22"/>
              </w:rPr>
            </w:pPr>
            <w:r>
              <w:rPr>
                <w:rFonts w:cs="宋体"/>
                <w:color w:val="000000"/>
                <w:kern w:val="0"/>
                <w:sz w:val="22"/>
              </w:rPr>
              <w:t>国标RVV-3*6mm²</w:t>
            </w:r>
          </w:p>
        </w:tc>
        <w:tc>
          <w:tcPr>
            <w:tcW w:w="216" w:type="pct"/>
            <w:tcBorders>
              <w:top w:val="nil"/>
              <w:left w:val="nil"/>
              <w:bottom w:val="single" w:color="auto" w:sz="4" w:space="0"/>
              <w:right w:val="single" w:color="auto" w:sz="4" w:space="0"/>
            </w:tcBorders>
            <w:vAlign w:val="center"/>
          </w:tcPr>
          <w:p w14:paraId="1208D425">
            <w:pPr>
              <w:widowControl/>
              <w:spacing w:line="240" w:lineRule="auto"/>
              <w:jc w:val="center"/>
              <w:rPr>
                <w:rFonts w:hint="eastAsia" w:cs="宋体"/>
                <w:color w:val="000000"/>
                <w:kern w:val="0"/>
                <w:sz w:val="22"/>
              </w:rPr>
            </w:pPr>
            <w:r>
              <w:rPr>
                <w:rFonts w:cs="宋体"/>
                <w:color w:val="000000"/>
                <w:kern w:val="0"/>
                <w:sz w:val="22"/>
              </w:rPr>
              <w:t>米</w:t>
            </w:r>
          </w:p>
        </w:tc>
        <w:tc>
          <w:tcPr>
            <w:tcW w:w="202" w:type="pct"/>
            <w:tcBorders>
              <w:top w:val="nil"/>
              <w:left w:val="nil"/>
              <w:bottom w:val="single" w:color="auto" w:sz="4" w:space="0"/>
              <w:right w:val="single" w:color="auto" w:sz="4" w:space="0"/>
            </w:tcBorders>
            <w:vAlign w:val="center"/>
          </w:tcPr>
          <w:p w14:paraId="77BF490F">
            <w:pPr>
              <w:widowControl/>
              <w:spacing w:line="240" w:lineRule="auto"/>
              <w:jc w:val="center"/>
              <w:rPr>
                <w:rFonts w:hint="eastAsia" w:cs="宋体"/>
                <w:color w:val="000000"/>
                <w:kern w:val="0"/>
                <w:sz w:val="22"/>
              </w:rPr>
            </w:pPr>
            <w:r>
              <w:rPr>
                <w:rFonts w:cs="宋体"/>
                <w:color w:val="000000"/>
                <w:kern w:val="0"/>
                <w:sz w:val="22"/>
              </w:rPr>
              <w:t>100</w:t>
            </w:r>
          </w:p>
        </w:tc>
      </w:tr>
      <w:tr w14:paraId="62B5F62F">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664A816B">
            <w:pPr>
              <w:widowControl/>
              <w:spacing w:line="240" w:lineRule="auto"/>
              <w:jc w:val="center"/>
              <w:rPr>
                <w:rFonts w:hint="eastAsia" w:cs="宋体"/>
                <w:color w:val="000000"/>
                <w:kern w:val="0"/>
                <w:sz w:val="22"/>
              </w:rPr>
            </w:pPr>
            <w:r>
              <w:rPr>
                <w:rFonts w:cs="宋体"/>
                <w:color w:val="000000"/>
                <w:kern w:val="0"/>
                <w:sz w:val="22"/>
              </w:rPr>
              <w:t>48</w:t>
            </w:r>
          </w:p>
        </w:tc>
        <w:tc>
          <w:tcPr>
            <w:tcW w:w="152" w:type="pct"/>
            <w:vMerge w:val="continue"/>
            <w:tcBorders>
              <w:top w:val="nil"/>
              <w:left w:val="single" w:color="auto" w:sz="4" w:space="0"/>
              <w:bottom w:val="single" w:color="000000" w:sz="4" w:space="0"/>
              <w:right w:val="single" w:color="auto" w:sz="4" w:space="0"/>
            </w:tcBorders>
            <w:vAlign w:val="center"/>
          </w:tcPr>
          <w:p w14:paraId="5353D2D1">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51CB8832">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834D211">
            <w:pPr>
              <w:widowControl/>
              <w:spacing w:line="240" w:lineRule="auto"/>
              <w:rPr>
                <w:rFonts w:hint="eastAsia" w:cs="宋体"/>
                <w:color w:val="000000"/>
                <w:kern w:val="0"/>
                <w:sz w:val="22"/>
              </w:rPr>
            </w:pPr>
            <w:r>
              <w:rPr>
                <w:rFonts w:cs="宋体"/>
                <w:color w:val="000000"/>
                <w:kern w:val="0"/>
                <w:sz w:val="22"/>
              </w:rPr>
              <w:t>电源线</w:t>
            </w:r>
          </w:p>
        </w:tc>
        <w:tc>
          <w:tcPr>
            <w:tcW w:w="3643" w:type="pct"/>
            <w:tcBorders>
              <w:top w:val="nil"/>
              <w:left w:val="nil"/>
              <w:bottom w:val="single" w:color="auto" w:sz="4" w:space="0"/>
              <w:right w:val="single" w:color="auto" w:sz="4" w:space="0"/>
            </w:tcBorders>
            <w:vAlign w:val="center"/>
          </w:tcPr>
          <w:p w14:paraId="6D6B78DD">
            <w:pPr>
              <w:widowControl/>
              <w:spacing w:line="240" w:lineRule="auto"/>
              <w:rPr>
                <w:rFonts w:hint="eastAsia" w:cs="宋体"/>
                <w:color w:val="000000"/>
                <w:kern w:val="0"/>
                <w:sz w:val="22"/>
              </w:rPr>
            </w:pPr>
            <w:r>
              <w:rPr>
                <w:rFonts w:cs="宋体"/>
                <w:color w:val="000000"/>
                <w:kern w:val="0"/>
                <w:sz w:val="22"/>
              </w:rPr>
              <w:t>国标RVV-3*4mm²</w:t>
            </w:r>
          </w:p>
        </w:tc>
        <w:tc>
          <w:tcPr>
            <w:tcW w:w="216" w:type="pct"/>
            <w:tcBorders>
              <w:top w:val="nil"/>
              <w:left w:val="nil"/>
              <w:bottom w:val="single" w:color="auto" w:sz="4" w:space="0"/>
              <w:right w:val="single" w:color="auto" w:sz="4" w:space="0"/>
            </w:tcBorders>
            <w:vAlign w:val="center"/>
          </w:tcPr>
          <w:p w14:paraId="4F08BA4F">
            <w:pPr>
              <w:widowControl/>
              <w:spacing w:line="240" w:lineRule="auto"/>
              <w:jc w:val="center"/>
              <w:rPr>
                <w:rFonts w:hint="eastAsia" w:cs="宋体"/>
                <w:color w:val="000000"/>
                <w:kern w:val="0"/>
                <w:sz w:val="22"/>
              </w:rPr>
            </w:pPr>
            <w:r>
              <w:rPr>
                <w:rFonts w:cs="宋体"/>
                <w:color w:val="000000"/>
                <w:kern w:val="0"/>
                <w:sz w:val="22"/>
              </w:rPr>
              <w:t>米</w:t>
            </w:r>
          </w:p>
        </w:tc>
        <w:tc>
          <w:tcPr>
            <w:tcW w:w="202" w:type="pct"/>
            <w:tcBorders>
              <w:top w:val="nil"/>
              <w:left w:val="nil"/>
              <w:bottom w:val="single" w:color="auto" w:sz="4" w:space="0"/>
              <w:right w:val="single" w:color="auto" w:sz="4" w:space="0"/>
            </w:tcBorders>
            <w:vAlign w:val="center"/>
          </w:tcPr>
          <w:p w14:paraId="1CE044A4">
            <w:pPr>
              <w:widowControl/>
              <w:spacing w:line="240" w:lineRule="auto"/>
              <w:jc w:val="center"/>
              <w:rPr>
                <w:rFonts w:hint="eastAsia" w:cs="宋体"/>
                <w:color w:val="000000"/>
                <w:kern w:val="0"/>
                <w:sz w:val="22"/>
              </w:rPr>
            </w:pPr>
            <w:r>
              <w:rPr>
                <w:rFonts w:cs="宋体"/>
                <w:color w:val="000000"/>
                <w:kern w:val="0"/>
                <w:sz w:val="22"/>
              </w:rPr>
              <w:t>200</w:t>
            </w:r>
          </w:p>
        </w:tc>
      </w:tr>
      <w:tr w14:paraId="46DF8943">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9B24229">
            <w:pPr>
              <w:widowControl/>
              <w:spacing w:line="240" w:lineRule="auto"/>
              <w:jc w:val="center"/>
              <w:rPr>
                <w:rFonts w:hint="eastAsia" w:cs="宋体"/>
                <w:color w:val="000000"/>
                <w:kern w:val="0"/>
                <w:sz w:val="22"/>
              </w:rPr>
            </w:pPr>
            <w:r>
              <w:rPr>
                <w:rFonts w:cs="宋体"/>
                <w:color w:val="000000"/>
                <w:kern w:val="0"/>
                <w:sz w:val="22"/>
              </w:rPr>
              <w:t>49</w:t>
            </w:r>
          </w:p>
        </w:tc>
        <w:tc>
          <w:tcPr>
            <w:tcW w:w="152" w:type="pct"/>
            <w:vMerge w:val="continue"/>
            <w:tcBorders>
              <w:top w:val="nil"/>
              <w:left w:val="single" w:color="auto" w:sz="4" w:space="0"/>
              <w:bottom w:val="single" w:color="000000" w:sz="4" w:space="0"/>
              <w:right w:val="single" w:color="auto" w:sz="4" w:space="0"/>
            </w:tcBorders>
            <w:vAlign w:val="center"/>
          </w:tcPr>
          <w:p w14:paraId="46A11DF9">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2E07B5B2">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78D23824">
            <w:pPr>
              <w:widowControl/>
              <w:spacing w:line="240" w:lineRule="auto"/>
              <w:rPr>
                <w:rFonts w:hint="eastAsia" w:cs="宋体"/>
                <w:color w:val="000000"/>
                <w:kern w:val="0"/>
                <w:sz w:val="22"/>
              </w:rPr>
            </w:pPr>
            <w:r>
              <w:rPr>
                <w:rFonts w:cs="宋体"/>
                <w:color w:val="000000"/>
                <w:kern w:val="0"/>
                <w:sz w:val="22"/>
              </w:rPr>
              <w:t>电源线</w:t>
            </w:r>
          </w:p>
        </w:tc>
        <w:tc>
          <w:tcPr>
            <w:tcW w:w="3643" w:type="pct"/>
            <w:tcBorders>
              <w:top w:val="nil"/>
              <w:left w:val="nil"/>
              <w:bottom w:val="single" w:color="auto" w:sz="4" w:space="0"/>
              <w:right w:val="single" w:color="auto" w:sz="4" w:space="0"/>
            </w:tcBorders>
            <w:vAlign w:val="center"/>
          </w:tcPr>
          <w:p w14:paraId="33C0AC0C">
            <w:pPr>
              <w:widowControl/>
              <w:spacing w:line="240" w:lineRule="auto"/>
              <w:rPr>
                <w:rFonts w:hint="eastAsia" w:cs="宋体"/>
                <w:color w:val="000000"/>
                <w:kern w:val="0"/>
                <w:sz w:val="22"/>
              </w:rPr>
            </w:pPr>
            <w:r>
              <w:rPr>
                <w:rFonts w:cs="宋体"/>
                <w:color w:val="000000"/>
                <w:kern w:val="0"/>
                <w:sz w:val="22"/>
              </w:rPr>
              <w:t>国标RVV-3*2.5mm²</w:t>
            </w:r>
          </w:p>
        </w:tc>
        <w:tc>
          <w:tcPr>
            <w:tcW w:w="216" w:type="pct"/>
            <w:tcBorders>
              <w:top w:val="nil"/>
              <w:left w:val="nil"/>
              <w:bottom w:val="single" w:color="auto" w:sz="4" w:space="0"/>
              <w:right w:val="single" w:color="auto" w:sz="4" w:space="0"/>
            </w:tcBorders>
            <w:vAlign w:val="center"/>
          </w:tcPr>
          <w:p w14:paraId="019522A7">
            <w:pPr>
              <w:widowControl/>
              <w:spacing w:line="240" w:lineRule="auto"/>
              <w:jc w:val="center"/>
              <w:rPr>
                <w:rFonts w:hint="eastAsia" w:cs="宋体"/>
                <w:color w:val="000000"/>
                <w:kern w:val="0"/>
                <w:sz w:val="22"/>
              </w:rPr>
            </w:pPr>
            <w:r>
              <w:rPr>
                <w:rFonts w:cs="宋体"/>
                <w:color w:val="000000"/>
                <w:kern w:val="0"/>
                <w:sz w:val="22"/>
              </w:rPr>
              <w:t>米</w:t>
            </w:r>
          </w:p>
        </w:tc>
        <w:tc>
          <w:tcPr>
            <w:tcW w:w="202" w:type="pct"/>
            <w:tcBorders>
              <w:top w:val="nil"/>
              <w:left w:val="nil"/>
              <w:bottom w:val="single" w:color="auto" w:sz="4" w:space="0"/>
              <w:right w:val="single" w:color="auto" w:sz="4" w:space="0"/>
            </w:tcBorders>
            <w:vAlign w:val="center"/>
          </w:tcPr>
          <w:p w14:paraId="515F0F6C">
            <w:pPr>
              <w:widowControl/>
              <w:spacing w:line="240" w:lineRule="auto"/>
              <w:jc w:val="center"/>
              <w:rPr>
                <w:rFonts w:hint="eastAsia" w:cs="宋体"/>
                <w:color w:val="000000"/>
                <w:kern w:val="0"/>
                <w:sz w:val="22"/>
              </w:rPr>
            </w:pPr>
            <w:r>
              <w:rPr>
                <w:rFonts w:cs="宋体"/>
                <w:color w:val="000000"/>
                <w:kern w:val="0"/>
                <w:sz w:val="22"/>
              </w:rPr>
              <w:t>100</w:t>
            </w:r>
          </w:p>
        </w:tc>
      </w:tr>
      <w:tr w14:paraId="1D24E9C5">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8A1AB48">
            <w:pPr>
              <w:widowControl/>
              <w:spacing w:line="240" w:lineRule="auto"/>
              <w:jc w:val="center"/>
              <w:rPr>
                <w:rFonts w:hint="eastAsia" w:cs="宋体"/>
                <w:color w:val="000000"/>
                <w:kern w:val="0"/>
                <w:sz w:val="22"/>
              </w:rPr>
            </w:pPr>
            <w:r>
              <w:rPr>
                <w:rFonts w:cs="宋体"/>
                <w:color w:val="000000"/>
                <w:kern w:val="0"/>
                <w:sz w:val="22"/>
              </w:rPr>
              <w:t>50</w:t>
            </w:r>
          </w:p>
        </w:tc>
        <w:tc>
          <w:tcPr>
            <w:tcW w:w="152" w:type="pct"/>
            <w:vMerge w:val="continue"/>
            <w:tcBorders>
              <w:top w:val="nil"/>
              <w:left w:val="single" w:color="auto" w:sz="4" w:space="0"/>
              <w:bottom w:val="single" w:color="000000" w:sz="4" w:space="0"/>
              <w:right w:val="single" w:color="auto" w:sz="4" w:space="0"/>
            </w:tcBorders>
            <w:vAlign w:val="center"/>
          </w:tcPr>
          <w:p w14:paraId="3D3497C3">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25AEECEE">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42C43F2D">
            <w:pPr>
              <w:widowControl/>
              <w:spacing w:line="240" w:lineRule="auto"/>
              <w:rPr>
                <w:rFonts w:hint="eastAsia" w:cs="宋体"/>
                <w:color w:val="000000"/>
                <w:kern w:val="0"/>
                <w:sz w:val="22"/>
              </w:rPr>
            </w:pPr>
            <w:r>
              <w:rPr>
                <w:rFonts w:cs="宋体"/>
                <w:color w:val="000000"/>
                <w:kern w:val="0"/>
                <w:sz w:val="22"/>
              </w:rPr>
              <w:t>辅材</w:t>
            </w:r>
          </w:p>
        </w:tc>
        <w:tc>
          <w:tcPr>
            <w:tcW w:w="3643" w:type="pct"/>
            <w:tcBorders>
              <w:top w:val="nil"/>
              <w:left w:val="nil"/>
              <w:bottom w:val="single" w:color="auto" w:sz="4" w:space="0"/>
              <w:right w:val="single" w:color="auto" w:sz="4" w:space="0"/>
            </w:tcBorders>
            <w:vAlign w:val="center"/>
          </w:tcPr>
          <w:p w14:paraId="7DB87D95">
            <w:pPr>
              <w:widowControl/>
              <w:spacing w:line="240" w:lineRule="auto"/>
              <w:rPr>
                <w:rFonts w:hint="eastAsia" w:cs="宋体"/>
                <w:color w:val="000000"/>
                <w:kern w:val="0"/>
                <w:sz w:val="22"/>
              </w:rPr>
            </w:pPr>
            <w:r>
              <w:rPr>
                <w:rFonts w:cs="宋体"/>
                <w:color w:val="000000"/>
                <w:kern w:val="0"/>
                <w:sz w:val="22"/>
              </w:rPr>
              <w:t>各类管材接头、软管、抱箍、水晶头、扎带、标示牌，跳纤、跳线，未考虑到电源线等</w:t>
            </w:r>
          </w:p>
        </w:tc>
        <w:tc>
          <w:tcPr>
            <w:tcW w:w="216" w:type="pct"/>
            <w:tcBorders>
              <w:top w:val="nil"/>
              <w:left w:val="nil"/>
              <w:bottom w:val="single" w:color="auto" w:sz="4" w:space="0"/>
              <w:right w:val="single" w:color="auto" w:sz="4" w:space="0"/>
            </w:tcBorders>
            <w:vAlign w:val="center"/>
          </w:tcPr>
          <w:p w14:paraId="29B6ADF9">
            <w:pPr>
              <w:widowControl/>
              <w:spacing w:line="240" w:lineRule="auto"/>
              <w:jc w:val="center"/>
              <w:rPr>
                <w:rFonts w:hint="eastAsia" w:cs="宋体"/>
                <w:color w:val="000000"/>
                <w:kern w:val="0"/>
                <w:sz w:val="22"/>
              </w:rPr>
            </w:pPr>
            <w:r>
              <w:rPr>
                <w:rFonts w:cs="宋体"/>
                <w:color w:val="000000"/>
                <w:kern w:val="0"/>
                <w:sz w:val="22"/>
              </w:rPr>
              <w:t>批</w:t>
            </w:r>
          </w:p>
        </w:tc>
        <w:tc>
          <w:tcPr>
            <w:tcW w:w="202" w:type="pct"/>
            <w:tcBorders>
              <w:top w:val="nil"/>
              <w:left w:val="nil"/>
              <w:bottom w:val="single" w:color="auto" w:sz="4" w:space="0"/>
              <w:right w:val="single" w:color="auto" w:sz="4" w:space="0"/>
            </w:tcBorders>
            <w:vAlign w:val="center"/>
          </w:tcPr>
          <w:p w14:paraId="603CF236">
            <w:pPr>
              <w:widowControl/>
              <w:spacing w:line="240" w:lineRule="auto"/>
              <w:jc w:val="center"/>
              <w:rPr>
                <w:rFonts w:hint="eastAsia" w:cs="宋体"/>
                <w:color w:val="000000"/>
                <w:kern w:val="0"/>
                <w:sz w:val="22"/>
              </w:rPr>
            </w:pPr>
            <w:r>
              <w:rPr>
                <w:rFonts w:cs="宋体"/>
                <w:color w:val="000000"/>
                <w:kern w:val="0"/>
                <w:sz w:val="22"/>
              </w:rPr>
              <w:t>1</w:t>
            </w:r>
          </w:p>
        </w:tc>
      </w:tr>
      <w:tr w14:paraId="7F5FF463">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C28F07A">
            <w:pPr>
              <w:widowControl/>
              <w:spacing w:line="240" w:lineRule="auto"/>
              <w:jc w:val="center"/>
              <w:rPr>
                <w:rFonts w:hint="eastAsia" w:cs="宋体"/>
                <w:color w:val="000000"/>
                <w:kern w:val="0"/>
                <w:sz w:val="22"/>
              </w:rPr>
            </w:pPr>
            <w:r>
              <w:rPr>
                <w:rFonts w:cs="宋体"/>
                <w:color w:val="000000"/>
                <w:kern w:val="0"/>
                <w:sz w:val="22"/>
              </w:rPr>
              <w:t>51</w:t>
            </w:r>
          </w:p>
        </w:tc>
        <w:tc>
          <w:tcPr>
            <w:tcW w:w="152" w:type="pct"/>
            <w:vMerge w:val="continue"/>
            <w:tcBorders>
              <w:top w:val="nil"/>
              <w:left w:val="single" w:color="auto" w:sz="4" w:space="0"/>
              <w:bottom w:val="single" w:color="000000" w:sz="4" w:space="0"/>
              <w:right w:val="single" w:color="auto" w:sz="4" w:space="0"/>
            </w:tcBorders>
            <w:vAlign w:val="center"/>
          </w:tcPr>
          <w:p w14:paraId="399E3DDB">
            <w:pPr>
              <w:widowControl/>
              <w:spacing w:line="240" w:lineRule="auto"/>
              <w:rPr>
                <w:rFonts w:hint="eastAsia" w:cs="宋体"/>
                <w:color w:val="000000"/>
                <w:kern w:val="0"/>
                <w:sz w:val="22"/>
              </w:rPr>
            </w:pPr>
          </w:p>
        </w:tc>
        <w:tc>
          <w:tcPr>
            <w:tcW w:w="331" w:type="pct"/>
            <w:vMerge w:val="restart"/>
            <w:tcBorders>
              <w:top w:val="nil"/>
              <w:left w:val="single" w:color="auto" w:sz="4" w:space="0"/>
              <w:bottom w:val="single" w:color="000000" w:sz="4" w:space="0"/>
              <w:right w:val="single" w:color="auto" w:sz="4" w:space="0"/>
            </w:tcBorders>
            <w:vAlign w:val="center"/>
          </w:tcPr>
          <w:p w14:paraId="06B7C39E">
            <w:pPr>
              <w:widowControl/>
              <w:spacing w:line="240" w:lineRule="auto"/>
              <w:jc w:val="center"/>
              <w:rPr>
                <w:rFonts w:hint="eastAsia" w:cs="宋体"/>
                <w:color w:val="000000"/>
                <w:kern w:val="0"/>
                <w:sz w:val="22"/>
              </w:rPr>
            </w:pPr>
            <w:r>
              <w:rPr>
                <w:rFonts w:cs="宋体"/>
                <w:color w:val="000000"/>
                <w:kern w:val="0"/>
                <w:sz w:val="22"/>
              </w:rPr>
              <w:t>动环</w:t>
            </w:r>
          </w:p>
        </w:tc>
        <w:tc>
          <w:tcPr>
            <w:tcW w:w="202" w:type="pct"/>
            <w:tcBorders>
              <w:top w:val="nil"/>
              <w:left w:val="nil"/>
              <w:bottom w:val="single" w:color="auto" w:sz="4" w:space="0"/>
              <w:right w:val="single" w:color="auto" w:sz="4" w:space="0"/>
            </w:tcBorders>
            <w:vAlign w:val="center"/>
          </w:tcPr>
          <w:p w14:paraId="52D83BB2">
            <w:pPr>
              <w:widowControl/>
              <w:spacing w:line="240" w:lineRule="auto"/>
              <w:rPr>
                <w:rFonts w:hint="eastAsia" w:cs="宋体"/>
                <w:color w:val="000000"/>
                <w:kern w:val="0"/>
                <w:sz w:val="22"/>
              </w:rPr>
            </w:pPr>
            <w:r>
              <w:rPr>
                <w:rFonts w:cs="宋体"/>
                <w:color w:val="000000"/>
                <w:kern w:val="0"/>
                <w:sz w:val="22"/>
              </w:rPr>
              <w:t>智能配电柜监测接口软件</w:t>
            </w:r>
          </w:p>
        </w:tc>
        <w:tc>
          <w:tcPr>
            <w:tcW w:w="3643" w:type="pct"/>
            <w:tcBorders>
              <w:top w:val="nil"/>
              <w:left w:val="nil"/>
              <w:bottom w:val="single" w:color="auto" w:sz="4" w:space="0"/>
              <w:right w:val="single" w:color="auto" w:sz="4" w:space="0"/>
            </w:tcBorders>
            <w:vAlign w:val="center"/>
          </w:tcPr>
          <w:p w14:paraId="4C76F773">
            <w:pPr>
              <w:widowControl/>
              <w:spacing w:line="240" w:lineRule="auto"/>
              <w:rPr>
                <w:rFonts w:hint="eastAsia" w:cs="宋体"/>
                <w:color w:val="000000"/>
                <w:kern w:val="0"/>
                <w:sz w:val="22"/>
              </w:rPr>
            </w:pPr>
            <w:r>
              <w:rPr>
                <w:rFonts w:cs="宋体"/>
                <w:color w:val="000000"/>
                <w:kern w:val="0"/>
                <w:sz w:val="22"/>
              </w:rPr>
              <w:t>智能配电柜监测接口软件，根据具体情况进行定制</w:t>
            </w:r>
          </w:p>
        </w:tc>
        <w:tc>
          <w:tcPr>
            <w:tcW w:w="216" w:type="pct"/>
            <w:tcBorders>
              <w:top w:val="nil"/>
              <w:left w:val="nil"/>
              <w:bottom w:val="single" w:color="auto" w:sz="4" w:space="0"/>
              <w:right w:val="single" w:color="auto" w:sz="4" w:space="0"/>
            </w:tcBorders>
            <w:vAlign w:val="center"/>
          </w:tcPr>
          <w:p w14:paraId="0AFFE42D">
            <w:pPr>
              <w:widowControl/>
              <w:spacing w:line="240" w:lineRule="auto"/>
              <w:jc w:val="center"/>
              <w:rPr>
                <w:rFonts w:hint="eastAsia" w:cs="宋体"/>
                <w:color w:val="000000"/>
                <w:kern w:val="0"/>
                <w:sz w:val="22"/>
              </w:rPr>
            </w:pPr>
            <w:r>
              <w:rPr>
                <w:rFonts w:cs="宋体"/>
                <w:color w:val="000000"/>
                <w:kern w:val="0"/>
                <w:sz w:val="22"/>
              </w:rPr>
              <w:t>项</w:t>
            </w:r>
          </w:p>
        </w:tc>
        <w:tc>
          <w:tcPr>
            <w:tcW w:w="202" w:type="pct"/>
            <w:tcBorders>
              <w:top w:val="nil"/>
              <w:left w:val="nil"/>
              <w:bottom w:val="single" w:color="auto" w:sz="4" w:space="0"/>
              <w:right w:val="single" w:color="auto" w:sz="4" w:space="0"/>
            </w:tcBorders>
            <w:vAlign w:val="center"/>
          </w:tcPr>
          <w:p w14:paraId="15E14D52">
            <w:pPr>
              <w:widowControl/>
              <w:spacing w:line="240" w:lineRule="auto"/>
              <w:jc w:val="center"/>
              <w:rPr>
                <w:rFonts w:hint="eastAsia" w:cs="宋体"/>
                <w:color w:val="000000"/>
                <w:kern w:val="0"/>
                <w:sz w:val="22"/>
              </w:rPr>
            </w:pPr>
            <w:r>
              <w:rPr>
                <w:rFonts w:cs="宋体"/>
                <w:color w:val="000000"/>
                <w:kern w:val="0"/>
                <w:sz w:val="22"/>
              </w:rPr>
              <w:t>1</w:t>
            </w:r>
          </w:p>
        </w:tc>
      </w:tr>
      <w:tr w14:paraId="74D45465">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F2F839C">
            <w:pPr>
              <w:widowControl/>
              <w:spacing w:line="240" w:lineRule="auto"/>
              <w:jc w:val="center"/>
              <w:rPr>
                <w:rFonts w:hint="eastAsia" w:cs="宋体"/>
                <w:color w:val="000000"/>
                <w:kern w:val="0"/>
                <w:sz w:val="22"/>
              </w:rPr>
            </w:pPr>
            <w:r>
              <w:rPr>
                <w:rFonts w:cs="宋体"/>
                <w:color w:val="000000"/>
                <w:kern w:val="0"/>
                <w:sz w:val="22"/>
              </w:rPr>
              <w:t>52</w:t>
            </w:r>
          </w:p>
        </w:tc>
        <w:tc>
          <w:tcPr>
            <w:tcW w:w="152" w:type="pct"/>
            <w:vMerge w:val="continue"/>
            <w:tcBorders>
              <w:top w:val="nil"/>
              <w:left w:val="single" w:color="auto" w:sz="4" w:space="0"/>
              <w:bottom w:val="single" w:color="000000" w:sz="4" w:space="0"/>
              <w:right w:val="single" w:color="auto" w:sz="4" w:space="0"/>
            </w:tcBorders>
            <w:vAlign w:val="center"/>
          </w:tcPr>
          <w:p w14:paraId="7CD8C512">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230D35BB">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4CD319E1">
            <w:pPr>
              <w:widowControl/>
              <w:spacing w:line="240" w:lineRule="auto"/>
              <w:rPr>
                <w:rFonts w:hint="eastAsia" w:cs="宋体"/>
                <w:color w:val="000000"/>
                <w:kern w:val="0"/>
                <w:sz w:val="22"/>
              </w:rPr>
            </w:pPr>
            <w:r>
              <w:rPr>
                <w:rFonts w:cs="宋体"/>
                <w:color w:val="000000"/>
                <w:kern w:val="0"/>
                <w:sz w:val="22"/>
              </w:rPr>
              <w:t>通讯模块</w:t>
            </w:r>
          </w:p>
        </w:tc>
        <w:tc>
          <w:tcPr>
            <w:tcW w:w="3643" w:type="pct"/>
            <w:tcBorders>
              <w:top w:val="nil"/>
              <w:left w:val="nil"/>
              <w:bottom w:val="single" w:color="auto" w:sz="4" w:space="0"/>
              <w:right w:val="single" w:color="auto" w:sz="4" w:space="0"/>
            </w:tcBorders>
            <w:vAlign w:val="center"/>
          </w:tcPr>
          <w:p w14:paraId="5994A980">
            <w:pPr>
              <w:widowControl/>
              <w:spacing w:line="240" w:lineRule="auto"/>
              <w:rPr>
                <w:rFonts w:hint="eastAsia" w:cs="宋体"/>
                <w:color w:val="000000"/>
                <w:kern w:val="0"/>
                <w:sz w:val="22"/>
              </w:rPr>
            </w:pPr>
            <w:r>
              <w:rPr>
                <w:rFonts w:cs="宋体"/>
                <w:color w:val="000000"/>
                <w:kern w:val="0"/>
                <w:sz w:val="22"/>
              </w:rPr>
              <w:t>输入RS-232协议，输出RS-485协议(2线,D+,D-)，自动转换波特率,300~115200BPS，隔离电压3000VDC，传输距离大于1200米距离或多于256个模块。</w:t>
            </w:r>
          </w:p>
        </w:tc>
        <w:tc>
          <w:tcPr>
            <w:tcW w:w="216" w:type="pct"/>
            <w:tcBorders>
              <w:top w:val="nil"/>
              <w:left w:val="nil"/>
              <w:bottom w:val="single" w:color="auto" w:sz="4" w:space="0"/>
              <w:right w:val="single" w:color="auto" w:sz="4" w:space="0"/>
            </w:tcBorders>
            <w:vAlign w:val="center"/>
          </w:tcPr>
          <w:p w14:paraId="37376865">
            <w:pPr>
              <w:widowControl/>
              <w:spacing w:line="240" w:lineRule="auto"/>
              <w:jc w:val="center"/>
              <w:rPr>
                <w:rFonts w:hint="eastAsia" w:cs="宋体"/>
                <w:color w:val="000000"/>
                <w:kern w:val="0"/>
                <w:sz w:val="22"/>
              </w:rPr>
            </w:pPr>
            <w:r>
              <w:rPr>
                <w:rFonts w:cs="宋体"/>
                <w:color w:val="000000"/>
                <w:kern w:val="0"/>
                <w:sz w:val="22"/>
              </w:rPr>
              <w:t>个</w:t>
            </w:r>
          </w:p>
        </w:tc>
        <w:tc>
          <w:tcPr>
            <w:tcW w:w="202" w:type="pct"/>
            <w:tcBorders>
              <w:top w:val="nil"/>
              <w:left w:val="nil"/>
              <w:bottom w:val="single" w:color="auto" w:sz="4" w:space="0"/>
              <w:right w:val="single" w:color="auto" w:sz="4" w:space="0"/>
            </w:tcBorders>
            <w:vAlign w:val="center"/>
          </w:tcPr>
          <w:p w14:paraId="63ACBCD0">
            <w:pPr>
              <w:widowControl/>
              <w:spacing w:line="240" w:lineRule="auto"/>
              <w:jc w:val="center"/>
              <w:rPr>
                <w:rFonts w:hint="eastAsia" w:cs="宋体"/>
                <w:color w:val="000000"/>
                <w:kern w:val="0"/>
                <w:sz w:val="22"/>
              </w:rPr>
            </w:pPr>
            <w:r>
              <w:rPr>
                <w:rFonts w:cs="宋体"/>
                <w:color w:val="000000"/>
                <w:kern w:val="0"/>
                <w:sz w:val="22"/>
              </w:rPr>
              <w:t>2</w:t>
            </w:r>
          </w:p>
        </w:tc>
      </w:tr>
      <w:tr w14:paraId="1A0996A1">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0B6A8EC">
            <w:pPr>
              <w:widowControl/>
              <w:spacing w:line="240" w:lineRule="auto"/>
              <w:jc w:val="center"/>
              <w:rPr>
                <w:rFonts w:hint="eastAsia" w:cs="宋体"/>
                <w:color w:val="000000"/>
                <w:kern w:val="0"/>
                <w:sz w:val="22"/>
              </w:rPr>
            </w:pPr>
            <w:r>
              <w:rPr>
                <w:rFonts w:cs="宋体"/>
                <w:color w:val="000000"/>
                <w:kern w:val="0"/>
                <w:sz w:val="22"/>
              </w:rPr>
              <w:t>53</w:t>
            </w:r>
          </w:p>
        </w:tc>
        <w:tc>
          <w:tcPr>
            <w:tcW w:w="152" w:type="pct"/>
            <w:vMerge w:val="continue"/>
            <w:tcBorders>
              <w:top w:val="nil"/>
              <w:left w:val="single" w:color="auto" w:sz="4" w:space="0"/>
              <w:bottom w:val="single" w:color="000000" w:sz="4" w:space="0"/>
              <w:right w:val="single" w:color="auto" w:sz="4" w:space="0"/>
            </w:tcBorders>
            <w:vAlign w:val="center"/>
          </w:tcPr>
          <w:p w14:paraId="4A7B0D85">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DC29276">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C79AF54">
            <w:pPr>
              <w:widowControl/>
              <w:spacing w:line="240" w:lineRule="auto"/>
              <w:rPr>
                <w:rFonts w:hint="eastAsia" w:cs="宋体"/>
                <w:color w:val="000000"/>
                <w:kern w:val="0"/>
                <w:sz w:val="22"/>
              </w:rPr>
            </w:pPr>
            <w:r>
              <w:rPr>
                <w:rFonts w:cs="宋体"/>
                <w:color w:val="000000"/>
                <w:kern w:val="0"/>
                <w:sz w:val="22"/>
              </w:rPr>
              <w:t>UPS监测接口软件</w:t>
            </w:r>
          </w:p>
        </w:tc>
        <w:tc>
          <w:tcPr>
            <w:tcW w:w="3643" w:type="pct"/>
            <w:tcBorders>
              <w:top w:val="nil"/>
              <w:left w:val="nil"/>
              <w:bottom w:val="single" w:color="auto" w:sz="4" w:space="0"/>
              <w:right w:val="single" w:color="auto" w:sz="4" w:space="0"/>
            </w:tcBorders>
            <w:vAlign w:val="center"/>
          </w:tcPr>
          <w:p w14:paraId="43480A19">
            <w:pPr>
              <w:widowControl/>
              <w:spacing w:line="240" w:lineRule="auto"/>
              <w:rPr>
                <w:rFonts w:hint="eastAsia" w:cs="宋体"/>
                <w:color w:val="000000"/>
                <w:kern w:val="0"/>
                <w:sz w:val="22"/>
              </w:rPr>
            </w:pPr>
            <w:r>
              <w:rPr>
                <w:rFonts w:cs="宋体"/>
                <w:color w:val="000000"/>
                <w:kern w:val="0"/>
                <w:sz w:val="22"/>
              </w:rPr>
              <w:t>通过UPS厂家提供的智能通讯接口及通讯协议，对UPS内部整流器、逆变器、旁路、负载、后备电池等各部件的运行状态进行实时监视，一旦有部件发生故障，系统自动报警；并且实时监测UPS的各种电压、电流、频率、功率等参数，并有直观的图形界面显示；系统提供历史记录供查询，参数越限或状态告警时给出告警。</w:t>
            </w:r>
          </w:p>
        </w:tc>
        <w:tc>
          <w:tcPr>
            <w:tcW w:w="216" w:type="pct"/>
            <w:tcBorders>
              <w:top w:val="nil"/>
              <w:left w:val="nil"/>
              <w:bottom w:val="single" w:color="auto" w:sz="4" w:space="0"/>
              <w:right w:val="single" w:color="auto" w:sz="4" w:space="0"/>
            </w:tcBorders>
            <w:vAlign w:val="center"/>
          </w:tcPr>
          <w:p w14:paraId="3DB84017">
            <w:pPr>
              <w:widowControl/>
              <w:spacing w:line="240" w:lineRule="auto"/>
              <w:jc w:val="center"/>
              <w:rPr>
                <w:rFonts w:hint="eastAsia" w:cs="宋体"/>
                <w:color w:val="000000"/>
                <w:kern w:val="0"/>
                <w:sz w:val="22"/>
              </w:rPr>
            </w:pPr>
            <w:r>
              <w:rPr>
                <w:rFonts w:cs="宋体"/>
                <w:color w:val="000000"/>
                <w:kern w:val="0"/>
                <w:sz w:val="22"/>
              </w:rPr>
              <w:t>项</w:t>
            </w:r>
          </w:p>
        </w:tc>
        <w:tc>
          <w:tcPr>
            <w:tcW w:w="202" w:type="pct"/>
            <w:tcBorders>
              <w:top w:val="nil"/>
              <w:left w:val="nil"/>
              <w:bottom w:val="single" w:color="auto" w:sz="4" w:space="0"/>
              <w:right w:val="single" w:color="auto" w:sz="4" w:space="0"/>
            </w:tcBorders>
            <w:vAlign w:val="center"/>
          </w:tcPr>
          <w:p w14:paraId="607F987B">
            <w:pPr>
              <w:widowControl/>
              <w:spacing w:line="240" w:lineRule="auto"/>
              <w:jc w:val="center"/>
              <w:rPr>
                <w:rFonts w:hint="eastAsia" w:cs="宋体"/>
                <w:color w:val="000000"/>
                <w:kern w:val="0"/>
                <w:sz w:val="22"/>
              </w:rPr>
            </w:pPr>
            <w:r>
              <w:rPr>
                <w:rFonts w:cs="宋体"/>
                <w:color w:val="000000"/>
                <w:kern w:val="0"/>
                <w:sz w:val="22"/>
              </w:rPr>
              <w:t>1</w:t>
            </w:r>
          </w:p>
        </w:tc>
      </w:tr>
      <w:tr w14:paraId="4E18770F">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CE46032">
            <w:pPr>
              <w:widowControl/>
              <w:spacing w:line="240" w:lineRule="auto"/>
              <w:jc w:val="center"/>
              <w:rPr>
                <w:rFonts w:hint="eastAsia" w:cs="宋体"/>
                <w:color w:val="000000"/>
                <w:kern w:val="0"/>
                <w:sz w:val="22"/>
              </w:rPr>
            </w:pPr>
            <w:r>
              <w:rPr>
                <w:rFonts w:cs="宋体"/>
                <w:color w:val="000000"/>
                <w:kern w:val="0"/>
                <w:sz w:val="22"/>
              </w:rPr>
              <w:t>54</w:t>
            </w:r>
          </w:p>
        </w:tc>
        <w:tc>
          <w:tcPr>
            <w:tcW w:w="152" w:type="pct"/>
            <w:vMerge w:val="continue"/>
            <w:tcBorders>
              <w:top w:val="nil"/>
              <w:left w:val="single" w:color="auto" w:sz="4" w:space="0"/>
              <w:bottom w:val="single" w:color="000000" w:sz="4" w:space="0"/>
              <w:right w:val="single" w:color="auto" w:sz="4" w:space="0"/>
            </w:tcBorders>
            <w:vAlign w:val="center"/>
          </w:tcPr>
          <w:p w14:paraId="604B69D4">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4827DA09">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3BE453F3">
            <w:pPr>
              <w:widowControl/>
              <w:spacing w:line="240" w:lineRule="auto"/>
              <w:rPr>
                <w:rFonts w:hint="eastAsia" w:cs="宋体"/>
                <w:color w:val="000000"/>
                <w:kern w:val="0"/>
                <w:sz w:val="22"/>
              </w:rPr>
            </w:pPr>
            <w:r>
              <w:rPr>
                <w:rFonts w:cs="宋体"/>
                <w:color w:val="000000"/>
                <w:kern w:val="0"/>
                <w:sz w:val="22"/>
              </w:rPr>
              <w:t>空调监测接口软件</w:t>
            </w:r>
          </w:p>
        </w:tc>
        <w:tc>
          <w:tcPr>
            <w:tcW w:w="3643" w:type="pct"/>
            <w:tcBorders>
              <w:top w:val="nil"/>
              <w:left w:val="nil"/>
              <w:bottom w:val="single" w:color="auto" w:sz="4" w:space="0"/>
              <w:right w:val="single" w:color="auto" w:sz="4" w:space="0"/>
            </w:tcBorders>
            <w:vAlign w:val="center"/>
          </w:tcPr>
          <w:p w14:paraId="41757276">
            <w:pPr>
              <w:widowControl/>
              <w:spacing w:line="240" w:lineRule="auto"/>
              <w:rPr>
                <w:rFonts w:hint="eastAsia" w:cs="宋体"/>
                <w:color w:val="000000"/>
                <w:kern w:val="0"/>
                <w:sz w:val="22"/>
              </w:rPr>
            </w:pPr>
            <w:r>
              <w:rPr>
                <w:rFonts w:cs="宋体"/>
                <w:color w:val="000000"/>
                <w:kern w:val="0"/>
                <w:sz w:val="22"/>
              </w:rPr>
              <w:t>通过空调厂家提供的智能通讯接口及通讯协议，实时、全面诊断空调运行状况，监控空调各部件（如压缩机、风机、加热器、加湿器、去湿器、滤网等）的运行状态与参数，并可远程设置修改空调设置参数（温度、湿度等），远程控制空调的开关机等功能。空调一旦出现报警，越限参数变色显示报警，自动弹出报警画面。</w:t>
            </w:r>
          </w:p>
        </w:tc>
        <w:tc>
          <w:tcPr>
            <w:tcW w:w="216" w:type="pct"/>
            <w:tcBorders>
              <w:top w:val="nil"/>
              <w:left w:val="nil"/>
              <w:bottom w:val="single" w:color="auto" w:sz="4" w:space="0"/>
              <w:right w:val="single" w:color="auto" w:sz="4" w:space="0"/>
            </w:tcBorders>
            <w:vAlign w:val="center"/>
          </w:tcPr>
          <w:p w14:paraId="51B4E2E5">
            <w:pPr>
              <w:widowControl/>
              <w:spacing w:line="240" w:lineRule="auto"/>
              <w:jc w:val="center"/>
              <w:rPr>
                <w:rFonts w:hint="eastAsia" w:cs="宋体"/>
                <w:color w:val="000000"/>
                <w:kern w:val="0"/>
                <w:sz w:val="22"/>
              </w:rPr>
            </w:pPr>
            <w:r>
              <w:rPr>
                <w:rFonts w:cs="宋体"/>
                <w:color w:val="000000"/>
                <w:kern w:val="0"/>
                <w:sz w:val="22"/>
              </w:rPr>
              <w:t>项</w:t>
            </w:r>
          </w:p>
        </w:tc>
        <w:tc>
          <w:tcPr>
            <w:tcW w:w="202" w:type="pct"/>
            <w:tcBorders>
              <w:top w:val="nil"/>
              <w:left w:val="nil"/>
              <w:bottom w:val="single" w:color="auto" w:sz="4" w:space="0"/>
              <w:right w:val="single" w:color="auto" w:sz="4" w:space="0"/>
            </w:tcBorders>
            <w:vAlign w:val="center"/>
          </w:tcPr>
          <w:p w14:paraId="237156B7">
            <w:pPr>
              <w:widowControl/>
              <w:spacing w:line="240" w:lineRule="auto"/>
              <w:jc w:val="center"/>
              <w:rPr>
                <w:rFonts w:hint="eastAsia" w:cs="宋体"/>
                <w:color w:val="000000"/>
                <w:kern w:val="0"/>
                <w:sz w:val="22"/>
              </w:rPr>
            </w:pPr>
            <w:r>
              <w:rPr>
                <w:rFonts w:cs="宋体"/>
                <w:color w:val="000000"/>
                <w:kern w:val="0"/>
                <w:sz w:val="22"/>
              </w:rPr>
              <w:t>1</w:t>
            </w:r>
          </w:p>
        </w:tc>
      </w:tr>
      <w:tr w14:paraId="516249C7">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B9C465B">
            <w:pPr>
              <w:widowControl/>
              <w:spacing w:line="240" w:lineRule="auto"/>
              <w:jc w:val="center"/>
              <w:rPr>
                <w:rFonts w:hint="eastAsia" w:cs="宋体"/>
                <w:color w:val="000000"/>
                <w:kern w:val="0"/>
                <w:sz w:val="22"/>
              </w:rPr>
            </w:pPr>
            <w:r>
              <w:rPr>
                <w:rFonts w:cs="宋体"/>
                <w:color w:val="000000"/>
                <w:kern w:val="0"/>
                <w:sz w:val="22"/>
              </w:rPr>
              <w:t>55</w:t>
            </w:r>
          </w:p>
        </w:tc>
        <w:tc>
          <w:tcPr>
            <w:tcW w:w="152" w:type="pct"/>
            <w:vMerge w:val="continue"/>
            <w:tcBorders>
              <w:top w:val="nil"/>
              <w:left w:val="single" w:color="auto" w:sz="4" w:space="0"/>
              <w:bottom w:val="single" w:color="000000" w:sz="4" w:space="0"/>
              <w:right w:val="single" w:color="auto" w:sz="4" w:space="0"/>
            </w:tcBorders>
            <w:vAlign w:val="center"/>
          </w:tcPr>
          <w:p w14:paraId="5543C49C">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23DA6D50">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DA06B56">
            <w:pPr>
              <w:widowControl/>
              <w:spacing w:line="240" w:lineRule="auto"/>
              <w:rPr>
                <w:rFonts w:hint="eastAsia" w:cs="宋体"/>
                <w:color w:val="000000"/>
                <w:kern w:val="0"/>
                <w:sz w:val="22"/>
              </w:rPr>
            </w:pPr>
            <w:r>
              <w:rPr>
                <w:rFonts w:cs="宋体"/>
                <w:color w:val="000000"/>
                <w:kern w:val="0"/>
                <w:sz w:val="22"/>
              </w:rPr>
              <w:t>水浸传感器</w:t>
            </w:r>
          </w:p>
        </w:tc>
        <w:tc>
          <w:tcPr>
            <w:tcW w:w="3643" w:type="pct"/>
            <w:tcBorders>
              <w:top w:val="nil"/>
              <w:left w:val="nil"/>
              <w:bottom w:val="single" w:color="auto" w:sz="4" w:space="0"/>
              <w:right w:val="single" w:color="auto" w:sz="4" w:space="0"/>
            </w:tcBorders>
            <w:vAlign w:val="center"/>
          </w:tcPr>
          <w:p w14:paraId="5E426A7A">
            <w:pPr>
              <w:widowControl/>
              <w:spacing w:line="240" w:lineRule="auto"/>
              <w:rPr>
                <w:rFonts w:hint="eastAsia" w:cs="宋体"/>
                <w:color w:val="000000"/>
                <w:kern w:val="0"/>
                <w:sz w:val="22"/>
              </w:rPr>
            </w:pPr>
            <w:r>
              <w:rPr>
                <w:rFonts w:cs="宋体"/>
                <w:color w:val="000000"/>
                <w:kern w:val="0"/>
                <w:sz w:val="22"/>
              </w:rPr>
              <w:t>非定位，响应时间&lt;3s，最大检测距离可达200m；检测灵敏度由拨码开关设定，可适应不同检测水质的漏水检测。提供告警声音输出，可由拨码开关设定开启或关闭；具有1路继电器输出，用于输出告警信号或泄漏控制。具有2个LED状态指示，能迅速直观了解漏液检测系统的工作状态；端口具有EMC设计，抗干扰能力强，长期稳定性高。</w:t>
            </w:r>
          </w:p>
        </w:tc>
        <w:tc>
          <w:tcPr>
            <w:tcW w:w="216" w:type="pct"/>
            <w:tcBorders>
              <w:top w:val="nil"/>
              <w:left w:val="nil"/>
              <w:bottom w:val="single" w:color="auto" w:sz="4" w:space="0"/>
              <w:right w:val="single" w:color="auto" w:sz="4" w:space="0"/>
            </w:tcBorders>
            <w:vAlign w:val="center"/>
          </w:tcPr>
          <w:p w14:paraId="34FBB8EA">
            <w:pPr>
              <w:widowControl/>
              <w:spacing w:line="240" w:lineRule="auto"/>
              <w:jc w:val="center"/>
              <w:rPr>
                <w:rFonts w:hint="eastAsia" w:cs="宋体"/>
                <w:color w:val="000000"/>
                <w:kern w:val="0"/>
                <w:sz w:val="22"/>
              </w:rPr>
            </w:pPr>
            <w:r>
              <w:rPr>
                <w:rFonts w:cs="宋体"/>
                <w:color w:val="000000"/>
                <w:kern w:val="0"/>
                <w:sz w:val="22"/>
              </w:rPr>
              <w:t>个</w:t>
            </w:r>
          </w:p>
        </w:tc>
        <w:tc>
          <w:tcPr>
            <w:tcW w:w="202" w:type="pct"/>
            <w:tcBorders>
              <w:top w:val="nil"/>
              <w:left w:val="nil"/>
              <w:bottom w:val="single" w:color="auto" w:sz="4" w:space="0"/>
              <w:right w:val="single" w:color="auto" w:sz="4" w:space="0"/>
            </w:tcBorders>
            <w:vAlign w:val="center"/>
          </w:tcPr>
          <w:p w14:paraId="37F1C6BE">
            <w:pPr>
              <w:widowControl/>
              <w:spacing w:line="240" w:lineRule="auto"/>
              <w:jc w:val="center"/>
              <w:rPr>
                <w:rFonts w:hint="eastAsia" w:cs="宋体"/>
                <w:color w:val="000000"/>
                <w:kern w:val="0"/>
                <w:sz w:val="22"/>
              </w:rPr>
            </w:pPr>
            <w:r>
              <w:rPr>
                <w:rFonts w:cs="宋体"/>
                <w:color w:val="000000"/>
                <w:kern w:val="0"/>
                <w:sz w:val="22"/>
              </w:rPr>
              <w:t>1</w:t>
            </w:r>
          </w:p>
        </w:tc>
      </w:tr>
      <w:tr w14:paraId="14DA433F">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42B54091">
            <w:pPr>
              <w:widowControl/>
              <w:spacing w:line="240" w:lineRule="auto"/>
              <w:jc w:val="center"/>
              <w:rPr>
                <w:rFonts w:hint="eastAsia" w:cs="宋体"/>
                <w:color w:val="000000"/>
                <w:kern w:val="0"/>
                <w:sz w:val="22"/>
              </w:rPr>
            </w:pPr>
            <w:r>
              <w:rPr>
                <w:rFonts w:cs="宋体"/>
                <w:color w:val="000000"/>
                <w:kern w:val="0"/>
                <w:sz w:val="22"/>
              </w:rPr>
              <w:t>56</w:t>
            </w:r>
          </w:p>
        </w:tc>
        <w:tc>
          <w:tcPr>
            <w:tcW w:w="152" w:type="pct"/>
            <w:vMerge w:val="continue"/>
            <w:tcBorders>
              <w:top w:val="nil"/>
              <w:left w:val="single" w:color="auto" w:sz="4" w:space="0"/>
              <w:bottom w:val="single" w:color="000000" w:sz="4" w:space="0"/>
              <w:right w:val="single" w:color="auto" w:sz="4" w:space="0"/>
            </w:tcBorders>
            <w:vAlign w:val="center"/>
          </w:tcPr>
          <w:p w14:paraId="3E7ADC62">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A65700D">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70884B08">
            <w:pPr>
              <w:widowControl/>
              <w:spacing w:line="240" w:lineRule="auto"/>
              <w:rPr>
                <w:rFonts w:hint="eastAsia" w:cs="宋体"/>
                <w:color w:val="000000"/>
                <w:kern w:val="0"/>
                <w:sz w:val="22"/>
              </w:rPr>
            </w:pPr>
            <w:r>
              <w:rPr>
                <w:rFonts w:cs="宋体"/>
                <w:color w:val="000000"/>
                <w:kern w:val="0"/>
                <w:sz w:val="22"/>
              </w:rPr>
              <w:t>不定位感应绳</w:t>
            </w:r>
          </w:p>
        </w:tc>
        <w:tc>
          <w:tcPr>
            <w:tcW w:w="3643" w:type="pct"/>
            <w:tcBorders>
              <w:top w:val="nil"/>
              <w:left w:val="nil"/>
              <w:bottom w:val="single" w:color="auto" w:sz="4" w:space="0"/>
              <w:right w:val="single" w:color="auto" w:sz="4" w:space="0"/>
            </w:tcBorders>
            <w:vAlign w:val="center"/>
          </w:tcPr>
          <w:p w14:paraId="37B36778">
            <w:pPr>
              <w:widowControl/>
              <w:spacing w:line="240" w:lineRule="auto"/>
              <w:rPr>
                <w:rFonts w:hint="eastAsia" w:cs="宋体"/>
                <w:color w:val="000000"/>
                <w:kern w:val="0"/>
                <w:sz w:val="22"/>
              </w:rPr>
            </w:pPr>
            <w:r>
              <w:rPr>
                <w:rFonts w:cs="宋体"/>
                <w:color w:val="000000"/>
                <w:kern w:val="0"/>
                <w:sz w:val="22"/>
              </w:rPr>
              <w:t>不定位感应绳</w:t>
            </w:r>
          </w:p>
        </w:tc>
        <w:tc>
          <w:tcPr>
            <w:tcW w:w="216" w:type="pct"/>
            <w:tcBorders>
              <w:top w:val="nil"/>
              <w:left w:val="nil"/>
              <w:bottom w:val="single" w:color="auto" w:sz="4" w:space="0"/>
              <w:right w:val="single" w:color="auto" w:sz="4" w:space="0"/>
            </w:tcBorders>
            <w:vAlign w:val="center"/>
          </w:tcPr>
          <w:p w14:paraId="78954048">
            <w:pPr>
              <w:widowControl/>
              <w:spacing w:line="240" w:lineRule="auto"/>
              <w:jc w:val="center"/>
              <w:rPr>
                <w:rFonts w:hint="eastAsia" w:cs="宋体"/>
                <w:color w:val="000000"/>
                <w:kern w:val="0"/>
                <w:sz w:val="22"/>
              </w:rPr>
            </w:pPr>
            <w:r>
              <w:rPr>
                <w:rFonts w:cs="宋体"/>
                <w:color w:val="000000"/>
                <w:kern w:val="0"/>
                <w:sz w:val="22"/>
              </w:rPr>
              <w:t>根</w:t>
            </w:r>
          </w:p>
        </w:tc>
        <w:tc>
          <w:tcPr>
            <w:tcW w:w="202" w:type="pct"/>
            <w:tcBorders>
              <w:top w:val="nil"/>
              <w:left w:val="nil"/>
              <w:bottom w:val="single" w:color="auto" w:sz="4" w:space="0"/>
              <w:right w:val="single" w:color="auto" w:sz="4" w:space="0"/>
            </w:tcBorders>
            <w:vAlign w:val="center"/>
          </w:tcPr>
          <w:p w14:paraId="10CFF442">
            <w:pPr>
              <w:widowControl/>
              <w:spacing w:line="240" w:lineRule="auto"/>
              <w:jc w:val="center"/>
              <w:rPr>
                <w:rFonts w:hint="eastAsia" w:cs="宋体"/>
                <w:color w:val="000000"/>
                <w:kern w:val="0"/>
                <w:sz w:val="22"/>
              </w:rPr>
            </w:pPr>
            <w:r>
              <w:rPr>
                <w:rFonts w:cs="宋体"/>
                <w:color w:val="000000"/>
                <w:kern w:val="0"/>
                <w:sz w:val="22"/>
              </w:rPr>
              <w:t>1</w:t>
            </w:r>
          </w:p>
        </w:tc>
      </w:tr>
      <w:tr w14:paraId="4A85635A">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452955E">
            <w:pPr>
              <w:widowControl/>
              <w:spacing w:line="240" w:lineRule="auto"/>
              <w:jc w:val="center"/>
              <w:rPr>
                <w:rFonts w:hint="eastAsia" w:cs="宋体"/>
                <w:color w:val="000000"/>
                <w:kern w:val="0"/>
                <w:sz w:val="22"/>
              </w:rPr>
            </w:pPr>
            <w:r>
              <w:rPr>
                <w:rFonts w:cs="宋体"/>
                <w:color w:val="000000"/>
                <w:kern w:val="0"/>
                <w:sz w:val="22"/>
              </w:rPr>
              <w:t>57</w:t>
            </w:r>
          </w:p>
        </w:tc>
        <w:tc>
          <w:tcPr>
            <w:tcW w:w="152" w:type="pct"/>
            <w:vMerge w:val="continue"/>
            <w:tcBorders>
              <w:top w:val="nil"/>
              <w:left w:val="single" w:color="auto" w:sz="4" w:space="0"/>
              <w:bottom w:val="single" w:color="000000" w:sz="4" w:space="0"/>
              <w:right w:val="single" w:color="auto" w:sz="4" w:space="0"/>
            </w:tcBorders>
            <w:vAlign w:val="center"/>
          </w:tcPr>
          <w:p w14:paraId="3F38E395">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47F99F5">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E4202C7">
            <w:pPr>
              <w:widowControl/>
              <w:spacing w:line="240" w:lineRule="auto"/>
              <w:rPr>
                <w:rFonts w:hint="eastAsia" w:cs="宋体"/>
                <w:color w:val="000000"/>
                <w:kern w:val="0"/>
                <w:sz w:val="22"/>
              </w:rPr>
            </w:pPr>
            <w:r>
              <w:rPr>
                <w:rFonts w:cs="宋体"/>
                <w:color w:val="000000"/>
                <w:kern w:val="0"/>
                <w:sz w:val="22"/>
              </w:rPr>
              <w:t>漏水监测接口软件</w:t>
            </w:r>
          </w:p>
        </w:tc>
        <w:tc>
          <w:tcPr>
            <w:tcW w:w="3643" w:type="pct"/>
            <w:tcBorders>
              <w:top w:val="nil"/>
              <w:left w:val="nil"/>
              <w:bottom w:val="single" w:color="auto" w:sz="4" w:space="0"/>
              <w:right w:val="single" w:color="auto" w:sz="4" w:space="0"/>
            </w:tcBorders>
            <w:vAlign w:val="center"/>
          </w:tcPr>
          <w:p w14:paraId="35715DAB">
            <w:pPr>
              <w:widowControl/>
              <w:spacing w:line="240" w:lineRule="auto"/>
              <w:rPr>
                <w:rFonts w:hint="eastAsia" w:cs="宋体"/>
                <w:color w:val="000000"/>
                <w:kern w:val="0"/>
                <w:sz w:val="22"/>
              </w:rPr>
            </w:pPr>
            <w:r>
              <w:rPr>
                <w:rFonts w:cs="宋体"/>
                <w:color w:val="000000"/>
                <w:kern w:val="0"/>
                <w:sz w:val="22"/>
              </w:rPr>
              <w:t>在软件界面上显示漏水区域，并给出告警。</w:t>
            </w:r>
          </w:p>
        </w:tc>
        <w:tc>
          <w:tcPr>
            <w:tcW w:w="216" w:type="pct"/>
            <w:tcBorders>
              <w:top w:val="nil"/>
              <w:left w:val="nil"/>
              <w:bottom w:val="single" w:color="auto" w:sz="4" w:space="0"/>
              <w:right w:val="single" w:color="auto" w:sz="4" w:space="0"/>
            </w:tcBorders>
            <w:vAlign w:val="center"/>
          </w:tcPr>
          <w:p w14:paraId="592326A3">
            <w:pPr>
              <w:widowControl/>
              <w:spacing w:line="240" w:lineRule="auto"/>
              <w:jc w:val="center"/>
              <w:rPr>
                <w:rFonts w:hint="eastAsia" w:cs="宋体"/>
                <w:color w:val="000000"/>
                <w:kern w:val="0"/>
                <w:sz w:val="22"/>
              </w:rPr>
            </w:pPr>
            <w:r>
              <w:rPr>
                <w:rFonts w:cs="宋体"/>
                <w:color w:val="000000"/>
                <w:kern w:val="0"/>
                <w:sz w:val="22"/>
              </w:rPr>
              <w:t>项</w:t>
            </w:r>
          </w:p>
        </w:tc>
        <w:tc>
          <w:tcPr>
            <w:tcW w:w="202" w:type="pct"/>
            <w:tcBorders>
              <w:top w:val="nil"/>
              <w:left w:val="nil"/>
              <w:bottom w:val="single" w:color="auto" w:sz="4" w:space="0"/>
              <w:right w:val="single" w:color="auto" w:sz="4" w:space="0"/>
            </w:tcBorders>
            <w:vAlign w:val="center"/>
          </w:tcPr>
          <w:p w14:paraId="348E19ED">
            <w:pPr>
              <w:widowControl/>
              <w:spacing w:line="240" w:lineRule="auto"/>
              <w:jc w:val="center"/>
              <w:rPr>
                <w:rFonts w:hint="eastAsia" w:cs="宋体"/>
                <w:color w:val="000000"/>
                <w:kern w:val="0"/>
                <w:sz w:val="22"/>
              </w:rPr>
            </w:pPr>
            <w:r>
              <w:rPr>
                <w:rFonts w:cs="宋体"/>
                <w:color w:val="000000"/>
                <w:kern w:val="0"/>
                <w:sz w:val="22"/>
              </w:rPr>
              <w:t>1</w:t>
            </w:r>
          </w:p>
        </w:tc>
      </w:tr>
      <w:tr w14:paraId="674E1A51">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A414DC2">
            <w:pPr>
              <w:widowControl/>
              <w:spacing w:line="240" w:lineRule="auto"/>
              <w:jc w:val="center"/>
              <w:rPr>
                <w:rFonts w:hint="eastAsia" w:cs="宋体"/>
                <w:color w:val="000000"/>
                <w:kern w:val="0"/>
                <w:sz w:val="22"/>
              </w:rPr>
            </w:pPr>
            <w:r>
              <w:rPr>
                <w:rFonts w:cs="宋体"/>
                <w:color w:val="000000"/>
                <w:kern w:val="0"/>
                <w:sz w:val="22"/>
              </w:rPr>
              <w:t>58</w:t>
            </w:r>
          </w:p>
        </w:tc>
        <w:tc>
          <w:tcPr>
            <w:tcW w:w="152" w:type="pct"/>
            <w:vMerge w:val="continue"/>
            <w:tcBorders>
              <w:top w:val="nil"/>
              <w:left w:val="single" w:color="auto" w:sz="4" w:space="0"/>
              <w:bottom w:val="single" w:color="000000" w:sz="4" w:space="0"/>
              <w:right w:val="single" w:color="auto" w:sz="4" w:space="0"/>
            </w:tcBorders>
            <w:vAlign w:val="center"/>
          </w:tcPr>
          <w:p w14:paraId="3650F20E">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5A62D030">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1BD997C2">
            <w:pPr>
              <w:widowControl/>
              <w:spacing w:line="240" w:lineRule="auto"/>
              <w:rPr>
                <w:rFonts w:hint="eastAsia" w:cs="宋体"/>
                <w:color w:val="000000"/>
                <w:kern w:val="0"/>
                <w:sz w:val="22"/>
              </w:rPr>
            </w:pPr>
            <w:r>
              <w:rPr>
                <w:rFonts w:cs="宋体"/>
                <w:color w:val="000000"/>
                <w:kern w:val="0"/>
                <w:sz w:val="22"/>
              </w:rPr>
              <w:t>温湿度传感器</w:t>
            </w:r>
          </w:p>
        </w:tc>
        <w:tc>
          <w:tcPr>
            <w:tcW w:w="3643" w:type="pct"/>
            <w:tcBorders>
              <w:top w:val="nil"/>
              <w:left w:val="nil"/>
              <w:bottom w:val="single" w:color="auto" w:sz="4" w:space="0"/>
              <w:right w:val="single" w:color="auto" w:sz="4" w:space="0"/>
            </w:tcBorders>
            <w:vAlign w:val="center"/>
          </w:tcPr>
          <w:p w14:paraId="059FAA8C">
            <w:pPr>
              <w:widowControl/>
              <w:spacing w:line="240" w:lineRule="auto"/>
              <w:rPr>
                <w:rFonts w:hint="eastAsia" w:cs="宋体"/>
                <w:color w:val="000000"/>
                <w:kern w:val="0"/>
                <w:sz w:val="22"/>
              </w:rPr>
            </w:pPr>
            <w:r>
              <w:rPr>
                <w:rFonts w:cs="宋体"/>
                <w:color w:val="000000"/>
                <w:kern w:val="0"/>
                <w:sz w:val="22"/>
              </w:rPr>
              <w:t>RS485数码显示实时温湿度测量值；提供RS485输出，通讯协议采用标准modbus协议；可设通讯地址0-255和波特率1200-19200bps；可经受RS485总线4KV雷击不坏；阻燃绝缘纤维外壳，采用快速端子，安全可靠；测湿范围0~100％RH，精度±3%（RH25℃时）；测温范围－10~50℃，精度±0.5℃（全量程内）供电电源12VDC电流&lt;10mA，最大尺寸86*86*30mm，重量100g</w:t>
            </w:r>
          </w:p>
        </w:tc>
        <w:tc>
          <w:tcPr>
            <w:tcW w:w="216" w:type="pct"/>
            <w:tcBorders>
              <w:top w:val="nil"/>
              <w:left w:val="nil"/>
              <w:bottom w:val="single" w:color="auto" w:sz="4" w:space="0"/>
              <w:right w:val="single" w:color="auto" w:sz="4" w:space="0"/>
            </w:tcBorders>
            <w:vAlign w:val="center"/>
          </w:tcPr>
          <w:p w14:paraId="595E71C2">
            <w:pPr>
              <w:widowControl/>
              <w:spacing w:line="240" w:lineRule="auto"/>
              <w:jc w:val="center"/>
              <w:rPr>
                <w:rFonts w:hint="eastAsia" w:cs="宋体"/>
                <w:color w:val="000000"/>
                <w:kern w:val="0"/>
                <w:sz w:val="22"/>
              </w:rPr>
            </w:pPr>
            <w:r>
              <w:rPr>
                <w:rFonts w:cs="宋体"/>
                <w:color w:val="000000"/>
                <w:kern w:val="0"/>
                <w:sz w:val="22"/>
              </w:rPr>
              <w:t>个</w:t>
            </w:r>
          </w:p>
        </w:tc>
        <w:tc>
          <w:tcPr>
            <w:tcW w:w="202" w:type="pct"/>
            <w:tcBorders>
              <w:top w:val="nil"/>
              <w:left w:val="nil"/>
              <w:bottom w:val="single" w:color="auto" w:sz="4" w:space="0"/>
              <w:right w:val="single" w:color="auto" w:sz="4" w:space="0"/>
            </w:tcBorders>
            <w:vAlign w:val="center"/>
          </w:tcPr>
          <w:p w14:paraId="173F0276">
            <w:pPr>
              <w:widowControl/>
              <w:spacing w:line="240" w:lineRule="auto"/>
              <w:jc w:val="center"/>
              <w:rPr>
                <w:rFonts w:hint="eastAsia" w:cs="宋体"/>
                <w:color w:val="000000"/>
                <w:kern w:val="0"/>
                <w:sz w:val="22"/>
              </w:rPr>
            </w:pPr>
            <w:r>
              <w:rPr>
                <w:rFonts w:cs="宋体"/>
                <w:color w:val="000000"/>
                <w:kern w:val="0"/>
                <w:sz w:val="22"/>
              </w:rPr>
              <w:t>2</w:t>
            </w:r>
          </w:p>
        </w:tc>
      </w:tr>
      <w:tr w14:paraId="3EE09B3A">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3A549122">
            <w:pPr>
              <w:widowControl/>
              <w:spacing w:line="240" w:lineRule="auto"/>
              <w:jc w:val="center"/>
              <w:rPr>
                <w:rFonts w:hint="eastAsia" w:cs="宋体"/>
                <w:color w:val="000000"/>
                <w:kern w:val="0"/>
                <w:sz w:val="22"/>
              </w:rPr>
            </w:pPr>
            <w:r>
              <w:rPr>
                <w:rFonts w:cs="宋体"/>
                <w:color w:val="000000"/>
                <w:kern w:val="0"/>
                <w:sz w:val="22"/>
              </w:rPr>
              <w:t>59</w:t>
            </w:r>
          </w:p>
        </w:tc>
        <w:tc>
          <w:tcPr>
            <w:tcW w:w="152" w:type="pct"/>
            <w:vMerge w:val="continue"/>
            <w:tcBorders>
              <w:top w:val="nil"/>
              <w:left w:val="single" w:color="auto" w:sz="4" w:space="0"/>
              <w:bottom w:val="single" w:color="000000" w:sz="4" w:space="0"/>
              <w:right w:val="single" w:color="auto" w:sz="4" w:space="0"/>
            </w:tcBorders>
            <w:vAlign w:val="center"/>
          </w:tcPr>
          <w:p w14:paraId="59509AEB">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45413D9">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88A2395">
            <w:pPr>
              <w:widowControl/>
              <w:spacing w:line="240" w:lineRule="auto"/>
              <w:rPr>
                <w:rFonts w:hint="eastAsia" w:cs="宋体"/>
                <w:color w:val="000000"/>
                <w:kern w:val="0"/>
                <w:sz w:val="22"/>
              </w:rPr>
            </w:pPr>
            <w:r>
              <w:rPr>
                <w:rFonts w:cs="宋体"/>
                <w:color w:val="000000"/>
                <w:kern w:val="0"/>
                <w:sz w:val="22"/>
              </w:rPr>
              <w:t>温湿度监测接口软件</w:t>
            </w:r>
          </w:p>
        </w:tc>
        <w:tc>
          <w:tcPr>
            <w:tcW w:w="3643" w:type="pct"/>
            <w:tcBorders>
              <w:top w:val="nil"/>
              <w:left w:val="nil"/>
              <w:bottom w:val="single" w:color="auto" w:sz="4" w:space="0"/>
              <w:right w:val="single" w:color="auto" w:sz="4" w:space="0"/>
            </w:tcBorders>
            <w:vAlign w:val="center"/>
          </w:tcPr>
          <w:p w14:paraId="5683C400">
            <w:pPr>
              <w:widowControl/>
              <w:spacing w:line="240" w:lineRule="auto"/>
              <w:rPr>
                <w:rFonts w:hint="eastAsia" w:cs="宋体"/>
                <w:color w:val="000000"/>
                <w:kern w:val="0"/>
                <w:sz w:val="22"/>
              </w:rPr>
            </w:pPr>
            <w:r>
              <w:rPr>
                <w:rFonts w:cs="宋体"/>
                <w:color w:val="000000"/>
                <w:kern w:val="0"/>
                <w:sz w:val="22"/>
              </w:rPr>
              <w:t>实时检测采集机房内的温度和湿度值，提供历史记录供查询，可设定阀值，当参数越限时给出告警信息。</w:t>
            </w:r>
          </w:p>
        </w:tc>
        <w:tc>
          <w:tcPr>
            <w:tcW w:w="216" w:type="pct"/>
            <w:tcBorders>
              <w:top w:val="nil"/>
              <w:left w:val="nil"/>
              <w:bottom w:val="single" w:color="auto" w:sz="4" w:space="0"/>
              <w:right w:val="single" w:color="auto" w:sz="4" w:space="0"/>
            </w:tcBorders>
            <w:vAlign w:val="center"/>
          </w:tcPr>
          <w:p w14:paraId="180308AC">
            <w:pPr>
              <w:widowControl/>
              <w:spacing w:line="240" w:lineRule="auto"/>
              <w:jc w:val="center"/>
              <w:rPr>
                <w:rFonts w:hint="eastAsia" w:cs="宋体"/>
                <w:color w:val="000000"/>
                <w:kern w:val="0"/>
                <w:sz w:val="22"/>
              </w:rPr>
            </w:pPr>
            <w:r>
              <w:rPr>
                <w:rFonts w:cs="宋体"/>
                <w:color w:val="000000"/>
                <w:kern w:val="0"/>
                <w:sz w:val="22"/>
              </w:rPr>
              <w:t>项</w:t>
            </w:r>
          </w:p>
        </w:tc>
        <w:tc>
          <w:tcPr>
            <w:tcW w:w="202" w:type="pct"/>
            <w:tcBorders>
              <w:top w:val="nil"/>
              <w:left w:val="nil"/>
              <w:bottom w:val="single" w:color="auto" w:sz="4" w:space="0"/>
              <w:right w:val="single" w:color="auto" w:sz="4" w:space="0"/>
            </w:tcBorders>
            <w:vAlign w:val="center"/>
          </w:tcPr>
          <w:p w14:paraId="47706BB3">
            <w:pPr>
              <w:widowControl/>
              <w:spacing w:line="240" w:lineRule="auto"/>
              <w:jc w:val="center"/>
              <w:rPr>
                <w:rFonts w:hint="eastAsia" w:cs="宋体"/>
                <w:color w:val="000000"/>
                <w:kern w:val="0"/>
                <w:sz w:val="22"/>
              </w:rPr>
            </w:pPr>
            <w:r>
              <w:rPr>
                <w:rFonts w:cs="宋体"/>
                <w:color w:val="000000"/>
                <w:kern w:val="0"/>
                <w:sz w:val="22"/>
              </w:rPr>
              <w:t>1</w:t>
            </w:r>
          </w:p>
        </w:tc>
      </w:tr>
      <w:tr w14:paraId="7A78E6F6">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49AFDACF">
            <w:pPr>
              <w:widowControl/>
              <w:spacing w:line="240" w:lineRule="auto"/>
              <w:jc w:val="center"/>
              <w:rPr>
                <w:rFonts w:hint="eastAsia" w:cs="宋体"/>
                <w:color w:val="000000"/>
                <w:kern w:val="0"/>
                <w:sz w:val="22"/>
              </w:rPr>
            </w:pPr>
            <w:r>
              <w:rPr>
                <w:rFonts w:cs="宋体"/>
                <w:color w:val="000000"/>
                <w:kern w:val="0"/>
                <w:sz w:val="22"/>
              </w:rPr>
              <w:t>60</w:t>
            </w:r>
          </w:p>
        </w:tc>
        <w:tc>
          <w:tcPr>
            <w:tcW w:w="152" w:type="pct"/>
            <w:vMerge w:val="continue"/>
            <w:tcBorders>
              <w:top w:val="nil"/>
              <w:left w:val="single" w:color="auto" w:sz="4" w:space="0"/>
              <w:bottom w:val="single" w:color="000000" w:sz="4" w:space="0"/>
              <w:right w:val="single" w:color="auto" w:sz="4" w:space="0"/>
            </w:tcBorders>
            <w:vAlign w:val="center"/>
          </w:tcPr>
          <w:p w14:paraId="7A6A0FC3">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51EBA081">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77947A8">
            <w:pPr>
              <w:widowControl/>
              <w:spacing w:line="240" w:lineRule="auto"/>
              <w:rPr>
                <w:rFonts w:hint="eastAsia" w:cs="宋体"/>
                <w:color w:val="000000"/>
                <w:kern w:val="0"/>
                <w:sz w:val="22"/>
              </w:rPr>
            </w:pPr>
            <w:r>
              <w:rPr>
                <w:rFonts w:cs="宋体"/>
                <w:color w:val="000000"/>
                <w:kern w:val="0"/>
                <w:sz w:val="22"/>
              </w:rPr>
              <w:t>探测器（烟感）</w:t>
            </w:r>
          </w:p>
        </w:tc>
        <w:tc>
          <w:tcPr>
            <w:tcW w:w="3643" w:type="pct"/>
            <w:tcBorders>
              <w:top w:val="nil"/>
              <w:left w:val="nil"/>
              <w:bottom w:val="single" w:color="auto" w:sz="4" w:space="0"/>
              <w:right w:val="single" w:color="auto" w:sz="4" w:space="0"/>
            </w:tcBorders>
            <w:vAlign w:val="center"/>
          </w:tcPr>
          <w:p w14:paraId="62BEED38">
            <w:pPr>
              <w:widowControl/>
              <w:spacing w:line="240" w:lineRule="auto"/>
              <w:rPr>
                <w:rFonts w:hint="eastAsia" w:cs="宋体"/>
                <w:color w:val="000000"/>
                <w:kern w:val="0"/>
                <w:sz w:val="22"/>
              </w:rPr>
            </w:pPr>
            <w:r>
              <w:rPr>
                <w:rFonts w:cs="宋体"/>
                <w:color w:val="000000"/>
                <w:kern w:val="0"/>
                <w:sz w:val="22"/>
              </w:rPr>
              <w:t>输出开关信号防拆盒盖，探测角度：15°。探测距离：8m。探测范围：6*0.7m(安装高度在3.6m时)，立体式探测</w:t>
            </w:r>
          </w:p>
        </w:tc>
        <w:tc>
          <w:tcPr>
            <w:tcW w:w="216" w:type="pct"/>
            <w:tcBorders>
              <w:top w:val="nil"/>
              <w:left w:val="nil"/>
              <w:bottom w:val="single" w:color="auto" w:sz="4" w:space="0"/>
              <w:right w:val="single" w:color="auto" w:sz="4" w:space="0"/>
            </w:tcBorders>
            <w:vAlign w:val="center"/>
          </w:tcPr>
          <w:p w14:paraId="519F5A7B">
            <w:pPr>
              <w:widowControl/>
              <w:spacing w:line="240" w:lineRule="auto"/>
              <w:jc w:val="center"/>
              <w:rPr>
                <w:rFonts w:hint="eastAsia" w:cs="宋体"/>
                <w:color w:val="000000"/>
                <w:kern w:val="0"/>
                <w:sz w:val="22"/>
              </w:rPr>
            </w:pPr>
            <w:r>
              <w:rPr>
                <w:rFonts w:cs="宋体"/>
                <w:color w:val="000000"/>
                <w:kern w:val="0"/>
                <w:sz w:val="22"/>
              </w:rPr>
              <w:t>个</w:t>
            </w:r>
          </w:p>
        </w:tc>
        <w:tc>
          <w:tcPr>
            <w:tcW w:w="202" w:type="pct"/>
            <w:tcBorders>
              <w:top w:val="nil"/>
              <w:left w:val="nil"/>
              <w:bottom w:val="single" w:color="auto" w:sz="4" w:space="0"/>
              <w:right w:val="single" w:color="auto" w:sz="4" w:space="0"/>
            </w:tcBorders>
            <w:vAlign w:val="center"/>
          </w:tcPr>
          <w:p w14:paraId="695EF20E">
            <w:pPr>
              <w:widowControl/>
              <w:spacing w:line="240" w:lineRule="auto"/>
              <w:jc w:val="center"/>
              <w:rPr>
                <w:rFonts w:hint="eastAsia" w:cs="宋体"/>
                <w:color w:val="000000"/>
                <w:kern w:val="0"/>
                <w:sz w:val="22"/>
              </w:rPr>
            </w:pPr>
            <w:r>
              <w:rPr>
                <w:rFonts w:cs="宋体"/>
                <w:color w:val="000000"/>
                <w:kern w:val="0"/>
                <w:sz w:val="22"/>
              </w:rPr>
              <w:t>2</w:t>
            </w:r>
          </w:p>
        </w:tc>
      </w:tr>
      <w:tr w14:paraId="33ED6EAF">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B417072">
            <w:pPr>
              <w:widowControl/>
              <w:spacing w:line="240" w:lineRule="auto"/>
              <w:jc w:val="center"/>
              <w:rPr>
                <w:rFonts w:hint="eastAsia" w:cs="宋体"/>
                <w:color w:val="000000"/>
                <w:kern w:val="0"/>
                <w:sz w:val="22"/>
              </w:rPr>
            </w:pPr>
            <w:r>
              <w:rPr>
                <w:rFonts w:cs="宋体"/>
                <w:color w:val="000000"/>
                <w:kern w:val="0"/>
                <w:sz w:val="22"/>
              </w:rPr>
              <w:t>61</w:t>
            </w:r>
          </w:p>
        </w:tc>
        <w:tc>
          <w:tcPr>
            <w:tcW w:w="152" w:type="pct"/>
            <w:vMerge w:val="continue"/>
            <w:tcBorders>
              <w:top w:val="nil"/>
              <w:left w:val="single" w:color="auto" w:sz="4" w:space="0"/>
              <w:bottom w:val="single" w:color="000000" w:sz="4" w:space="0"/>
              <w:right w:val="single" w:color="auto" w:sz="4" w:space="0"/>
            </w:tcBorders>
            <w:vAlign w:val="center"/>
          </w:tcPr>
          <w:p w14:paraId="6883694D">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46BAF67">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234C2A3">
            <w:pPr>
              <w:widowControl/>
              <w:spacing w:line="240" w:lineRule="auto"/>
              <w:rPr>
                <w:rFonts w:hint="eastAsia" w:cs="宋体"/>
                <w:color w:val="000000"/>
                <w:kern w:val="0"/>
                <w:sz w:val="22"/>
              </w:rPr>
            </w:pPr>
            <w:r>
              <w:rPr>
                <w:rFonts w:cs="宋体"/>
                <w:color w:val="000000"/>
                <w:kern w:val="0"/>
                <w:sz w:val="22"/>
              </w:rPr>
              <w:t>消防报警监测接口软件</w:t>
            </w:r>
          </w:p>
        </w:tc>
        <w:tc>
          <w:tcPr>
            <w:tcW w:w="3643" w:type="pct"/>
            <w:tcBorders>
              <w:top w:val="nil"/>
              <w:left w:val="nil"/>
              <w:bottom w:val="single" w:color="auto" w:sz="4" w:space="0"/>
              <w:right w:val="single" w:color="auto" w:sz="4" w:space="0"/>
            </w:tcBorders>
            <w:noWrap/>
            <w:vAlign w:val="center"/>
          </w:tcPr>
          <w:p w14:paraId="3D1B8DE1">
            <w:pPr>
              <w:widowControl/>
              <w:spacing w:line="240" w:lineRule="auto"/>
              <w:rPr>
                <w:rFonts w:hint="eastAsia" w:cs="宋体"/>
                <w:color w:val="000000"/>
                <w:kern w:val="0"/>
                <w:sz w:val="22"/>
              </w:rPr>
            </w:pPr>
            <w:r>
              <w:rPr>
                <w:rFonts w:cs="宋体"/>
                <w:color w:val="000000"/>
                <w:kern w:val="0"/>
                <w:sz w:val="22"/>
              </w:rPr>
              <w:t>　</w:t>
            </w:r>
          </w:p>
        </w:tc>
        <w:tc>
          <w:tcPr>
            <w:tcW w:w="216" w:type="pct"/>
            <w:tcBorders>
              <w:top w:val="nil"/>
              <w:left w:val="nil"/>
              <w:bottom w:val="single" w:color="auto" w:sz="4" w:space="0"/>
              <w:right w:val="single" w:color="auto" w:sz="4" w:space="0"/>
            </w:tcBorders>
            <w:vAlign w:val="center"/>
          </w:tcPr>
          <w:p w14:paraId="651EC016">
            <w:pPr>
              <w:widowControl/>
              <w:spacing w:line="240" w:lineRule="auto"/>
              <w:jc w:val="center"/>
              <w:rPr>
                <w:rFonts w:hint="eastAsia" w:cs="宋体"/>
                <w:color w:val="000000"/>
                <w:kern w:val="0"/>
                <w:sz w:val="22"/>
              </w:rPr>
            </w:pPr>
            <w:r>
              <w:rPr>
                <w:rFonts w:cs="宋体"/>
                <w:color w:val="000000"/>
                <w:kern w:val="0"/>
                <w:sz w:val="22"/>
              </w:rPr>
              <w:t>项</w:t>
            </w:r>
          </w:p>
        </w:tc>
        <w:tc>
          <w:tcPr>
            <w:tcW w:w="202" w:type="pct"/>
            <w:tcBorders>
              <w:top w:val="nil"/>
              <w:left w:val="nil"/>
              <w:bottom w:val="single" w:color="auto" w:sz="4" w:space="0"/>
              <w:right w:val="single" w:color="auto" w:sz="4" w:space="0"/>
            </w:tcBorders>
            <w:vAlign w:val="center"/>
          </w:tcPr>
          <w:p w14:paraId="67BC0A8B">
            <w:pPr>
              <w:widowControl/>
              <w:spacing w:line="240" w:lineRule="auto"/>
              <w:jc w:val="center"/>
              <w:rPr>
                <w:rFonts w:hint="eastAsia" w:cs="宋体"/>
                <w:color w:val="000000"/>
                <w:kern w:val="0"/>
                <w:sz w:val="22"/>
              </w:rPr>
            </w:pPr>
            <w:r>
              <w:rPr>
                <w:rFonts w:cs="宋体"/>
                <w:color w:val="000000"/>
                <w:kern w:val="0"/>
                <w:sz w:val="22"/>
              </w:rPr>
              <w:t>1</w:t>
            </w:r>
          </w:p>
        </w:tc>
      </w:tr>
      <w:tr w14:paraId="34F066A2">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36BBF08A">
            <w:pPr>
              <w:widowControl/>
              <w:spacing w:line="240" w:lineRule="auto"/>
              <w:jc w:val="center"/>
              <w:rPr>
                <w:rFonts w:hint="eastAsia" w:cs="宋体"/>
                <w:color w:val="000000"/>
                <w:kern w:val="0"/>
                <w:sz w:val="22"/>
              </w:rPr>
            </w:pPr>
            <w:r>
              <w:rPr>
                <w:rFonts w:cs="宋体"/>
                <w:color w:val="000000"/>
                <w:kern w:val="0"/>
                <w:sz w:val="22"/>
              </w:rPr>
              <w:t>62</w:t>
            </w:r>
          </w:p>
        </w:tc>
        <w:tc>
          <w:tcPr>
            <w:tcW w:w="152" w:type="pct"/>
            <w:vMerge w:val="continue"/>
            <w:tcBorders>
              <w:top w:val="nil"/>
              <w:left w:val="single" w:color="auto" w:sz="4" w:space="0"/>
              <w:bottom w:val="single" w:color="000000" w:sz="4" w:space="0"/>
              <w:right w:val="single" w:color="auto" w:sz="4" w:space="0"/>
            </w:tcBorders>
            <w:vAlign w:val="center"/>
          </w:tcPr>
          <w:p w14:paraId="6307A41D">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372FDF67">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429A375A">
            <w:pPr>
              <w:widowControl/>
              <w:spacing w:line="240" w:lineRule="auto"/>
              <w:rPr>
                <w:rFonts w:hint="eastAsia" w:cs="宋体"/>
                <w:color w:val="000000"/>
                <w:kern w:val="0"/>
                <w:sz w:val="22"/>
              </w:rPr>
            </w:pPr>
            <w:r>
              <w:rPr>
                <w:rFonts w:cs="宋体"/>
                <w:color w:val="000000"/>
                <w:kern w:val="0"/>
                <w:sz w:val="22"/>
              </w:rPr>
              <w:t>联网门禁管制软件</w:t>
            </w:r>
          </w:p>
        </w:tc>
        <w:tc>
          <w:tcPr>
            <w:tcW w:w="3643" w:type="pct"/>
            <w:tcBorders>
              <w:top w:val="nil"/>
              <w:left w:val="nil"/>
              <w:bottom w:val="single" w:color="auto" w:sz="4" w:space="0"/>
              <w:right w:val="single" w:color="auto" w:sz="4" w:space="0"/>
            </w:tcBorders>
            <w:vAlign w:val="center"/>
          </w:tcPr>
          <w:p w14:paraId="314A55BB">
            <w:pPr>
              <w:widowControl/>
              <w:spacing w:line="240" w:lineRule="auto"/>
              <w:rPr>
                <w:rFonts w:hint="eastAsia" w:cs="宋体"/>
                <w:color w:val="000000"/>
                <w:kern w:val="0"/>
                <w:sz w:val="22"/>
              </w:rPr>
            </w:pPr>
            <w:r>
              <w:rPr>
                <w:rFonts w:cs="宋体"/>
                <w:color w:val="000000"/>
                <w:kern w:val="0"/>
                <w:sz w:val="22"/>
              </w:rPr>
              <w:t>在监控系统中对机房门进行实时的监控管理；软件界面显示门的开关状态，远程控制门的开关，实时显示人员进出信息记录</w:t>
            </w:r>
          </w:p>
        </w:tc>
        <w:tc>
          <w:tcPr>
            <w:tcW w:w="216" w:type="pct"/>
            <w:tcBorders>
              <w:top w:val="nil"/>
              <w:left w:val="nil"/>
              <w:bottom w:val="single" w:color="auto" w:sz="4" w:space="0"/>
              <w:right w:val="single" w:color="auto" w:sz="4" w:space="0"/>
            </w:tcBorders>
            <w:vAlign w:val="center"/>
          </w:tcPr>
          <w:p w14:paraId="0BC7BF34">
            <w:pPr>
              <w:widowControl/>
              <w:spacing w:line="240" w:lineRule="auto"/>
              <w:jc w:val="center"/>
              <w:rPr>
                <w:rFonts w:hint="eastAsia" w:cs="宋体"/>
                <w:color w:val="000000"/>
                <w:kern w:val="0"/>
                <w:sz w:val="22"/>
              </w:rPr>
            </w:pPr>
            <w:r>
              <w:rPr>
                <w:rFonts w:cs="宋体"/>
                <w:color w:val="000000"/>
                <w:kern w:val="0"/>
                <w:sz w:val="22"/>
              </w:rPr>
              <w:t>项</w:t>
            </w:r>
          </w:p>
        </w:tc>
        <w:tc>
          <w:tcPr>
            <w:tcW w:w="202" w:type="pct"/>
            <w:tcBorders>
              <w:top w:val="nil"/>
              <w:left w:val="nil"/>
              <w:bottom w:val="single" w:color="auto" w:sz="4" w:space="0"/>
              <w:right w:val="single" w:color="auto" w:sz="4" w:space="0"/>
            </w:tcBorders>
            <w:vAlign w:val="center"/>
          </w:tcPr>
          <w:p w14:paraId="08FEE052">
            <w:pPr>
              <w:widowControl/>
              <w:spacing w:line="240" w:lineRule="auto"/>
              <w:jc w:val="center"/>
              <w:rPr>
                <w:rFonts w:hint="eastAsia" w:cs="宋体"/>
                <w:color w:val="000000"/>
                <w:kern w:val="0"/>
                <w:sz w:val="22"/>
              </w:rPr>
            </w:pPr>
            <w:r>
              <w:rPr>
                <w:rFonts w:cs="宋体"/>
                <w:color w:val="000000"/>
                <w:kern w:val="0"/>
                <w:sz w:val="22"/>
              </w:rPr>
              <w:t>1</w:t>
            </w:r>
          </w:p>
        </w:tc>
      </w:tr>
      <w:tr w14:paraId="042D6AD0">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59E1B37">
            <w:pPr>
              <w:widowControl/>
              <w:spacing w:line="240" w:lineRule="auto"/>
              <w:jc w:val="center"/>
              <w:rPr>
                <w:rFonts w:hint="eastAsia" w:cs="宋体"/>
                <w:color w:val="000000"/>
                <w:kern w:val="0"/>
                <w:sz w:val="22"/>
              </w:rPr>
            </w:pPr>
            <w:r>
              <w:rPr>
                <w:rFonts w:cs="宋体"/>
                <w:color w:val="000000"/>
                <w:kern w:val="0"/>
                <w:sz w:val="22"/>
              </w:rPr>
              <w:t>63</w:t>
            </w:r>
          </w:p>
        </w:tc>
        <w:tc>
          <w:tcPr>
            <w:tcW w:w="152" w:type="pct"/>
            <w:vMerge w:val="continue"/>
            <w:tcBorders>
              <w:top w:val="nil"/>
              <w:left w:val="single" w:color="auto" w:sz="4" w:space="0"/>
              <w:bottom w:val="single" w:color="000000" w:sz="4" w:space="0"/>
              <w:right w:val="single" w:color="auto" w:sz="4" w:space="0"/>
            </w:tcBorders>
            <w:vAlign w:val="center"/>
          </w:tcPr>
          <w:p w14:paraId="1D86AF9A">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530B5746">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751FF856">
            <w:pPr>
              <w:widowControl/>
              <w:spacing w:line="240" w:lineRule="auto"/>
              <w:rPr>
                <w:rFonts w:hint="eastAsia" w:cs="宋体"/>
                <w:color w:val="000000"/>
                <w:kern w:val="0"/>
                <w:sz w:val="22"/>
              </w:rPr>
            </w:pPr>
            <w:r>
              <w:rPr>
                <w:rFonts w:cs="宋体"/>
                <w:color w:val="000000"/>
                <w:kern w:val="0"/>
                <w:sz w:val="22"/>
              </w:rPr>
              <w:t>联网视频监控软件</w:t>
            </w:r>
          </w:p>
        </w:tc>
        <w:tc>
          <w:tcPr>
            <w:tcW w:w="3643" w:type="pct"/>
            <w:tcBorders>
              <w:top w:val="nil"/>
              <w:left w:val="nil"/>
              <w:bottom w:val="single" w:color="auto" w:sz="4" w:space="0"/>
              <w:right w:val="single" w:color="auto" w:sz="4" w:space="0"/>
            </w:tcBorders>
            <w:vAlign w:val="center"/>
          </w:tcPr>
          <w:p w14:paraId="6686E843">
            <w:pPr>
              <w:widowControl/>
              <w:spacing w:line="240" w:lineRule="auto"/>
              <w:rPr>
                <w:rFonts w:hint="eastAsia" w:cs="宋体"/>
                <w:color w:val="000000"/>
                <w:kern w:val="0"/>
                <w:sz w:val="22"/>
              </w:rPr>
            </w:pPr>
            <w:r>
              <w:rPr>
                <w:rFonts w:cs="宋体"/>
                <w:color w:val="000000"/>
                <w:kern w:val="0"/>
                <w:sz w:val="22"/>
              </w:rPr>
              <w:t>视频监控系统前端设备包括各类监控摄像机，满足各种监控场所图像采集的需要；监控中心实现对视频监控系统统一管理和控制，根据本项目的监控实际需求，选择前端采用网络摄像机和NVR进行监控，并可实现与动力、环境、门禁、门状态、消防等系统的报警联动；远程监控客户端通过监控系统客户端软件实现对监控系统的远程访问、控制和管理，图像监控数据存储在NVR上。</w:t>
            </w:r>
          </w:p>
        </w:tc>
        <w:tc>
          <w:tcPr>
            <w:tcW w:w="216" w:type="pct"/>
            <w:tcBorders>
              <w:top w:val="nil"/>
              <w:left w:val="nil"/>
              <w:bottom w:val="single" w:color="auto" w:sz="4" w:space="0"/>
              <w:right w:val="single" w:color="auto" w:sz="4" w:space="0"/>
            </w:tcBorders>
            <w:vAlign w:val="center"/>
          </w:tcPr>
          <w:p w14:paraId="60893744">
            <w:pPr>
              <w:widowControl/>
              <w:spacing w:line="240" w:lineRule="auto"/>
              <w:jc w:val="center"/>
              <w:rPr>
                <w:rFonts w:hint="eastAsia" w:cs="宋体"/>
                <w:color w:val="000000"/>
                <w:kern w:val="0"/>
                <w:sz w:val="22"/>
              </w:rPr>
            </w:pPr>
            <w:r>
              <w:rPr>
                <w:rFonts w:cs="宋体"/>
                <w:color w:val="000000"/>
                <w:kern w:val="0"/>
                <w:sz w:val="22"/>
              </w:rPr>
              <w:t>项</w:t>
            </w:r>
          </w:p>
        </w:tc>
        <w:tc>
          <w:tcPr>
            <w:tcW w:w="202" w:type="pct"/>
            <w:tcBorders>
              <w:top w:val="nil"/>
              <w:left w:val="nil"/>
              <w:bottom w:val="single" w:color="auto" w:sz="4" w:space="0"/>
              <w:right w:val="single" w:color="auto" w:sz="4" w:space="0"/>
            </w:tcBorders>
            <w:vAlign w:val="center"/>
          </w:tcPr>
          <w:p w14:paraId="0B1A1F3F">
            <w:pPr>
              <w:widowControl/>
              <w:spacing w:line="240" w:lineRule="auto"/>
              <w:jc w:val="center"/>
              <w:rPr>
                <w:rFonts w:hint="eastAsia" w:cs="宋体"/>
                <w:color w:val="000000"/>
                <w:kern w:val="0"/>
                <w:sz w:val="22"/>
              </w:rPr>
            </w:pPr>
            <w:r>
              <w:rPr>
                <w:rFonts w:cs="宋体"/>
                <w:color w:val="000000"/>
                <w:kern w:val="0"/>
                <w:sz w:val="22"/>
              </w:rPr>
              <w:t>1</w:t>
            </w:r>
          </w:p>
        </w:tc>
      </w:tr>
      <w:tr w14:paraId="70D8687B">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D676682">
            <w:pPr>
              <w:widowControl/>
              <w:spacing w:line="240" w:lineRule="auto"/>
              <w:jc w:val="center"/>
              <w:rPr>
                <w:rFonts w:hint="eastAsia" w:cs="宋体"/>
                <w:color w:val="000000"/>
                <w:kern w:val="0"/>
                <w:sz w:val="22"/>
              </w:rPr>
            </w:pPr>
            <w:r>
              <w:rPr>
                <w:rFonts w:cs="宋体"/>
                <w:color w:val="000000"/>
                <w:kern w:val="0"/>
                <w:sz w:val="22"/>
              </w:rPr>
              <w:t>64</w:t>
            </w:r>
          </w:p>
        </w:tc>
        <w:tc>
          <w:tcPr>
            <w:tcW w:w="152" w:type="pct"/>
            <w:vMerge w:val="continue"/>
            <w:tcBorders>
              <w:top w:val="nil"/>
              <w:left w:val="single" w:color="auto" w:sz="4" w:space="0"/>
              <w:bottom w:val="single" w:color="000000" w:sz="4" w:space="0"/>
              <w:right w:val="single" w:color="auto" w:sz="4" w:space="0"/>
            </w:tcBorders>
            <w:vAlign w:val="center"/>
          </w:tcPr>
          <w:p w14:paraId="62D464DD">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92E51BF">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102CF99">
            <w:pPr>
              <w:widowControl/>
              <w:spacing w:line="240" w:lineRule="auto"/>
              <w:rPr>
                <w:rFonts w:hint="eastAsia" w:cs="宋体"/>
                <w:color w:val="000000"/>
                <w:kern w:val="0"/>
                <w:sz w:val="22"/>
              </w:rPr>
            </w:pPr>
            <w:r>
              <w:rPr>
                <w:rFonts w:cs="宋体"/>
                <w:color w:val="000000"/>
                <w:kern w:val="0"/>
                <w:sz w:val="22"/>
              </w:rPr>
              <w:t>开关量采集模块</w:t>
            </w:r>
          </w:p>
        </w:tc>
        <w:tc>
          <w:tcPr>
            <w:tcW w:w="3643" w:type="pct"/>
            <w:tcBorders>
              <w:top w:val="nil"/>
              <w:left w:val="nil"/>
              <w:bottom w:val="single" w:color="auto" w:sz="4" w:space="0"/>
              <w:right w:val="single" w:color="auto" w:sz="4" w:space="0"/>
            </w:tcBorders>
            <w:vAlign w:val="center"/>
          </w:tcPr>
          <w:p w14:paraId="73E2F7CC">
            <w:pPr>
              <w:widowControl/>
              <w:spacing w:line="240" w:lineRule="auto"/>
              <w:rPr>
                <w:rFonts w:hint="eastAsia" w:cs="宋体"/>
                <w:color w:val="000000"/>
                <w:kern w:val="0"/>
                <w:sz w:val="22"/>
              </w:rPr>
            </w:pPr>
            <w:r>
              <w:rPr>
                <w:rFonts w:cs="宋体"/>
                <w:color w:val="000000"/>
                <w:kern w:val="0"/>
                <w:sz w:val="22"/>
              </w:rPr>
              <w:t>不少于16路开关量，干接点，RS485通讯</w:t>
            </w:r>
          </w:p>
        </w:tc>
        <w:tc>
          <w:tcPr>
            <w:tcW w:w="216" w:type="pct"/>
            <w:tcBorders>
              <w:top w:val="nil"/>
              <w:left w:val="nil"/>
              <w:bottom w:val="single" w:color="auto" w:sz="4" w:space="0"/>
              <w:right w:val="single" w:color="auto" w:sz="4" w:space="0"/>
            </w:tcBorders>
            <w:vAlign w:val="center"/>
          </w:tcPr>
          <w:p w14:paraId="6549376E">
            <w:pPr>
              <w:widowControl/>
              <w:spacing w:line="240" w:lineRule="auto"/>
              <w:jc w:val="center"/>
              <w:rPr>
                <w:rFonts w:hint="eastAsia" w:cs="宋体"/>
                <w:color w:val="000000"/>
                <w:kern w:val="0"/>
                <w:sz w:val="22"/>
              </w:rPr>
            </w:pPr>
            <w:r>
              <w:rPr>
                <w:rFonts w:cs="宋体"/>
                <w:color w:val="000000"/>
                <w:kern w:val="0"/>
                <w:sz w:val="22"/>
              </w:rPr>
              <w:t>个</w:t>
            </w:r>
          </w:p>
        </w:tc>
        <w:tc>
          <w:tcPr>
            <w:tcW w:w="202" w:type="pct"/>
            <w:tcBorders>
              <w:top w:val="nil"/>
              <w:left w:val="nil"/>
              <w:bottom w:val="single" w:color="auto" w:sz="4" w:space="0"/>
              <w:right w:val="single" w:color="auto" w:sz="4" w:space="0"/>
            </w:tcBorders>
            <w:vAlign w:val="center"/>
          </w:tcPr>
          <w:p w14:paraId="44E06D93">
            <w:pPr>
              <w:widowControl/>
              <w:spacing w:line="240" w:lineRule="auto"/>
              <w:jc w:val="center"/>
              <w:rPr>
                <w:rFonts w:hint="eastAsia" w:cs="宋体"/>
                <w:color w:val="000000"/>
                <w:kern w:val="0"/>
                <w:sz w:val="22"/>
              </w:rPr>
            </w:pPr>
            <w:r>
              <w:rPr>
                <w:rFonts w:cs="宋体"/>
                <w:color w:val="000000"/>
                <w:kern w:val="0"/>
                <w:sz w:val="22"/>
              </w:rPr>
              <w:t>1</w:t>
            </w:r>
          </w:p>
        </w:tc>
      </w:tr>
      <w:tr w14:paraId="7BF5F77B">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392D2CD9">
            <w:pPr>
              <w:widowControl/>
              <w:spacing w:line="240" w:lineRule="auto"/>
              <w:jc w:val="center"/>
              <w:rPr>
                <w:rFonts w:hint="eastAsia" w:cs="宋体"/>
                <w:color w:val="000000"/>
                <w:kern w:val="0"/>
                <w:sz w:val="22"/>
              </w:rPr>
            </w:pPr>
            <w:r>
              <w:rPr>
                <w:rFonts w:cs="宋体"/>
                <w:color w:val="000000"/>
                <w:kern w:val="0"/>
                <w:sz w:val="22"/>
              </w:rPr>
              <w:t>65</w:t>
            </w:r>
          </w:p>
        </w:tc>
        <w:tc>
          <w:tcPr>
            <w:tcW w:w="152" w:type="pct"/>
            <w:vMerge w:val="continue"/>
            <w:tcBorders>
              <w:top w:val="nil"/>
              <w:left w:val="single" w:color="auto" w:sz="4" w:space="0"/>
              <w:bottom w:val="single" w:color="000000" w:sz="4" w:space="0"/>
              <w:right w:val="single" w:color="auto" w:sz="4" w:space="0"/>
            </w:tcBorders>
            <w:vAlign w:val="center"/>
          </w:tcPr>
          <w:p w14:paraId="151E458B">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455EAEA0">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C5E14C1">
            <w:pPr>
              <w:widowControl/>
              <w:spacing w:line="240" w:lineRule="auto"/>
              <w:rPr>
                <w:rFonts w:hint="eastAsia" w:cs="宋体"/>
                <w:color w:val="000000"/>
                <w:kern w:val="0"/>
                <w:sz w:val="22"/>
              </w:rPr>
            </w:pPr>
            <w:r>
              <w:rPr>
                <w:rFonts w:cs="宋体"/>
                <w:color w:val="000000"/>
                <w:kern w:val="0"/>
                <w:sz w:val="22"/>
              </w:rPr>
              <w:t>监控主机</w:t>
            </w:r>
          </w:p>
        </w:tc>
        <w:tc>
          <w:tcPr>
            <w:tcW w:w="3643" w:type="pct"/>
            <w:tcBorders>
              <w:top w:val="nil"/>
              <w:left w:val="nil"/>
              <w:bottom w:val="single" w:color="auto" w:sz="4" w:space="0"/>
              <w:right w:val="single" w:color="auto" w:sz="4" w:space="0"/>
            </w:tcBorders>
            <w:vAlign w:val="center"/>
          </w:tcPr>
          <w:p w14:paraId="204F07C8">
            <w:pPr>
              <w:widowControl/>
              <w:spacing w:line="240" w:lineRule="auto"/>
              <w:rPr>
                <w:rFonts w:hint="eastAsia" w:cs="宋体"/>
                <w:color w:val="000000"/>
                <w:kern w:val="0"/>
                <w:sz w:val="22"/>
              </w:rPr>
            </w:pPr>
            <w:r>
              <w:rPr>
                <w:rFonts w:cs="宋体"/>
                <w:color w:val="000000"/>
                <w:kern w:val="0"/>
                <w:sz w:val="22"/>
              </w:rPr>
              <w:t>硬件配置CPU不低于4核2.6GHZ，内存不低于8G，硬盘机械硬盘500G(可选配固态硬盘120G或240G)以太网口1个10/100/1000M以太网口串口2个RS232，6个RS485串口（可配IO卡）IO通道6DI2DO（扩展可增加12路开关量采集+4路开关量控制插卡1个）</w:t>
            </w:r>
            <w:r>
              <w:rPr>
                <w:rFonts w:cs="宋体"/>
                <w:color w:val="000000"/>
                <w:kern w:val="0"/>
                <w:sz w:val="22"/>
              </w:rPr>
              <w:br w:type="textWrapping"/>
            </w:r>
            <w:r>
              <w:rPr>
                <w:rFonts w:cs="宋体"/>
                <w:color w:val="000000"/>
                <w:kern w:val="0"/>
                <w:sz w:val="22"/>
              </w:rPr>
              <w:t>USB4个USB口工作条件电源输入AC220V功耗&lt;80W环境温度-10℃～50℃环境湿度10%～90%RH，无凝露</w:t>
            </w:r>
            <w:r>
              <w:rPr>
                <w:rFonts w:cs="宋体"/>
                <w:color w:val="000000"/>
                <w:kern w:val="0"/>
                <w:sz w:val="22"/>
              </w:rPr>
              <w:br w:type="textWrapping"/>
            </w:r>
            <w:r>
              <w:rPr>
                <w:rFonts w:cs="宋体"/>
                <w:color w:val="000000"/>
                <w:kern w:val="0"/>
                <w:sz w:val="22"/>
              </w:rPr>
              <w:t>EMC指标静电防护接触放电:±6KV；空气放电:±8KVEFT防护±2KV</w:t>
            </w:r>
            <w:r>
              <w:rPr>
                <w:rFonts w:cs="宋体"/>
                <w:color w:val="000000"/>
                <w:kern w:val="0"/>
                <w:sz w:val="22"/>
              </w:rPr>
              <w:br w:type="textWrapping"/>
            </w:r>
            <w:r>
              <w:rPr>
                <w:rFonts w:cs="宋体"/>
                <w:color w:val="000000"/>
                <w:kern w:val="0"/>
                <w:sz w:val="22"/>
              </w:rPr>
              <w:t>外形结构长×宽×高440MM×280MM×44MM</w:t>
            </w:r>
            <w:r>
              <w:rPr>
                <w:rFonts w:cs="宋体"/>
                <w:color w:val="000000"/>
                <w:kern w:val="0"/>
                <w:sz w:val="22"/>
              </w:rPr>
              <w:br w:type="textWrapping"/>
            </w:r>
            <w:r>
              <w:rPr>
                <w:rFonts w:cs="宋体"/>
                <w:color w:val="000000"/>
                <w:kern w:val="0"/>
                <w:sz w:val="22"/>
              </w:rPr>
              <w:t>安装方式1U标准机架安装前面板或后面板机架安装</w:t>
            </w:r>
            <w:r>
              <w:rPr>
                <w:rFonts w:cs="宋体"/>
                <w:color w:val="000000"/>
                <w:kern w:val="0"/>
                <w:sz w:val="22"/>
              </w:rPr>
              <w:br w:type="textWrapping"/>
            </w:r>
            <w:r>
              <w:rPr>
                <w:rFonts w:cs="宋体"/>
                <w:color w:val="000000"/>
                <w:kern w:val="0"/>
                <w:sz w:val="22"/>
              </w:rPr>
              <w:t>插卡选配12路开关量采集4路控制卡1张</w:t>
            </w:r>
          </w:p>
        </w:tc>
        <w:tc>
          <w:tcPr>
            <w:tcW w:w="216" w:type="pct"/>
            <w:tcBorders>
              <w:top w:val="nil"/>
              <w:left w:val="nil"/>
              <w:bottom w:val="single" w:color="auto" w:sz="4" w:space="0"/>
              <w:right w:val="single" w:color="auto" w:sz="4" w:space="0"/>
            </w:tcBorders>
            <w:vAlign w:val="center"/>
          </w:tcPr>
          <w:p w14:paraId="12EA4B11">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414E829F">
            <w:pPr>
              <w:widowControl/>
              <w:spacing w:line="240" w:lineRule="auto"/>
              <w:jc w:val="center"/>
              <w:rPr>
                <w:rFonts w:hint="eastAsia" w:cs="宋体"/>
                <w:color w:val="000000"/>
                <w:kern w:val="0"/>
                <w:sz w:val="22"/>
              </w:rPr>
            </w:pPr>
            <w:r>
              <w:rPr>
                <w:rFonts w:cs="宋体"/>
                <w:color w:val="000000"/>
                <w:kern w:val="0"/>
                <w:sz w:val="22"/>
              </w:rPr>
              <w:t>1</w:t>
            </w:r>
          </w:p>
        </w:tc>
      </w:tr>
      <w:tr w14:paraId="2CBD29BA">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6243534">
            <w:pPr>
              <w:widowControl/>
              <w:spacing w:line="240" w:lineRule="auto"/>
              <w:jc w:val="center"/>
              <w:rPr>
                <w:rFonts w:hint="eastAsia" w:cs="宋体"/>
                <w:color w:val="000000"/>
                <w:kern w:val="0"/>
                <w:sz w:val="22"/>
              </w:rPr>
            </w:pPr>
            <w:r>
              <w:rPr>
                <w:rFonts w:cs="宋体"/>
                <w:color w:val="000000"/>
                <w:kern w:val="0"/>
                <w:sz w:val="22"/>
              </w:rPr>
              <w:t>66</w:t>
            </w:r>
          </w:p>
        </w:tc>
        <w:tc>
          <w:tcPr>
            <w:tcW w:w="152" w:type="pct"/>
            <w:vMerge w:val="continue"/>
            <w:tcBorders>
              <w:top w:val="nil"/>
              <w:left w:val="single" w:color="auto" w:sz="4" w:space="0"/>
              <w:bottom w:val="single" w:color="000000" w:sz="4" w:space="0"/>
              <w:right w:val="single" w:color="auto" w:sz="4" w:space="0"/>
            </w:tcBorders>
            <w:vAlign w:val="center"/>
          </w:tcPr>
          <w:p w14:paraId="5619C7C2">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36113C56">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4E44876F">
            <w:pPr>
              <w:widowControl/>
              <w:spacing w:line="240" w:lineRule="auto"/>
              <w:rPr>
                <w:rFonts w:hint="eastAsia" w:cs="宋体"/>
                <w:color w:val="000000"/>
                <w:kern w:val="0"/>
                <w:sz w:val="22"/>
              </w:rPr>
            </w:pPr>
            <w:r>
              <w:rPr>
                <w:rFonts w:cs="宋体"/>
                <w:color w:val="000000"/>
                <w:kern w:val="0"/>
                <w:sz w:val="22"/>
              </w:rPr>
              <w:t>声光报警器</w:t>
            </w:r>
          </w:p>
        </w:tc>
        <w:tc>
          <w:tcPr>
            <w:tcW w:w="3643" w:type="pct"/>
            <w:tcBorders>
              <w:top w:val="nil"/>
              <w:left w:val="nil"/>
              <w:bottom w:val="single" w:color="auto" w:sz="4" w:space="0"/>
              <w:right w:val="single" w:color="auto" w:sz="4" w:space="0"/>
            </w:tcBorders>
            <w:vAlign w:val="center"/>
          </w:tcPr>
          <w:p w14:paraId="360C7F26">
            <w:pPr>
              <w:widowControl/>
              <w:spacing w:line="240" w:lineRule="auto"/>
              <w:rPr>
                <w:rFonts w:hint="eastAsia" w:cs="宋体"/>
                <w:color w:val="000000"/>
                <w:kern w:val="0"/>
                <w:sz w:val="22"/>
              </w:rPr>
            </w:pPr>
            <w:r>
              <w:rPr>
                <w:rFonts w:cs="宋体"/>
                <w:color w:val="000000"/>
                <w:kern w:val="0"/>
                <w:sz w:val="22"/>
              </w:rPr>
              <w:t>额定工作电压12V</w:t>
            </w:r>
            <w:r>
              <w:rPr>
                <w:rFonts w:cs="宋体"/>
                <w:color w:val="000000"/>
                <w:kern w:val="0"/>
                <w:sz w:val="22"/>
              </w:rPr>
              <w:br w:type="textWrapping"/>
            </w:r>
            <w:r>
              <w:rPr>
                <w:rFonts w:cs="宋体"/>
                <w:color w:val="000000"/>
                <w:kern w:val="0"/>
                <w:sz w:val="22"/>
              </w:rPr>
              <w:t>工作电压范围9-15V</w:t>
            </w:r>
            <w:r>
              <w:rPr>
                <w:rFonts w:cs="宋体"/>
                <w:color w:val="000000"/>
                <w:kern w:val="0"/>
                <w:sz w:val="22"/>
              </w:rPr>
              <w:br w:type="textWrapping"/>
            </w:r>
            <w:r>
              <w:rPr>
                <w:rFonts w:cs="宋体"/>
                <w:color w:val="000000"/>
                <w:kern w:val="0"/>
                <w:sz w:val="22"/>
              </w:rPr>
              <w:t>工作电流范围60-85mA</w:t>
            </w:r>
            <w:r>
              <w:rPr>
                <w:rFonts w:cs="宋体"/>
                <w:color w:val="000000"/>
                <w:kern w:val="0"/>
                <w:sz w:val="22"/>
              </w:rPr>
              <w:br w:type="textWrapping"/>
            </w:r>
            <w:r>
              <w:rPr>
                <w:rFonts w:cs="宋体"/>
                <w:color w:val="000000"/>
                <w:kern w:val="0"/>
                <w:sz w:val="22"/>
              </w:rPr>
              <w:t>工作温度范围－20-+60℃</w:t>
            </w:r>
            <w:r>
              <w:rPr>
                <w:rFonts w:cs="宋体"/>
                <w:color w:val="000000"/>
                <w:kern w:val="0"/>
                <w:sz w:val="22"/>
              </w:rPr>
              <w:br w:type="textWrapping"/>
            </w:r>
            <w:r>
              <w:rPr>
                <w:rFonts w:cs="宋体"/>
                <w:color w:val="000000"/>
                <w:kern w:val="0"/>
                <w:sz w:val="22"/>
              </w:rPr>
              <w:t>连续工作时间＞45minDC12V</w:t>
            </w:r>
            <w:r>
              <w:rPr>
                <w:rFonts w:cs="宋体"/>
                <w:color w:val="000000"/>
                <w:kern w:val="0"/>
                <w:sz w:val="22"/>
              </w:rPr>
              <w:br w:type="textWrapping"/>
            </w:r>
            <w:r>
              <w:rPr>
                <w:rFonts w:cs="宋体"/>
                <w:color w:val="000000"/>
                <w:kern w:val="0"/>
                <w:sz w:val="22"/>
              </w:rPr>
              <w:t>闪灯次数声压范围</w:t>
            </w:r>
            <w:r>
              <w:rPr>
                <w:rFonts w:cs="宋体"/>
                <w:color w:val="000000"/>
                <w:kern w:val="0"/>
                <w:sz w:val="22"/>
              </w:rPr>
              <w:br w:type="textWrapping"/>
            </w:r>
            <w:r>
              <w:rPr>
                <w:rFonts w:cs="宋体"/>
                <w:color w:val="000000"/>
                <w:kern w:val="0"/>
                <w:sz w:val="22"/>
              </w:rPr>
              <w:t>200+30</w:t>
            </w:r>
            <w:r>
              <w:rPr>
                <w:rFonts w:cs="宋体"/>
                <w:color w:val="000000"/>
                <w:kern w:val="0"/>
                <w:sz w:val="22"/>
              </w:rPr>
              <w:br w:type="textWrapping"/>
            </w:r>
            <w:r>
              <w:rPr>
                <w:rFonts w:cs="宋体"/>
                <w:color w:val="000000"/>
                <w:kern w:val="0"/>
                <w:sz w:val="22"/>
              </w:rPr>
              <w:t>102±3Db</w:t>
            </w:r>
          </w:p>
        </w:tc>
        <w:tc>
          <w:tcPr>
            <w:tcW w:w="216" w:type="pct"/>
            <w:tcBorders>
              <w:top w:val="nil"/>
              <w:left w:val="nil"/>
              <w:bottom w:val="single" w:color="auto" w:sz="4" w:space="0"/>
              <w:right w:val="single" w:color="auto" w:sz="4" w:space="0"/>
            </w:tcBorders>
            <w:vAlign w:val="center"/>
          </w:tcPr>
          <w:p w14:paraId="187695C5">
            <w:pPr>
              <w:widowControl/>
              <w:spacing w:line="240" w:lineRule="auto"/>
              <w:jc w:val="center"/>
              <w:rPr>
                <w:rFonts w:hint="eastAsia" w:cs="宋体"/>
                <w:color w:val="000000"/>
                <w:kern w:val="0"/>
                <w:sz w:val="22"/>
              </w:rPr>
            </w:pPr>
            <w:r>
              <w:rPr>
                <w:rFonts w:cs="宋体"/>
                <w:color w:val="000000"/>
                <w:kern w:val="0"/>
                <w:sz w:val="22"/>
              </w:rPr>
              <w:t>个</w:t>
            </w:r>
          </w:p>
        </w:tc>
        <w:tc>
          <w:tcPr>
            <w:tcW w:w="202" w:type="pct"/>
            <w:tcBorders>
              <w:top w:val="nil"/>
              <w:left w:val="nil"/>
              <w:bottom w:val="single" w:color="auto" w:sz="4" w:space="0"/>
              <w:right w:val="single" w:color="auto" w:sz="4" w:space="0"/>
            </w:tcBorders>
            <w:vAlign w:val="center"/>
          </w:tcPr>
          <w:p w14:paraId="185C6C8D">
            <w:pPr>
              <w:widowControl/>
              <w:spacing w:line="240" w:lineRule="auto"/>
              <w:jc w:val="center"/>
              <w:rPr>
                <w:rFonts w:hint="eastAsia" w:cs="宋体"/>
                <w:color w:val="000000"/>
                <w:kern w:val="0"/>
                <w:sz w:val="22"/>
              </w:rPr>
            </w:pPr>
            <w:r>
              <w:rPr>
                <w:rFonts w:cs="宋体"/>
                <w:color w:val="000000"/>
                <w:kern w:val="0"/>
                <w:sz w:val="22"/>
              </w:rPr>
              <w:t>2</w:t>
            </w:r>
          </w:p>
        </w:tc>
      </w:tr>
      <w:tr w14:paraId="23DE6062">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6FF68980">
            <w:pPr>
              <w:widowControl/>
              <w:spacing w:line="240" w:lineRule="auto"/>
              <w:jc w:val="center"/>
              <w:rPr>
                <w:rFonts w:hint="eastAsia" w:cs="宋体"/>
                <w:color w:val="000000"/>
                <w:kern w:val="0"/>
                <w:sz w:val="22"/>
              </w:rPr>
            </w:pPr>
            <w:r>
              <w:rPr>
                <w:rFonts w:cs="宋体"/>
                <w:color w:val="000000"/>
                <w:kern w:val="0"/>
                <w:sz w:val="22"/>
              </w:rPr>
              <w:t>67</w:t>
            </w:r>
          </w:p>
        </w:tc>
        <w:tc>
          <w:tcPr>
            <w:tcW w:w="152" w:type="pct"/>
            <w:vMerge w:val="continue"/>
            <w:tcBorders>
              <w:top w:val="nil"/>
              <w:left w:val="single" w:color="auto" w:sz="4" w:space="0"/>
              <w:bottom w:val="single" w:color="000000" w:sz="4" w:space="0"/>
              <w:right w:val="single" w:color="auto" w:sz="4" w:space="0"/>
            </w:tcBorders>
            <w:vAlign w:val="center"/>
          </w:tcPr>
          <w:p w14:paraId="6005F7E6">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0040AE5">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1622D2F4">
            <w:pPr>
              <w:widowControl/>
              <w:spacing w:line="240" w:lineRule="auto"/>
              <w:rPr>
                <w:rFonts w:hint="eastAsia" w:cs="宋体"/>
                <w:color w:val="000000"/>
                <w:kern w:val="0"/>
                <w:sz w:val="22"/>
              </w:rPr>
            </w:pPr>
            <w:r>
              <w:rPr>
                <w:rFonts w:cs="宋体"/>
                <w:color w:val="000000"/>
                <w:kern w:val="0"/>
                <w:sz w:val="22"/>
              </w:rPr>
              <w:t>数据中心综合管理组态软件</w:t>
            </w:r>
          </w:p>
        </w:tc>
        <w:tc>
          <w:tcPr>
            <w:tcW w:w="3643" w:type="pct"/>
            <w:tcBorders>
              <w:top w:val="nil"/>
              <w:left w:val="nil"/>
              <w:bottom w:val="single" w:color="auto" w:sz="4" w:space="0"/>
              <w:right w:val="single" w:color="auto" w:sz="4" w:space="0"/>
            </w:tcBorders>
            <w:vAlign w:val="center"/>
          </w:tcPr>
          <w:p w14:paraId="5103935C">
            <w:pPr>
              <w:widowControl/>
              <w:spacing w:line="240" w:lineRule="auto"/>
              <w:rPr>
                <w:rFonts w:hint="eastAsia" w:cs="宋体"/>
                <w:color w:val="000000"/>
                <w:kern w:val="0"/>
                <w:sz w:val="22"/>
              </w:rPr>
            </w:pPr>
            <w:r>
              <w:rPr>
                <w:rFonts w:cs="宋体"/>
                <w:color w:val="000000"/>
                <w:kern w:val="0"/>
                <w:sz w:val="22"/>
              </w:rPr>
              <w:t>软件系统分为前端采集程序和监控中心程序，前端采集程序的主要功能为：</w:t>
            </w:r>
            <w:r>
              <w:rPr>
                <w:rFonts w:cs="宋体"/>
                <w:color w:val="000000"/>
                <w:kern w:val="0"/>
                <w:sz w:val="22"/>
              </w:rPr>
              <w:br w:type="textWrapping"/>
            </w:r>
            <w:r>
              <w:rPr>
                <w:rFonts w:cs="宋体"/>
                <w:color w:val="000000"/>
                <w:kern w:val="0"/>
                <w:sz w:val="22"/>
              </w:rPr>
              <w:t>1)采集设备和环境的有关参数（运行状态、工作参数、报警信息等），并将这些参数传递给监控中心程序；</w:t>
            </w:r>
            <w:r>
              <w:rPr>
                <w:rFonts w:cs="宋体"/>
                <w:color w:val="000000"/>
                <w:kern w:val="0"/>
                <w:sz w:val="22"/>
              </w:rPr>
              <w:br w:type="textWrapping"/>
            </w:r>
            <w:r>
              <w:rPr>
                <w:rFonts w:cs="宋体"/>
                <w:color w:val="000000"/>
                <w:kern w:val="0"/>
                <w:sz w:val="22"/>
              </w:rPr>
              <w:t>2)对采集的参数进行判断分析，如果超出正常范围，即产生报警事件，并将报警事件传递给监控中心程序；</w:t>
            </w:r>
            <w:r>
              <w:rPr>
                <w:rFonts w:cs="宋体"/>
                <w:color w:val="000000"/>
                <w:kern w:val="0"/>
                <w:sz w:val="22"/>
              </w:rPr>
              <w:br w:type="textWrapping"/>
            </w:r>
            <w:r>
              <w:rPr>
                <w:rFonts w:cs="宋体"/>
                <w:color w:val="000000"/>
                <w:kern w:val="0"/>
                <w:sz w:val="22"/>
              </w:rPr>
              <w:t>3)记录采集的数据和发生的报警事件，并提供查询、分析、报表等手段。</w:t>
            </w:r>
            <w:r>
              <w:rPr>
                <w:rFonts w:cs="宋体"/>
                <w:color w:val="000000"/>
                <w:kern w:val="0"/>
                <w:sz w:val="22"/>
              </w:rPr>
              <w:br w:type="textWrapping"/>
            </w:r>
            <w:r>
              <w:rPr>
                <w:rFonts w:cs="宋体"/>
                <w:color w:val="000000"/>
                <w:kern w:val="0"/>
                <w:sz w:val="22"/>
              </w:rPr>
              <w:t>4)报警事件触发系统设置的联动控制，启停有关设备或引发相关的操作；</w:t>
            </w:r>
            <w:r>
              <w:rPr>
                <w:rFonts w:cs="宋体"/>
                <w:color w:val="000000"/>
                <w:kern w:val="0"/>
                <w:sz w:val="22"/>
              </w:rPr>
              <w:br w:type="textWrapping"/>
            </w:r>
            <w:r>
              <w:rPr>
                <w:rFonts w:cs="宋体"/>
                <w:color w:val="000000"/>
                <w:kern w:val="0"/>
                <w:sz w:val="22"/>
              </w:rPr>
              <w:t>5)接收并执行控制中心软件下达的远程控制命令。</w:t>
            </w:r>
            <w:r>
              <w:rPr>
                <w:rFonts w:cs="宋体"/>
                <w:color w:val="000000"/>
                <w:kern w:val="0"/>
                <w:sz w:val="22"/>
              </w:rPr>
              <w:br w:type="textWrapping"/>
            </w:r>
            <w:r>
              <w:rPr>
                <w:rFonts w:cs="宋体"/>
                <w:color w:val="000000"/>
                <w:kern w:val="0"/>
                <w:sz w:val="22"/>
              </w:rPr>
              <w:t>6)设置监控设备有关通信及运行参数。</w:t>
            </w:r>
            <w:r>
              <w:rPr>
                <w:rFonts w:cs="宋体"/>
                <w:color w:val="000000"/>
                <w:kern w:val="0"/>
                <w:sz w:val="22"/>
              </w:rPr>
              <w:br w:type="textWrapping"/>
            </w:r>
            <w:r>
              <w:rPr>
                <w:rFonts w:cs="宋体"/>
                <w:color w:val="000000"/>
                <w:kern w:val="0"/>
                <w:sz w:val="22"/>
              </w:rPr>
              <w:t>监控中心程序为组态平台软件，主要功能为：</w:t>
            </w:r>
            <w:r>
              <w:rPr>
                <w:rFonts w:cs="宋体"/>
                <w:color w:val="000000"/>
                <w:kern w:val="0"/>
                <w:sz w:val="22"/>
              </w:rPr>
              <w:br w:type="textWrapping"/>
            </w:r>
            <w:r>
              <w:rPr>
                <w:rFonts w:cs="宋体"/>
                <w:color w:val="000000"/>
                <w:kern w:val="0"/>
                <w:sz w:val="22"/>
              </w:rPr>
              <w:t>1)接收前端采集程序监测到的设备和环境的有关参数（运行状态、工作参数、报警信息等），并通过人机界面直观动态实时地显示给用户；</w:t>
            </w:r>
            <w:r>
              <w:rPr>
                <w:rFonts w:cs="宋体"/>
                <w:color w:val="000000"/>
                <w:kern w:val="0"/>
                <w:sz w:val="22"/>
              </w:rPr>
              <w:br w:type="textWrapping"/>
            </w:r>
            <w:r>
              <w:rPr>
                <w:rFonts w:cs="宋体"/>
                <w:color w:val="000000"/>
                <w:kern w:val="0"/>
                <w:sz w:val="22"/>
              </w:rPr>
              <w:t>2)接收前端采集程序发送的报警事件，在界面上以警示的方式告知用户，同时将报警的具体内容以语音、电话、手机、短信等方式发布给有关管理人员；</w:t>
            </w:r>
            <w:r>
              <w:rPr>
                <w:rFonts w:cs="宋体"/>
                <w:color w:val="000000"/>
                <w:kern w:val="0"/>
                <w:sz w:val="22"/>
              </w:rPr>
              <w:br w:type="textWrapping"/>
            </w:r>
            <w:r>
              <w:rPr>
                <w:rFonts w:cs="宋体"/>
                <w:color w:val="000000"/>
                <w:kern w:val="0"/>
                <w:sz w:val="22"/>
              </w:rPr>
              <w:t>3)记录采集的数据和发生的报警事件，并提供查询、分析、报表等手段。</w:t>
            </w:r>
            <w:r>
              <w:rPr>
                <w:rFonts w:cs="宋体"/>
                <w:color w:val="000000"/>
                <w:kern w:val="0"/>
                <w:sz w:val="22"/>
              </w:rPr>
              <w:br w:type="textWrapping"/>
            </w:r>
            <w:r>
              <w:rPr>
                <w:rFonts w:cs="宋体"/>
                <w:color w:val="000000"/>
                <w:kern w:val="0"/>
                <w:sz w:val="22"/>
              </w:rPr>
              <w:t>4)发送控制命令给前端采集程序，控制有关设备的启停或相关操作；</w:t>
            </w:r>
            <w:r>
              <w:rPr>
                <w:rFonts w:cs="宋体"/>
                <w:color w:val="000000"/>
                <w:kern w:val="0"/>
                <w:sz w:val="22"/>
              </w:rPr>
              <w:br w:type="textWrapping"/>
            </w:r>
            <w:r>
              <w:rPr>
                <w:rFonts w:cs="宋体"/>
                <w:color w:val="000000"/>
                <w:kern w:val="0"/>
                <w:sz w:val="22"/>
              </w:rPr>
              <w:t>5)提供远程监控管理功能（WEB浏览）。</w:t>
            </w:r>
            <w:r>
              <w:rPr>
                <w:rFonts w:cs="宋体"/>
                <w:color w:val="000000"/>
                <w:kern w:val="0"/>
                <w:sz w:val="22"/>
              </w:rPr>
              <w:br w:type="textWrapping"/>
            </w:r>
            <w:r>
              <w:rPr>
                <w:rFonts w:cs="宋体"/>
                <w:color w:val="000000"/>
                <w:kern w:val="0"/>
                <w:sz w:val="22"/>
              </w:rPr>
              <w:t>通过网络，在工作站上安装客户端Client程序，实现分布监控，也可以采用B/S结构,在浏览器IE上直接观看监控界面。</w:t>
            </w:r>
            <w:r>
              <w:rPr>
                <w:rFonts w:cs="宋体"/>
                <w:color w:val="000000"/>
                <w:kern w:val="0"/>
                <w:sz w:val="22"/>
              </w:rPr>
              <w:br w:type="textWrapping"/>
            </w:r>
            <w:r>
              <w:rPr>
                <w:rFonts w:cs="宋体"/>
                <w:color w:val="000000"/>
                <w:kern w:val="0"/>
                <w:sz w:val="22"/>
              </w:rPr>
              <w:t>另外，监控系统提供开放数据库连接（ODBC），向智能楼宇管理系统（IBMS）提供接口，以方便纳入大楼综合管理。</w:t>
            </w:r>
            <w:r>
              <w:rPr>
                <w:rFonts w:cs="宋体"/>
                <w:color w:val="000000"/>
                <w:kern w:val="0"/>
                <w:sz w:val="22"/>
              </w:rPr>
              <w:br w:type="textWrapping"/>
            </w:r>
            <w:r>
              <w:rPr>
                <w:rFonts w:cs="宋体"/>
                <w:color w:val="000000"/>
                <w:kern w:val="0"/>
                <w:sz w:val="22"/>
              </w:rPr>
              <w:br w:type="textWrapping"/>
            </w:r>
            <w:r>
              <w:rPr>
                <w:rFonts w:cs="宋体"/>
                <w:color w:val="000000"/>
                <w:kern w:val="0"/>
                <w:sz w:val="22"/>
              </w:rPr>
              <w:t>支持一机双显、双机热备；系统软件平台为组态平台软件由设计程序和运行程序两部分组成；采用SQL数据库，数据库接口采用ODBC技术，使系统从根本上脱离了数据库的限制，也就是可支持各种类型数据库。</w:t>
            </w:r>
            <w:r>
              <w:rPr>
                <w:rFonts w:cs="宋体"/>
                <w:color w:val="000000"/>
                <w:kern w:val="0"/>
                <w:sz w:val="22"/>
              </w:rPr>
              <w:br w:type="textWrapping"/>
            </w:r>
            <w:r>
              <w:rPr>
                <w:rFonts w:cs="宋体"/>
                <w:color w:val="000000"/>
                <w:kern w:val="0"/>
                <w:sz w:val="22"/>
              </w:rPr>
              <w:t>AZY-DCMS集成机房动力环境、门禁、视频等各监控子系统；实时接收和处理各种开关量输入输出、模拟量输入、故障报警信息等；可按用户要求设置电话语音、手机短信、多媒体语音、声光、界面自动弹出并文字提示、E-mail等报警方式；报警次数预设；</w:t>
            </w:r>
            <w:r>
              <w:rPr>
                <w:rFonts w:cs="宋体"/>
                <w:color w:val="000000"/>
                <w:kern w:val="0"/>
                <w:sz w:val="22"/>
              </w:rPr>
              <w:br w:type="textWrapping"/>
            </w:r>
            <w:r>
              <w:rPr>
                <w:rFonts w:cs="宋体"/>
                <w:color w:val="000000"/>
                <w:kern w:val="0"/>
                <w:sz w:val="22"/>
              </w:rPr>
              <w:t>系统有自动定时短信报平安功能，可设置每天或某一天的某一时间给管理员发送短信告知系统运行正常，非单纯的被动等待报警事件发生，保证管理员能知道系统在24小时不间断运行，解决用户的后顾之忧。</w:t>
            </w:r>
          </w:p>
        </w:tc>
        <w:tc>
          <w:tcPr>
            <w:tcW w:w="216" w:type="pct"/>
            <w:tcBorders>
              <w:top w:val="nil"/>
              <w:left w:val="nil"/>
              <w:bottom w:val="single" w:color="auto" w:sz="4" w:space="0"/>
              <w:right w:val="single" w:color="auto" w:sz="4" w:space="0"/>
            </w:tcBorders>
            <w:vAlign w:val="center"/>
          </w:tcPr>
          <w:p w14:paraId="11391D85">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572E3CC6">
            <w:pPr>
              <w:widowControl/>
              <w:spacing w:line="240" w:lineRule="auto"/>
              <w:jc w:val="center"/>
              <w:rPr>
                <w:rFonts w:hint="eastAsia" w:cs="宋体"/>
                <w:color w:val="000000"/>
                <w:kern w:val="0"/>
                <w:sz w:val="22"/>
              </w:rPr>
            </w:pPr>
            <w:r>
              <w:rPr>
                <w:rFonts w:cs="宋体"/>
                <w:color w:val="000000"/>
                <w:kern w:val="0"/>
                <w:sz w:val="22"/>
              </w:rPr>
              <w:t>1</w:t>
            </w:r>
          </w:p>
        </w:tc>
      </w:tr>
      <w:tr w14:paraId="4C481F32">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5244B06">
            <w:pPr>
              <w:widowControl/>
              <w:spacing w:line="240" w:lineRule="auto"/>
              <w:jc w:val="center"/>
              <w:rPr>
                <w:rFonts w:hint="eastAsia" w:cs="宋体"/>
                <w:color w:val="000000"/>
                <w:kern w:val="0"/>
                <w:sz w:val="22"/>
              </w:rPr>
            </w:pPr>
            <w:r>
              <w:rPr>
                <w:rFonts w:cs="宋体"/>
                <w:color w:val="000000"/>
                <w:kern w:val="0"/>
                <w:sz w:val="22"/>
              </w:rPr>
              <w:t>68</w:t>
            </w:r>
          </w:p>
        </w:tc>
        <w:tc>
          <w:tcPr>
            <w:tcW w:w="152" w:type="pct"/>
            <w:vMerge w:val="continue"/>
            <w:tcBorders>
              <w:top w:val="nil"/>
              <w:left w:val="single" w:color="auto" w:sz="4" w:space="0"/>
              <w:bottom w:val="single" w:color="000000" w:sz="4" w:space="0"/>
              <w:right w:val="single" w:color="auto" w:sz="4" w:space="0"/>
            </w:tcBorders>
            <w:vAlign w:val="center"/>
          </w:tcPr>
          <w:p w14:paraId="7C5EDA3A">
            <w:pPr>
              <w:widowControl/>
              <w:spacing w:line="240" w:lineRule="auto"/>
              <w:rPr>
                <w:rFonts w:hint="eastAsia" w:cs="宋体"/>
                <w:color w:val="000000"/>
                <w:kern w:val="0"/>
                <w:sz w:val="22"/>
              </w:rPr>
            </w:pPr>
          </w:p>
        </w:tc>
        <w:tc>
          <w:tcPr>
            <w:tcW w:w="331" w:type="pct"/>
            <w:vMerge w:val="restart"/>
            <w:tcBorders>
              <w:top w:val="nil"/>
              <w:left w:val="single" w:color="auto" w:sz="4" w:space="0"/>
              <w:bottom w:val="single" w:color="000000" w:sz="4" w:space="0"/>
              <w:right w:val="single" w:color="auto" w:sz="4" w:space="0"/>
            </w:tcBorders>
            <w:vAlign w:val="center"/>
          </w:tcPr>
          <w:p w14:paraId="5DE6D3FC">
            <w:pPr>
              <w:widowControl/>
              <w:spacing w:line="240" w:lineRule="auto"/>
              <w:jc w:val="center"/>
              <w:rPr>
                <w:rFonts w:hint="eastAsia" w:cs="宋体"/>
                <w:color w:val="000000"/>
                <w:kern w:val="0"/>
                <w:sz w:val="22"/>
              </w:rPr>
            </w:pPr>
            <w:r>
              <w:rPr>
                <w:rFonts w:cs="宋体"/>
                <w:color w:val="000000"/>
                <w:kern w:val="0"/>
                <w:sz w:val="22"/>
              </w:rPr>
              <w:t>UPS</w:t>
            </w:r>
          </w:p>
        </w:tc>
        <w:tc>
          <w:tcPr>
            <w:tcW w:w="202" w:type="pct"/>
            <w:tcBorders>
              <w:top w:val="nil"/>
              <w:left w:val="nil"/>
              <w:bottom w:val="single" w:color="auto" w:sz="4" w:space="0"/>
              <w:right w:val="single" w:color="auto" w:sz="4" w:space="0"/>
            </w:tcBorders>
            <w:vAlign w:val="center"/>
          </w:tcPr>
          <w:p w14:paraId="7B5F608E">
            <w:pPr>
              <w:widowControl/>
              <w:spacing w:line="240" w:lineRule="auto"/>
              <w:rPr>
                <w:rFonts w:hint="eastAsia" w:cs="宋体"/>
                <w:color w:val="000000"/>
                <w:kern w:val="0"/>
                <w:sz w:val="22"/>
              </w:rPr>
            </w:pPr>
            <w:r>
              <w:rPr>
                <w:rFonts w:cs="宋体"/>
                <w:color w:val="000000"/>
                <w:kern w:val="0"/>
                <w:sz w:val="22"/>
              </w:rPr>
              <w:t>UPS不间断电源</w:t>
            </w:r>
          </w:p>
        </w:tc>
        <w:tc>
          <w:tcPr>
            <w:tcW w:w="3643" w:type="pct"/>
            <w:tcBorders>
              <w:top w:val="nil"/>
              <w:left w:val="nil"/>
              <w:bottom w:val="single" w:color="auto" w:sz="4" w:space="0"/>
              <w:right w:val="single" w:color="auto" w:sz="4" w:space="0"/>
            </w:tcBorders>
            <w:vAlign w:val="center"/>
          </w:tcPr>
          <w:p w14:paraId="15082B03">
            <w:pPr>
              <w:widowControl/>
              <w:spacing w:line="240" w:lineRule="auto"/>
              <w:rPr>
                <w:rFonts w:hint="eastAsia" w:cs="宋体"/>
                <w:color w:val="000000"/>
                <w:kern w:val="0"/>
                <w:sz w:val="22"/>
              </w:rPr>
            </w:pPr>
            <w:r>
              <w:rPr>
                <w:rFonts w:cs="宋体"/>
                <w:color w:val="000000"/>
                <w:kern w:val="0"/>
                <w:sz w:val="22"/>
              </w:rPr>
              <w:t>1、输入电压范围（Vac）：L—N：80~280，L—L：138~485</w:t>
            </w:r>
            <w:r>
              <w:rPr>
                <w:rFonts w:cs="宋体"/>
                <w:color w:val="000000"/>
                <w:kern w:val="0"/>
                <w:sz w:val="22"/>
              </w:rPr>
              <w:br w:type="textWrapping"/>
            </w:r>
            <w:r>
              <w:rPr>
                <w:rFonts w:cs="宋体"/>
                <w:color w:val="000000"/>
                <w:kern w:val="0"/>
                <w:sz w:val="22"/>
              </w:rPr>
              <w:t>2、输入频率范围（Hz）：40~70</w:t>
            </w:r>
            <w:r>
              <w:rPr>
                <w:rFonts w:cs="宋体"/>
                <w:color w:val="000000"/>
                <w:kern w:val="0"/>
                <w:sz w:val="22"/>
              </w:rPr>
              <w:br w:type="textWrapping"/>
            </w:r>
            <w:r>
              <w:rPr>
                <w:rFonts w:cs="宋体"/>
                <w:color w:val="000000"/>
                <w:kern w:val="0"/>
                <w:sz w:val="22"/>
              </w:rPr>
              <w:t>3、旁路同步跟踪范围（Hz）：50/60±3(1/2/4/5/6可选，其中6Hz只针对60Hz系统)</w:t>
            </w:r>
            <w:r>
              <w:rPr>
                <w:rFonts w:cs="宋体"/>
                <w:color w:val="000000"/>
                <w:kern w:val="0"/>
                <w:sz w:val="22"/>
              </w:rPr>
              <w:br w:type="textWrapping"/>
            </w:r>
            <w:r>
              <w:rPr>
                <w:rFonts w:cs="宋体"/>
                <w:color w:val="000000"/>
                <w:kern w:val="0"/>
                <w:sz w:val="22"/>
              </w:rPr>
              <w:t>4、旁路输入电压范围（Vac）：-20%(10/15/30/40/50/60可选)/+15%(10/20/25可选)</w:t>
            </w:r>
            <w:r>
              <w:rPr>
                <w:rFonts w:cs="宋体"/>
                <w:color w:val="000000"/>
                <w:kern w:val="0"/>
                <w:sz w:val="22"/>
              </w:rPr>
              <w:br w:type="textWrapping"/>
            </w:r>
            <w:r>
              <w:rPr>
                <w:rFonts w:cs="宋体"/>
                <w:color w:val="000000"/>
                <w:kern w:val="0"/>
                <w:sz w:val="22"/>
              </w:rPr>
              <w:t>5、输入功率因数：＞0.99</w:t>
            </w:r>
            <w:r>
              <w:rPr>
                <w:rFonts w:cs="宋体"/>
                <w:color w:val="000000"/>
                <w:kern w:val="0"/>
                <w:sz w:val="22"/>
              </w:rPr>
              <w:br w:type="textWrapping"/>
            </w:r>
            <w:r>
              <w:rPr>
                <w:rFonts w:cs="宋体"/>
                <w:color w:val="000000"/>
                <w:kern w:val="0"/>
                <w:sz w:val="22"/>
              </w:rPr>
              <w:t>6、电池电压（VDC）：默认±192(±168～±288可调)</w:t>
            </w:r>
            <w:r>
              <w:rPr>
                <w:rFonts w:cs="宋体"/>
                <w:color w:val="000000"/>
                <w:kern w:val="0"/>
                <w:sz w:val="22"/>
              </w:rPr>
              <w:br w:type="textWrapping"/>
            </w:r>
            <w:r>
              <w:rPr>
                <w:rFonts w:cs="宋体"/>
                <w:color w:val="000000"/>
                <w:kern w:val="0"/>
                <w:sz w:val="22"/>
              </w:rPr>
              <w:t>7、输出电压（Vac）：L—L：380/400/415±1%</w:t>
            </w:r>
            <w:r>
              <w:rPr>
                <w:rFonts w:cs="宋体"/>
                <w:color w:val="000000"/>
                <w:kern w:val="0"/>
                <w:sz w:val="22"/>
              </w:rPr>
              <w:br w:type="textWrapping"/>
            </w:r>
            <w:r>
              <w:rPr>
                <w:rFonts w:cs="宋体"/>
                <w:color w:val="000000"/>
                <w:kern w:val="0"/>
                <w:sz w:val="22"/>
              </w:rPr>
              <w:t>8、输出频率（Hz）：市电正常，跟踪旁路输入；市电异常，本机50±0.1或60±0.1</w:t>
            </w:r>
            <w:r>
              <w:rPr>
                <w:rFonts w:cs="宋体"/>
                <w:color w:val="000000"/>
                <w:kern w:val="0"/>
                <w:sz w:val="22"/>
              </w:rPr>
              <w:br w:type="textWrapping"/>
            </w:r>
            <w:r>
              <w:rPr>
                <w:rFonts w:cs="宋体"/>
                <w:color w:val="000000"/>
                <w:kern w:val="0"/>
                <w:sz w:val="22"/>
              </w:rPr>
              <w:t>9、三相相位误差：三相带平衡额定阻性负载≤1°</w:t>
            </w:r>
            <w:r>
              <w:rPr>
                <w:rFonts w:cs="宋体"/>
                <w:color w:val="000000"/>
                <w:kern w:val="0"/>
                <w:sz w:val="22"/>
              </w:rPr>
              <w:br w:type="textWrapping"/>
            </w:r>
            <w:r>
              <w:rPr>
                <w:rFonts w:cs="宋体"/>
                <w:color w:val="000000"/>
                <w:kern w:val="0"/>
                <w:sz w:val="22"/>
              </w:rPr>
              <w:t>10、波形失真（THDv）：≤1%（阻性满载）</w:t>
            </w:r>
            <w:r>
              <w:rPr>
                <w:rFonts w:cs="宋体"/>
                <w:color w:val="000000"/>
                <w:kern w:val="0"/>
                <w:sz w:val="22"/>
              </w:rPr>
              <w:br w:type="textWrapping"/>
            </w:r>
            <w:r>
              <w:rPr>
                <w:rFonts w:cs="宋体"/>
                <w:color w:val="000000"/>
                <w:kern w:val="0"/>
                <w:sz w:val="22"/>
              </w:rPr>
              <w:t>11、系统效率：高达97％</w:t>
            </w:r>
            <w:r>
              <w:rPr>
                <w:rFonts w:cs="宋体"/>
                <w:color w:val="000000"/>
                <w:kern w:val="0"/>
                <w:sz w:val="22"/>
              </w:rPr>
              <w:br w:type="textWrapping"/>
            </w:r>
            <w:r>
              <w:rPr>
                <w:rFonts w:cs="宋体"/>
                <w:color w:val="000000"/>
                <w:kern w:val="0"/>
                <w:sz w:val="22"/>
              </w:rPr>
              <w:t>12、输出功率因数：1.0</w:t>
            </w:r>
            <w:r>
              <w:rPr>
                <w:rFonts w:cs="宋体"/>
                <w:color w:val="000000"/>
                <w:kern w:val="0"/>
                <w:sz w:val="22"/>
              </w:rPr>
              <w:br w:type="textWrapping"/>
            </w:r>
            <w:r>
              <w:rPr>
                <w:rFonts w:cs="宋体"/>
                <w:color w:val="000000"/>
                <w:kern w:val="0"/>
                <w:sz w:val="22"/>
              </w:rPr>
              <w:t>13、过载能力：≤105%：长期； 105%＜负载≤110%：60min； 110%＜负载≤125%：10min；125%＜负载≤150%：立即旁路</w:t>
            </w:r>
            <w:r>
              <w:rPr>
                <w:rFonts w:cs="宋体"/>
                <w:color w:val="000000"/>
                <w:kern w:val="0"/>
                <w:sz w:val="22"/>
              </w:rPr>
              <w:br w:type="textWrapping"/>
            </w:r>
            <w:r>
              <w:rPr>
                <w:rFonts w:cs="宋体"/>
                <w:color w:val="000000"/>
                <w:kern w:val="0"/>
                <w:sz w:val="22"/>
              </w:rPr>
              <w:t>14、手动维护旁路：具备无转换时间的维修旁路开关</w:t>
            </w:r>
            <w:r>
              <w:rPr>
                <w:rFonts w:cs="宋体"/>
                <w:color w:val="000000"/>
                <w:kern w:val="0"/>
                <w:sz w:val="22"/>
              </w:rPr>
              <w:br w:type="textWrapping"/>
            </w:r>
            <w:r>
              <w:rPr>
                <w:rFonts w:cs="宋体"/>
                <w:color w:val="000000"/>
                <w:kern w:val="0"/>
                <w:sz w:val="22"/>
              </w:rPr>
              <w:t>15、直流启动功能：具备</w:t>
            </w:r>
            <w:r>
              <w:rPr>
                <w:rFonts w:cs="宋体"/>
                <w:color w:val="000000"/>
                <w:kern w:val="0"/>
                <w:sz w:val="22"/>
              </w:rPr>
              <w:br w:type="textWrapping"/>
            </w:r>
            <w:r>
              <w:rPr>
                <w:rFonts w:cs="宋体"/>
                <w:color w:val="000000"/>
                <w:kern w:val="0"/>
                <w:sz w:val="22"/>
              </w:rPr>
              <w:t>16、通信功能：干接点、RS485、MODBUS、SNMP（选配），BMS（选配）</w:t>
            </w:r>
            <w:r>
              <w:rPr>
                <w:rFonts w:cs="宋体"/>
                <w:color w:val="000000"/>
                <w:kern w:val="0"/>
                <w:sz w:val="22"/>
              </w:rPr>
              <w:br w:type="textWrapping"/>
            </w:r>
            <w:r>
              <w:rPr>
                <w:rFonts w:cs="宋体"/>
                <w:color w:val="000000"/>
                <w:kern w:val="0"/>
                <w:sz w:val="22"/>
              </w:rPr>
              <w:t>17、告警功能：输入异常、电池低压、过载、故障等</w:t>
            </w:r>
            <w:r>
              <w:rPr>
                <w:rFonts w:cs="宋体"/>
                <w:color w:val="000000"/>
                <w:kern w:val="0"/>
                <w:sz w:val="22"/>
              </w:rPr>
              <w:br w:type="textWrapping"/>
            </w:r>
            <w:r>
              <w:rPr>
                <w:rFonts w:cs="宋体"/>
                <w:color w:val="000000"/>
                <w:kern w:val="0"/>
                <w:sz w:val="22"/>
              </w:rPr>
              <w:t>18、保护功能：输出短路保护、输出过压/欠压保护、过载保护、过温保护、电池欠压保护等</w:t>
            </w:r>
            <w:r>
              <w:rPr>
                <w:rFonts w:cs="宋体"/>
                <w:color w:val="000000"/>
                <w:kern w:val="0"/>
                <w:sz w:val="22"/>
              </w:rPr>
              <w:br w:type="textWrapping"/>
            </w:r>
            <w:r>
              <w:rPr>
                <w:rFonts w:cs="宋体"/>
                <w:color w:val="000000"/>
                <w:kern w:val="0"/>
                <w:sz w:val="22"/>
              </w:rPr>
              <w:t>19、噪音（dB）：＜70（离箱体正面一米处）</w:t>
            </w:r>
          </w:p>
        </w:tc>
        <w:tc>
          <w:tcPr>
            <w:tcW w:w="216" w:type="pct"/>
            <w:tcBorders>
              <w:top w:val="nil"/>
              <w:left w:val="nil"/>
              <w:bottom w:val="single" w:color="auto" w:sz="4" w:space="0"/>
              <w:right w:val="single" w:color="auto" w:sz="4" w:space="0"/>
            </w:tcBorders>
            <w:vAlign w:val="center"/>
          </w:tcPr>
          <w:p w14:paraId="7566DCA4">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062B7585">
            <w:pPr>
              <w:widowControl/>
              <w:spacing w:line="240" w:lineRule="auto"/>
              <w:jc w:val="center"/>
              <w:rPr>
                <w:rFonts w:hint="eastAsia" w:cs="宋体"/>
                <w:color w:val="000000"/>
                <w:kern w:val="0"/>
                <w:sz w:val="22"/>
              </w:rPr>
            </w:pPr>
            <w:r>
              <w:rPr>
                <w:rFonts w:cs="宋体"/>
                <w:color w:val="000000"/>
                <w:kern w:val="0"/>
                <w:sz w:val="22"/>
              </w:rPr>
              <w:t>1</w:t>
            </w:r>
          </w:p>
        </w:tc>
      </w:tr>
      <w:tr w14:paraId="3D78ABBA">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5E19DA1">
            <w:pPr>
              <w:widowControl/>
              <w:spacing w:line="240" w:lineRule="auto"/>
              <w:jc w:val="center"/>
              <w:rPr>
                <w:rFonts w:hint="eastAsia" w:cs="宋体"/>
                <w:color w:val="000000"/>
                <w:kern w:val="0"/>
                <w:sz w:val="22"/>
              </w:rPr>
            </w:pPr>
            <w:r>
              <w:rPr>
                <w:rFonts w:cs="宋体"/>
                <w:color w:val="000000"/>
                <w:kern w:val="0"/>
                <w:sz w:val="22"/>
              </w:rPr>
              <w:t>69</w:t>
            </w:r>
          </w:p>
        </w:tc>
        <w:tc>
          <w:tcPr>
            <w:tcW w:w="152" w:type="pct"/>
            <w:vMerge w:val="continue"/>
            <w:tcBorders>
              <w:top w:val="nil"/>
              <w:left w:val="single" w:color="auto" w:sz="4" w:space="0"/>
              <w:bottom w:val="single" w:color="000000" w:sz="4" w:space="0"/>
              <w:right w:val="single" w:color="auto" w:sz="4" w:space="0"/>
            </w:tcBorders>
            <w:vAlign w:val="center"/>
          </w:tcPr>
          <w:p w14:paraId="3B68E282">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41C677D5">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75F001B7">
            <w:pPr>
              <w:widowControl/>
              <w:spacing w:line="240" w:lineRule="auto"/>
              <w:rPr>
                <w:rFonts w:hint="eastAsia" w:cs="宋体"/>
                <w:color w:val="000000"/>
                <w:kern w:val="0"/>
                <w:sz w:val="22"/>
              </w:rPr>
            </w:pPr>
            <w:r>
              <w:rPr>
                <w:rFonts w:cs="宋体"/>
                <w:color w:val="000000"/>
                <w:kern w:val="0"/>
                <w:sz w:val="22"/>
              </w:rPr>
              <w:t>蓄电池</w:t>
            </w:r>
          </w:p>
        </w:tc>
        <w:tc>
          <w:tcPr>
            <w:tcW w:w="3643" w:type="pct"/>
            <w:tcBorders>
              <w:top w:val="nil"/>
              <w:left w:val="nil"/>
              <w:bottom w:val="single" w:color="auto" w:sz="4" w:space="0"/>
              <w:right w:val="single" w:color="auto" w:sz="4" w:space="0"/>
            </w:tcBorders>
            <w:vAlign w:val="center"/>
          </w:tcPr>
          <w:p w14:paraId="137EB36F">
            <w:pPr>
              <w:widowControl/>
              <w:spacing w:line="240" w:lineRule="auto"/>
              <w:rPr>
                <w:rFonts w:hint="eastAsia" w:cs="宋体"/>
                <w:color w:val="000000"/>
                <w:kern w:val="0"/>
                <w:sz w:val="22"/>
              </w:rPr>
            </w:pPr>
            <w:r>
              <w:rPr>
                <w:rFonts w:cs="宋体"/>
                <w:color w:val="000000"/>
                <w:kern w:val="0"/>
                <w:sz w:val="22"/>
              </w:rPr>
              <w:t>1、标称电压：12V</w:t>
            </w:r>
            <w:r>
              <w:rPr>
                <w:rFonts w:cs="宋体"/>
                <w:color w:val="000000"/>
                <w:kern w:val="0"/>
                <w:sz w:val="22"/>
              </w:rPr>
              <w:br w:type="textWrapping"/>
            </w:r>
            <w:r>
              <w:rPr>
                <w:rFonts w:cs="宋体"/>
                <w:color w:val="000000"/>
                <w:kern w:val="0"/>
                <w:sz w:val="22"/>
              </w:rPr>
              <w:t>2、容量：200Ah @ 20hr to 1.75V/cell @ 25℃ (77℉)</w:t>
            </w:r>
            <w:r>
              <w:rPr>
                <w:rFonts w:cs="宋体"/>
                <w:color w:val="000000"/>
                <w:kern w:val="0"/>
                <w:sz w:val="22"/>
              </w:rPr>
              <w:br w:type="textWrapping"/>
            </w:r>
            <w:r>
              <w:rPr>
                <w:rFonts w:cs="宋体"/>
                <w:color w:val="000000"/>
                <w:kern w:val="0"/>
                <w:sz w:val="22"/>
              </w:rPr>
              <w:t>3、重量：55kg±3%(110.0 lbs)</w:t>
            </w:r>
            <w:r>
              <w:rPr>
                <w:rFonts w:cs="宋体"/>
                <w:color w:val="000000"/>
                <w:kern w:val="0"/>
                <w:sz w:val="22"/>
              </w:rPr>
              <w:br w:type="textWrapping"/>
            </w:r>
            <w:r>
              <w:rPr>
                <w:rFonts w:cs="宋体"/>
                <w:color w:val="000000"/>
                <w:kern w:val="0"/>
                <w:sz w:val="22"/>
              </w:rPr>
              <w:t>4、内阻(完全充电态)：≈3.2 mΩ@ 25℃ (77℉)（内阻仪型号：HIOKI)</w:t>
            </w:r>
            <w:r>
              <w:rPr>
                <w:rFonts w:cs="宋体"/>
                <w:color w:val="000000"/>
                <w:kern w:val="0"/>
                <w:sz w:val="22"/>
              </w:rPr>
              <w:br w:type="textWrapping"/>
            </w:r>
            <w:r>
              <w:rPr>
                <w:rFonts w:cs="宋体"/>
                <w:color w:val="000000"/>
                <w:kern w:val="0"/>
                <w:sz w:val="22"/>
              </w:rPr>
              <w:t>5、最大放电电流：1200A (5秒)</w:t>
            </w:r>
            <w:r>
              <w:rPr>
                <w:rFonts w:cs="宋体"/>
                <w:color w:val="000000"/>
                <w:kern w:val="0"/>
                <w:sz w:val="22"/>
              </w:rPr>
              <w:br w:type="textWrapping"/>
            </w:r>
            <w:r>
              <w:rPr>
                <w:rFonts w:cs="宋体"/>
                <w:color w:val="000000"/>
                <w:kern w:val="0"/>
                <w:sz w:val="22"/>
              </w:rPr>
              <w:t>6、自放电率 @ 25℃ (77℉)：放置90天小于10%</w:t>
            </w:r>
            <w:r>
              <w:rPr>
                <w:rFonts w:cs="宋体"/>
                <w:color w:val="000000"/>
                <w:kern w:val="0"/>
                <w:sz w:val="22"/>
              </w:rPr>
              <w:br w:type="textWrapping"/>
            </w:r>
            <w:r>
              <w:rPr>
                <w:rFonts w:cs="宋体"/>
                <w:color w:val="000000"/>
                <w:kern w:val="0"/>
                <w:sz w:val="22"/>
              </w:rPr>
              <w:t>7、工作温度范围：放电: －20℃~+50℃ (-4℉~122℉)；充电: －20℃~+50℃ (-4℉~122℉)；贮存: －20℃~+50℃ (-4℉~122℉)</w:t>
            </w:r>
            <w:r>
              <w:rPr>
                <w:rFonts w:cs="宋体"/>
                <w:color w:val="000000"/>
                <w:kern w:val="0"/>
                <w:sz w:val="22"/>
              </w:rPr>
              <w:br w:type="textWrapping"/>
            </w:r>
            <w:r>
              <w:rPr>
                <w:rFonts w:cs="宋体"/>
                <w:color w:val="000000"/>
                <w:kern w:val="0"/>
                <w:sz w:val="22"/>
              </w:rPr>
              <w:t>8、推荐工作温度范围：15℃~25℃ (59℉~77℉)</w:t>
            </w:r>
            <w:r>
              <w:rPr>
                <w:rFonts w:cs="宋体"/>
                <w:color w:val="000000"/>
                <w:kern w:val="0"/>
                <w:sz w:val="22"/>
              </w:rPr>
              <w:br w:type="textWrapping"/>
            </w:r>
            <w:r>
              <w:rPr>
                <w:rFonts w:cs="宋体"/>
                <w:color w:val="000000"/>
                <w:kern w:val="0"/>
                <w:sz w:val="22"/>
              </w:rPr>
              <w:t>9、最大充电电流：50A</w:t>
            </w:r>
            <w:r>
              <w:rPr>
                <w:rFonts w:cs="宋体"/>
                <w:color w:val="000000"/>
                <w:kern w:val="0"/>
                <w:sz w:val="22"/>
              </w:rPr>
              <w:br w:type="textWrapping"/>
            </w:r>
            <w:r>
              <w:rPr>
                <w:rFonts w:cs="宋体"/>
                <w:color w:val="000000"/>
                <w:kern w:val="0"/>
                <w:sz w:val="22"/>
              </w:rPr>
              <w:t>10、充电电压  @ 25℃(77℉)：浮充: 13.62 V,  温度系数:-18 mV/℃；循环: 14.4V</w:t>
            </w:r>
            <w:r>
              <w:rPr>
                <w:rFonts w:cs="宋体"/>
                <w:color w:val="000000"/>
                <w:kern w:val="0"/>
                <w:sz w:val="22"/>
              </w:rPr>
              <w:br w:type="textWrapping"/>
            </w:r>
            <w:r>
              <w:rPr>
                <w:rFonts w:cs="宋体"/>
                <w:color w:val="000000"/>
                <w:kern w:val="0"/>
                <w:sz w:val="22"/>
              </w:rPr>
              <w:t>11、外壳材料：ABS / ABS V0（可选）</w:t>
            </w:r>
            <w:r>
              <w:rPr>
                <w:rFonts w:cs="宋体"/>
                <w:color w:val="000000"/>
                <w:kern w:val="0"/>
                <w:sz w:val="22"/>
              </w:rPr>
              <w:br w:type="textWrapping"/>
            </w:r>
            <w:r>
              <w:rPr>
                <w:rFonts w:cs="宋体"/>
                <w:color w:val="000000"/>
                <w:kern w:val="0"/>
                <w:sz w:val="22"/>
              </w:rPr>
              <w:t>12、端子：M8</w:t>
            </w:r>
            <w:r>
              <w:rPr>
                <w:rFonts w:cs="宋体"/>
                <w:color w:val="000000"/>
                <w:kern w:val="0"/>
                <w:sz w:val="22"/>
              </w:rPr>
              <w:br w:type="textWrapping"/>
            </w:r>
            <w:r>
              <w:rPr>
                <w:rFonts w:cs="宋体"/>
                <w:color w:val="000000"/>
                <w:kern w:val="0"/>
                <w:sz w:val="22"/>
              </w:rPr>
              <w:t>13、不同温度对电池容量的影响：109 % @ 40℃；85% @ 0℃；49 % @ -20℃；</w:t>
            </w:r>
            <w:r>
              <w:rPr>
                <w:rFonts w:cs="宋体"/>
                <w:color w:val="000000"/>
                <w:kern w:val="0"/>
                <w:sz w:val="22"/>
              </w:rPr>
              <w:br w:type="textWrapping"/>
            </w:r>
            <w:r>
              <w:rPr>
                <w:rFonts w:cs="宋体"/>
                <w:color w:val="000000"/>
                <w:kern w:val="0"/>
                <w:sz w:val="22"/>
              </w:rPr>
              <w:t>14、设计浮充寿命、：10年</w:t>
            </w:r>
          </w:p>
        </w:tc>
        <w:tc>
          <w:tcPr>
            <w:tcW w:w="216" w:type="pct"/>
            <w:tcBorders>
              <w:top w:val="nil"/>
              <w:left w:val="nil"/>
              <w:bottom w:val="single" w:color="auto" w:sz="4" w:space="0"/>
              <w:right w:val="single" w:color="auto" w:sz="4" w:space="0"/>
            </w:tcBorders>
            <w:vAlign w:val="center"/>
          </w:tcPr>
          <w:p w14:paraId="7EB656CD">
            <w:pPr>
              <w:widowControl/>
              <w:spacing w:line="240" w:lineRule="auto"/>
              <w:jc w:val="center"/>
              <w:rPr>
                <w:rFonts w:hint="eastAsia" w:cs="宋体"/>
                <w:color w:val="000000"/>
                <w:kern w:val="0"/>
                <w:sz w:val="22"/>
              </w:rPr>
            </w:pPr>
            <w:r>
              <w:rPr>
                <w:rFonts w:cs="宋体"/>
                <w:color w:val="000000"/>
                <w:kern w:val="0"/>
                <w:sz w:val="22"/>
              </w:rPr>
              <w:t>只</w:t>
            </w:r>
          </w:p>
        </w:tc>
        <w:tc>
          <w:tcPr>
            <w:tcW w:w="202" w:type="pct"/>
            <w:tcBorders>
              <w:top w:val="nil"/>
              <w:left w:val="nil"/>
              <w:bottom w:val="single" w:color="auto" w:sz="4" w:space="0"/>
              <w:right w:val="single" w:color="auto" w:sz="4" w:space="0"/>
            </w:tcBorders>
            <w:vAlign w:val="center"/>
          </w:tcPr>
          <w:p w14:paraId="342D007E">
            <w:pPr>
              <w:widowControl/>
              <w:spacing w:line="240" w:lineRule="auto"/>
              <w:jc w:val="center"/>
              <w:rPr>
                <w:rFonts w:hint="eastAsia" w:cs="宋体"/>
                <w:color w:val="000000"/>
                <w:kern w:val="0"/>
                <w:sz w:val="22"/>
              </w:rPr>
            </w:pPr>
            <w:r>
              <w:rPr>
                <w:rFonts w:cs="宋体"/>
                <w:color w:val="000000"/>
                <w:kern w:val="0"/>
                <w:sz w:val="22"/>
              </w:rPr>
              <w:t>64</w:t>
            </w:r>
          </w:p>
        </w:tc>
      </w:tr>
      <w:tr w14:paraId="04EBED07">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960E31F">
            <w:pPr>
              <w:widowControl/>
              <w:spacing w:line="240" w:lineRule="auto"/>
              <w:jc w:val="center"/>
              <w:rPr>
                <w:rFonts w:hint="eastAsia" w:cs="宋体"/>
                <w:color w:val="000000"/>
                <w:kern w:val="0"/>
                <w:sz w:val="22"/>
              </w:rPr>
            </w:pPr>
            <w:r>
              <w:rPr>
                <w:rFonts w:cs="宋体"/>
                <w:color w:val="000000"/>
                <w:kern w:val="0"/>
                <w:sz w:val="22"/>
              </w:rPr>
              <w:t>70</w:t>
            </w:r>
          </w:p>
        </w:tc>
        <w:tc>
          <w:tcPr>
            <w:tcW w:w="152" w:type="pct"/>
            <w:vMerge w:val="continue"/>
            <w:tcBorders>
              <w:top w:val="nil"/>
              <w:left w:val="single" w:color="auto" w:sz="4" w:space="0"/>
              <w:bottom w:val="single" w:color="000000" w:sz="4" w:space="0"/>
              <w:right w:val="single" w:color="auto" w:sz="4" w:space="0"/>
            </w:tcBorders>
            <w:vAlign w:val="center"/>
          </w:tcPr>
          <w:p w14:paraId="74F61352">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F5022AF">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04F4AA5">
            <w:pPr>
              <w:widowControl/>
              <w:spacing w:line="240" w:lineRule="auto"/>
              <w:rPr>
                <w:rFonts w:hint="eastAsia" w:cs="宋体"/>
                <w:color w:val="000000"/>
                <w:kern w:val="0"/>
                <w:sz w:val="22"/>
              </w:rPr>
            </w:pPr>
            <w:r>
              <w:rPr>
                <w:rFonts w:cs="宋体"/>
                <w:color w:val="000000"/>
                <w:kern w:val="0"/>
                <w:sz w:val="22"/>
              </w:rPr>
              <w:t>电池箱</w:t>
            </w:r>
          </w:p>
        </w:tc>
        <w:tc>
          <w:tcPr>
            <w:tcW w:w="3643" w:type="pct"/>
            <w:tcBorders>
              <w:top w:val="nil"/>
              <w:left w:val="nil"/>
              <w:bottom w:val="single" w:color="auto" w:sz="4" w:space="0"/>
              <w:right w:val="single" w:color="auto" w:sz="4" w:space="0"/>
            </w:tcBorders>
            <w:vAlign w:val="center"/>
          </w:tcPr>
          <w:p w14:paraId="5CEF892F">
            <w:pPr>
              <w:widowControl/>
              <w:spacing w:line="240" w:lineRule="auto"/>
              <w:rPr>
                <w:rFonts w:hint="eastAsia" w:cs="宋体"/>
                <w:color w:val="000000"/>
                <w:kern w:val="0"/>
                <w:sz w:val="22"/>
              </w:rPr>
            </w:pPr>
            <w:r>
              <w:rPr>
                <w:rFonts w:cs="宋体"/>
                <w:color w:val="000000"/>
                <w:kern w:val="0"/>
                <w:sz w:val="22"/>
              </w:rPr>
              <w:t>32节一组电池柜，含电池组至UPS电缆</w:t>
            </w:r>
          </w:p>
        </w:tc>
        <w:tc>
          <w:tcPr>
            <w:tcW w:w="216" w:type="pct"/>
            <w:tcBorders>
              <w:top w:val="nil"/>
              <w:left w:val="nil"/>
              <w:bottom w:val="single" w:color="auto" w:sz="4" w:space="0"/>
              <w:right w:val="single" w:color="auto" w:sz="4" w:space="0"/>
            </w:tcBorders>
            <w:vAlign w:val="center"/>
          </w:tcPr>
          <w:p w14:paraId="6C6EC9D5">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7141D096">
            <w:pPr>
              <w:widowControl/>
              <w:spacing w:line="240" w:lineRule="auto"/>
              <w:jc w:val="center"/>
              <w:rPr>
                <w:rFonts w:hint="eastAsia" w:cs="宋体"/>
                <w:color w:val="000000"/>
                <w:kern w:val="0"/>
                <w:sz w:val="22"/>
              </w:rPr>
            </w:pPr>
            <w:r>
              <w:rPr>
                <w:rFonts w:cs="宋体"/>
                <w:color w:val="000000"/>
                <w:kern w:val="0"/>
                <w:sz w:val="22"/>
              </w:rPr>
              <w:t>2</w:t>
            </w:r>
          </w:p>
        </w:tc>
      </w:tr>
      <w:tr w14:paraId="10C1E35B">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69F0D39F">
            <w:pPr>
              <w:widowControl/>
              <w:spacing w:line="240" w:lineRule="auto"/>
              <w:jc w:val="center"/>
              <w:rPr>
                <w:rFonts w:hint="eastAsia" w:cs="宋体"/>
                <w:color w:val="000000"/>
                <w:kern w:val="0"/>
                <w:sz w:val="22"/>
              </w:rPr>
            </w:pPr>
            <w:r>
              <w:rPr>
                <w:rFonts w:cs="宋体"/>
                <w:color w:val="000000"/>
                <w:kern w:val="0"/>
                <w:sz w:val="22"/>
              </w:rPr>
              <w:t>71</w:t>
            </w:r>
          </w:p>
        </w:tc>
        <w:tc>
          <w:tcPr>
            <w:tcW w:w="152" w:type="pct"/>
            <w:vMerge w:val="continue"/>
            <w:tcBorders>
              <w:top w:val="nil"/>
              <w:left w:val="single" w:color="auto" w:sz="4" w:space="0"/>
              <w:bottom w:val="single" w:color="000000" w:sz="4" w:space="0"/>
              <w:right w:val="single" w:color="auto" w:sz="4" w:space="0"/>
            </w:tcBorders>
            <w:vAlign w:val="center"/>
          </w:tcPr>
          <w:p w14:paraId="56F36FCC">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5414DAAC">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3F15D219">
            <w:pPr>
              <w:widowControl/>
              <w:spacing w:line="240" w:lineRule="auto"/>
              <w:rPr>
                <w:rFonts w:hint="eastAsia" w:cs="宋体"/>
                <w:color w:val="000000"/>
                <w:kern w:val="0"/>
                <w:sz w:val="22"/>
              </w:rPr>
            </w:pPr>
            <w:r>
              <w:rPr>
                <w:rFonts w:cs="宋体"/>
                <w:color w:val="000000"/>
                <w:kern w:val="0"/>
                <w:sz w:val="22"/>
              </w:rPr>
              <w:t>电池开关箱</w:t>
            </w:r>
          </w:p>
        </w:tc>
        <w:tc>
          <w:tcPr>
            <w:tcW w:w="3643" w:type="pct"/>
            <w:tcBorders>
              <w:top w:val="nil"/>
              <w:left w:val="nil"/>
              <w:bottom w:val="single" w:color="auto" w:sz="4" w:space="0"/>
              <w:right w:val="single" w:color="auto" w:sz="4" w:space="0"/>
            </w:tcBorders>
            <w:vAlign w:val="center"/>
          </w:tcPr>
          <w:p w14:paraId="4329EC36">
            <w:pPr>
              <w:widowControl/>
              <w:spacing w:line="240" w:lineRule="auto"/>
              <w:rPr>
                <w:rFonts w:hint="eastAsia" w:cs="宋体"/>
                <w:color w:val="000000"/>
                <w:kern w:val="0"/>
                <w:sz w:val="22"/>
              </w:rPr>
            </w:pPr>
            <w:r>
              <w:rPr>
                <w:rFonts w:cs="宋体"/>
                <w:color w:val="000000"/>
                <w:kern w:val="0"/>
                <w:sz w:val="22"/>
              </w:rPr>
              <w:t>电池组控开箱；底端铜排并联</w:t>
            </w:r>
          </w:p>
        </w:tc>
        <w:tc>
          <w:tcPr>
            <w:tcW w:w="216" w:type="pct"/>
            <w:tcBorders>
              <w:top w:val="nil"/>
              <w:left w:val="nil"/>
              <w:bottom w:val="single" w:color="auto" w:sz="4" w:space="0"/>
              <w:right w:val="single" w:color="auto" w:sz="4" w:space="0"/>
            </w:tcBorders>
            <w:vAlign w:val="center"/>
          </w:tcPr>
          <w:p w14:paraId="3A57B95F">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526F3E9D">
            <w:pPr>
              <w:widowControl/>
              <w:spacing w:line="240" w:lineRule="auto"/>
              <w:jc w:val="center"/>
              <w:rPr>
                <w:rFonts w:hint="eastAsia" w:cs="宋体"/>
                <w:color w:val="000000"/>
                <w:kern w:val="0"/>
                <w:sz w:val="22"/>
              </w:rPr>
            </w:pPr>
            <w:r>
              <w:rPr>
                <w:rFonts w:cs="宋体"/>
                <w:color w:val="000000"/>
                <w:kern w:val="0"/>
                <w:sz w:val="22"/>
              </w:rPr>
              <w:t>1</w:t>
            </w:r>
          </w:p>
        </w:tc>
      </w:tr>
      <w:tr w14:paraId="0E684C9E">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93BD71F">
            <w:pPr>
              <w:widowControl/>
              <w:spacing w:line="240" w:lineRule="auto"/>
              <w:jc w:val="center"/>
              <w:rPr>
                <w:rFonts w:hint="eastAsia" w:cs="宋体"/>
                <w:color w:val="000000"/>
                <w:kern w:val="0"/>
                <w:sz w:val="22"/>
              </w:rPr>
            </w:pPr>
            <w:r>
              <w:rPr>
                <w:rFonts w:cs="宋体"/>
                <w:color w:val="000000"/>
                <w:kern w:val="0"/>
                <w:sz w:val="22"/>
              </w:rPr>
              <w:t>72</w:t>
            </w:r>
          </w:p>
        </w:tc>
        <w:tc>
          <w:tcPr>
            <w:tcW w:w="152" w:type="pct"/>
            <w:vMerge w:val="continue"/>
            <w:tcBorders>
              <w:top w:val="nil"/>
              <w:left w:val="single" w:color="auto" w:sz="4" w:space="0"/>
              <w:bottom w:val="single" w:color="000000" w:sz="4" w:space="0"/>
              <w:right w:val="single" w:color="auto" w:sz="4" w:space="0"/>
            </w:tcBorders>
            <w:vAlign w:val="center"/>
          </w:tcPr>
          <w:p w14:paraId="07B8C1E4">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55F30498">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70420F8">
            <w:pPr>
              <w:widowControl/>
              <w:spacing w:line="240" w:lineRule="auto"/>
              <w:rPr>
                <w:rFonts w:hint="eastAsia" w:cs="宋体"/>
                <w:color w:val="000000"/>
                <w:kern w:val="0"/>
                <w:sz w:val="22"/>
              </w:rPr>
            </w:pPr>
            <w:r>
              <w:rPr>
                <w:rFonts w:cs="宋体"/>
                <w:color w:val="000000"/>
                <w:kern w:val="0"/>
                <w:sz w:val="22"/>
              </w:rPr>
              <w:t>电缆</w:t>
            </w:r>
          </w:p>
        </w:tc>
        <w:tc>
          <w:tcPr>
            <w:tcW w:w="3643" w:type="pct"/>
            <w:tcBorders>
              <w:top w:val="nil"/>
              <w:left w:val="nil"/>
              <w:bottom w:val="single" w:color="auto" w:sz="4" w:space="0"/>
              <w:right w:val="single" w:color="auto" w:sz="4" w:space="0"/>
            </w:tcBorders>
            <w:vAlign w:val="center"/>
          </w:tcPr>
          <w:p w14:paraId="2471BD8F">
            <w:pPr>
              <w:widowControl/>
              <w:spacing w:line="240" w:lineRule="auto"/>
              <w:rPr>
                <w:rFonts w:hint="eastAsia" w:cs="宋体"/>
                <w:color w:val="000000"/>
                <w:kern w:val="0"/>
                <w:sz w:val="22"/>
              </w:rPr>
            </w:pPr>
            <w:r>
              <w:rPr>
                <w:rFonts w:cs="宋体"/>
                <w:color w:val="000000"/>
                <w:kern w:val="0"/>
                <w:sz w:val="22"/>
              </w:rPr>
              <w:t>品牌：国产品牌；</w:t>
            </w:r>
            <w:r>
              <w:rPr>
                <w:rFonts w:cs="宋体"/>
                <w:color w:val="000000"/>
                <w:kern w:val="0"/>
                <w:sz w:val="22"/>
              </w:rPr>
              <w:br w:type="textWrapping"/>
            </w:r>
            <w:r>
              <w:rPr>
                <w:rFonts w:cs="宋体"/>
                <w:color w:val="000000"/>
                <w:kern w:val="0"/>
                <w:sz w:val="22"/>
              </w:rPr>
              <w:t>规格：WDZB-YJY-3*70+2*35mm²；</w:t>
            </w:r>
          </w:p>
        </w:tc>
        <w:tc>
          <w:tcPr>
            <w:tcW w:w="216" w:type="pct"/>
            <w:tcBorders>
              <w:top w:val="nil"/>
              <w:left w:val="nil"/>
              <w:bottom w:val="single" w:color="auto" w:sz="4" w:space="0"/>
              <w:right w:val="single" w:color="auto" w:sz="4" w:space="0"/>
            </w:tcBorders>
            <w:vAlign w:val="center"/>
          </w:tcPr>
          <w:p w14:paraId="3A81ED44">
            <w:pPr>
              <w:widowControl/>
              <w:spacing w:line="240" w:lineRule="auto"/>
              <w:jc w:val="center"/>
              <w:rPr>
                <w:rFonts w:hint="eastAsia" w:cs="宋体"/>
                <w:color w:val="000000"/>
                <w:kern w:val="0"/>
                <w:sz w:val="22"/>
              </w:rPr>
            </w:pPr>
            <w:r>
              <w:rPr>
                <w:rFonts w:cs="宋体"/>
                <w:color w:val="000000"/>
                <w:kern w:val="0"/>
                <w:sz w:val="22"/>
              </w:rPr>
              <w:t>米</w:t>
            </w:r>
          </w:p>
        </w:tc>
        <w:tc>
          <w:tcPr>
            <w:tcW w:w="202" w:type="pct"/>
            <w:tcBorders>
              <w:top w:val="nil"/>
              <w:left w:val="nil"/>
              <w:bottom w:val="single" w:color="auto" w:sz="4" w:space="0"/>
              <w:right w:val="single" w:color="auto" w:sz="4" w:space="0"/>
            </w:tcBorders>
            <w:vAlign w:val="center"/>
          </w:tcPr>
          <w:p w14:paraId="25782D23">
            <w:pPr>
              <w:widowControl/>
              <w:spacing w:line="240" w:lineRule="auto"/>
              <w:jc w:val="center"/>
              <w:rPr>
                <w:rFonts w:hint="eastAsia" w:cs="宋体"/>
                <w:color w:val="000000"/>
                <w:kern w:val="0"/>
                <w:sz w:val="22"/>
              </w:rPr>
            </w:pPr>
            <w:r>
              <w:rPr>
                <w:rFonts w:cs="宋体"/>
                <w:color w:val="000000"/>
                <w:kern w:val="0"/>
                <w:sz w:val="22"/>
              </w:rPr>
              <w:t>200</w:t>
            </w:r>
          </w:p>
        </w:tc>
      </w:tr>
      <w:tr w14:paraId="4D47DE4A">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2500604">
            <w:pPr>
              <w:widowControl/>
              <w:spacing w:line="240" w:lineRule="auto"/>
              <w:jc w:val="center"/>
              <w:rPr>
                <w:rFonts w:hint="eastAsia" w:cs="宋体"/>
                <w:color w:val="000000"/>
                <w:kern w:val="0"/>
                <w:sz w:val="22"/>
              </w:rPr>
            </w:pPr>
            <w:r>
              <w:rPr>
                <w:rFonts w:cs="宋体"/>
                <w:color w:val="000000"/>
                <w:kern w:val="0"/>
                <w:sz w:val="22"/>
              </w:rPr>
              <w:t>73</w:t>
            </w:r>
          </w:p>
        </w:tc>
        <w:tc>
          <w:tcPr>
            <w:tcW w:w="152" w:type="pct"/>
            <w:vMerge w:val="continue"/>
            <w:tcBorders>
              <w:top w:val="nil"/>
              <w:left w:val="single" w:color="auto" w:sz="4" w:space="0"/>
              <w:bottom w:val="single" w:color="000000" w:sz="4" w:space="0"/>
              <w:right w:val="single" w:color="auto" w:sz="4" w:space="0"/>
            </w:tcBorders>
            <w:vAlign w:val="center"/>
          </w:tcPr>
          <w:p w14:paraId="63039F44">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D01EF6A">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E4A64B6">
            <w:pPr>
              <w:widowControl/>
              <w:spacing w:line="240" w:lineRule="auto"/>
              <w:rPr>
                <w:rFonts w:hint="eastAsia" w:cs="宋体"/>
                <w:color w:val="000000"/>
                <w:kern w:val="0"/>
                <w:sz w:val="22"/>
              </w:rPr>
            </w:pPr>
            <w:r>
              <w:rPr>
                <w:rFonts w:cs="宋体"/>
                <w:color w:val="000000"/>
                <w:kern w:val="0"/>
                <w:sz w:val="22"/>
              </w:rPr>
              <w:t>电缆</w:t>
            </w:r>
          </w:p>
        </w:tc>
        <w:tc>
          <w:tcPr>
            <w:tcW w:w="3643" w:type="pct"/>
            <w:tcBorders>
              <w:top w:val="nil"/>
              <w:left w:val="nil"/>
              <w:bottom w:val="single" w:color="auto" w:sz="4" w:space="0"/>
              <w:right w:val="single" w:color="auto" w:sz="4" w:space="0"/>
            </w:tcBorders>
            <w:noWrap/>
            <w:vAlign w:val="center"/>
          </w:tcPr>
          <w:p w14:paraId="37068497">
            <w:pPr>
              <w:widowControl/>
              <w:spacing w:line="240" w:lineRule="auto"/>
              <w:rPr>
                <w:rFonts w:hint="eastAsia" w:cs="宋体"/>
                <w:color w:val="000000"/>
                <w:kern w:val="0"/>
                <w:sz w:val="22"/>
              </w:rPr>
            </w:pPr>
            <w:r>
              <w:rPr>
                <w:rFonts w:cs="宋体"/>
                <w:color w:val="000000"/>
                <w:kern w:val="0"/>
                <w:sz w:val="22"/>
              </w:rPr>
              <w:t>国标RVV-3*4mm²</w:t>
            </w:r>
          </w:p>
        </w:tc>
        <w:tc>
          <w:tcPr>
            <w:tcW w:w="216" w:type="pct"/>
            <w:tcBorders>
              <w:top w:val="nil"/>
              <w:left w:val="nil"/>
              <w:bottom w:val="single" w:color="auto" w:sz="4" w:space="0"/>
              <w:right w:val="single" w:color="auto" w:sz="4" w:space="0"/>
            </w:tcBorders>
            <w:vAlign w:val="center"/>
          </w:tcPr>
          <w:p w14:paraId="1019730B">
            <w:pPr>
              <w:widowControl/>
              <w:spacing w:line="240" w:lineRule="auto"/>
              <w:jc w:val="center"/>
              <w:rPr>
                <w:rFonts w:hint="eastAsia" w:cs="宋体"/>
                <w:color w:val="000000"/>
                <w:kern w:val="0"/>
                <w:sz w:val="22"/>
              </w:rPr>
            </w:pPr>
            <w:r>
              <w:rPr>
                <w:rFonts w:cs="宋体"/>
                <w:color w:val="000000"/>
                <w:kern w:val="0"/>
                <w:sz w:val="22"/>
              </w:rPr>
              <w:t>米</w:t>
            </w:r>
          </w:p>
        </w:tc>
        <w:tc>
          <w:tcPr>
            <w:tcW w:w="202" w:type="pct"/>
            <w:tcBorders>
              <w:top w:val="nil"/>
              <w:left w:val="nil"/>
              <w:bottom w:val="single" w:color="auto" w:sz="4" w:space="0"/>
              <w:right w:val="single" w:color="auto" w:sz="4" w:space="0"/>
            </w:tcBorders>
            <w:vAlign w:val="center"/>
          </w:tcPr>
          <w:p w14:paraId="3B5F2CD6">
            <w:pPr>
              <w:widowControl/>
              <w:spacing w:line="240" w:lineRule="auto"/>
              <w:jc w:val="center"/>
              <w:rPr>
                <w:rFonts w:hint="eastAsia" w:cs="宋体"/>
                <w:color w:val="000000"/>
                <w:kern w:val="0"/>
                <w:sz w:val="22"/>
              </w:rPr>
            </w:pPr>
            <w:r>
              <w:rPr>
                <w:rFonts w:cs="宋体"/>
                <w:color w:val="000000"/>
                <w:kern w:val="0"/>
                <w:sz w:val="22"/>
              </w:rPr>
              <w:t>300</w:t>
            </w:r>
          </w:p>
        </w:tc>
      </w:tr>
      <w:tr w14:paraId="7476D233">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927A0D6">
            <w:pPr>
              <w:widowControl/>
              <w:spacing w:line="240" w:lineRule="auto"/>
              <w:jc w:val="center"/>
              <w:rPr>
                <w:rFonts w:hint="eastAsia" w:cs="宋体"/>
                <w:color w:val="000000"/>
                <w:kern w:val="0"/>
                <w:sz w:val="22"/>
              </w:rPr>
            </w:pPr>
            <w:r>
              <w:rPr>
                <w:rFonts w:cs="宋体"/>
                <w:color w:val="000000"/>
                <w:kern w:val="0"/>
                <w:sz w:val="22"/>
              </w:rPr>
              <w:t>74</w:t>
            </w:r>
          </w:p>
        </w:tc>
        <w:tc>
          <w:tcPr>
            <w:tcW w:w="152" w:type="pct"/>
            <w:vMerge w:val="continue"/>
            <w:tcBorders>
              <w:top w:val="nil"/>
              <w:left w:val="single" w:color="auto" w:sz="4" w:space="0"/>
              <w:bottom w:val="single" w:color="000000" w:sz="4" w:space="0"/>
              <w:right w:val="single" w:color="auto" w:sz="4" w:space="0"/>
            </w:tcBorders>
            <w:vAlign w:val="center"/>
          </w:tcPr>
          <w:p w14:paraId="6052176B">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4859505E">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56D0097">
            <w:pPr>
              <w:widowControl/>
              <w:spacing w:line="240" w:lineRule="auto"/>
              <w:rPr>
                <w:rFonts w:hint="eastAsia" w:cs="宋体"/>
                <w:color w:val="000000"/>
                <w:kern w:val="0"/>
                <w:sz w:val="22"/>
              </w:rPr>
            </w:pPr>
            <w:r>
              <w:rPr>
                <w:rFonts w:cs="宋体"/>
                <w:color w:val="000000"/>
                <w:kern w:val="0"/>
                <w:sz w:val="22"/>
              </w:rPr>
              <w:t>电缆</w:t>
            </w:r>
          </w:p>
        </w:tc>
        <w:tc>
          <w:tcPr>
            <w:tcW w:w="3643" w:type="pct"/>
            <w:tcBorders>
              <w:top w:val="nil"/>
              <w:left w:val="nil"/>
              <w:bottom w:val="single" w:color="auto" w:sz="4" w:space="0"/>
              <w:right w:val="single" w:color="auto" w:sz="4" w:space="0"/>
            </w:tcBorders>
            <w:vAlign w:val="center"/>
          </w:tcPr>
          <w:p w14:paraId="61BC5D8C">
            <w:pPr>
              <w:widowControl/>
              <w:spacing w:line="240" w:lineRule="auto"/>
              <w:rPr>
                <w:rFonts w:hint="eastAsia" w:cs="宋体"/>
                <w:color w:val="000000"/>
                <w:kern w:val="0"/>
                <w:sz w:val="22"/>
              </w:rPr>
            </w:pPr>
            <w:r>
              <w:rPr>
                <w:rFonts w:cs="宋体"/>
                <w:color w:val="000000"/>
                <w:kern w:val="0"/>
                <w:sz w:val="22"/>
              </w:rPr>
              <w:t>品牌：国产品牌；</w:t>
            </w:r>
            <w:r>
              <w:rPr>
                <w:rFonts w:cs="宋体"/>
                <w:color w:val="000000"/>
                <w:kern w:val="0"/>
                <w:sz w:val="22"/>
              </w:rPr>
              <w:br w:type="textWrapping"/>
            </w:r>
            <w:r>
              <w:rPr>
                <w:rFonts w:cs="宋体"/>
                <w:color w:val="000000"/>
                <w:kern w:val="0"/>
                <w:sz w:val="22"/>
              </w:rPr>
              <w:t>规格：WDZB-YJY-3*6+2*4mm²；</w:t>
            </w:r>
          </w:p>
        </w:tc>
        <w:tc>
          <w:tcPr>
            <w:tcW w:w="216" w:type="pct"/>
            <w:tcBorders>
              <w:top w:val="nil"/>
              <w:left w:val="nil"/>
              <w:bottom w:val="single" w:color="auto" w:sz="4" w:space="0"/>
              <w:right w:val="single" w:color="auto" w:sz="4" w:space="0"/>
            </w:tcBorders>
            <w:vAlign w:val="center"/>
          </w:tcPr>
          <w:p w14:paraId="125DA2A6">
            <w:pPr>
              <w:widowControl/>
              <w:spacing w:line="240" w:lineRule="auto"/>
              <w:jc w:val="center"/>
              <w:rPr>
                <w:rFonts w:hint="eastAsia" w:cs="宋体"/>
                <w:color w:val="000000"/>
                <w:kern w:val="0"/>
                <w:sz w:val="22"/>
              </w:rPr>
            </w:pPr>
            <w:r>
              <w:rPr>
                <w:rFonts w:cs="宋体"/>
                <w:color w:val="000000"/>
                <w:kern w:val="0"/>
                <w:sz w:val="22"/>
              </w:rPr>
              <w:t>米</w:t>
            </w:r>
          </w:p>
        </w:tc>
        <w:tc>
          <w:tcPr>
            <w:tcW w:w="202" w:type="pct"/>
            <w:tcBorders>
              <w:top w:val="nil"/>
              <w:left w:val="nil"/>
              <w:bottom w:val="single" w:color="auto" w:sz="4" w:space="0"/>
              <w:right w:val="single" w:color="auto" w:sz="4" w:space="0"/>
            </w:tcBorders>
            <w:vAlign w:val="center"/>
          </w:tcPr>
          <w:p w14:paraId="2D35652A">
            <w:pPr>
              <w:widowControl/>
              <w:spacing w:line="240" w:lineRule="auto"/>
              <w:jc w:val="center"/>
              <w:rPr>
                <w:rFonts w:hint="eastAsia" w:cs="宋体"/>
                <w:color w:val="000000"/>
                <w:kern w:val="0"/>
                <w:sz w:val="22"/>
              </w:rPr>
            </w:pPr>
            <w:r>
              <w:rPr>
                <w:rFonts w:cs="宋体"/>
                <w:color w:val="000000"/>
                <w:kern w:val="0"/>
                <w:sz w:val="22"/>
              </w:rPr>
              <w:t>80</w:t>
            </w:r>
          </w:p>
        </w:tc>
      </w:tr>
      <w:tr w14:paraId="6DB4A52B">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D6AD57B">
            <w:pPr>
              <w:widowControl/>
              <w:spacing w:line="240" w:lineRule="auto"/>
              <w:jc w:val="center"/>
              <w:rPr>
                <w:rFonts w:hint="eastAsia" w:cs="宋体"/>
                <w:color w:val="000000"/>
                <w:kern w:val="0"/>
                <w:sz w:val="22"/>
              </w:rPr>
            </w:pPr>
            <w:r>
              <w:rPr>
                <w:rFonts w:cs="宋体"/>
                <w:color w:val="000000"/>
                <w:kern w:val="0"/>
                <w:sz w:val="22"/>
              </w:rPr>
              <w:t>75</w:t>
            </w:r>
          </w:p>
        </w:tc>
        <w:tc>
          <w:tcPr>
            <w:tcW w:w="152" w:type="pct"/>
            <w:vMerge w:val="continue"/>
            <w:tcBorders>
              <w:top w:val="nil"/>
              <w:left w:val="single" w:color="auto" w:sz="4" w:space="0"/>
              <w:bottom w:val="single" w:color="000000" w:sz="4" w:space="0"/>
              <w:right w:val="single" w:color="auto" w:sz="4" w:space="0"/>
            </w:tcBorders>
            <w:vAlign w:val="center"/>
          </w:tcPr>
          <w:p w14:paraId="568C9956">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AE36749">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30FE3CB4">
            <w:pPr>
              <w:widowControl/>
              <w:spacing w:line="240" w:lineRule="auto"/>
              <w:rPr>
                <w:rFonts w:hint="eastAsia" w:cs="宋体"/>
                <w:color w:val="000000"/>
                <w:kern w:val="0"/>
                <w:sz w:val="22"/>
              </w:rPr>
            </w:pPr>
            <w:r>
              <w:rPr>
                <w:rFonts w:cs="宋体"/>
                <w:color w:val="000000"/>
                <w:kern w:val="0"/>
                <w:sz w:val="22"/>
              </w:rPr>
              <w:t>辅材</w:t>
            </w:r>
          </w:p>
        </w:tc>
        <w:tc>
          <w:tcPr>
            <w:tcW w:w="3643" w:type="pct"/>
            <w:tcBorders>
              <w:top w:val="nil"/>
              <w:left w:val="nil"/>
              <w:bottom w:val="single" w:color="auto" w:sz="4" w:space="0"/>
              <w:right w:val="single" w:color="auto" w:sz="4" w:space="0"/>
            </w:tcBorders>
            <w:noWrap/>
            <w:vAlign w:val="center"/>
          </w:tcPr>
          <w:p w14:paraId="246B8F7F">
            <w:pPr>
              <w:widowControl/>
              <w:spacing w:line="240" w:lineRule="auto"/>
              <w:rPr>
                <w:rFonts w:hint="eastAsia" w:cs="宋体"/>
                <w:color w:val="000000"/>
                <w:kern w:val="0"/>
                <w:sz w:val="22"/>
              </w:rPr>
            </w:pPr>
            <w:r>
              <w:rPr>
                <w:rFonts w:cs="宋体"/>
                <w:color w:val="000000"/>
                <w:kern w:val="0"/>
                <w:sz w:val="22"/>
              </w:rPr>
              <w:t>各类管材接头、软管、抱箍、水晶头、扎带、标示牌，跳纤、跳线，未考虑到电源线等</w:t>
            </w:r>
          </w:p>
        </w:tc>
        <w:tc>
          <w:tcPr>
            <w:tcW w:w="216" w:type="pct"/>
            <w:tcBorders>
              <w:top w:val="nil"/>
              <w:left w:val="nil"/>
              <w:bottom w:val="single" w:color="auto" w:sz="4" w:space="0"/>
              <w:right w:val="single" w:color="auto" w:sz="4" w:space="0"/>
            </w:tcBorders>
            <w:vAlign w:val="center"/>
          </w:tcPr>
          <w:p w14:paraId="4D6CC743">
            <w:pPr>
              <w:widowControl/>
              <w:spacing w:line="240" w:lineRule="auto"/>
              <w:jc w:val="center"/>
              <w:rPr>
                <w:rFonts w:hint="eastAsia" w:cs="宋体"/>
                <w:color w:val="000000"/>
                <w:kern w:val="0"/>
                <w:sz w:val="22"/>
              </w:rPr>
            </w:pPr>
            <w:r>
              <w:rPr>
                <w:rFonts w:cs="宋体"/>
                <w:color w:val="000000"/>
                <w:kern w:val="0"/>
                <w:sz w:val="22"/>
              </w:rPr>
              <w:t>批</w:t>
            </w:r>
          </w:p>
        </w:tc>
        <w:tc>
          <w:tcPr>
            <w:tcW w:w="202" w:type="pct"/>
            <w:tcBorders>
              <w:top w:val="nil"/>
              <w:left w:val="nil"/>
              <w:bottom w:val="single" w:color="auto" w:sz="4" w:space="0"/>
              <w:right w:val="single" w:color="auto" w:sz="4" w:space="0"/>
            </w:tcBorders>
            <w:vAlign w:val="center"/>
          </w:tcPr>
          <w:p w14:paraId="61254428">
            <w:pPr>
              <w:widowControl/>
              <w:spacing w:line="240" w:lineRule="auto"/>
              <w:jc w:val="center"/>
              <w:rPr>
                <w:rFonts w:hint="eastAsia" w:cs="宋体"/>
                <w:color w:val="000000"/>
                <w:kern w:val="0"/>
                <w:sz w:val="22"/>
              </w:rPr>
            </w:pPr>
            <w:r>
              <w:rPr>
                <w:rFonts w:cs="宋体"/>
                <w:color w:val="000000"/>
                <w:kern w:val="0"/>
                <w:sz w:val="22"/>
              </w:rPr>
              <w:t>1</w:t>
            </w:r>
          </w:p>
        </w:tc>
      </w:tr>
      <w:tr w14:paraId="7DD2CD7F">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46315F60">
            <w:pPr>
              <w:widowControl/>
              <w:spacing w:line="240" w:lineRule="auto"/>
              <w:jc w:val="center"/>
              <w:rPr>
                <w:rFonts w:hint="eastAsia" w:cs="宋体"/>
                <w:color w:val="000000"/>
                <w:kern w:val="0"/>
                <w:sz w:val="22"/>
              </w:rPr>
            </w:pPr>
            <w:r>
              <w:rPr>
                <w:rFonts w:cs="宋体"/>
                <w:color w:val="000000"/>
                <w:kern w:val="0"/>
                <w:sz w:val="22"/>
              </w:rPr>
              <w:t>76</w:t>
            </w:r>
          </w:p>
        </w:tc>
        <w:tc>
          <w:tcPr>
            <w:tcW w:w="152" w:type="pct"/>
            <w:vMerge w:val="restart"/>
            <w:tcBorders>
              <w:top w:val="nil"/>
              <w:left w:val="single" w:color="auto" w:sz="4" w:space="0"/>
              <w:bottom w:val="single" w:color="000000" w:sz="4" w:space="0"/>
              <w:right w:val="single" w:color="auto" w:sz="4" w:space="0"/>
            </w:tcBorders>
            <w:vAlign w:val="center"/>
          </w:tcPr>
          <w:p w14:paraId="6F24D058">
            <w:pPr>
              <w:widowControl/>
              <w:spacing w:line="240" w:lineRule="auto"/>
              <w:jc w:val="center"/>
              <w:rPr>
                <w:rFonts w:hint="eastAsia" w:cs="宋体"/>
                <w:color w:val="000000"/>
                <w:kern w:val="0"/>
                <w:sz w:val="22"/>
              </w:rPr>
            </w:pPr>
            <w:r>
              <w:rPr>
                <w:rFonts w:cs="宋体"/>
                <w:color w:val="000000"/>
                <w:kern w:val="0"/>
                <w:sz w:val="22"/>
              </w:rPr>
              <w:t>分局-指挥中心装饰装修</w:t>
            </w:r>
          </w:p>
        </w:tc>
        <w:tc>
          <w:tcPr>
            <w:tcW w:w="331" w:type="pct"/>
            <w:vMerge w:val="restart"/>
            <w:tcBorders>
              <w:top w:val="nil"/>
              <w:left w:val="single" w:color="auto" w:sz="4" w:space="0"/>
              <w:bottom w:val="single" w:color="000000" w:sz="4" w:space="0"/>
              <w:right w:val="single" w:color="auto" w:sz="4" w:space="0"/>
            </w:tcBorders>
            <w:vAlign w:val="center"/>
          </w:tcPr>
          <w:p w14:paraId="7259C470">
            <w:pPr>
              <w:widowControl/>
              <w:spacing w:line="240" w:lineRule="auto"/>
              <w:jc w:val="center"/>
              <w:rPr>
                <w:rFonts w:hint="eastAsia" w:cs="宋体"/>
                <w:color w:val="000000"/>
                <w:kern w:val="0"/>
                <w:sz w:val="22"/>
              </w:rPr>
            </w:pPr>
            <w:r>
              <w:rPr>
                <w:rFonts w:cs="宋体"/>
                <w:color w:val="000000"/>
                <w:kern w:val="0"/>
                <w:sz w:val="22"/>
              </w:rPr>
              <w:t>建筑与装饰工程</w:t>
            </w:r>
          </w:p>
        </w:tc>
        <w:tc>
          <w:tcPr>
            <w:tcW w:w="202" w:type="pct"/>
            <w:tcBorders>
              <w:top w:val="nil"/>
              <w:left w:val="nil"/>
              <w:bottom w:val="single" w:color="auto" w:sz="4" w:space="0"/>
              <w:right w:val="single" w:color="auto" w:sz="4" w:space="0"/>
            </w:tcBorders>
            <w:vAlign w:val="center"/>
          </w:tcPr>
          <w:p w14:paraId="78D20248">
            <w:pPr>
              <w:widowControl/>
              <w:spacing w:line="240" w:lineRule="auto"/>
              <w:rPr>
                <w:rFonts w:hint="eastAsia" w:cs="宋体"/>
                <w:color w:val="000000"/>
                <w:kern w:val="0"/>
                <w:sz w:val="22"/>
              </w:rPr>
            </w:pPr>
            <w:r>
              <w:rPr>
                <w:rFonts w:cs="宋体"/>
                <w:color w:val="000000"/>
                <w:kern w:val="0"/>
                <w:sz w:val="22"/>
              </w:rPr>
              <w:t>拆除</w:t>
            </w:r>
          </w:p>
        </w:tc>
        <w:tc>
          <w:tcPr>
            <w:tcW w:w="3643" w:type="pct"/>
            <w:tcBorders>
              <w:top w:val="nil"/>
              <w:left w:val="nil"/>
              <w:bottom w:val="single" w:color="auto" w:sz="4" w:space="0"/>
              <w:right w:val="single" w:color="auto" w:sz="4" w:space="0"/>
            </w:tcBorders>
            <w:noWrap/>
            <w:vAlign w:val="center"/>
          </w:tcPr>
          <w:p w14:paraId="2BAE7F44">
            <w:pPr>
              <w:widowControl/>
              <w:spacing w:line="240" w:lineRule="auto"/>
              <w:rPr>
                <w:rFonts w:hint="eastAsia" w:cs="宋体"/>
                <w:color w:val="000000"/>
                <w:kern w:val="0"/>
                <w:sz w:val="22"/>
              </w:rPr>
            </w:pPr>
            <w:r>
              <w:rPr>
                <w:rFonts w:cs="宋体"/>
                <w:color w:val="000000"/>
                <w:kern w:val="0"/>
                <w:sz w:val="22"/>
              </w:rPr>
              <w:t>1.原有装修拆除、垃圾清运至指定地点，可利旧设备回库盘点</w:t>
            </w:r>
          </w:p>
        </w:tc>
        <w:tc>
          <w:tcPr>
            <w:tcW w:w="216" w:type="pct"/>
            <w:tcBorders>
              <w:top w:val="nil"/>
              <w:left w:val="nil"/>
              <w:bottom w:val="single" w:color="auto" w:sz="4" w:space="0"/>
              <w:right w:val="single" w:color="auto" w:sz="4" w:space="0"/>
            </w:tcBorders>
            <w:vAlign w:val="center"/>
          </w:tcPr>
          <w:p w14:paraId="605517F6">
            <w:pPr>
              <w:widowControl/>
              <w:spacing w:line="240" w:lineRule="auto"/>
              <w:jc w:val="center"/>
              <w:rPr>
                <w:rFonts w:hint="eastAsia" w:cs="宋体"/>
                <w:color w:val="000000"/>
                <w:kern w:val="0"/>
                <w:sz w:val="22"/>
              </w:rPr>
            </w:pPr>
            <w:r>
              <w:rPr>
                <w:rFonts w:cs="宋体"/>
                <w:color w:val="000000"/>
                <w:kern w:val="0"/>
                <w:sz w:val="22"/>
              </w:rPr>
              <w:t>项</w:t>
            </w:r>
          </w:p>
        </w:tc>
        <w:tc>
          <w:tcPr>
            <w:tcW w:w="202" w:type="pct"/>
            <w:tcBorders>
              <w:top w:val="nil"/>
              <w:left w:val="nil"/>
              <w:bottom w:val="single" w:color="auto" w:sz="4" w:space="0"/>
              <w:right w:val="single" w:color="auto" w:sz="4" w:space="0"/>
            </w:tcBorders>
            <w:vAlign w:val="center"/>
          </w:tcPr>
          <w:p w14:paraId="3B85246A">
            <w:pPr>
              <w:widowControl/>
              <w:spacing w:line="240" w:lineRule="auto"/>
              <w:jc w:val="center"/>
              <w:rPr>
                <w:rFonts w:hint="eastAsia" w:cs="宋体"/>
                <w:color w:val="000000"/>
                <w:kern w:val="0"/>
                <w:sz w:val="22"/>
              </w:rPr>
            </w:pPr>
            <w:r>
              <w:rPr>
                <w:rFonts w:cs="宋体"/>
                <w:color w:val="000000"/>
                <w:kern w:val="0"/>
                <w:sz w:val="22"/>
              </w:rPr>
              <w:t>1</w:t>
            </w:r>
          </w:p>
        </w:tc>
      </w:tr>
      <w:tr w14:paraId="0791C815">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B227CEC">
            <w:pPr>
              <w:widowControl/>
              <w:spacing w:line="240" w:lineRule="auto"/>
              <w:jc w:val="center"/>
              <w:rPr>
                <w:rFonts w:hint="eastAsia" w:cs="宋体"/>
                <w:color w:val="000000"/>
                <w:kern w:val="0"/>
                <w:sz w:val="22"/>
              </w:rPr>
            </w:pPr>
            <w:r>
              <w:rPr>
                <w:rFonts w:cs="宋体"/>
                <w:color w:val="000000"/>
                <w:kern w:val="0"/>
                <w:sz w:val="22"/>
              </w:rPr>
              <w:t>77</w:t>
            </w:r>
          </w:p>
        </w:tc>
        <w:tc>
          <w:tcPr>
            <w:tcW w:w="152" w:type="pct"/>
            <w:vMerge w:val="continue"/>
            <w:tcBorders>
              <w:top w:val="nil"/>
              <w:left w:val="single" w:color="auto" w:sz="4" w:space="0"/>
              <w:bottom w:val="single" w:color="000000" w:sz="4" w:space="0"/>
              <w:right w:val="single" w:color="auto" w:sz="4" w:space="0"/>
            </w:tcBorders>
            <w:vAlign w:val="center"/>
          </w:tcPr>
          <w:p w14:paraId="151F1FE9">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617EDA2">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3F043E56">
            <w:pPr>
              <w:widowControl/>
              <w:spacing w:line="240" w:lineRule="auto"/>
              <w:rPr>
                <w:rFonts w:hint="eastAsia" w:cs="宋体"/>
                <w:color w:val="000000"/>
                <w:kern w:val="0"/>
                <w:sz w:val="22"/>
              </w:rPr>
            </w:pPr>
            <w:r>
              <w:rPr>
                <w:rFonts w:cs="宋体"/>
                <w:color w:val="000000"/>
                <w:kern w:val="0"/>
                <w:sz w:val="22"/>
              </w:rPr>
              <w:t>墙面装饰板</w:t>
            </w:r>
          </w:p>
        </w:tc>
        <w:tc>
          <w:tcPr>
            <w:tcW w:w="3643" w:type="pct"/>
            <w:tcBorders>
              <w:top w:val="nil"/>
              <w:left w:val="nil"/>
              <w:bottom w:val="single" w:color="auto" w:sz="4" w:space="0"/>
              <w:right w:val="single" w:color="auto" w:sz="4" w:space="0"/>
            </w:tcBorders>
            <w:noWrap/>
            <w:vAlign w:val="center"/>
          </w:tcPr>
          <w:p w14:paraId="20D844F5">
            <w:pPr>
              <w:widowControl/>
              <w:spacing w:line="240" w:lineRule="auto"/>
              <w:rPr>
                <w:rFonts w:hint="eastAsia" w:cs="宋体"/>
                <w:color w:val="000000"/>
                <w:kern w:val="0"/>
                <w:sz w:val="22"/>
              </w:rPr>
            </w:pPr>
            <w:r>
              <w:rPr>
                <w:rFonts w:cs="宋体"/>
                <w:color w:val="000000"/>
                <w:kern w:val="0"/>
                <w:sz w:val="22"/>
              </w:rPr>
              <w:t>1.大屏两侧包饰</w:t>
            </w:r>
          </w:p>
        </w:tc>
        <w:tc>
          <w:tcPr>
            <w:tcW w:w="216" w:type="pct"/>
            <w:tcBorders>
              <w:top w:val="nil"/>
              <w:left w:val="nil"/>
              <w:bottom w:val="single" w:color="auto" w:sz="4" w:space="0"/>
              <w:right w:val="single" w:color="auto" w:sz="4" w:space="0"/>
            </w:tcBorders>
            <w:vAlign w:val="center"/>
          </w:tcPr>
          <w:p w14:paraId="23DA2B12">
            <w:pPr>
              <w:widowControl/>
              <w:spacing w:line="240" w:lineRule="auto"/>
              <w:jc w:val="center"/>
              <w:rPr>
                <w:rFonts w:hint="eastAsia" w:cs="宋体"/>
                <w:color w:val="000000"/>
                <w:kern w:val="0"/>
                <w:sz w:val="22"/>
              </w:rPr>
            </w:pPr>
            <w:r>
              <w:rPr>
                <w:rFonts w:cs="宋体"/>
                <w:color w:val="000000"/>
                <w:kern w:val="0"/>
                <w:sz w:val="22"/>
              </w:rPr>
              <w:t>m2</w:t>
            </w:r>
          </w:p>
        </w:tc>
        <w:tc>
          <w:tcPr>
            <w:tcW w:w="202" w:type="pct"/>
            <w:tcBorders>
              <w:top w:val="nil"/>
              <w:left w:val="nil"/>
              <w:bottom w:val="single" w:color="auto" w:sz="4" w:space="0"/>
              <w:right w:val="single" w:color="auto" w:sz="4" w:space="0"/>
            </w:tcBorders>
            <w:vAlign w:val="center"/>
          </w:tcPr>
          <w:p w14:paraId="03B310A2">
            <w:pPr>
              <w:widowControl/>
              <w:spacing w:line="240" w:lineRule="auto"/>
              <w:jc w:val="center"/>
              <w:rPr>
                <w:rFonts w:hint="eastAsia" w:cs="宋体"/>
                <w:color w:val="000000"/>
                <w:kern w:val="0"/>
                <w:sz w:val="22"/>
              </w:rPr>
            </w:pPr>
            <w:r>
              <w:rPr>
                <w:rFonts w:cs="宋体"/>
                <w:color w:val="000000"/>
                <w:kern w:val="0"/>
                <w:sz w:val="22"/>
              </w:rPr>
              <w:t>11.8</w:t>
            </w:r>
          </w:p>
        </w:tc>
      </w:tr>
      <w:tr w14:paraId="2429383A">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EB58E10">
            <w:pPr>
              <w:widowControl/>
              <w:spacing w:line="240" w:lineRule="auto"/>
              <w:jc w:val="center"/>
              <w:rPr>
                <w:rFonts w:hint="eastAsia" w:cs="宋体"/>
                <w:color w:val="000000"/>
                <w:kern w:val="0"/>
                <w:sz w:val="22"/>
              </w:rPr>
            </w:pPr>
            <w:r>
              <w:rPr>
                <w:rFonts w:cs="宋体"/>
                <w:color w:val="000000"/>
                <w:kern w:val="0"/>
                <w:sz w:val="22"/>
              </w:rPr>
              <w:t>78</w:t>
            </w:r>
          </w:p>
        </w:tc>
        <w:tc>
          <w:tcPr>
            <w:tcW w:w="152" w:type="pct"/>
            <w:vMerge w:val="continue"/>
            <w:tcBorders>
              <w:top w:val="nil"/>
              <w:left w:val="single" w:color="auto" w:sz="4" w:space="0"/>
              <w:bottom w:val="single" w:color="000000" w:sz="4" w:space="0"/>
              <w:right w:val="single" w:color="auto" w:sz="4" w:space="0"/>
            </w:tcBorders>
            <w:vAlign w:val="center"/>
          </w:tcPr>
          <w:p w14:paraId="1618041C">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3262693C">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46BEC15">
            <w:pPr>
              <w:widowControl/>
              <w:spacing w:line="240" w:lineRule="auto"/>
              <w:rPr>
                <w:rFonts w:hint="eastAsia" w:cs="宋体"/>
                <w:color w:val="000000"/>
                <w:kern w:val="0"/>
                <w:sz w:val="22"/>
              </w:rPr>
            </w:pPr>
            <w:r>
              <w:rPr>
                <w:rFonts w:cs="宋体"/>
                <w:color w:val="000000"/>
                <w:kern w:val="0"/>
                <w:sz w:val="22"/>
              </w:rPr>
              <w:t>吊顶天棚</w:t>
            </w:r>
          </w:p>
        </w:tc>
        <w:tc>
          <w:tcPr>
            <w:tcW w:w="3643" w:type="pct"/>
            <w:tcBorders>
              <w:top w:val="nil"/>
              <w:left w:val="nil"/>
              <w:bottom w:val="single" w:color="auto" w:sz="4" w:space="0"/>
              <w:right w:val="single" w:color="auto" w:sz="4" w:space="0"/>
            </w:tcBorders>
            <w:vAlign w:val="center"/>
          </w:tcPr>
          <w:p w14:paraId="3B4C8778">
            <w:pPr>
              <w:widowControl/>
              <w:spacing w:line="240" w:lineRule="auto"/>
              <w:rPr>
                <w:rFonts w:hint="eastAsia" w:cs="宋体"/>
                <w:color w:val="000000"/>
                <w:kern w:val="0"/>
                <w:sz w:val="22"/>
              </w:rPr>
            </w:pPr>
            <w:r>
              <w:rPr>
                <w:rFonts w:cs="宋体"/>
                <w:color w:val="000000"/>
                <w:kern w:val="0"/>
                <w:sz w:val="22"/>
              </w:rPr>
              <w:t>1.面层材料品种、规格:根据现场情况及客户要求进行定制，包含吊顶所需龙骨及吊杆</w:t>
            </w:r>
            <w:r>
              <w:rPr>
                <w:rFonts w:cs="宋体"/>
                <w:color w:val="000000"/>
                <w:kern w:val="0"/>
                <w:sz w:val="22"/>
              </w:rPr>
              <w:br w:type="textWrapping"/>
            </w:r>
            <w:r>
              <w:rPr>
                <w:rFonts w:cs="宋体"/>
                <w:color w:val="000000"/>
                <w:kern w:val="0"/>
                <w:sz w:val="22"/>
              </w:rPr>
              <w:t>2.异形吊顶</w:t>
            </w:r>
          </w:p>
        </w:tc>
        <w:tc>
          <w:tcPr>
            <w:tcW w:w="216" w:type="pct"/>
            <w:tcBorders>
              <w:top w:val="nil"/>
              <w:left w:val="nil"/>
              <w:bottom w:val="single" w:color="auto" w:sz="4" w:space="0"/>
              <w:right w:val="single" w:color="auto" w:sz="4" w:space="0"/>
            </w:tcBorders>
            <w:vAlign w:val="center"/>
          </w:tcPr>
          <w:p w14:paraId="01F5D606">
            <w:pPr>
              <w:widowControl/>
              <w:spacing w:line="240" w:lineRule="auto"/>
              <w:jc w:val="center"/>
              <w:rPr>
                <w:rFonts w:hint="eastAsia" w:cs="宋体"/>
                <w:color w:val="000000"/>
                <w:kern w:val="0"/>
                <w:sz w:val="22"/>
              </w:rPr>
            </w:pPr>
            <w:r>
              <w:rPr>
                <w:rFonts w:cs="宋体"/>
                <w:color w:val="000000"/>
                <w:kern w:val="0"/>
                <w:sz w:val="22"/>
              </w:rPr>
              <w:t>m2</w:t>
            </w:r>
          </w:p>
        </w:tc>
        <w:tc>
          <w:tcPr>
            <w:tcW w:w="202" w:type="pct"/>
            <w:tcBorders>
              <w:top w:val="nil"/>
              <w:left w:val="nil"/>
              <w:bottom w:val="single" w:color="auto" w:sz="4" w:space="0"/>
              <w:right w:val="single" w:color="auto" w:sz="4" w:space="0"/>
            </w:tcBorders>
            <w:vAlign w:val="center"/>
          </w:tcPr>
          <w:p w14:paraId="4F2045F9">
            <w:pPr>
              <w:widowControl/>
              <w:spacing w:line="240" w:lineRule="auto"/>
              <w:jc w:val="center"/>
              <w:rPr>
                <w:rFonts w:hint="eastAsia" w:cs="宋体"/>
                <w:color w:val="000000"/>
                <w:kern w:val="0"/>
                <w:sz w:val="22"/>
              </w:rPr>
            </w:pPr>
            <w:r>
              <w:rPr>
                <w:rFonts w:cs="宋体"/>
                <w:color w:val="000000"/>
                <w:kern w:val="0"/>
                <w:sz w:val="22"/>
              </w:rPr>
              <w:t>145</w:t>
            </w:r>
          </w:p>
        </w:tc>
      </w:tr>
      <w:tr w14:paraId="6458C0E7">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C5EE096">
            <w:pPr>
              <w:widowControl/>
              <w:spacing w:line="240" w:lineRule="auto"/>
              <w:jc w:val="center"/>
              <w:rPr>
                <w:rFonts w:hint="eastAsia" w:cs="宋体"/>
                <w:color w:val="000000"/>
                <w:kern w:val="0"/>
                <w:sz w:val="22"/>
              </w:rPr>
            </w:pPr>
            <w:r>
              <w:rPr>
                <w:rFonts w:cs="宋体"/>
                <w:color w:val="000000"/>
                <w:kern w:val="0"/>
                <w:sz w:val="22"/>
              </w:rPr>
              <w:t>79</w:t>
            </w:r>
          </w:p>
        </w:tc>
        <w:tc>
          <w:tcPr>
            <w:tcW w:w="152" w:type="pct"/>
            <w:vMerge w:val="continue"/>
            <w:tcBorders>
              <w:top w:val="nil"/>
              <w:left w:val="single" w:color="auto" w:sz="4" w:space="0"/>
              <w:bottom w:val="single" w:color="000000" w:sz="4" w:space="0"/>
              <w:right w:val="single" w:color="auto" w:sz="4" w:space="0"/>
            </w:tcBorders>
            <w:vAlign w:val="center"/>
          </w:tcPr>
          <w:p w14:paraId="3EDABA53">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82AE834">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11AFBDD">
            <w:pPr>
              <w:widowControl/>
              <w:spacing w:line="240" w:lineRule="auto"/>
              <w:rPr>
                <w:rFonts w:hint="eastAsia" w:cs="宋体"/>
                <w:color w:val="000000"/>
                <w:kern w:val="0"/>
                <w:sz w:val="22"/>
              </w:rPr>
            </w:pPr>
            <w:r>
              <w:rPr>
                <w:rFonts w:cs="宋体"/>
                <w:color w:val="000000"/>
                <w:kern w:val="0"/>
                <w:sz w:val="22"/>
              </w:rPr>
              <w:t>指挥中心阶梯制作</w:t>
            </w:r>
          </w:p>
        </w:tc>
        <w:tc>
          <w:tcPr>
            <w:tcW w:w="3643" w:type="pct"/>
            <w:tcBorders>
              <w:top w:val="nil"/>
              <w:left w:val="nil"/>
              <w:bottom w:val="single" w:color="auto" w:sz="4" w:space="0"/>
              <w:right w:val="single" w:color="auto" w:sz="4" w:space="0"/>
            </w:tcBorders>
            <w:noWrap/>
            <w:vAlign w:val="center"/>
          </w:tcPr>
          <w:p w14:paraId="133D397C">
            <w:pPr>
              <w:widowControl/>
              <w:spacing w:line="240" w:lineRule="auto"/>
              <w:rPr>
                <w:rFonts w:hint="eastAsia" w:cs="宋体"/>
                <w:color w:val="000000"/>
                <w:kern w:val="0"/>
                <w:sz w:val="22"/>
              </w:rPr>
            </w:pPr>
            <w:r>
              <w:rPr>
                <w:rFonts w:cs="宋体"/>
                <w:color w:val="000000"/>
                <w:kern w:val="0"/>
                <w:sz w:val="22"/>
              </w:rPr>
              <w:t>根据现场情况及图纸，做弧形台阶，钢架结构，实木板铺贴，共四阶</w:t>
            </w:r>
          </w:p>
        </w:tc>
        <w:tc>
          <w:tcPr>
            <w:tcW w:w="216" w:type="pct"/>
            <w:tcBorders>
              <w:top w:val="nil"/>
              <w:left w:val="nil"/>
              <w:bottom w:val="single" w:color="auto" w:sz="4" w:space="0"/>
              <w:right w:val="single" w:color="auto" w:sz="4" w:space="0"/>
            </w:tcBorders>
            <w:vAlign w:val="center"/>
          </w:tcPr>
          <w:p w14:paraId="2ED3089D">
            <w:pPr>
              <w:widowControl/>
              <w:spacing w:line="240" w:lineRule="auto"/>
              <w:jc w:val="center"/>
              <w:rPr>
                <w:rFonts w:hint="eastAsia" w:cs="宋体"/>
                <w:color w:val="000000"/>
                <w:kern w:val="0"/>
                <w:sz w:val="22"/>
              </w:rPr>
            </w:pPr>
            <w:r>
              <w:rPr>
                <w:rFonts w:cs="宋体"/>
                <w:color w:val="000000"/>
                <w:kern w:val="0"/>
                <w:sz w:val="22"/>
              </w:rPr>
              <w:t>m2</w:t>
            </w:r>
          </w:p>
        </w:tc>
        <w:tc>
          <w:tcPr>
            <w:tcW w:w="202" w:type="pct"/>
            <w:tcBorders>
              <w:top w:val="nil"/>
              <w:left w:val="nil"/>
              <w:bottom w:val="single" w:color="auto" w:sz="4" w:space="0"/>
              <w:right w:val="single" w:color="auto" w:sz="4" w:space="0"/>
            </w:tcBorders>
            <w:vAlign w:val="center"/>
          </w:tcPr>
          <w:p w14:paraId="70FE3C35">
            <w:pPr>
              <w:widowControl/>
              <w:spacing w:line="240" w:lineRule="auto"/>
              <w:jc w:val="center"/>
              <w:rPr>
                <w:rFonts w:hint="eastAsia" w:cs="宋体"/>
                <w:color w:val="000000"/>
                <w:kern w:val="0"/>
                <w:sz w:val="22"/>
              </w:rPr>
            </w:pPr>
            <w:r>
              <w:rPr>
                <w:rFonts w:cs="宋体"/>
                <w:color w:val="000000"/>
                <w:kern w:val="0"/>
                <w:sz w:val="22"/>
              </w:rPr>
              <w:t>70</w:t>
            </w:r>
          </w:p>
        </w:tc>
      </w:tr>
      <w:tr w14:paraId="1E229AA2">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3BED3D4D">
            <w:pPr>
              <w:widowControl/>
              <w:spacing w:line="240" w:lineRule="auto"/>
              <w:jc w:val="center"/>
              <w:rPr>
                <w:rFonts w:hint="eastAsia" w:cs="宋体"/>
                <w:color w:val="000000"/>
                <w:kern w:val="0"/>
                <w:sz w:val="22"/>
              </w:rPr>
            </w:pPr>
            <w:r>
              <w:rPr>
                <w:rFonts w:cs="宋体"/>
                <w:color w:val="000000"/>
                <w:kern w:val="0"/>
                <w:sz w:val="22"/>
              </w:rPr>
              <w:t>80</w:t>
            </w:r>
          </w:p>
        </w:tc>
        <w:tc>
          <w:tcPr>
            <w:tcW w:w="152" w:type="pct"/>
            <w:vMerge w:val="continue"/>
            <w:tcBorders>
              <w:top w:val="nil"/>
              <w:left w:val="single" w:color="auto" w:sz="4" w:space="0"/>
              <w:bottom w:val="single" w:color="000000" w:sz="4" w:space="0"/>
              <w:right w:val="single" w:color="auto" w:sz="4" w:space="0"/>
            </w:tcBorders>
            <w:vAlign w:val="center"/>
          </w:tcPr>
          <w:p w14:paraId="17559595">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49582A1A">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6541165">
            <w:pPr>
              <w:widowControl/>
              <w:spacing w:line="240" w:lineRule="auto"/>
              <w:rPr>
                <w:rFonts w:hint="eastAsia" w:cs="宋体"/>
                <w:color w:val="000000"/>
                <w:kern w:val="0"/>
                <w:sz w:val="22"/>
              </w:rPr>
            </w:pPr>
            <w:r>
              <w:rPr>
                <w:rFonts w:cs="宋体"/>
                <w:color w:val="000000"/>
                <w:kern w:val="0"/>
                <w:sz w:val="22"/>
              </w:rPr>
              <w:t>墙面装饰板</w:t>
            </w:r>
          </w:p>
        </w:tc>
        <w:tc>
          <w:tcPr>
            <w:tcW w:w="3643" w:type="pct"/>
            <w:tcBorders>
              <w:top w:val="nil"/>
              <w:left w:val="nil"/>
              <w:bottom w:val="single" w:color="auto" w:sz="4" w:space="0"/>
              <w:right w:val="single" w:color="auto" w:sz="4" w:space="0"/>
            </w:tcBorders>
            <w:vAlign w:val="center"/>
          </w:tcPr>
          <w:p w14:paraId="722C2362">
            <w:pPr>
              <w:widowControl/>
              <w:spacing w:line="240" w:lineRule="auto"/>
              <w:rPr>
                <w:rFonts w:hint="eastAsia" w:cs="宋体"/>
                <w:color w:val="000000"/>
                <w:kern w:val="0"/>
                <w:sz w:val="22"/>
              </w:rPr>
            </w:pPr>
            <w:r>
              <w:rPr>
                <w:rFonts w:cs="宋体"/>
                <w:color w:val="000000"/>
                <w:kern w:val="0"/>
                <w:sz w:val="22"/>
              </w:rPr>
              <w:t>1.龙骨材料种类、规格、中距:轻钢龙骨</w:t>
            </w:r>
            <w:r>
              <w:rPr>
                <w:rFonts w:cs="宋体"/>
                <w:color w:val="000000"/>
                <w:kern w:val="0"/>
                <w:sz w:val="22"/>
              </w:rPr>
              <w:br w:type="textWrapping"/>
            </w:r>
            <w:r>
              <w:rPr>
                <w:rFonts w:cs="宋体"/>
                <w:color w:val="000000"/>
                <w:kern w:val="0"/>
                <w:sz w:val="22"/>
              </w:rPr>
              <w:t>2.隔离层材料种类、规格:防火阻燃岩棉内置</w:t>
            </w:r>
            <w:r>
              <w:rPr>
                <w:rFonts w:cs="宋体"/>
                <w:color w:val="000000"/>
                <w:kern w:val="0"/>
                <w:sz w:val="22"/>
              </w:rPr>
              <w:br w:type="textWrapping"/>
            </w:r>
            <w:r>
              <w:rPr>
                <w:rFonts w:cs="宋体"/>
                <w:color w:val="000000"/>
                <w:kern w:val="0"/>
                <w:sz w:val="22"/>
              </w:rPr>
              <w:t>3.基层材料种类、规格:甲级阻燃板基层</w:t>
            </w:r>
            <w:r>
              <w:rPr>
                <w:rFonts w:cs="宋体"/>
                <w:color w:val="000000"/>
                <w:kern w:val="0"/>
                <w:sz w:val="22"/>
              </w:rPr>
              <w:br w:type="textWrapping"/>
            </w:r>
            <w:r>
              <w:rPr>
                <w:rFonts w:cs="宋体"/>
                <w:color w:val="000000"/>
                <w:kern w:val="0"/>
                <w:sz w:val="22"/>
              </w:rPr>
              <w:t>4.面层材料品种、规格、颜色:订制成品冲孔吸音板</w:t>
            </w:r>
          </w:p>
        </w:tc>
        <w:tc>
          <w:tcPr>
            <w:tcW w:w="216" w:type="pct"/>
            <w:tcBorders>
              <w:top w:val="nil"/>
              <w:left w:val="nil"/>
              <w:bottom w:val="single" w:color="auto" w:sz="4" w:space="0"/>
              <w:right w:val="single" w:color="auto" w:sz="4" w:space="0"/>
            </w:tcBorders>
            <w:vAlign w:val="center"/>
          </w:tcPr>
          <w:p w14:paraId="225662AF">
            <w:pPr>
              <w:widowControl/>
              <w:spacing w:line="240" w:lineRule="auto"/>
              <w:jc w:val="center"/>
              <w:rPr>
                <w:rFonts w:hint="eastAsia" w:cs="宋体"/>
                <w:color w:val="000000"/>
                <w:kern w:val="0"/>
                <w:sz w:val="22"/>
              </w:rPr>
            </w:pPr>
            <w:r>
              <w:rPr>
                <w:rFonts w:cs="宋体"/>
                <w:color w:val="000000"/>
                <w:kern w:val="0"/>
                <w:sz w:val="22"/>
              </w:rPr>
              <w:t>m2</w:t>
            </w:r>
          </w:p>
        </w:tc>
        <w:tc>
          <w:tcPr>
            <w:tcW w:w="202" w:type="pct"/>
            <w:tcBorders>
              <w:top w:val="nil"/>
              <w:left w:val="nil"/>
              <w:bottom w:val="single" w:color="auto" w:sz="4" w:space="0"/>
              <w:right w:val="single" w:color="auto" w:sz="4" w:space="0"/>
            </w:tcBorders>
            <w:vAlign w:val="center"/>
          </w:tcPr>
          <w:p w14:paraId="6714A59E">
            <w:pPr>
              <w:widowControl/>
              <w:spacing w:line="240" w:lineRule="auto"/>
              <w:jc w:val="center"/>
              <w:rPr>
                <w:rFonts w:hint="eastAsia" w:cs="宋体"/>
                <w:color w:val="000000"/>
                <w:kern w:val="0"/>
                <w:sz w:val="22"/>
              </w:rPr>
            </w:pPr>
            <w:r>
              <w:rPr>
                <w:rFonts w:cs="宋体"/>
                <w:color w:val="000000"/>
                <w:kern w:val="0"/>
                <w:sz w:val="22"/>
              </w:rPr>
              <w:t>92</w:t>
            </w:r>
          </w:p>
        </w:tc>
      </w:tr>
      <w:tr w14:paraId="55F0DFFD">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3092F279">
            <w:pPr>
              <w:widowControl/>
              <w:spacing w:line="240" w:lineRule="auto"/>
              <w:jc w:val="center"/>
              <w:rPr>
                <w:rFonts w:hint="eastAsia" w:cs="宋体"/>
                <w:color w:val="000000"/>
                <w:kern w:val="0"/>
                <w:sz w:val="22"/>
              </w:rPr>
            </w:pPr>
            <w:r>
              <w:rPr>
                <w:rFonts w:cs="宋体"/>
                <w:color w:val="000000"/>
                <w:kern w:val="0"/>
                <w:sz w:val="22"/>
              </w:rPr>
              <w:t>81</w:t>
            </w:r>
          </w:p>
        </w:tc>
        <w:tc>
          <w:tcPr>
            <w:tcW w:w="152" w:type="pct"/>
            <w:vMerge w:val="continue"/>
            <w:tcBorders>
              <w:top w:val="nil"/>
              <w:left w:val="single" w:color="auto" w:sz="4" w:space="0"/>
              <w:bottom w:val="single" w:color="000000" w:sz="4" w:space="0"/>
              <w:right w:val="single" w:color="auto" w:sz="4" w:space="0"/>
            </w:tcBorders>
            <w:vAlign w:val="center"/>
          </w:tcPr>
          <w:p w14:paraId="106CD996">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3AE409DD">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95B29DE">
            <w:pPr>
              <w:widowControl/>
              <w:spacing w:line="240" w:lineRule="auto"/>
              <w:rPr>
                <w:rFonts w:hint="eastAsia" w:cs="宋体"/>
                <w:color w:val="000000"/>
                <w:kern w:val="0"/>
                <w:sz w:val="22"/>
              </w:rPr>
            </w:pPr>
            <w:r>
              <w:rPr>
                <w:rFonts w:cs="宋体"/>
                <w:color w:val="000000"/>
                <w:kern w:val="0"/>
                <w:sz w:val="22"/>
              </w:rPr>
              <w:t>抹灰面油漆</w:t>
            </w:r>
          </w:p>
        </w:tc>
        <w:tc>
          <w:tcPr>
            <w:tcW w:w="3643" w:type="pct"/>
            <w:tcBorders>
              <w:top w:val="nil"/>
              <w:left w:val="nil"/>
              <w:bottom w:val="single" w:color="auto" w:sz="4" w:space="0"/>
              <w:right w:val="single" w:color="auto" w:sz="4" w:space="0"/>
            </w:tcBorders>
            <w:vAlign w:val="center"/>
          </w:tcPr>
          <w:p w14:paraId="19620789">
            <w:pPr>
              <w:widowControl/>
              <w:spacing w:line="240" w:lineRule="auto"/>
              <w:rPr>
                <w:rFonts w:hint="eastAsia" w:cs="宋体"/>
                <w:color w:val="000000"/>
                <w:kern w:val="0"/>
                <w:sz w:val="22"/>
              </w:rPr>
            </w:pPr>
            <w:r>
              <w:rPr>
                <w:rFonts w:cs="宋体"/>
                <w:color w:val="000000"/>
                <w:kern w:val="0"/>
                <w:sz w:val="22"/>
              </w:rPr>
              <w:t>1.油漆品种、刷漆遍数:顶面刷防尘漆,粉饰两遍</w:t>
            </w:r>
            <w:r>
              <w:rPr>
                <w:rFonts w:cs="宋体"/>
                <w:color w:val="000000"/>
                <w:kern w:val="0"/>
                <w:sz w:val="22"/>
              </w:rPr>
              <w:br w:type="textWrapping"/>
            </w:r>
            <w:r>
              <w:rPr>
                <w:rFonts w:cs="宋体"/>
                <w:color w:val="000000"/>
                <w:kern w:val="0"/>
                <w:sz w:val="22"/>
              </w:rPr>
              <w:t>2.部位:天棚</w:t>
            </w:r>
          </w:p>
        </w:tc>
        <w:tc>
          <w:tcPr>
            <w:tcW w:w="216" w:type="pct"/>
            <w:tcBorders>
              <w:top w:val="nil"/>
              <w:left w:val="nil"/>
              <w:bottom w:val="single" w:color="auto" w:sz="4" w:space="0"/>
              <w:right w:val="single" w:color="auto" w:sz="4" w:space="0"/>
            </w:tcBorders>
            <w:vAlign w:val="center"/>
          </w:tcPr>
          <w:p w14:paraId="60C7DD19">
            <w:pPr>
              <w:widowControl/>
              <w:spacing w:line="240" w:lineRule="auto"/>
              <w:jc w:val="center"/>
              <w:rPr>
                <w:rFonts w:hint="eastAsia" w:cs="宋体"/>
                <w:color w:val="000000"/>
                <w:kern w:val="0"/>
                <w:sz w:val="22"/>
              </w:rPr>
            </w:pPr>
            <w:r>
              <w:rPr>
                <w:rFonts w:cs="宋体"/>
                <w:color w:val="000000"/>
                <w:kern w:val="0"/>
                <w:sz w:val="22"/>
              </w:rPr>
              <w:t>m2</w:t>
            </w:r>
          </w:p>
        </w:tc>
        <w:tc>
          <w:tcPr>
            <w:tcW w:w="202" w:type="pct"/>
            <w:tcBorders>
              <w:top w:val="nil"/>
              <w:left w:val="nil"/>
              <w:bottom w:val="single" w:color="auto" w:sz="4" w:space="0"/>
              <w:right w:val="single" w:color="auto" w:sz="4" w:space="0"/>
            </w:tcBorders>
            <w:vAlign w:val="center"/>
          </w:tcPr>
          <w:p w14:paraId="6E79E91D">
            <w:pPr>
              <w:widowControl/>
              <w:spacing w:line="240" w:lineRule="auto"/>
              <w:jc w:val="center"/>
              <w:rPr>
                <w:rFonts w:hint="eastAsia" w:cs="宋体"/>
                <w:color w:val="000000"/>
                <w:kern w:val="0"/>
                <w:sz w:val="22"/>
              </w:rPr>
            </w:pPr>
            <w:r>
              <w:rPr>
                <w:rFonts w:cs="宋体"/>
                <w:color w:val="000000"/>
                <w:kern w:val="0"/>
                <w:sz w:val="22"/>
              </w:rPr>
              <w:t>145</w:t>
            </w:r>
          </w:p>
        </w:tc>
      </w:tr>
      <w:tr w14:paraId="3875CC79">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4CDE0D4">
            <w:pPr>
              <w:widowControl/>
              <w:spacing w:line="240" w:lineRule="auto"/>
              <w:jc w:val="center"/>
              <w:rPr>
                <w:rFonts w:hint="eastAsia" w:cs="宋体"/>
                <w:color w:val="000000"/>
                <w:kern w:val="0"/>
                <w:sz w:val="22"/>
              </w:rPr>
            </w:pPr>
            <w:r>
              <w:rPr>
                <w:rFonts w:cs="宋体"/>
                <w:color w:val="000000"/>
                <w:kern w:val="0"/>
                <w:sz w:val="22"/>
              </w:rPr>
              <w:t>82</w:t>
            </w:r>
          </w:p>
        </w:tc>
        <w:tc>
          <w:tcPr>
            <w:tcW w:w="152" w:type="pct"/>
            <w:vMerge w:val="continue"/>
            <w:tcBorders>
              <w:top w:val="nil"/>
              <w:left w:val="single" w:color="auto" w:sz="4" w:space="0"/>
              <w:bottom w:val="single" w:color="000000" w:sz="4" w:space="0"/>
              <w:right w:val="single" w:color="auto" w:sz="4" w:space="0"/>
            </w:tcBorders>
            <w:vAlign w:val="center"/>
          </w:tcPr>
          <w:p w14:paraId="3936D86B">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8194B94">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4D7523EA">
            <w:pPr>
              <w:widowControl/>
              <w:spacing w:line="240" w:lineRule="auto"/>
              <w:rPr>
                <w:rFonts w:hint="eastAsia" w:cs="宋体"/>
                <w:color w:val="000000"/>
                <w:kern w:val="0"/>
                <w:sz w:val="22"/>
              </w:rPr>
            </w:pPr>
            <w:r>
              <w:rPr>
                <w:rFonts w:cs="宋体"/>
                <w:color w:val="000000"/>
                <w:kern w:val="0"/>
                <w:sz w:val="22"/>
              </w:rPr>
              <w:t>抹灰面油漆</w:t>
            </w:r>
          </w:p>
        </w:tc>
        <w:tc>
          <w:tcPr>
            <w:tcW w:w="3643" w:type="pct"/>
            <w:tcBorders>
              <w:top w:val="nil"/>
              <w:left w:val="nil"/>
              <w:bottom w:val="single" w:color="auto" w:sz="4" w:space="0"/>
              <w:right w:val="single" w:color="auto" w:sz="4" w:space="0"/>
            </w:tcBorders>
            <w:vAlign w:val="center"/>
          </w:tcPr>
          <w:p w14:paraId="21EF95DC">
            <w:pPr>
              <w:widowControl/>
              <w:spacing w:line="240" w:lineRule="auto"/>
              <w:rPr>
                <w:rFonts w:hint="eastAsia" w:cs="宋体"/>
                <w:color w:val="000000"/>
                <w:kern w:val="0"/>
                <w:sz w:val="22"/>
              </w:rPr>
            </w:pPr>
            <w:r>
              <w:rPr>
                <w:rFonts w:cs="宋体"/>
                <w:color w:val="000000"/>
                <w:kern w:val="0"/>
                <w:sz w:val="22"/>
              </w:rPr>
              <w:t>1.腻子种类:胶腻子</w:t>
            </w:r>
            <w:r>
              <w:rPr>
                <w:rFonts w:cs="宋体"/>
                <w:color w:val="000000"/>
                <w:kern w:val="0"/>
                <w:sz w:val="22"/>
              </w:rPr>
              <w:br w:type="textWrapping"/>
            </w:r>
            <w:r>
              <w:rPr>
                <w:rFonts w:cs="宋体"/>
                <w:color w:val="000000"/>
                <w:kern w:val="0"/>
                <w:sz w:val="22"/>
              </w:rPr>
              <w:t>2.刮腻子遍数:2遍</w:t>
            </w:r>
            <w:r>
              <w:rPr>
                <w:rFonts w:cs="宋体"/>
                <w:color w:val="000000"/>
                <w:kern w:val="0"/>
                <w:sz w:val="22"/>
              </w:rPr>
              <w:br w:type="textWrapping"/>
            </w:r>
            <w:r>
              <w:rPr>
                <w:rFonts w:cs="宋体"/>
                <w:color w:val="000000"/>
                <w:kern w:val="0"/>
                <w:sz w:val="22"/>
              </w:rPr>
              <w:t>3.油漆品种、刷漆遍数:乳胶漆三遍</w:t>
            </w:r>
            <w:r>
              <w:rPr>
                <w:rFonts w:cs="宋体"/>
                <w:color w:val="000000"/>
                <w:kern w:val="0"/>
                <w:sz w:val="22"/>
              </w:rPr>
              <w:br w:type="textWrapping"/>
            </w:r>
            <w:r>
              <w:rPr>
                <w:rFonts w:cs="宋体"/>
                <w:color w:val="000000"/>
                <w:kern w:val="0"/>
                <w:sz w:val="22"/>
              </w:rPr>
              <w:t>4.部位:墙面</w:t>
            </w:r>
          </w:p>
        </w:tc>
        <w:tc>
          <w:tcPr>
            <w:tcW w:w="216" w:type="pct"/>
            <w:tcBorders>
              <w:top w:val="nil"/>
              <w:left w:val="nil"/>
              <w:bottom w:val="single" w:color="auto" w:sz="4" w:space="0"/>
              <w:right w:val="single" w:color="auto" w:sz="4" w:space="0"/>
            </w:tcBorders>
            <w:vAlign w:val="center"/>
          </w:tcPr>
          <w:p w14:paraId="7F54E831">
            <w:pPr>
              <w:widowControl/>
              <w:spacing w:line="240" w:lineRule="auto"/>
              <w:jc w:val="center"/>
              <w:rPr>
                <w:rFonts w:hint="eastAsia" w:cs="宋体"/>
                <w:color w:val="000000"/>
                <w:kern w:val="0"/>
                <w:sz w:val="22"/>
              </w:rPr>
            </w:pPr>
            <w:r>
              <w:rPr>
                <w:rFonts w:cs="宋体"/>
                <w:color w:val="000000"/>
                <w:kern w:val="0"/>
                <w:sz w:val="22"/>
              </w:rPr>
              <w:t>m2</w:t>
            </w:r>
          </w:p>
        </w:tc>
        <w:tc>
          <w:tcPr>
            <w:tcW w:w="202" w:type="pct"/>
            <w:tcBorders>
              <w:top w:val="nil"/>
              <w:left w:val="nil"/>
              <w:bottom w:val="single" w:color="auto" w:sz="4" w:space="0"/>
              <w:right w:val="single" w:color="auto" w:sz="4" w:space="0"/>
            </w:tcBorders>
            <w:vAlign w:val="center"/>
          </w:tcPr>
          <w:p w14:paraId="775CA6BE">
            <w:pPr>
              <w:widowControl/>
              <w:spacing w:line="240" w:lineRule="auto"/>
              <w:jc w:val="center"/>
              <w:rPr>
                <w:rFonts w:hint="eastAsia" w:cs="宋体"/>
                <w:color w:val="000000"/>
                <w:kern w:val="0"/>
                <w:sz w:val="22"/>
              </w:rPr>
            </w:pPr>
            <w:r>
              <w:rPr>
                <w:rFonts w:cs="宋体"/>
                <w:color w:val="000000"/>
                <w:kern w:val="0"/>
                <w:sz w:val="22"/>
              </w:rPr>
              <w:t>92</w:t>
            </w:r>
          </w:p>
        </w:tc>
      </w:tr>
      <w:tr w14:paraId="0DD682AD">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A3204C4">
            <w:pPr>
              <w:widowControl/>
              <w:spacing w:line="240" w:lineRule="auto"/>
              <w:jc w:val="center"/>
              <w:rPr>
                <w:rFonts w:hint="eastAsia" w:cs="宋体"/>
                <w:color w:val="000000"/>
                <w:kern w:val="0"/>
                <w:sz w:val="22"/>
              </w:rPr>
            </w:pPr>
            <w:r>
              <w:rPr>
                <w:rFonts w:cs="宋体"/>
                <w:color w:val="000000"/>
                <w:kern w:val="0"/>
                <w:sz w:val="22"/>
              </w:rPr>
              <w:t>83</w:t>
            </w:r>
          </w:p>
        </w:tc>
        <w:tc>
          <w:tcPr>
            <w:tcW w:w="152" w:type="pct"/>
            <w:vMerge w:val="continue"/>
            <w:tcBorders>
              <w:top w:val="nil"/>
              <w:left w:val="single" w:color="auto" w:sz="4" w:space="0"/>
              <w:bottom w:val="single" w:color="000000" w:sz="4" w:space="0"/>
              <w:right w:val="single" w:color="auto" w:sz="4" w:space="0"/>
            </w:tcBorders>
            <w:vAlign w:val="center"/>
          </w:tcPr>
          <w:p w14:paraId="0BED9FA2">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3611C7D1">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32B7F14">
            <w:pPr>
              <w:widowControl/>
              <w:spacing w:line="240" w:lineRule="auto"/>
              <w:rPr>
                <w:rFonts w:hint="eastAsia" w:cs="宋体"/>
                <w:color w:val="000000"/>
                <w:kern w:val="0"/>
                <w:sz w:val="22"/>
              </w:rPr>
            </w:pPr>
            <w:r>
              <w:rPr>
                <w:rFonts w:cs="宋体"/>
                <w:color w:val="000000"/>
                <w:kern w:val="0"/>
                <w:sz w:val="22"/>
              </w:rPr>
              <w:t>地毯楼地面</w:t>
            </w:r>
          </w:p>
        </w:tc>
        <w:tc>
          <w:tcPr>
            <w:tcW w:w="3643" w:type="pct"/>
            <w:tcBorders>
              <w:top w:val="nil"/>
              <w:left w:val="nil"/>
              <w:bottom w:val="single" w:color="auto" w:sz="4" w:space="0"/>
              <w:right w:val="single" w:color="auto" w:sz="4" w:space="0"/>
            </w:tcBorders>
            <w:vAlign w:val="center"/>
          </w:tcPr>
          <w:p w14:paraId="16B72086">
            <w:pPr>
              <w:widowControl/>
              <w:spacing w:line="240" w:lineRule="auto"/>
              <w:rPr>
                <w:rFonts w:hint="eastAsia" w:cs="宋体"/>
                <w:color w:val="000000"/>
                <w:kern w:val="0"/>
                <w:sz w:val="22"/>
              </w:rPr>
            </w:pPr>
            <w:r>
              <w:rPr>
                <w:rFonts w:cs="宋体"/>
                <w:color w:val="000000"/>
                <w:kern w:val="0"/>
                <w:sz w:val="22"/>
              </w:rPr>
              <w:t>1.面层材料品种、规格、颜色:地毯</w:t>
            </w:r>
          </w:p>
        </w:tc>
        <w:tc>
          <w:tcPr>
            <w:tcW w:w="216" w:type="pct"/>
            <w:tcBorders>
              <w:top w:val="nil"/>
              <w:left w:val="nil"/>
              <w:bottom w:val="single" w:color="auto" w:sz="4" w:space="0"/>
              <w:right w:val="single" w:color="auto" w:sz="4" w:space="0"/>
            </w:tcBorders>
            <w:vAlign w:val="center"/>
          </w:tcPr>
          <w:p w14:paraId="0A676AA2">
            <w:pPr>
              <w:widowControl/>
              <w:spacing w:line="240" w:lineRule="auto"/>
              <w:jc w:val="center"/>
              <w:rPr>
                <w:rFonts w:hint="eastAsia" w:cs="宋体"/>
                <w:color w:val="000000"/>
                <w:kern w:val="0"/>
                <w:sz w:val="22"/>
              </w:rPr>
            </w:pPr>
            <w:r>
              <w:rPr>
                <w:rFonts w:cs="宋体"/>
                <w:color w:val="000000"/>
                <w:kern w:val="0"/>
                <w:sz w:val="22"/>
              </w:rPr>
              <w:t>m2</w:t>
            </w:r>
          </w:p>
        </w:tc>
        <w:tc>
          <w:tcPr>
            <w:tcW w:w="202" w:type="pct"/>
            <w:tcBorders>
              <w:top w:val="nil"/>
              <w:left w:val="nil"/>
              <w:bottom w:val="single" w:color="auto" w:sz="4" w:space="0"/>
              <w:right w:val="single" w:color="auto" w:sz="4" w:space="0"/>
            </w:tcBorders>
            <w:vAlign w:val="center"/>
          </w:tcPr>
          <w:p w14:paraId="3C7273F0">
            <w:pPr>
              <w:widowControl/>
              <w:spacing w:line="240" w:lineRule="auto"/>
              <w:jc w:val="center"/>
              <w:rPr>
                <w:rFonts w:hint="eastAsia" w:cs="宋体"/>
                <w:color w:val="000000"/>
                <w:kern w:val="0"/>
                <w:sz w:val="22"/>
              </w:rPr>
            </w:pPr>
            <w:r>
              <w:rPr>
                <w:rFonts w:cs="宋体"/>
                <w:color w:val="000000"/>
                <w:kern w:val="0"/>
                <w:sz w:val="22"/>
              </w:rPr>
              <w:t>400</w:t>
            </w:r>
          </w:p>
        </w:tc>
      </w:tr>
      <w:tr w14:paraId="4CEA4BD0">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95FDB12">
            <w:pPr>
              <w:widowControl/>
              <w:spacing w:line="240" w:lineRule="auto"/>
              <w:jc w:val="center"/>
              <w:rPr>
                <w:rFonts w:hint="eastAsia" w:cs="宋体"/>
                <w:color w:val="000000"/>
                <w:kern w:val="0"/>
                <w:sz w:val="22"/>
              </w:rPr>
            </w:pPr>
            <w:r>
              <w:rPr>
                <w:rFonts w:cs="宋体"/>
                <w:color w:val="000000"/>
                <w:kern w:val="0"/>
                <w:sz w:val="22"/>
              </w:rPr>
              <w:t>84</w:t>
            </w:r>
          </w:p>
        </w:tc>
        <w:tc>
          <w:tcPr>
            <w:tcW w:w="152" w:type="pct"/>
            <w:vMerge w:val="continue"/>
            <w:tcBorders>
              <w:top w:val="nil"/>
              <w:left w:val="single" w:color="auto" w:sz="4" w:space="0"/>
              <w:bottom w:val="single" w:color="000000" w:sz="4" w:space="0"/>
              <w:right w:val="single" w:color="auto" w:sz="4" w:space="0"/>
            </w:tcBorders>
            <w:vAlign w:val="center"/>
          </w:tcPr>
          <w:p w14:paraId="6D643287">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37F361F3">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F017954">
            <w:pPr>
              <w:widowControl/>
              <w:spacing w:line="240" w:lineRule="auto"/>
              <w:rPr>
                <w:rFonts w:hint="eastAsia" w:cs="宋体"/>
                <w:color w:val="000000"/>
                <w:kern w:val="0"/>
                <w:sz w:val="22"/>
              </w:rPr>
            </w:pPr>
            <w:r>
              <w:rPr>
                <w:rFonts w:cs="宋体"/>
                <w:color w:val="000000"/>
                <w:kern w:val="0"/>
                <w:sz w:val="22"/>
              </w:rPr>
              <w:t>电子感应门</w:t>
            </w:r>
          </w:p>
        </w:tc>
        <w:tc>
          <w:tcPr>
            <w:tcW w:w="3643" w:type="pct"/>
            <w:tcBorders>
              <w:top w:val="nil"/>
              <w:left w:val="nil"/>
              <w:bottom w:val="single" w:color="auto" w:sz="4" w:space="0"/>
              <w:right w:val="single" w:color="auto" w:sz="4" w:space="0"/>
            </w:tcBorders>
            <w:vAlign w:val="center"/>
          </w:tcPr>
          <w:p w14:paraId="46983B05">
            <w:pPr>
              <w:widowControl/>
              <w:spacing w:line="240" w:lineRule="auto"/>
              <w:rPr>
                <w:rFonts w:hint="eastAsia" w:cs="宋体"/>
                <w:color w:val="000000"/>
                <w:kern w:val="0"/>
                <w:sz w:val="22"/>
              </w:rPr>
            </w:pPr>
            <w:r>
              <w:rPr>
                <w:rFonts w:cs="宋体"/>
                <w:color w:val="000000"/>
                <w:kern w:val="0"/>
                <w:sz w:val="22"/>
              </w:rPr>
              <w:t>1.门框、扇材质:电子感应门玻璃门</w:t>
            </w:r>
          </w:p>
        </w:tc>
        <w:tc>
          <w:tcPr>
            <w:tcW w:w="216" w:type="pct"/>
            <w:tcBorders>
              <w:top w:val="nil"/>
              <w:left w:val="nil"/>
              <w:bottom w:val="single" w:color="auto" w:sz="4" w:space="0"/>
              <w:right w:val="single" w:color="auto" w:sz="4" w:space="0"/>
            </w:tcBorders>
            <w:vAlign w:val="center"/>
          </w:tcPr>
          <w:p w14:paraId="591D0ECC">
            <w:pPr>
              <w:widowControl/>
              <w:spacing w:line="240" w:lineRule="auto"/>
              <w:jc w:val="center"/>
              <w:rPr>
                <w:rFonts w:hint="eastAsia" w:cs="宋体"/>
                <w:color w:val="000000"/>
                <w:kern w:val="0"/>
                <w:sz w:val="22"/>
              </w:rPr>
            </w:pPr>
            <w:r>
              <w:rPr>
                <w:rFonts w:cs="宋体"/>
                <w:color w:val="000000"/>
                <w:kern w:val="0"/>
                <w:sz w:val="22"/>
              </w:rPr>
              <w:t>樘</w:t>
            </w:r>
          </w:p>
        </w:tc>
        <w:tc>
          <w:tcPr>
            <w:tcW w:w="202" w:type="pct"/>
            <w:tcBorders>
              <w:top w:val="nil"/>
              <w:left w:val="nil"/>
              <w:bottom w:val="single" w:color="auto" w:sz="4" w:space="0"/>
              <w:right w:val="single" w:color="auto" w:sz="4" w:space="0"/>
            </w:tcBorders>
            <w:vAlign w:val="center"/>
          </w:tcPr>
          <w:p w14:paraId="4ACD9C19">
            <w:pPr>
              <w:widowControl/>
              <w:spacing w:line="240" w:lineRule="auto"/>
              <w:jc w:val="center"/>
              <w:rPr>
                <w:rFonts w:hint="eastAsia" w:cs="宋体"/>
                <w:color w:val="000000"/>
                <w:kern w:val="0"/>
                <w:sz w:val="22"/>
              </w:rPr>
            </w:pPr>
            <w:r>
              <w:rPr>
                <w:rFonts w:cs="宋体"/>
                <w:color w:val="000000"/>
                <w:kern w:val="0"/>
                <w:sz w:val="22"/>
              </w:rPr>
              <w:t>1</w:t>
            </w:r>
          </w:p>
        </w:tc>
      </w:tr>
      <w:tr w14:paraId="42F5D23F">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36B5782">
            <w:pPr>
              <w:widowControl/>
              <w:spacing w:line="240" w:lineRule="auto"/>
              <w:jc w:val="center"/>
              <w:rPr>
                <w:rFonts w:hint="eastAsia" w:cs="宋体"/>
                <w:color w:val="000000"/>
                <w:kern w:val="0"/>
                <w:sz w:val="22"/>
              </w:rPr>
            </w:pPr>
            <w:r>
              <w:rPr>
                <w:rFonts w:cs="宋体"/>
                <w:color w:val="000000"/>
                <w:kern w:val="0"/>
                <w:sz w:val="22"/>
              </w:rPr>
              <w:t>85</w:t>
            </w:r>
          </w:p>
        </w:tc>
        <w:tc>
          <w:tcPr>
            <w:tcW w:w="152" w:type="pct"/>
            <w:vMerge w:val="continue"/>
            <w:tcBorders>
              <w:top w:val="nil"/>
              <w:left w:val="single" w:color="auto" w:sz="4" w:space="0"/>
              <w:bottom w:val="single" w:color="000000" w:sz="4" w:space="0"/>
              <w:right w:val="single" w:color="auto" w:sz="4" w:space="0"/>
            </w:tcBorders>
            <w:vAlign w:val="center"/>
          </w:tcPr>
          <w:p w14:paraId="5808F41C">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A89C6DD">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429EED51">
            <w:pPr>
              <w:widowControl/>
              <w:spacing w:line="240" w:lineRule="auto"/>
              <w:rPr>
                <w:rFonts w:hint="eastAsia" w:cs="宋体"/>
                <w:color w:val="000000"/>
                <w:kern w:val="0"/>
                <w:sz w:val="22"/>
              </w:rPr>
            </w:pPr>
            <w:r>
              <w:rPr>
                <w:rFonts w:cs="宋体"/>
                <w:color w:val="000000"/>
                <w:kern w:val="0"/>
                <w:sz w:val="22"/>
              </w:rPr>
              <w:t>墙面装饰板</w:t>
            </w:r>
          </w:p>
        </w:tc>
        <w:tc>
          <w:tcPr>
            <w:tcW w:w="3643" w:type="pct"/>
            <w:tcBorders>
              <w:top w:val="nil"/>
              <w:left w:val="nil"/>
              <w:bottom w:val="single" w:color="auto" w:sz="4" w:space="0"/>
              <w:right w:val="single" w:color="auto" w:sz="4" w:space="0"/>
            </w:tcBorders>
            <w:vAlign w:val="center"/>
          </w:tcPr>
          <w:p w14:paraId="66031EE1">
            <w:pPr>
              <w:widowControl/>
              <w:spacing w:line="240" w:lineRule="auto"/>
              <w:rPr>
                <w:rFonts w:hint="eastAsia" w:cs="宋体"/>
                <w:color w:val="000000"/>
                <w:kern w:val="0"/>
                <w:sz w:val="22"/>
              </w:rPr>
            </w:pPr>
            <w:r>
              <w:rPr>
                <w:rFonts w:cs="宋体"/>
                <w:color w:val="000000"/>
                <w:kern w:val="0"/>
                <w:sz w:val="22"/>
              </w:rPr>
              <w:t>1.基层材料种类、规格:木工板基层</w:t>
            </w:r>
            <w:r>
              <w:rPr>
                <w:rFonts w:cs="宋体"/>
                <w:color w:val="000000"/>
                <w:kern w:val="0"/>
                <w:sz w:val="22"/>
              </w:rPr>
              <w:br w:type="textWrapping"/>
            </w:r>
            <w:r>
              <w:rPr>
                <w:rFonts w:cs="宋体"/>
                <w:color w:val="000000"/>
                <w:kern w:val="0"/>
                <w:sz w:val="22"/>
              </w:rPr>
              <w:t>2.面层材料品种、规格、颜色:墙面造型（含亚克力字体）</w:t>
            </w:r>
            <w:r>
              <w:rPr>
                <w:rFonts w:cs="宋体"/>
                <w:color w:val="000000"/>
                <w:kern w:val="0"/>
                <w:sz w:val="22"/>
              </w:rPr>
              <w:br w:type="textWrapping"/>
            </w:r>
            <w:r>
              <w:rPr>
                <w:rFonts w:cs="宋体"/>
                <w:color w:val="000000"/>
                <w:kern w:val="0"/>
                <w:sz w:val="22"/>
              </w:rPr>
              <w:t>3.部位:指挥中心背景墙</w:t>
            </w:r>
          </w:p>
        </w:tc>
        <w:tc>
          <w:tcPr>
            <w:tcW w:w="216" w:type="pct"/>
            <w:tcBorders>
              <w:top w:val="nil"/>
              <w:left w:val="nil"/>
              <w:bottom w:val="single" w:color="auto" w:sz="4" w:space="0"/>
              <w:right w:val="single" w:color="auto" w:sz="4" w:space="0"/>
            </w:tcBorders>
            <w:vAlign w:val="center"/>
          </w:tcPr>
          <w:p w14:paraId="20C49181">
            <w:pPr>
              <w:widowControl/>
              <w:spacing w:line="240" w:lineRule="auto"/>
              <w:jc w:val="center"/>
              <w:rPr>
                <w:rFonts w:hint="eastAsia" w:cs="宋体"/>
                <w:color w:val="000000"/>
                <w:kern w:val="0"/>
                <w:sz w:val="22"/>
              </w:rPr>
            </w:pPr>
            <w:r>
              <w:rPr>
                <w:rFonts w:cs="宋体"/>
                <w:color w:val="000000"/>
                <w:kern w:val="0"/>
                <w:sz w:val="22"/>
              </w:rPr>
              <w:t>m2</w:t>
            </w:r>
          </w:p>
        </w:tc>
        <w:tc>
          <w:tcPr>
            <w:tcW w:w="202" w:type="pct"/>
            <w:tcBorders>
              <w:top w:val="nil"/>
              <w:left w:val="nil"/>
              <w:bottom w:val="single" w:color="auto" w:sz="4" w:space="0"/>
              <w:right w:val="single" w:color="auto" w:sz="4" w:space="0"/>
            </w:tcBorders>
            <w:vAlign w:val="center"/>
          </w:tcPr>
          <w:p w14:paraId="300ECDB1">
            <w:pPr>
              <w:widowControl/>
              <w:spacing w:line="240" w:lineRule="auto"/>
              <w:jc w:val="center"/>
              <w:rPr>
                <w:rFonts w:hint="eastAsia" w:cs="宋体"/>
                <w:color w:val="000000"/>
                <w:kern w:val="0"/>
                <w:sz w:val="22"/>
              </w:rPr>
            </w:pPr>
            <w:r>
              <w:rPr>
                <w:rFonts w:cs="宋体"/>
                <w:color w:val="000000"/>
                <w:kern w:val="0"/>
                <w:sz w:val="22"/>
              </w:rPr>
              <w:t>40</w:t>
            </w:r>
          </w:p>
        </w:tc>
      </w:tr>
      <w:tr w14:paraId="610738F0">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6B8F97A5">
            <w:pPr>
              <w:widowControl/>
              <w:spacing w:line="240" w:lineRule="auto"/>
              <w:jc w:val="center"/>
              <w:rPr>
                <w:rFonts w:hint="eastAsia" w:cs="宋体"/>
                <w:color w:val="000000"/>
                <w:kern w:val="0"/>
                <w:sz w:val="22"/>
              </w:rPr>
            </w:pPr>
            <w:r>
              <w:rPr>
                <w:rFonts w:cs="宋体"/>
                <w:color w:val="000000"/>
                <w:kern w:val="0"/>
                <w:sz w:val="22"/>
              </w:rPr>
              <w:t>86</w:t>
            </w:r>
          </w:p>
        </w:tc>
        <w:tc>
          <w:tcPr>
            <w:tcW w:w="152" w:type="pct"/>
            <w:vMerge w:val="continue"/>
            <w:tcBorders>
              <w:top w:val="nil"/>
              <w:left w:val="single" w:color="auto" w:sz="4" w:space="0"/>
              <w:bottom w:val="single" w:color="000000" w:sz="4" w:space="0"/>
              <w:right w:val="single" w:color="auto" w:sz="4" w:space="0"/>
            </w:tcBorders>
            <w:vAlign w:val="center"/>
          </w:tcPr>
          <w:p w14:paraId="7EB99032">
            <w:pPr>
              <w:widowControl/>
              <w:spacing w:line="240" w:lineRule="auto"/>
              <w:rPr>
                <w:rFonts w:hint="eastAsia" w:cs="宋体"/>
                <w:color w:val="000000"/>
                <w:kern w:val="0"/>
                <w:sz w:val="22"/>
              </w:rPr>
            </w:pPr>
          </w:p>
        </w:tc>
        <w:tc>
          <w:tcPr>
            <w:tcW w:w="331" w:type="pct"/>
            <w:vMerge w:val="restart"/>
            <w:tcBorders>
              <w:top w:val="nil"/>
              <w:left w:val="single" w:color="auto" w:sz="4" w:space="0"/>
              <w:bottom w:val="single" w:color="000000" w:sz="4" w:space="0"/>
              <w:right w:val="single" w:color="auto" w:sz="4" w:space="0"/>
            </w:tcBorders>
            <w:vAlign w:val="center"/>
          </w:tcPr>
          <w:p w14:paraId="2FDDC6BA">
            <w:pPr>
              <w:widowControl/>
              <w:spacing w:line="240" w:lineRule="auto"/>
              <w:jc w:val="center"/>
              <w:rPr>
                <w:rFonts w:hint="eastAsia" w:cs="宋体"/>
                <w:color w:val="000000"/>
                <w:kern w:val="0"/>
                <w:sz w:val="22"/>
              </w:rPr>
            </w:pPr>
            <w:r>
              <w:rPr>
                <w:rFonts w:cs="宋体"/>
                <w:color w:val="000000"/>
                <w:kern w:val="0"/>
                <w:sz w:val="22"/>
              </w:rPr>
              <w:t>电气设备安装工程</w:t>
            </w:r>
          </w:p>
        </w:tc>
        <w:tc>
          <w:tcPr>
            <w:tcW w:w="202" w:type="pct"/>
            <w:tcBorders>
              <w:top w:val="nil"/>
              <w:left w:val="nil"/>
              <w:bottom w:val="single" w:color="auto" w:sz="4" w:space="0"/>
              <w:right w:val="single" w:color="auto" w:sz="4" w:space="0"/>
            </w:tcBorders>
            <w:vAlign w:val="center"/>
          </w:tcPr>
          <w:p w14:paraId="6A1D8B16">
            <w:pPr>
              <w:widowControl/>
              <w:spacing w:line="240" w:lineRule="auto"/>
              <w:rPr>
                <w:rFonts w:hint="eastAsia" w:cs="宋体"/>
                <w:color w:val="000000"/>
                <w:kern w:val="0"/>
                <w:sz w:val="22"/>
              </w:rPr>
            </w:pPr>
            <w:r>
              <w:rPr>
                <w:rFonts w:cs="宋体"/>
                <w:color w:val="000000"/>
                <w:kern w:val="0"/>
                <w:sz w:val="22"/>
              </w:rPr>
              <w:t>射灯</w:t>
            </w:r>
          </w:p>
        </w:tc>
        <w:tc>
          <w:tcPr>
            <w:tcW w:w="3643" w:type="pct"/>
            <w:tcBorders>
              <w:top w:val="nil"/>
              <w:left w:val="nil"/>
              <w:bottom w:val="single" w:color="auto" w:sz="4" w:space="0"/>
              <w:right w:val="single" w:color="auto" w:sz="4" w:space="0"/>
            </w:tcBorders>
            <w:vAlign w:val="center"/>
          </w:tcPr>
          <w:p w14:paraId="0A6DA9B5">
            <w:pPr>
              <w:widowControl/>
              <w:spacing w:line="240" w:lineRule="auto"/>
              <w:rPr>
                <w:rFonts w:hint="eastAsia" w:cs="宋体"/>
                <w:color w:val="000000"/>
                <w:kern w:val="0"/>
                <w:sz w:val="22"/>
              </w:rPr>
            </w:pPr>
            <w:r>
              <w:rPr>
                <w:rFonts w:cs="宋体"/>
                <w:color w:val="000000"/>
                <w:kern w:val="0"/>
                <w:sz w:val="22"/>
              </w:rPr>
              <w:t>1.根据现场情况及客户要求进行定制</w:t>
            </w:r>
            <w:r>
              <w:rPr>
                <w:rFonts w:cs="宋体"/>
                <w:color w:val="000000"/>
                <w:kern w:val="0"/>
                <w:sz w:val="22"/>
              </w:rPr>
              <w:br w:type="textWrapping"/>
            </w:r>
            <w:r>
              <w:rPr>
                <w:rFonts w:cs="宋体"/>
                <w:color w:val="000000"/>
                <w:kern w:val="0"/>
                <w:sz w:val="22"/>
              </w:rPr>
              <w:t>2.射灯</w:t>
            </w:r>
          </w:p>
        </w:tc>
        <w:tc>
          <w:tcPr>
            <w:tcW w:w="216" w:type="pct"/>
            <w:tcBorders>
              <w:top w:val="nil"/>
              <w:left w:val="nil"/>
              <w:bottom w:val="single" w:color="auto" w:sz="4" w:space="0"/>
              <w:right w:val="single" w:color="auto" w:sz="4" w:space="0"/>
            </w:tcBorders>
            <w:vAlign w:val="center"/>
          </w:tcPr>
          <w:p w14:paraId="2C1428A5">
            <w:pPr>
              <w:widowControl/>
              <w:spacing w:line="240" w:lineRule="auto"/>
              <w:jc w:val="center"/>
              <w:rPr>
                <w:rFonts w:hint="eastAsia" w:cs="宋体"/>
                <w:color w:val="000000"/>
                <w:kern w:val="0"/>
                <w:sz w:val="22"/>
              </w:rPr>
            </w:pPr>
            <w:r>
              <w:rPr>
                <w:rFonts w:cs="宋体"/>
                <w:color w:val="000000"/>
                <w:kern w:val="0"/>
                <w:sz w:val="22"/>
              </w:rPr>
              <w:t>批</w:t>
            </w:r>
          </w:p>
        </w:tc>
        <w:tc>
          <w:tcPr>
            <w:tcW w:w="202" w:type="pct"/>
            <w:tcBorders>
              <w:top w:val="nil"/>
              <w:left w:val="nil"/>
              <w:bottom w:val="single" w:color="auto" w:sz="4" w:space="0"/>
              <w:right w:val="single" w:color="auto" w:sz="4" w:space="0"/>
            </w:tcBorders>
            <w:vAlign w:val="center"/>
          </w:tcPr>
          <w:p w14:paraId="1C681C02">
            <w:pPr>
              <w:widowControl/>
              <w:spacing w:line="240" w:lineRule="auto"/>
              <w:jc w:val="center"/>
              <w:rPr>
                <w:rFonts w:hint="eastAsia" w:cs="宋体"/>
                <w:color w:val="000000"/>
                <w:kern w:val="0"/>
                <w:sz w:val="22"/>
              </w:rPr>
            </w:pPr>
            <w:r>
              <w:rPr>
                <w:rFonts w:cs="宋体"/>
                <w:color w:val="000000"/>
                <w:kern w:val="0"/>
                <w:sz w:val="22"/>
              </w:rPr>
              <w:t>1</w:t>
            </w:r>
          </w:p>
        </w:tc>
      </w:tr>
      <w:tr w14:paraId="21044DAB">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6D204293">
            <w:pPr>
              <w:widowControl/>
              <w:spacing w:line="240" w:lineRule="auto"/>
              <w:jc w:val="center"/>
              <w:rPr>
                <w:rFonts w:hint="eastAsia" w:cs="宋体"/>
                <w:color w:val="000000"/>
                <w:kern w:val="0"/>
                <w:sz w:val="22"/>
              </w:rPr>
            </w:pPr>
            <w:r>
              <w:rPr>
                <w:rFonts w:cs="宋体"/>
                <w:color w:val="000000"/>
                <w:kern w:val="0"/>
                <w:sz w:val="22"/>
              </w:rPr>
              <w:t>87</w:t>
            </w:r>
          </w:p>
        </w:tc>
        <w:tc>
          <w:tcPr>
            <w:tcW w:w="152" w:type="pct"/>
            <w:vMerge w:val="continue"/>
            <w:tcBorders>
              <w:top w:val="nil"/>
              <w:left w:val="single" w:color="auto" w:sz="4" w:space="0"/>
              <w:bottom w:val="single" w:color="000000" w:sz="4" w:space="0"/>
              <w:right w:val="single" w:color="auto" w:sz="4" w:space="0"/>
            </w:tcBorders>
            <w:vAlign w:val="center"/>
          </w:tcPr>
          <w:p w14:paraId="09A6F71E">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562FB29">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14A35C1">
            <w:pPr>
              <w:widowControl/>
              <w:spacing w:line="240" w:lineRule="auto"/>
              <w:rPr>
                <w:rFonts w:hint="eastAsia" w:cs="宋体"/>
                <w:color w:val="000000"/>
                <w:kern w:val="0"/>
                <w:sz w:val="22"/>
              </w:rPr>
            </w:pPr>
            <w:r>
              <w:rPr>
                <w:rFonts w:cs="宋体"/>
                <w:color w:val="000000"/>
                <w:kern w:val="0"/>
                <w:sz w:val="22"/>
              </w:rPr>
              <w:t>灯带</w:t>
            </w:r>
          </w:p>
        </w:tc>
        <w:tc>
          <w:tcPr>
            <w:tcW w:w="3643" w:type="pct"/>
            <w:tcBorders>
              <w:top w:val="nil"/>
              <w:left w:val="nil"/>
              <w:bottom w:val="single" w:color="auto" w:sz="4" w:space="0"/>
              <w:right w:val="single" w:color="auto" w:sz="4" w:space="0"/>
            </w:tcBorders>
            <w:vAlign w:val="center"/>
          </w:tcPr>
          <w:p w14:paraId="36FCE922">
            <w:pPr>
              <w:widowControl/>
              <w:spacing w:line="240" w:lineRule="auto"/>
              <w:rPr>
                <w:rFonts w:hint="eastAsia" w:cs="宋体"/>
                <w:color w:val="000000"/>
                <w:kern w:val="0"/>
                <w:sz w:val="22"/>
              </w:rPr>
            </w:pPr>
            <w:r>
              <w:rPr>
                <w:rFonts w:cs="宋体"/>
                <w:color w:val="000000"/>
                <w:kern w:val="0"/>
                <w:sz w:val="22"/>
              </w:rPr>
              <w:t>1.根据现场情况及客户要求进行定制</w:t>
            </w:r>
            <w:r>
              <w:rPr>
                <w:rFonts w:cs="宋体"/>
                <w:color w:val="000000"/>
                <w:kern w:val="0"/>
                <w:sz w:val="22"/>
              </w:rPr>
              <w:br w:type="textWrapping"/>
            </w:r>
            <w:r>
              <w:rPr>
                <w:rFonts w:cs="宋体"/>
                <w:color w:val="000000"/>
                <w:kern w:val="0"/>
                <w:sz w:val="22"/>
              </w:rPr>
              <w:t>2.灯带</w:t>
            </w:r>
          </w:p>
        </w:tc>
        <w:tc>
          <w:tcPr>
            <w:tcW w:w="216" w:type="pct"/>
            <w:tcBorders>
              <w:top w:val="nil"/>
              <w:left w:val="nil"/>
              <w:bottom w:val="single" w:color="auto" w:sz="4" w:space="0"/>
              <w:right w:val="single" w:color="auto" w:sz="4" w:space="0"/>
            </w:tcBorders>
            <w:vAlign w:val="center"/>
          </w:tcPr>
          <w:p w14:paraId="1F8883C9">
            <w:pPr>
              <w:widowControl/>
              <w:spacing w:line="240" w:lineRule="auto"/>
              <w:jc w:val="center"/>
              <w:rPr>
                <w:rFonts w:hint="eastAsia" w:cs="宋体"/>
                <w:color w:val="000000"/>
                <w:kern w:val="0"/>
                <w:sz w:val="22"/>
              </w:rPr>
            </w:pPr>
            <w:r>
              <w:rPr>
                <w:rFonts w:cs="宋体"/>
                <w:color w:val="000000"/>
                <w:kern w:val="0"/>
                <w:sz w:val="22"/>
              </w:rPr>
              <w:t>批</w:t>
            </w:r>
          </w:p>
        </w:tc>
        <w:tc>
          <w:tcPr>
            <w:tcW w:w="202" w:type="pct"/>
            <w:tcBorders>
              <w:top w:val="nil"/>
              <w:left w:val="nil"/>
              <w:bottom w:val="single" w:color="auto" w:sz="4" w:space="0"/>
              <w:right w:val="single" w:color="auto" w:sz="4" w:space="0"/>
            </w:tcBorders>
            <w:vAlign w:val="center"/>
          </w:tcPr>
          <w:p w14:paraId="533485F8">
            <w:pPr>
              <w:widowControl/>
              <w:spacing w:line="240" w:lineRule="auto"/>
              <w:jc w:val="center"/>
              <w:rPr>
                <w:rFonts w:hint="eastAsia" w:cs="宋体"/>
                <w:color w:val="000000"/>
                <w:kern w:val="0"/>
                <w:sz w:val="22"/>
              </w:rPr>
            </w:pPr>
            <w:r>
              <w:rPr>
                <w:rFonts w:cs="宋体"/>
                <w:color w:val="000000"/>
                <w:kern w:val="0"/>
                <w:sz w:val="22"/>
              </w:rPr>
              <w:t>1</w:t>
            </w:r>
          </w:p>
        </w:tc>
      </w:tr>
      <w:tr w14:paraId="1651C459">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3D24530B">
            <w:pPr>
              <w:widowControl/>
              <w:spacing w:line="240" w:lineRule="auto"/>
              <w:jc w:val="center"/>
              <w:rPr>
                <w:rFonts w:hint="eastAsia" w:cs="宋体"/>
                <w:color w:val="000000"/>
                <w:kern w:val="0"/>
                <w:sz w:val="22"/>
              </w:rPr>
            </w:pPr>
            <w:r>
              <w:rPr>
                <w:rFonts w:cs="宋体"/>
                <w:color w:val="000000"/>
                <w:kern w:val="0"/>
                <w:sz w:val="22"/>
              </w:rPr>
              <w:t>88</w:t>
            </w:r>
          </w:p>
        </w:tc>
        <w:tc>
          <w:tcPr>
            <w:tcW w:w="152" w:type="pct"/>
            <w:vMerge w:val="continue"/>
            <w:tcBorders>
              <w:top w:val="nil"/>
              <w:left w:val="single" w:color="auto" w:sz="4" w:space="0"/>
              <w:bottom w:val="single" w:color="000000" w:sz="4" w:space="0"/>
              <w:right w:val="single" w:color="auto" w:sz="4" w:space="0"/>
            </w:tcBorders>
            <w:vAlign w:val="center"/>
          </w:tcPr>
          <w:p w14:paraId="35929022">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52B03899">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4D783407">
            <w:pPr>
              <w:widowControl/>
              <w:spacing w:line="240" w:lineRule="auto"/>
              <w:rPr>
                <w:rFonts w:hint="eastAsia" w:cs="宋体"/>
                <w:color w:val="000000"/>
                <w:kern w:val="0"/>
                <w:sz w:val="22"/>
              </w:rPr>
            </w:pPr>
            <w:r>
              <w:rPr>
                <w:rFonts w:cs="宋体"/>
                <w:color w:val="000000"/>
                <w:kern w:val="0"/>
                <w:sz w:val="22"/>
              </w:rPr>
              <w:t>吸顶灯</w:t>
            </w:r>
          </w:p>
        </w:tc>
        <w:tc>
          <w:tcPr>
            <w:tcW w:w="3643" w:type="pct"/>
            <w:tcBorders>
              <w:top w:val="nil"/>
              <w:left w:val="nil"/>
              <w:bottom w:val="single" w:color="auto" w:sz="4" w:space="0"/>
              <w:right w:val="single" w:color="auto" w:sz="4" w:space="0"/>
            </w:tcBorders>
            <w:vAlign w:val="center"/>
          </w:tcPr>
          <w:p w14:paraId="1770C058">
            <w:pPr>
              <w:widowControl/>
              <w:spacing w:line="240" w:lineRule="auto"/>
              <w:rPr>
                <w:rFonts w:hint="eastAsia" w:cs="宋体"/>
                <w:color w:val="000000"/>
                <w:kern w:val="0"/>
                <w:sz w:val="22"/>
              </w:rPr>
            </w:pPr>
            <w:r>
              <w:rPr>
                <w:rFonts w:cs="宋体"/>
                <w:color w:val="000000"/>
                <w:kern w:val="0"/>
                <w:sz w:val="22"/>
              </w:rPr>
              <w:t>1.根据现场情况及客户要求进行定制</w:t>
            </w:r>
            <w:r>
              <w:rPr>
                <w:rFonts w:cs="宋体"/>
                <w:color w:val="000000"/>
                <w:kern w:val="0"/>
                <w:sz w:val="22"/>
              </w:rPr>
              <w:br w:type="textWrapping"/>
            </w:r>
            <w:r>
              <w:rPr>
                <w:rFonts w:cs="宋体"/>
                <w:color w:val="000000"/>
                <w:kern w:val="0"/>
                <w:sz w:val="22"/>
              </w:rPr>
              <w:t>2.吸顶灯</w:t>
            </w:r>
          </w:p>
        </w:tc>
        <w:tc>
          <w:tcPr>
            <w:tcW w:w="216" w:type="pct"/>
            <w:tcBorders>
              <w:top w:val="nil"/>
              <w:left w:val="nil"/>
              <w:bottom w:val="single" w:color="auto" w:sz="4" w:space="0"/>
              <w:right w:val="single" w:color="auto" w:sz="4" w:space="0"/>
            </w:tcBorders>
            <w:vAlign w:val="center"/>
          </w:tcPr>
          <w:p w14:paraId="5B8FB49A">
            <w:pPr>
              <w:widowControl/>
              <w:spacing w:line="240" w:lineRule="auto"/>
              <w:jc w:val="center"/>
              <w:rPr>
                <w:rFonts w:hint="eastAsia" w:cs="宋体"/>
                <w:color w:val="000000"/>
                <w:kern w:val="0"/>
                <w:sz w:val="22"/>
              </w:rPr>
            </w:pPr>
            <w:r>
              <w:rPr>
                <w:rFonts w:cs="宋体"/>
                <w:color w:val="000000"/>
                <w:kern w:val="0"/>
                <w:sz w:val="22"/>
              </w:rPr>
              <w:t>批</w:t>
            </w:r>
          </w:p>
        </w:tc>
        <w:tc>
          <w:tcPr>
            <w:tcW w:w="202" w:type="pct"/>
            <w:tcBorders>
              <w:top w:val="nil"/>
              <w:left w:val="nil"/>
              <w:bottom w:val="single" w:color="auto" w:sz="4" w:space="0"/>
              <w:right w:val="single" w:color="auto" w:sz="4" w:space="0"/>
            </w:tcBorders>
            <w:vAlign w:val="center"/>
          </w:tcPr>
          <w:p w14:paraId="33106079">
            <w:pPr>
              <w:widowControl/>
              <w:spacing w:line="240" w:lineRule="auto"/>
              <w:jc w:val="center"/>
              <w:rPr>
                <w:rFonts w:hint="eastAsia" w:cs="宋体"/>
                <w:color w:val="000000"/>
                <w:kern w:val="0"/>
                <w:sz w:val="22"/>
              </w:rPr>
            </w:pPr>
            <w:r>
              <w:rPr>
                <w:rFonts w:cs="宋体"/>
                <w:color w:val="000000"/>
                <w:kern w:val="0"/>
                <w:sz w:val="22"/>
              </w:rPr>
              <w:t>1</w:t>
            </w:r>
          </w:p>
        </w:tc>
      </w:tr>
      <w:tr w14:paraId="63F2005E">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9E63B42">
            <w:pPr>
              <w:widowControl/>
              <w:spacing w:line="240" w:lineRule="auto"/>
              <w:jc w:val="center"/>
              <w:rPr>
                <w:rFonts w:hint="eastAsia" w:cs="宋体"/>
                <w:color w:val="000000"/>
                <w:kern w:val="0"/>
                <w:sz w:val="22"/>
              </w:rPr>
            </w:pPr>
            <w:r>
              <w:rPr>
                <w:rFonts w:cs="宋体"/>
                <w:color w:val="000000"/>
                <w:kern w:val="0"/>
                <w:sz w:val="22"/>
              </w:rPr>
              <w:t>89</w:t>
            </w:r>
          </w:p>
        </w:tc>
        <w:tc>
          <w:tcPr>
            <w:tcW w:w="152" w:type="pct"/>
            <w:vMerge w:val="continue"/>
            <w:tcBorders>
              <w:top w:val="nil"/>
              <w:left w:val="single" w:color="auto" w:sz="4" w:space="0"/>
              <w:bottom w:val="single" w:color="000000" w:sz="4" w:space="0"/>
              <w:right w:val="single" w:color="auto" w:sz="4" w:space="0"/>
            </w:tcBorders>
            <w:vAlign w:val="center"/>
          </w:tcPr>
          <w:p w14:paraId="707C4444">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A53D71E">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D7081D3">
            <w:pPr>
              <w:widowControl/>
              <w:spacing w:line="240" w:lineRule="auto"/>
              <w:rPr>
                <w:rFonts w:hint="eastAsia" w:cs="宋体"/>
                <w:color w:val="000000"/>
                <w:kern w:val="0"/>
                <w:sz w:val="22"/>
              </w:rPr>
            </w:pPr>
            <w:r>
              <w:rPr>
                <w:rFonts w:cs="宋体"/>
                <w:color w:val="000000"/>
                <w:kern w:val="0"/>
                <w:sz w:val="22"/>
              </w:rPr>
              <w:t>管材</w:t>
            </w:r>
          </w:p>
        </w:tc>
        <w:tc>
          <w:tcPr>
            <w:tcW w:w="3643" w:type="pct"/>
            <w:tcBorders>
              <w:top w:val="nil"/>
              <w:left w:val="nil"/>
              <w:bottom w:val="single" w:color="auto" w:sz="4" w:space="0"/>
              <w:right w:val="single" w:color="auto" w:sz="4" w:space="0"/>
            </w:tcBorders>
            <w:noWrap/>
            <w:vAlign w:val="center"/>
          </w:tcPr>
          <w:p w14:paraId="50315305">
            <w:pPr>
              <w:widowControl/>
              <w:spacing w:line="240" w:lineRule="auto"/>
              <w:rPr>
                <w:rFonts w:hint="eastAsia" w:cs="宋体"/>
                <w:color w:val="000000"/>
                <w:kern w:val="0"/>
                <w:sz w:val="22"/>
              </w:rPr>
            </w:pPr>
            <w:r>
              <w:rPr>
                <w:rFonts w:cs="宋体"/>
                <w:color w:val="000000"/>
                <w:kern w:val="0"/>
                <w:sz w:val="22"/>
              </w:rPr>
              <w:t>1.线管走进，单条线管折弯不超过3处，含KBG管，弯头，接头、配套吊挂</w:t>
            </w:r>
          </w:p>
        </w:tc>
        <w:tc>
          <w:tcPr>
            <w:tcW w:w="216" w:type="pct"/>
            <w:tcBorders>
              <w:top w:val="nil"/>
              <w:left w:val="nil"/>
              <w:bottom w:val="single" w:color="auto" w:sz="4" w:space="0"/>
              <w:right w:val="single" w:color="auto" w:sz="4" w:space="0"/>
            </w:tcBorders>
            <w:vAlign w:val="center"/>
          </w:tcPr>
          <w:p w14:paraId="0F4AB8B7">
            <w:pPr>
              <w:widowControl/>
              <w:spacing w:line="240" w:lineRule="auto"/>
              <w:jc w:val="center"/>
              <w:rPr>
                <w:rFonts w:hint="eastAsia" w:cs="宋体"/>
                <w:color w:val="000000"/>
                <w:kern w:val="0"/>
                <w:sz w:val="22"/>
              </w:rPr>
            </w:pPr>
            <w:r>
              <w:rPr>
                <w:rFonts w:cs="宋体"/>
                <w:color w:val="000000"/>
                <w:kern w:val="0"/>
                <w:sz w:val="22"/>
              </w:rPr>
              <w:t>批</w:t>
            </w:r>
          </w:p>
        </w:tc>
        <w:tc>
          <w:tcPr>
            <w:tcW w:w="202" w:type="pct"/>
            <w:tcBorders>
              <w:top w:val="nil"/>
              <w:left w:val="nil"/>
              <w:bottom w:val="single" w:color="auto" w:sz="4" w:space="0"/>
              <w:right w:val="single" w:color="auto" w:sz="4" w:space="0"/>
            </w:tcBorders>
            <w:vAlign w:val="center"/>
          </w:tcPr>
          <w:p w14:paraId="409D0C69">
            <w:pPr>
              <w:widowControl/>
              <w:spacing w:line="240" w:lineRule="auto"/>
              <w:jc w:val="center"/>
              <w:rPr>
                <w:rFonts w:hint="eastAsia" w:cs="宋体"/>
                <w:color w:val="000000"/>
                <w:kern w:val="0"/>
                <w:sz w:val="22"/>
              </w:rPr>
            </w:pPr>
            <w:r>
              <w:rPr>
                <w:rFonts w:cs="宋体"/>
                <w:color w:val="000000"/>
                <w:kern w:val="0"/>
                <w:sz w:val="22"/>
              </w:rPr>
              <w:t>1</w:t>
            </w:r>
          </w:p>
        </w:tc>
      </w:tr>
      <w:tr w14:paraId="57A8ED17">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6050963">
            <w:pPr>
              <w:widowControl/>
              <w:spacing w:line="240" w:lineRule="auto"/>
              <w:jc w:val="center"/>
              <w:rPr>
                <w:rFonts w:hint="eastAsia" w:cs="宋体"/>
                <w:color w:val="000000"/>
                <w:kern w:val="0"/>
                <w:sz w:val="22"/>
              </w:rPr>
            </w:pPr>
            <w:r>
              <w:rPr>
                <w:rFonts w:cs="宋体"/>
                <w:color w:val="000000"/>
                <w:kern w:val="0"/>
                <w:sz w:val="22"/>
              </w:rPr>
              <w:t>90</w:t>
            </w:r>
          </w:p>
        </w:tc>
        <w:tc>
          <w:tcPr>
            <w:tcW w:w="152" w:type="pct"/>
            <w:vMerge w:val="continue"/>
            <w:tcBorders>
              <w:top w:val="nil"/>
              <w:left w:val="single" w:color="auto" w:sz="4" w:space="0"/>
              <w:bottom w:val="single" w:color="000000" w:sz="4" w:space="0"/>
              <w:right w:val="single" w:color="auto" w:sz="4" w:space="0"/>
            </w:tcBorders>
            <w:vAlign w:val="center"/>
          </w:tcPr>
          <w:p w14:paraId="1A4602BE">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AE3FC75">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758C847">
            <w:pPr>
              <w:widowControl/>
              <w:spacing w:line="240" w:lineRule="auto"/>
              <w:rPr>
                <w:rFonts w:hint="eastAsia" w:cs="宋体"/>
                <w:color w:val="000000"/>
                <w:kern w:val="0"/>
                <w:sz w:val="22"/>
              </w:rPr>
            </w:pPr>
            <w:r>
              <w:rPr>
                <w:rFonts w:cs="宋体"/>
                <w:color w:val="000000"/>
                <w:kern w:val="0"/>
                <w:sz w:val="22"/>
              </w:rPr>
              <w:t>普通灯具</w:t>
            </w:r>
          </w:p>
        </w:tc>
        <w:tc>
          <w:tcPr>
            <w:tcW w:w="3643" w:type="pct"/>
            <w:tcBorders>
              <w:top w:val="nil"/>
              <w:left w:val="nil"/>
              <w:bottom w:val="single" w:color="auto" w:sz="4" w:space="0"/>
              <w:right w:val="single" w:color="auto" w:sz="4" w:space="0"/>
            </w:tcBorders>
            <w:vAlign w:val="center"/>
          </w:tcPr>
          <w:p w14:paraId="54083956">
            <w:pPr>
              <w:widowControl/>
              <w:spacing w:line="240" w:lineRule="auto"/>
              <w:rPr>
                <w:rFonts w:hint="eastAsia" w:cs="宋体"/>
                <w:color w:val="000000"/>
                <w:kern w:val="0"/>
                <w:sz w:val="22"/>
              </w:rPr>
            </w:pPr>
            <w:r>
              <w:rPr>
                <w:rFonts w:cs="宋体"/>
                <w:color w:val="000000"/>
                <w:kern w:val="0"/>
                <w:sz w:val="22"/>
              </w:rPr>
              <w:t>1.市电中断时自动启动，照明功率不小于30W，照明时间不小于3小时</w:t>
            </w:r>
            <w:r>
              <w:rPr>
                <w:rFonts w:cs="宋体"/>
                <w:color w:val="000000"/>
                <w:kern w:val="0"/>
                <w:sz w:val="22"/>
              </w:rPr>
              <w:br w:type="textWrapping"/>
            </w:r>
            <w:r>
              <w:rPr>
                <w:rFonts w:cs="宋体"/>
                <w:color w:val="000000"/>
                <w:kern w:val="0"/>
                <w:sz w:val="22"/>
              </w:rPr>
              <w:t>2.应急灯</w:t>
            </w:r>
          </w:p>
        </w:tc>
        <w:tc>
          <w:tcPr>
            <w:tcW w:w="216" w:type="pct"/>
            <w:tcBorders>
              <w:top w:val="nil"/>
              <w:left w:val="nil"/>
              <w:bottom w:val="single" w:color="auto" w:sz="4" w:space="0"/>
              <w:right w:val="single" w:color="auto" w:sz="4" w:space="0"/>
            </w:tcBorders>
            <w:vAlign w:val="center"/>
          </w:tcPr>
          <w:p w14:paraId="5A8C8782">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5C377C50">
            <w:pPr>
              <w:widowControl/>
              <w:spacing w:line="240" w:lineRule="auto"/>
              <w:jc w:val="center"/>
              <w:rPr>
                <w:rFonts w:hint="eastAsia" w:cs="宋体"/>
                <w:color w:val="000000"/>
                <w:kern w:val="0"/>
                <w:sz w:val="22"/>
              </w:rPr>
            </w:pPr>
            <w:r>
              <w:rPr>
                <w:rFonts w:cs="宋体"/>
                <w:color w:val="000000"/>
                <w:kern w:val="0"/>
                <w:sz w:val="22"/>
              </w:rPr>
              <w:t>4</w:t>
            </w:r>
          </w:p>
        </w:tc>
      </w:tr>
      <w:tr w14:paraId="5B5D7434">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69C7801">
            <w:pPr>
              <w:widowControl/>
              <w:spacing w:line="240" w:lineRule="auto"/>
              <w:jc w:val="center"/>
              <w:rPr>
                <w:rFonts w:hint="eastAsia" w:cs="宋体"/>
                <w:color w:val="000000"/>
                <w:kern w:val="0"/>
                <w:sz w:val="22"/>
              </w:rPr>
            </w:pPr>
            <w:r>
              <w:rPr>
                <w:rFonts w:cs="宋体"/>
                <w:color w:val="000000"/>
                <w:kern w:val="0"/>
                <w:sz w:val="22"/>
              </w:rPr>
              <w:t>91</w:t>
            </w:r>
          </w:p>
        </w:tc>
        <w:tc>
          <w:tcPr>
            <w:tcW w:w="152" w:type="pct"/>
            <w:vMerge w:val="continue"/>
            <w:tcBorders>
              <w:top w:val="nil"/>
              <w:left w:val="single" w:color="auto" w:sz="4" w:space="0"/>
              <w:bottom w:val="single" w:color="000000" w:sz="4" w:space="0"/>
              <w:right w:val="single" w:color="auto" w:sz="4" w:space="0"/>
            </w:tcBorders>
            <w:vAlign w:val="center"/>
          </w:tcPr>
          <w:p w14:paraId="3BB48060">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6ADBDB1">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252E879">
            <w:pPr>
              <w:widowControl/>
              <w:spacing w:line="240" w:lineRule="auto"/>
              <w:rPr>
                <w:rFonts w:hint="eastAsia" w:cs="宋体"/>
                <w:color w:val="000000"/>
                <w:kern w:val="0"/>
                <w:sz w:val="22"/>
              </w:rPr>
            </w:pPr>
            <w:r>
              <w:rPr>
                <w:rFonts w:cs="宋体"/>
                <w:color w:val="000000"/>
                <w:kern w:val="0"/>
                <w:sz w:val="22"/>
              </w:rPr>
              <w:t>开关插座</w:t>
            </w:r>
          </w:p>
        </w:tc>
        <w:tc>
          <w:tcPr>
            <w:tcW w:w="3643" w:type="pct"/>
            <w:tcBorders>
              <w:top w:val="nil"/>
              <w:left w:val="nil"/>
              <w:bottom w:val="single" w:color="auto" w:sz="4" w:space="0"/>
              <w:right w:val="single" w:color="auto" w:sz="4" w:space="0"/>
            </w:tcBorders>
            <w:vAlign w:val="center"/>
          </w:tcPr>
          <w:p w14:paraId="61AD3422">
            <w:pPr>
              <w:widowControl/>
              <w:spacing w:line="240" w:lineRule="auto"/>
              <w:rPr>
                <w:rFonts w:hint="eastAsia" w:cs="宋体"/>
                <w:color w:val="000000"/>
                <w:kern w:val="0"/>
                <w:sz w:val="22"/>
              </w:rPr>
            </w:pPr>
            <w:r>
              <w:rPr>
                <w:rFonts w:cs="宋体"/>
                <w:color w:val="000000"/>
                <w:kern w:val="0"/>
                <w:sz w:val="22"/>
              </w:rPr>
              <w:t>1.成品采购安装</w:t>
            </w:r>
            <w:r>
              <w:rPr>
                <w:rFonts w:cs="宋体"/>
                <w:color w:val="000000"/>
                <w:kern w:val="0"/>
                <w:sz w:val="22"/>
              </w:rPr>
              <w:br w:type="textWrapping"/>
            </w:r>
            <w:r>
              <w:rPr>
                <w:rFonts w:cs="宋体"/>
                <w:color w:val="000000"/>
                <w:kern w:val="0"/>
                <w:sz w:val="22"/>
              </w:rPr>
              <w:t>2.开关插座</w:t>
            </w:r>
          </w:p>
        </w:tc>
        <w:tc>
          <w:tcPr>
            <w:tcW w:w="216" w:type="pct"/>
            <w:tcBorders>
              <w:top w:val="nil"/>
              <w:left w:val="nil"/>
              <w:bottom w:val="single" w:color="auto" w:sz="4" w:space="0"/>
              <w:right w:val="single" w:color="auto" w:sz="4" w:space="0"/>
            </w:tcBorders>
            <w:vAlign w:val="center"/>
          </w:tcPr>
          <w:p w14:paraId="4CB5F5CF">
            <w:pPr>
              <w:widowControl/>
              <w:spacing w:line="240" w:lineRule="auto"/>
              <w:jc w:val="center"/>
              <w:rPr>
                <w:rFonts w:hint="eastAsia" w:cs="宋体"/>
                <w:color w:val="000000"/>
                <w:kern w:val="0"/>
                <w:sz w:val="22"/>
              </w:rPr>
            </w:pPr>
            <w:r>
              <w:rPr>
                <w:rFonts w:cs="宋体"/>
                <w:color w:val="000000"/>
                <w:kern w:val="0"/>
                <w:sz w:val="22"/>
              </w:rPr>
              <w:t>项</w:t>
            </w:r>
          </w:p>
        </w:tc>
        <w:tc>
          <w:tcPr>
            <w:tcW w:w="202" w:type="pct"/>
            <w:tcBorders>
              <w:top w:val="nil"/>
              <w:left w:val="nil"/>
              <w:bottom w:val="single" w:color="auto" w:sz="4" w:space="0"/>
              <w:right w:val="single" w:color="auto" w:sz="4" w:space="0"/>
            </w:tcBorders>
            <w:vAlign w:val="center"/>
          </w:tcPr>
          <w:p w14:paraId="7BA3F0E5">
            <w:pPr>
              <w:widowControl/>
              <w:spacing w:line="240" w:lineRule="auto"/>
              <w:jc w:val="center"/>
              <w:rPr>
                <w:rFonts w:hint="eastAsia" w:cs="宋体"/>
                <w:color w:val="000000"/>
                <w:kern w:val="0"/>
                <w:sz w:val="22"/>
              </w:rPr>
            </w:pPr>
            <w:r>
              <w:rPr>
                <w:rFonts w:cs="宋体"/>
                <w:color w:val="000000"/>
                <w:kern w:val="0"/>
                <w:sz w:val="22"/>
              </w:rPr>
              <w:t>1</w:t>
            </w:r>
          </w:p>
        </w:tc>
      </w:tr>
      <w:tr w14:paraId="0B5ACD45">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B3FE833">
            <w:pPr>
              <w:widowControl/>
              <w:spacing w:line="240" w:lineRule="auto"/>
              <w:jc w:val="center"/>
              <w:rPr>
                <w:rFonts w:hint="eastAsia" w:cs="宋体"/>
                <w:color w:val="000000"/>
                <w:kern w:val="0"/>
                <w:sz w:val="22"/>
              </w:rPr>
            </w:pPr>
            <w:r>
              <w:rPr>
                <w:rFonts w:cs="宋体"/>
                <w:color w:val="000000"/>
                <w:kern w:val="0"/>
                <w:sz w:val="22"/>
              </w:rPr>
              <w:t>92</w:t>
            </w:r>
          </w:p>
        </w:tc>
        <w:tc>
          <w:tcPr>
            <w:tcW w:w="152" w:type="pct"/>
            <w:vMerge w:val="continue"/>
            <w:tcBorders>
              <w:top w:val="nil"/>
              <w:left w:val="single" w:color="auto" w:sz="4" w:space="0"/>
              <w:bottom w:val="single" w:color="000000" w:sz="4" w:space="0"/>
              <w:right w:val="single" w:color="auto" w:sz="4" w:space="0"/>
            </w:tcBorders>
            <w:vAlign w:val="center"/>
          </w:tcPr>
          <w:p w14:paraId="4DBBC94A">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3825F0C7">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292D46B">
            <w:pPr>
              <w:widowControl/>
              <w:spacing w:line="240" w:lineRule="auto"/>
              <w:rPr>
                <w:rFonts w:hint="eastAsia" w:cs="宋体"/>
                <w:color w:val="000000"/>
                <w:kern w:val="0"/>
                <w:sz w:val="22"/>
              </w:rPr>
            </w:pPr>
            <w:r>
              <w:rPr>
                <w:rFonts w:cs="宋体"/>
                <w:color w:val="000000"/>
                <w:kern w:val="0"/>
                <w:sz w:val="22"/>
              </w:rPr>
              <w:t>凿（压)槽</w:t>
            </w:r>
          </w:p>
        </w:tc>
        <w:tc>
          <w:tcPr>
            <w:tcW w:w="3643" w:type="pct"/>
            <w:tcBorders>
              <w:top w:val="nil"/>
              <w:left w:val="nil"/>
              <w:bottom w:val="single" w:color="auto" w:sz="4" w:space="0"/>
              <w:right w:val="single" w:color="auto" w:sz="4" w:space="0"/>
            </w:tcBorders>
            <w:vAlign w:val="center"/>
          </w:tcPr>
          <w:p w14:paraId="75EBC357">
            <w:pPr>
              <w:widowControl/>
              <w:spacing w:line="240" w:lineRule="auto"/>
              <w:rPr>
                <w:rFonts w:hint="eastAsia" w:cs="宋体"/>
                <w:color w:val="000000"/>
                <w:kern w:val="0"/>
                <w:sz w:val="22"/>
              </w:rPr>
            </w:pPr>
            <w:r>
              <w:rPr>
                <w:rFonts w:cs="宋体"/>
                <w:color w:val="000000"/>
                <w:kern w:val="0"/>
                <w:sz w:val="22"/>
              </w:rPr>
              <w:t>1.墙面开电槽子</w:t>
            </w:r>
          </w:p>
        </w:tc>
        <w:tc>
          <w:tcPr>
            <w:tcW w:w="216" w:type="pct"/>
            <w:tcBorders>
              <w:top w:val="nil"/>
              <w:left w:val="nil"/>
              <w:bottom w:val="single" w:color="auto" w:sz="4" w:space="0"/>
              <w:right w:val="single" w:color="auto" w:sz="4" w:space="0"/>
            </w:tcBorders>
            <w:vAlign w:val="center"/>
          </w:tcPr>
          <w:p w14:paraId="70B1E2D4">
            <w:pPr>
              <w:widowControl/>
              <w:spacing w:line="240" w:lineRule="auto"/>
              <w:jc w:val="center"/>
              <w:rPr>
                <w:rFonts w:hint="eastAsia" w:cs="宋体"/>
                <w:color w:val="000000"/>
                <w:kern w:val="0"/>
                <w:sz w:val="22"/>
              </w:rPr>
            </w:pPr>
            <w:r>
              <w:rPr>
                <w:rFonts w:cs="宋体"/>
                <w:color w:val="000000"/>
                <w:kern w:val="0"/>
                <w:sz w:val="22"/>
              </w:rPr>
              <w:t>m</w:t>
            </w:r>
          </w:p>
        </w:tc>
        <w:tc>
          <w:tcPr>
            <w:tcW w:w="202" w:type="pct"/>
            <w:tcBorders>
              <w:top w:val="nil"/>
              <w:left w:val="nil"/>
              <w:bottom w:val="single" w:color="auto" w:sz="4" w:space="0"/>
              <w:right w:val="single" w:color="auto" w:sz="4" w:space="0"/>
            </w:tcBorders>
            <w:vAlign w:val="center"/>
          </w:tcPr>
          <w:p w14:paraId="7357D387">
            <w:pPr>
              <w:widowControl/>
              <w:spacing w:line="240" w:lineRule="auto"/>
              <w:jc w:val="center"/>
              <w:rPr>
                <w:rFonts w:hint="eastAsia" w:cs="宋体"/>
                <w:color w:val="000000"/>
                <w:kern w:val="0"/>
                <w:sz w:val="22"/>
              </w:rPr>
            </w:pPr>
            <w:r>
              <w:rPr>
                <w:rFonts w:cs="宋体"/>
                <w:color w:val="000000"/>
                <w:kern w:val="0"/>
                <w:sz w:val="22"/>
              </w:rPr>
              <w:t>300</w:t>
            </w:r>
          </w:p>
        </w:tc>
      </w:tr>
      <w:tr w14:paraId="2F738B94">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358180D8">
            <w:pPr>
              <w:widowControl/>
              <w:spacing w:line="240" w:lineRule="auto"/>
              <w:jc w:val="center"/>
              <w:rPr>
                <w:rFonts w:hint="eastAsia" w:cs="宋体"/>
                <w:color w:val="000000"/>
                <w:kern w:val="0"/>
                <w:sz w:val="22"/>
              </w:rPr>
            </w:pPr>
            <w:r>
              <w:rPr>
                <w:rFonts w:cs="宋体"/>
                <w:color w:val="000000"/>
                <w:kern w:val="0"/>
                <w:sz w:val="22"/>
              </w:rPr>
              <w:t>93</w:t>
            </w:r>
          </w:p>
        </w:tc>
        <w:tc>
          <w:tcPr>
            <w:tcW w:w="152" w:type="pct"/>
            <w:vMerge w:val="continue"/>
            <w:tcBorders>
              <w:top w:val="nil"/>
              <w:left w:val="single" w:color="auto" w:sz="4" w:space="0"/>
              <w:bottom w:val="single" w:color="000000" w:sz="4" w:space="0"/>
              <w:right w:val="single" w:color="auto" w:sz="4" w:space="0"/>
            </w:tcBorders>
            <w:vAlign w:val="center"/>
          </w:tcPr>
          <w:p w14:paraId="4438C1D3">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50708FF2">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94F1E05">
            <w:pPr>
              <w:widowControl/>
              <w:spacing w:line="240" w:lineRule="auto"/>
              <w:rPr>
                <w:rFonts w:hint="eastAsia" w:cs="宋体"/>
                <w:color w:val="000000"/>
                <w:kern w:val="0"/>
                <w:sz w:val="22"/>
              </w:rPr>
            </w:pPr>
            <w:r>
              <w:rPr>
                <w:rFonts w:cs="宋体"/>
                <w:color w:val="000000"/>
                <w:kern w:val="0"/>
                <w:sz w:val="22"/>
              </w:rPr>
              <w:t>配线</w:t>
            </w:r>
          </w:p>
        </w:tc>
        <w:tc>
          <w:tcPr>
            <w:tcW w:w="3643" w:type="pct"/>
            <w:tcBorders>
              <w:top w:val="nil"/>
              <w:left w:val="nil"/>
              <w:bottom w:val="single" w:color="auto" w:sz="4" w:space="0"/>
              <w:right w:val="single" w:color="auto" w:sz="4" w:space="0"/>
            </w:tcBorders>
            <w:vAlign w:val="center"/>
          </w:tcPr>
          <w:p w14:paraId="3B3F56E5">
            <w:pPr>
              <w:widowControl/>
              <w:spacing w:line="240" w:lineRule="auto"/>
              <w:rPr>
                <w:rFonts w:hint="eastAsia" w:cs="宋体"/>
                <w:color w:val="000000"/>
                <w:kern w:val="0"/>
                <w:sz w:val="22"/>
              </w:rPr>
            </w:pPr>
            <w:r>
              <w:rPr>
                <w:rFonts w:cs="宋体"/>
                <w:color w:val="000000"/>
                <w:kern w:val="0"/>
                <w:sz w:val="22"/>
              </w:rPr>
              <w:t>1.2.5平方电线</w:t>
            </w:r>
          </w:p>
        </w:tc>
        <w:tc>
          <w:tcPr>
            <w:tcW w:w="216" w:type="pct"/>
            <w:tcBorders>
              <w:top w:val="nil"/>
              <w:left w:val="nil"/>
              <w:bottom w:val="single" w:color="auto" w:sz="4" w:space="0"/>
              <w:right w:val="single" w:color="auto" w:sz="4" w:space="0"/>
            </w:tcBorders>
            <w:vAlign w:val="center"/>
          </w:tcPr>
          <w:p w14:paraId="07F5680F">
            <w:pPr>
              <w:widowControl/>
              <w:spacing w:line="240" w:lineRule="auto"/>
              <w:jc w:val="center"/>
              <w:rPr>
                <w:rFonts w:hint="eastAsia" w:cs="宋体"/>
                <w:color w:val="000000"/>
                <w:kern w:val="0"/>
                <w:sz w:val="22"/>
              </w:rPr>
            </w:pPr>
            <w:r>
              <w:rPr>
                <w:rFonts w:cs="宋体"/>
                <w:color w:val="000000"/>
                <w:kern w:val="0"/>
                <w:sz w:val="22"/>
              </w:rPr>
              <w:t>m</w:t>
            </w:r>
          </w:p>
        </w:tc>
        <w:tc>
          <w:tcPr>
            <w:tcW w:w="202" w:type="pct"/>
            <w:tcBorders>
              <w:top w:val="nil"/>
              <w:left w:val="nil"/>
              <w:bottom w:val="single" w:color="auto" w:sz="4" w:space="0"/>
              <w:right w:val="single" w:color="auto" w:sz="4" w:space="0"/>
            </w:tcBorders>
            <w:vAlign w:val="center"/>
          </w:tcPr>
          <w:p w14:paraId="6CA5CB42">
            <w:pPr>
              <w:widowControl/>
              <w:spacing w:line="240" w:lineRule="auto"/>
              <w:jc w:val="center"/>
              <w:rPr>
                <w:rFonts w:hint="eastAsia" w:cs="宋体"/>
                <w:color w:val="000000"/>
                <w:kern w:val="0"/>
                <w:sz w:val="22"/>
              </w:rPr>
            </w:pPr>
            <w:r>
              <w:rPr>
                <w:rFonts w:cs="宋体"/>
                <w:color w:val="000000"/>
                <w:kern w:val="0"/>
                <w:sz w:val="22"/>
              </w:rPr>
              <w:t>600</w:t>
            </w:r>
          </w:p>
        </w:tc>
      </w:tr>
      <w:tr w14:paraId="418FCF38">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EBE761E">
            <w:pPr>
              <w:widowControl/>
              <w:spacing w:line="240" w:lineRule="auto"/>
              <w:jc w:val="center"/>
              <w:rPr>
                <w:rFonts w:hint="eastAsia" w:cs="宋体"/>
                <w:color w:val="000000"/>
                <w:kern w:val="0"/>
                <w:sz w:val="22"/>
              </w:rPr>
            </w:pPr>
            <w:r>
              <w:rPr>
                <w:rFonts w:cs="宋体"/>
                <w:color w:val="000000"/>
                <w:kern w:val="0"/>
                <w:sz w:val="22"/>
              </w:rPr>
              <w:t>94</w:t>
            </w:r>
          </w:p>
        </w:tc>
        <w:tc>
          <w:tcPr>
            <w:tcW w:w="152" w:type="pct"/>
            <w:vMerge w:val="continue"/>
            <w:tcBorders>
              <w:top w:val="nil"/>
              <w:left w:val="single" w:color="auto" w:sz="4" w:space="0"/>
              <w:bottom w:val="single" w:color="000000" w:sz="4" w:space="0"/>
              <w:right w:val="single" w:color="auto" w:sz="4" w:space="0"/>
            </w:tcBorders>
            <w:vAlign w:val="center"/>
          </w:tcPr>
          <w:p w14:paraId="6BC6566E">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32EEABC7">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940C7D7">
            <w:pPr>
              <w:widowControl/>
              <w:spacing w:line="240" w:lineRule="auto"/>
              <w:rPr>
                <w:rFonts w:hint="eastAsia" w:cs="宋体"/>
                <w:color w:val="000000"/>
                <w:kern w:val="0"/>
                <w:sz w:val="22"/>
              </w:rPr>
            </w:pPr>
            <w:r>
              <w:rPr>
                <w:rFonts w:cs="宋体"/>
                <w:color w:val="000000"/>
                <w:kern w:val="0"/>
                <w:sz w:val="22"/>
              </w:rPr>
              <w:t>配线</w:t>
            </w:r>
          </w:p>
        </w:tc>
        <w:tc>
          <w:tcPr>
            <w:tcW w:w="3643" w:type="pct"/>
            <w:tcBorders>
              <w:top w:val="nil"/>
              <w:left w:val="nil"/>
              <w:bottom w:val="single" w:color="auto" w:sz="4" w:space="0"/>
              <w:right w:val="single" w:color="auto" w:sz="4" w:space="0"/>
            </w:tcBorders>
            <w:vAlign w:val="center"/>
          </w:tcPr>
          <w:p w14:paraId="153F2EB7">
            <w:pPr>
              <w:widowControl/>
              <w:spacing w:line="240" w:lineRule="auto"/>
              <w:rPr>
                <w:rFonts w:hint="eastAsia" w:cs="宋体"/>
                <w:color w:val="000000"/>
                <w:kern w:val="0"/>
                <w:sz w:val="22"/>
              </w:rPr>
            </w:pPr>
            <w:r>
              <w:rPr>
                <w:rFonts w:cs="宋体"/>
                <w:color w:val="000000"/>
                <w:kern w:val="0"/>
                <w:sz w:val="22"/>
              </w:rPr>
              <w:t>1.4平方电线</w:t>
            </w:r>
          </w:p>
        </w:tc>
        <w:tc>
          <w:tcPr>
            <w:tcW w:w="216" w:type="pct"/>
            <w:tcBorders>
              <w:top w:val="nil"/>
              <w:left w:val="nil"/>
              <w:bottom w:val="single" w:color="auto" w:sz="4" w:space="0"/>
              <w:right w:val="single" w:color="auto" w:sz="4" w:space="0"/>
            </w:tcBorders>
            <w:vAlign w:val="center"/>
          </w:tcPr>
          <w:p w14:paraId="33EFF162">
            <w:pPr>
              <w:widowControl/>
              <w:spacing w:line="240" w:lineRule="auto"/>
              <w:jc w:val="center"/>
              <w:rPr>
                <w:rFonts w:hint="eastAsia" w:cs="宋体"/>
                <w:color w:val="000000"/>
                <w:kern w:val="0"/>
                <w:sz w:val="22"/>
              </w:rPr>
            </w:pPr>
            <w:r>
              <w:rPr>
                <w:rFonts w:cs="宋体"/>
                <w:color w:val="000000"/>
                <w:kern w:val="0"/>
                <w:sz w:val="22"/>
              </w:rPr>
              <w:t>m</w:t>
            </w:r>
          </w:p>
        </w:tc>
        <w:tc>
          <w:tcPr>
            <w:tcW w:w="202" w:type="pct"/>
            <w:tcBorders>
              <w:top w:val="nil"/>
              <w:left w:val="nil"/>
              <w:bottom w:val="single" w:color="auto" w:sz="4" w:space="0"/>
              <w:right w:val="single" w:color="auto" w:sz="4" w:space="0"/>
            </w:tcBorders>
            <w:vAlign w:val="center"/>
          </w:tcPr>
          <w:p w14:paraId="170BFA58">
            <w:pPr>
              <w:widowControl/>
              <w:spacing w:line="240" w:lineRule="auto"/>
              <w:jc w:val="center"/>
              <w:rPr>
                <w:rFonts w:hint="eastAsia" w:cs="宋体"/>
                <w:color w:val="000000"/>
                <w:kern w:val="0"/>
                <w:sz w:val="22"/>
              </w:rPr>
            </w:pPr>
            <w:r>
              <w:rPr>
                <w:rFonts w:cs="宋体"/>
                <w:color w:val="000000"/>
                <w:kern w:val="0"/>
                <w:sz w:val="22"/>
              </w:rPr>
              <w:t>400</w:t>
            </w:r>
          </w:p>
        </w:tc>
      </w:tr>
      <w:tr w14:paraId="6687AF5A">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450D7B99">
            <w:pPr>
              <w:widowControl/>
              <w:spacing w:line="240" w:lineRule="auto"/>
              <w:jc w:val="center"/>
              <w:rPr>
                <w:rFonts w:hint="eastAsia" w:cs="宋体"/>
                <w:color w:val="000000"/>
                <w:kern w:val="0"/>
                <w:sz w:val="22"/>
              </w:rPr>
            </w:pPr>
            <w:r>
              <w:rPr>
                <w:rFonts w:cs="宋体"/>
                <w:color w:val="000000"/>
                <w:kern w:val="0"/>
                <w:sz w:val="22"/>
              </w:rPr>
              <w:t>95</w:t>
            </w:r>
          </w:p>
        </w:tc>
        <w:tc>
          <w:tcPr>
            <w:tcW w:w="152" w:type="pct"/>
            <w:vMerge w:val="continue"/>
            <w:tcBorders>
              <w:top w:val="nil"/>
              <w:left w:val="single" w:color="auto" w:sz="4" w:space="0"/>
              <w:bottom w:val="single" w:color="000000" w:sz="4" w:space="0"/>
              <w:right w:val="single" w:color="auto" w:sz="4" w:space="0"/>
            </w:tcBorders>
            <w:vAlign w:val="center"/>
          </w:tcPr>
          <w:p w14:paraId="314B77C5">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373E9C94">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7809B5B3">
            <w:pPr>
              <w:widowControl/>
              <w:spacing w:line="240" w:lineRule="auto"/>
              <w:rPr>
                <w:rFonts w:hint="eastAsia" w:cs="宋体"/>
                <w:color w:val="000000"/>
                <w:kern w:val="0"/>
                <w:sz w:val="22"/>
              </w:rPr>
            </w:pPr>
            <w:r>
              <w:rPr>
                <w:rFonts w:cs="宋体"/>
                <w:color w:val="000000"/>
                <w:kern w:val="0"/>
                <w:sz w:val="22"/>
              </w:rPr>
              <w:t>配管</w:t>
            </w:r>
          </w:p>
        </w:tc>
        <w:tc>
          <w:tcPr>
            <w:tcW w:w="3643" w:type="pct"/>
            <w:tcBorders>
              <w:top w:val="nil"/>
              <w:left w:val="nil"/>
              <w:bottom w:val="single" w:color="auto" w:sz="4" w:space="0"/>
              <w:right w:val="single" w:color="auto" w:sz="4" w:space="0"/>
            </w:tcBorders>
            <w:vAlign w:val="center"/>
          </w:tcPr>
          <w:p w14:paraId="278C8F5C">
            <w:pPr>
              <w:widowControl/>
              <w:spacing w:line="240" w:lineRule="auto"/>
              <w:rPr>
                <w:rFonts w:hint="eastAsia" w:cs="宋体"/>
                <w:color w:val="000000"/>
                <w:kern w:val="0"/>
                <w:sz w:val="22"/>
              </w:rPr>
            </w:pPr>
            <w:r>
              <w:rPr>
                <w:rFonts w:cs="宋体"/>
                <w:color w:val="000000"/>
                <w:kern w:val="0"/>
                <w:sz w:val="22"/>
              </w:rPr>
              <w:t>1.PVC20电线管</w:t>
            </w:r>
          </w:p>
        </w:tc>
        <w:tc>
          <w:tcPr>
            <w:tcW w:w="216" w:type="pct"/>
            <w:tcBorders>
              <w:top w:val="nil"/>
              <w:left w:val="nil"/>
              <w:bottom w:val="single" w:color="auto" w:sz="4" w:space="0"/>
              <w:right w:val="single" w:color="auto" w:sz="4" w:space="0"/>
            </w:tcBorders>
            <w:vAlign w:val="center"/>
          </w:tcPr>
          <w:p w14:paraId="566495A9">
            <w:pPr>
              <w:widowControl/>
              <w:spacing w:line="240" w:lineRule="auto"/>
              <w:jc w:val="center"/>
              <w:rPr>
                <w:rFonts w:hint="eastAsia" w:cs="宋体"/>
                <w:color w:val="000000"/>
                <w:kern w:val="0"/>
                <w:sz w:val="22"/>
              </w:rPr>
            </w:pPr>
            <w:r>
              <w:rPr>
                <w:rFonts w:cs="宋体"/>
                <w:color w:val="000000"/>
                <w:kern w:val="0"/>
                <w:sz w:val="22"/>
              </w:rPr>
              <w:t>m</w:t>
            </w:r>
          </w:p>
        </w:tc>
        <w:tc>
          <w:tcPr>
            <w:tcW w:w="202" w:type="pct"/>
            <w:tcBorders>
              <w:top w:val="nil"/>
              <w:left w:val="nil"/>
              <w:bottom w:val="single" w:color="auto" w:sz="4" w:space="0"/>
              <w:right w:val="single" w:color="auto" w:sz="4" w:space="0"/>
            </w:tcBorders>
            <w:vAlign w:val="center"/>
          </w:tcPr>
          <w:p w14:paraId="6BCE5B0B">
            <w:pPr>
              <w:widowControl/>
              <w:spacing w:line="240" w:lineRule="auto"/>
              <w:jc w:val="center"/>
              <w:rPr>
                <w:rFonts w:hint="eastAsia" w:cs="宋体"/>
                <w:color w:val="000000"/>
                <w:kern w:val="0"/>
                <w:sz w:val="22"/>
              </w:rPr>
            </w:pPr>
            <w:r>
              <w:rPr>
                <w:rFonts w:cs="宋体"/>
                <w:color w:val="000000"/>
                <w:kern w:val="0"/>
                <w:sz w:val="22"/>
              </w:rPr>
              <w:t>400</w:t>
            </w:r>
          </w:p>
        </w:tc>
      </w:tr>
      <w:tr w14:paraId="6309D415">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E5F015C">
            <w:pPr>
              <w:widowControl/>
              <w:spacing w:line="240" w:lineRule="auto"/>
              <w:jc w:val="center"/>
              <w:rPr>
                <w:rFonts w:hint="eastAsia" w:cs="宋体"/>
                <w:color w:val="000000"/>
                <w:kern w:val="0"/>
                <w:sz w:val="22"/>
              </w:rPr>
            </w:pPr>
            <w:r>
              <w:rPr>
                <w:rFonts w:cs="宋体"/>
                <w:color w:val="000000"/>
                <w:kern w:val="0"/>
                <w:sz w:val="22"/>
              </w:rPr>
              <w:t>96</w:t>
            </w:r>
          </w:p>
        </w:tc>
        <w:tc>
          <w:tcPr>
            <w:tcW w:w="152" w:type="pct"/>
            <w:vMerge w:val="continue"/>
            <w:tcBorders>
              <w:top w:val="nil"/>
              <w:left w:val="single" w:color="auto" w:sz="4" w:space="0"/>
              <w:bottom w:val="single" w:color="000000" w:sz="4" w:space="0"/>
              <w:right w:val="single" w:color="auto" w:sz="4" w:space="0"/>
            </w:tcBorders>
            <w:vAlign w:val="center"/>
          </w:tcPr>
          <w:p w14:paraId="1DC41551">
            <w:pPr>
              <w:widowControl/>
              <w:spacing w:line="240" w:lineRule="auto"/>
              <w:rPr>
                <w:rFonts w:hint="eastAsia" w:cs="宋体"/>
                <w:color w:val="000000"/>
                <w:kern w:val="0"/>
                <w:sz w:val="22"/>
              </w:rPr>
            </w:pPr>
          </w:p>
        </w:tc>
        <w:tc>
          <w:tcPr>
            <w:tcW w:w="331" w:type="pct"/>
            <w:vMerge w:val="restart"/>
            <w:tcBorders>
              <w:top w:val="nil"/>
              <w:left w:val="single" w:color="auto" w:sz="4" w:space="0"/>
              <w:bottom w:val="single" w:color="000000" w:sz="4" w:space="0"/>
              <w:right w:val="single" w:color="auto" w:sz="4" w:space="0"/>
            </w:tcBorders>
            <w:vAlign w:val="center"/>
          </w:tcPr>
          <w:p w14:paraId="067297AD">
            <w:pPr>
              <w:widowControl/>
              <w:spacing w:line="240" w:lineRule="auto"/>
              <w:jc w:val="center"/>
              <w:rPr>
                <w:rFonts w:hint="eastAsia" w:cs="宋体"/>
                <w:color w:val="000000"/>
                <w:kern w:val="0"/>
                <w:sz w:val="22"/>
              </w:rPr>
            </w:pPr>
            <w:r>
              <w:rPr>
                <w:rFonts w:cs="宋体"/>
                <w:color w:val="000000"/>
                <w:kern w:val="0"/>
                <w:sz w:val="22"/>
              </w:rPr>
              <w:t>坐席</w:t>
            </w:r>
          </w:p>
        </w:tc>
        <w:tc>
          <w:tcPr>
            <w:tcW w:w="202" w:type="pct"/>
            <w:tcBorders>
              <w:top w:val="nil"/>
              <w:left w:val="nil"/>
              <w:bottom w:val="single" w:color="auto" w:sz="4" w:space="0"/>
              <w:right w:val="single" w:color="auto" w:sz="4" w:space="0"/>
            </w:tcBorders>
            <w:vAlign w:val="center"/>
          </w:tcPr>
          <w:p w14:paraId="753173C1">
            <w:pPr>
              <w:widowControl/>
              <w:spacing w:line="240" w:lineRule="auto"/>
              <w:rPr>
                <w:rFonts w:hint="eastAsia" w:cs="宋体"/>
                <w:color w:val="000000"/>
                <w:kern w:val="0"/>
                <w:sz w:val="22"/>
              </w:rPr>
            </w:pPr>
            <w:r>
              <w:rPr>
                <w:rFonts w:cs="宋体"/>
                <w:color w:val="000000"/>
                <w:kern w:val="0"/>
                <w:sz w:val="22"/>
              </w:rPr>
              <w:t>控制台</w:t>
            </w:r>
          </w:p>
        </w:tc>
        <w:tc>
          <w:tcPr>
            <w:tcW w:w="3643" w:type="pct"/>
            <w:tcBorders>
              <w:top w:val="nil"/>
              <w:left w:val="nil"/>
              <w:bottom w:val="single" w:color="auto" w:sz="4" w:space="0"/>
              <w:right w:val="single" w:color="auto" w:sz="4" w:space="0"/>
            </w:tcBorders>
            <w:vAlign w:val="center"/>
          </w:tcPr>
          <w:p w14:paraId="05329DE4">
            <w:pPr>
              <w:widowControl/>
              <w:spacing w:line="240" w:lineRule="auto"/>
              <w:rPr>
                <w:rFonts w:hint="eastAsia" w:cs="宋体"/>
                <w:color w:val="000000"/>
                <w:kern w:val="0"/>
                <w:sz w:val="22"/>
              </w:rPr>
            </w:pPr>
            <w:r>
              <w:rPr>
                <w:rFonts w:cs="宋体"/>
                <w:color w:val="000000"/>
                <w:kern w:val="0"/>
                <w:sz w:val="22"/>
              </w:rPr>
              <w:t>尺寸：4联控制台. 控制台采用钣金，防火板结合的形式装配，根据客户需求私属定制；</w:t>
            </w:r>
            <w:r>
              <w:rPr>
                <w:rFonts w:cs="宋体"/>
                <w:color w:val="000000"/>
                <w:kern w:val="0"/>
                <w:sz w:val="22"/>
              </w:rPr>
              <w:br w:type="textWrapping"/>
            </w:r>
            <w:r>
              <w:rPr>
                <w:rFonts w:cs="宋体"/>
                <w:color w:val="000000"/>
                <w:kern w:val="0"/>
                <w:sz w:val="22"/>
              </w:rPr>
              <w:t xml:space="preserve">2. 控制台符合 (GB/T 13668-2015 、GB/T 3325-2017) 标准，控制 台侧框架厚度≥2.0mm ，后横梁≥2.0mm；控制台对角线长度≥ 1000mm 的误差≤1mm </w:t>
            </w:r>
            <w:r>
              <w:rPr>
                <w:rFonts w:cs="宋体"/>
                <w:color w:val="000000"/>
                <w:kern w:val="0"/>
                <w:sz w:val="22"/>
              </w:rPr>
              <w:br w:type="textWrapping"/>
            </w:r>
            <w:r>
              <w:rPr>
                <w:rFonts w:cs="宋体"/>
                <w:color w:val="000000"/>
                <w:kern w:val="0"/>
                <w:sz w:val="22"/>
              </w:rPr>
              <w:t xml:space="preserve">3. 控制台符合 (GB/T 13668-2015) 标准，控制台平整度≤0.06mm。 </w:t>
            </w:r>
            <w:r>
              <w:rPr>
                <w:rFonts w:cs="宋体"/>
                <w:color w:val="000000"/>
                <w:kern w:val="0"/>
                <w:sz w:val="22"/>
              </w:rPr>
              <w:br w:type="textWrapping"/>
            </w:r>
            <w:r>
              <w:rPr>
                <w:rFonts w:cs="宋体"/>
                <w:color w:val="000000"/>
                <w:kern w:val="0"/>
                <w:sz w:val="22"/>
              </w:rPr>
              <w:t>4. 控制台符合各项环保要求，能保证操作人员的人身健康和安全。 产品甲醛释放量≦0.01mg/m³，控制台产品不含苯、二甲苯、甲苯，总挥发性有机化合物(TVOC)≤0.02 mg/m³，满足GB/T35607-2017 《绿色产品评价家具》要求；</w:t>
            </w:r>
            <w:r>
              <w:rPr>
                <w:rFonts w:cs="宋体"/>
                <w:color w:val="000000"/>
                <w:kern w:val="0"/>
                <w:sz w:val="22"/>
              </w:rPr>
              <w:br w:type="textWrapping"/>
            </w:r>
            <w:r>
              <w:rPr>
                <w:rFonts w:cs="宋体"/>
                <w:color w:val="000000"/>
                <w:kern w:val="0"/>
                <w:sz w:val="22"/>
              </w:rPr>
              <w:t>5. 满足配重在 90kg 情况下能抗 9 级以上地震。</w:t>
            </w:r>
            <w:r>
              <w:rPr>
                <w:rFonts w:cs="宋体"/>
                <w:color w:val="000000"/>
                <w:kern w:val="0"/>
                <w:sz w:val="22"/>
              </w:rPr>
              <w:br w:type="textWrapping"/>
            </w:r>
            <w:r>
              <w:rPr>
                <w:rFonts w:cs="宋体"/>
                <w:color w:val="000000"/>
                <w:kern w:val="0"/>
                <w:sz w:val="22"/>
              </w:rPr>
              <w:t>6. 耐火性能符合国家 (FB20286-2006) 标准，达到阻燃 1 级标准， 其中最大烟密度≤30%。</w:t>
            </w:r>
          </w:p>
        </w:tc>
        <w:tc>
          <w:tcPr>
            <w:tcW w:w="216" w:type="pct"/>
            <w:tcBorders>
              <w:top w:val="nil"/>
              <w:left w:val="nil"/>
              <w:bottom w:val="single" w:color="auto" w:sz="4" w:space="0"/>
              <w:right w:val="single" w:color="auto" w:sz="4" w:space="0"/>
            </w:tcBorders>
            <w:vAlign w:val="center"/>
          </w:tcPr>
          <w:p w14:paraId="01DFE12A">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04CDB79E">
            <w:pPr>
              <w:widowControl/>
              <w:spacing w:line="240" w:lineRule="auto"/>
              <w:jc w:val="center"/>
              <w:rPr>
                <w:rFonts w:hint="eastAsia" w:cs="宋体"/>
                <w:color w:val="000000"/>
                <w:kern w:val="0"/>
                <w:sz w:val="22"/>
              </w:rPr>
            </w:pPr>
            <w:r>
              <w:rPr>
                <w:rFonts w:cs="宋体"/>
                <w:color w:val="000000"/>
                <w:kern w:val="0"/>
                <w:sz w:val="22"/>
              </w:rPr>
              <w:t>2</w:t>
            </w:r>
          </w:p>
        </w:tc>
      </w:tr>
      <w:tr w14:paraId="020A5493">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B1A167E">
            <w:pPr>
              <w:widowControl/>
              <w:spacing w:line="240" w:lineRule="auto"/>
              <w:jc w:val="center"/>
              <w:rPr>
                <w:rFonts w:hint="eastAsia" w:cs="宋体"/>
                <w:color w:val="000000"/>
                <w:kern w:val="0"/>
                <w:sz w:val="22"/>
              </w:rPr>
            </w:pPr>
            <w:r>
              <w:rPr>
                <w:rFonts w:cs="宋体"/>
                <w:color w:val="000000"/>
                <w:kern w:val="0"/>
                <w:sz w:val="22"/>
              </w:rPr>
              <w:t>97</w:t>
            </w:r>
          </w:p>
        </w:tc>
        <w:tc>
          <w:tcPr>
            <w:tcW w:w="152" w:type="pct"/>
            <w:vMerge w:val="continue"/>
            <w:tcBorders>
              <w:top w:val="nil"/>
              <w:left w:val="single" w:color="auto" w:sz="4" w:space="0"/>
              <w:bottom w:val="single" w:color="000000" w:sz="4" w:space="0"/>
              <w:right w:val="single" w:color="auto" w:sz="4" w:space="0"/>
            </w:tcBorders>
            <w:vAlign w:val="center"/>
          </w:tcPr>
          <w:p w14:paraId="02DDA769">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C6C0D23">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840AEB7">
            <w:pPr>
              <w:widowControl/>
              <w:spacing w:line="240" w:lineRule="auto"/>
              <w:rPr>
                <w:rFonts w:hint="eastAsia" w:cs="宋体"/>
                <w:color w:val="000000"/>
                <w:kern w:val="0"/>
                <w:sz w:val="22"/>
              </w:rPr>
            </w:pPr>
            <w:r>
              <w:rPr>
                <w:rFonts w:cs="宋体"/>
                <w:color w:val="000000"/>
                <w:kern w:val="0"/>
                <w:sz w:val="22"/>
              </w:rPr>
              <w:t>人体工程学椅</w:t>
            </w:r>
          </w:p>
        </w:tc>
        <w:tc>
          <w:tcPr>
            <w:tcW w:w="3643" w:type="pct"/>
            <w:tcBorders>
              <w:top w:val="nil"/>
              <w:left w:val="nil"/>
              <w:bottom w:val="single" w:color="auto" w:sz="4" w:space="0"/>
              <w:right w:val="single" w:color="auto" w:sz="4" w:space="0"/>
            </w:tcBorders>
            <w:vAlign w:val="center"/>
          </w:tcPr>
          <w:p w14:paraId="547B7963">
            <w:pPr>
              <w:widowControl/>
              <w:spacing w:line="240" w:lineRule="auto"/>
              <w:rPr>
                <w:rFonts w:hint="eastAsia" w:cs="宋体"/>
                <w:color w:val="000000"/>
                <w:kern w:val="0"/>
                <w:sz w:val="22"/>
              </w:rPr>
            </w:pPr>
            <w:r>
              <w:rPr>
                <w:rFonts w:cs="宋体"/>
                <w:color w:val="000000"/>
                <w:kern w:val="0"/>
                <w:sz w:val="22"/>
              </w:rPr>
              <w:t>材质要求：椅背和椅座采用呼吸性网布，扶手和椅架采用优质塑料或金属材质</w:t>
            </w:r>
            <w:r>
              <w:rPr>
                <w:rFonts w:cs="宋体"/>
                <w:color w:val="000000"/>
                <w:kern w:val="0"/>
                <w:sz w:val="22"/>
              </w:rPr>
              <w:br w:type="textWrapping"/>
            </w:r>
            <w:r>
              <w:rPr>
                <w:rFonts w:cs="宋体"/>
                <w:color w:val="000000"/>
                <w:kern w:val="0"/>
                <w:sz w:val="22"/>
              </w:rPr>
              <w:t>承重要求：承重能力不低于100公斤</w:t>
            </w:r>
            <w:r>
              <w:rPr>
                <w:rFonts w:cs="宋体"/>
                <w:color w:val="000000"/>
                <w:kern w:val="0"/>
                <w:sz w:val="22"/>
              </w:rPr>
              <w:br w:type="textWrapping"/>
            </w:r>
            <w:r>
              <w:rPr>
                <w:rFonts w:cs="宋体"/>
                <w:color w:val="000000"/>
                <w:kern w:val="0"/>
                <w:sz w:val="22"/>
              </w:rPr>
              <w:t>颜色要求：以黑色或灰色为主，可根据实际需求适当调整；</w:t>
            </w:r>
            <w:r>
              <w:rPr>
                <w:rFonts w:cs="宋体"/>
                <w:color w:val="000000"/>
                <w:kern w:val="0"/>
                <w:sz w:val="22"/>
              </w:rPr>
              <w:br w:type="textWrapping"/>
            </w:r>
            <w:r>
              <w:rPr>
                <w:rFonts w:cs="宋体"/>
                <w:color w:val="000000"/>
                <w:kern w:val="0"/>
                <w:sz w:val="22"/>
              </w:rPr>
              <w:t>固定高度：椅子高度固定为标准办公桌适宜的高度；</w:t>
            </w:r>
            <w:r>
              <w:rPr>
                <w:rFonts w:cs="宋体"/>
                <w:color w:val="000000"/>
                <w:kern w:val="0"/>
                <w:sz w:val="22"/>
              </w:rPr>
              <w:br w:type="textWrapping"/>
            </w:r>
            <w:r>
              <w:rPr>
                <w:rFonts w:cs="宋体"/>
                <w:color w:val="000000"/>
                <w:kern w:val="0"/>
                <w:sz w:val="22"/>
              </w:rPr>
              <w:t>扶手：带有固定高度的扶手，提供舒适的扶手支撑；</w:t>
            </w:r>
            <w:r>
              <w:rPr>
                <w:rFonts w:cs="宋体"/>
                <w:color w:val="000000"/>
                <w:kern w:val="0"/>
                <w:sz w:val="22"/>
              </w:rPr>
              <w:br w:type="textWrapping"/>
            </w:r>
            <w:r>
              <w:rPr>
                <w:rFonts w:cs="宋体"/>
                <w:color w:val="000000"/>
                <w:kern w:val="0"/>
                <w:sz w:val="22"/>
              </w:rPr>
              <w:t>倾斜功能：座椅背倾斜角度可调节，以提供适宜的坐姿；</w:t>
            </w:r>
            <w:r>
              <w:rPr>
                <w:rFonts w:cs="宋体"/>
                <w:color w:val="000000"/>
                <w:kern w:val="0"/>
                <w:sz w:val="22"/>
              </w:rPr>
              <w:br w:type="textWrapping"/>
            </w:r>
            <w:r>
              <w:rPr>
                <w:rFonts w:cs="宋体"/>
                <w:color w:val="000000"/>
                <w:kern w:val="0"/>
                <w:sz w:val="22"/>
              </w:rPr>
              <w:t>座椅的坐感：提供舒适的座椅感觉，适当柔软但不影响支撑</w:t>
            </w:r>
            <w:r>
              <w:rPr>
                <w:rFonts w:cs="宋体"/>
                <w:color w:val="000000"/>
                <w:kern w:val="0"/>
                <w:sz w:val="22"/>
              </w:rPr>
              <w:br w:type="textWrapping"/>
            </w:r>
            <w:r>
              <w:rPr>
                <w:rFonts w:cs="宋体"/>
                <w:color w:val="000000"/>
                <w:kern w:val="0"/>
                <w:sz w:val="22"/>
              </w:rPr>
              <w:t>腰部支持：提供良好的腰部支持，避免腰部不适</w:t>
            </w:r>
            <w:r>
              <w:rPr>
                <w:rFonts w:cs="宋体"/>
                <w:color w:val="000000"/>
                <w:kern w:val="0"/>
                <w:sz w:val="22"/>
              </w:rPr>
              <w:br w:type="textWrapping"/>
            </w:r>
            <w:r>
              <w:rPr>
                <w:rFonts w:cs="宋体"/>
                <w:color w:val="000000"/>
                <w:kern w:val="0"/>
                <w:sz w:val="22"/>
              </w:rPr>
              <w:t>耐久性和质量要求：使用寿命不低于5年，材料具有良好的耐磨性和耐用性，高品质的椅架和底座设计，确保稳定性和耐用性，保修期不低于2年</w:t>
            </w:r>
          </w:p>
        </w:tc>
        <w:tc>
          <w:tcPr>
            <w:tcW w:w="216" w:type="pct"/>
            <w:tcBorders>
              <w:top w:val="nil"/>
              <w:left w:val="nil"/>
              <w:bottom w:val="single" w:color="auto" w:sz="4" w:space="0"/>
              <w:right w:val="single" w:color="auto" w:sz="4" w:space="0"/>
            </w:tcBorders>
            <w:vAlign w:val="center"/>
          </w:tcPr>
          <w:p w14:paraId="1FECB088">
            <w:pPr>
              <w:widowControl/>
              <w:spacing w:line="240" w:lineRule="auto"/>
              <w:jc w:val="center"/>
              <w:rPr>
                <w:rFonts w:hint="eastAsia" w:cs="宋体"/>
                <w:color w:val="000000"/>
                <w:kern w:val="0"/>
                <w:sz w:val="22"/>
              </w:rPr>
            </w:pPr>
            <w:r>
              <w:rPr>
                <w:rFonts w:cs="宋体"/>
                <w:color w:val="000000"/>
                <w:kern w:val="0"/>
                <w:sz w:val="22"/>
              </w:rPr>
              <w:t>把</w:t>
            </w:r>
          </w:p>
        </w:tc>
        <w:tc>
          <w:tcPr>
            <w:tcW w:w="202" w:type="pct"/>
            <w:tcBorders>
              <w:top w:val="nil"/>
              <w:left w:val="nil"/>
              <w:bottom w:val="single" w:color="auto" w:sz="4" w:space="0"/>
              <w:right w:val="single" w:color="auto" w:sz="4" w:space="0"/>
            </w:tcBorders>
            <w:vAlign w:val="center"/>
          </w:tcPr>
          <w:p w14:paraId="563D203B">
            <w:pPr>
              <w:widowControl/>
              <w:spacing w:line="240" w:lineRule="auto"/>
              <w:jc w:val="center"/>
              <w:rPr>
                <w:rFonts w:hint="eastAsia" w:cs="宋体"/>
                <w:color w:val="000000"/>
                <w:kern w:val="0"/>
                <w:sz w:val="22"/>
              </w:rPr>
            </w:pPr>
            <w:r>
              <w:rPr>
                <w:rFonts w:cs="宋体"/>
                <w:color w:val="000000"/>
                <w:kern w:val="0"/>
                <w:sz w:val="22"/>
              </w:rPr>
              <w:t>8</w:t>
            </w:r>
          </w:p>
        </w:tc>
      </w:tr>
      <w:tr w14:paraId="1D8EDB15">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615B3669">
            <w:pPr>
              <w:widowControl/>
              <w:spacing w:line="240" w:lineRule="auto"/>
              <w:jc w:val="center"/>
              <w:rPr>
                <w:rFonts w:hint="eastAsia" w:cs="宋体"/>
                <w:color w:val="000000"/>
                <w:kern w:val="0"/>
                <w:sz w:val="22"/>
              </w:rPr>
            </w:pPr>
            <w:r>
              <w:rPr>
                <w:rFonts w:cs="宋体"/>
                <w:color w:val="000000"/>
                <w:kern w:val="0"/>
                <w:sz w:val="22"/>
              </w:rPr>
              <w:t>98</w:t>
            </w:r>
          </w:p>
        </w:tc>
        <w:tc>
          <w:tcPr>
            <w:tcW w:w="152" w:type="pct"/>
            <w:vMerge w:val="continue"/>
            <w:tcBorders>
              <w:top w:val="nil"/>
              <w:left w:val="single" w:color="auto" w:sz="4" w:space="0"/>
              <w:bottom w:val="single" w:color="000000" w:sz="4" w:space="0"/>
              <w:right w:val="single" w:color="auto" w:sz="4" w:space="0"/>
            </w:tcBorders>
            <w:vAlign w:val="center"/>
          </w:tcPr>
          <w:p w14:paraId="03433E08">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45AF61E4">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744B4F61">
            <w:pPr>
              <w:widowControl/>
              <w:spacing w:line="240" w:lineRule="auto"/>
              <w:rPr>
                <w:rFonts w:hint="eastAsia" w:cs="宋体"/>
                <w:color w:val="000000"/>
                <w:kern w:val="0"/>
                <w:sz w:val="22"/>
              </w:rPr>
            </w:pPr>
            <w:r>
              <w:rPr>
                <w:rFonts w:cs="宋体"/>
                <w:color w:val="000000"/>
                <w:kern w:val="0"/>
                <w:sz w:val="22"/>
              </w:rPr>
              <w:t>手提灭火器</w:t>
            </w:r>
          </w:p>
        </w:tc>
        <w:tc>
          <w:tcPr>
            <w:tcW w:w="3643" w:type="pct"/>
            <w:tcBorders>
              <w:top w:val="nil"/>
              <w:left w:val="nil"/>
              <w:bottom w:val="single" w:color="auto" w:sz="4" w:space="0"/>
              <w:right w:val="single" w:color="auto" w:sz="4" w:space="0"/>
            </w:tcBorders>
            <w:vAlign w:val="center"/>
          </w:tcPr>
          <w:p w14:paraId="08312E22">
            <w:pPr>
              <w:widowControl/>
              <w:spacing w:line="240" w:lineRule="auto"/>
              <w:rPr>
                <w:rFonts w:hint="eastAsia" w:cs="宋体"/>
                <w:color w:val="000000"/>
                <w:kern w:val="0"/>
                <w:sz w:val="22"/>
              </w:rPr>
            </w:pPr>
            <w:r>
              <w:rPr>
                <w:rFonts w:cs="宋体"/>
                <w:color w:val="000000"/>
                <w:kern w:val="0"/>
                <w:sz w:val="22"/>
              </w:rPr>
              <w:t>3KG手提式二氧化碳灭火器，含灭火器箱</w:t>
            </w:r>
          </w:p>
        </w:tc>
        <w:tc>
          <w:tcPr>
            <w:tcW w:w="216" w:type="pct"/>
            <w:tcBorders>
              <w:top w:val="nil"/>
              <w:left w:val="nil"/>
              <w:bottom w:val="single" w:color="auto" w:sz="4" w:space="0"/>
              <w:right w:val="single" w:color="auto" w:sz="4" w:space="0"/>
            </w:tcBorders>
            <w:vAlign w:val="center"/>
          </w:tcPr>
          <w:p w14:paraId="61C3856C">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24E26D7B">
            <w:pPr>
              <w:widowControl/>
              <w:spacing w:line="240" w:lineRule="auto"/>
              <w:jc w:val="center"/>
              <w:rPr>
                <w:rFonts w:hint="eastAsia" w:cs="宋体"/>
                <w:color w:val="000000"/>
                <w:kern w:val="0"/>
                <w:sz w:val="22"/>
              </w:rPr>
            </w:pPr>
            <w:r>
              <w:rPr>
                <w:rFonts w:cs="宋体"/>
                <w:color w:val="000000"/>
                <w:kern w:val="0"/>
                <w:sz w:val="22"/>
              </w:rPr>
              <w:t>2</w:t>
            </w:r>
          </w:p>
        </w:tc>
      </w:tr>
      <w:tr w14:paraId="05907717">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C776E7A">
            <w:pPr>
              <w:widowControl/>
              <w:spacing w:line="240" w:lineRule="auto"/>
              <w:jc w:val="center"/>
              <w:rPr>
                <w:rFonts w:hint="eastAsia" w:cs="宋体"/>
                <w:color w:val="000000"/>
                <w:kern w:val="0"/>
                <w:sz w:val="22"/>
              </w:rPr>
            </w:pPr>
            <w:r>
              <w:rPr>
                <w:rFonts w:cs="宋体"/>
                <w:color w:val="000000"/>
                <w:kern w:val="0"/>
                <w:sz w:val="22"/>
              </w:rPr>
              <w:t>99</w:t>
            </w:r>
          </w:p>
        </w:tc>
        <w:tc>
          <w:tcPr>
            <w:tcW w:w="152" w:type="pct"/>
            <w:vMerge w:val="restart"/>
            <w:tcBorders>
              <w:top w:val="nil"/>
              <w:left w:val="single" w:color="auto" w:sz="4" w:space="0"/>
              <w:bottom w:val="single" w:color="000000" w:sz="4" w:space="0"/>
              <w:right w:val="single" w:color="auto" w:sz="4" w:space="0"/>
            </w:tcBorders>
            <w:vAlign w:val="center"/>
          </w:tcPr>
          <w:p w14:paraId="5CD5FA7C">
            <w:pPr>
              <w:widowControl/>
              <w:spacing w:line="240" w:lineRule="auto"/>
              <w:jc w:val="center"/>
              <w:rPr>
                <w:rFonts w:hint="eastAsia" w:cs="宋体"/>
                <w:color w:val="000000"/>
                <w:kern w:val="0"/>
                <w:sz w:val="22"/>
              </w:rPr>
            </w:pPr>
            <w:r>
              <w:rPr>
                <w:rFonts w:cs="宋体"/>
                <w:color w:val="000000"/>
                <w:kern w:val="0"/>
                <w:sz w:val="22"/>
              </w:rPr>
              <w:t>分局-机房装修</w:t>
            </w:r>
          </w:p>
        </w:tc>
        <w:tc>
          <w:tcPr>
            <w:tcW w:w="331" w:type="pct"/>
            <w:vMerge w:val="restart"/>
            <w:tcBorders>
              <w:top w:val="nil"/>
              <w:left w:val="single" w:color="auto" w:sz="4" w:space="0"/>
              <w:bottom w:val="single" w:color="000000" w:sz="4" w:space="0"/>
              <w:right w:val="single" w:color="auto" w:sz="4" w:space="0"/>
            </w:tcBorders>
            <w:vAlign w:val="center"/>
          </w:tcPr>
          <w:p w14:paraId="17F761C8">
            <w:pPr>
              <w:widowControl/>
              <w:spacing w:line="240" w:lineRule="auto"/>
              <w:jc w:val="center"/>
              <w:rPr>
                <w:rFonts w:hint="eastAsia" w:cs="宋体"/>
                <w:color w:val="000000"/>
                <w:kern w:val="0"/>
                <w:sz w:val="22"/>
              </w:rPr>
            </w:pPr>
            <w:r>
              <w:rPr>
                <w:rFonts w:cs="宋体"/>
                <w:color w:val="000000"/>
                <w:kern w:val="0"/>
                <w:sz w:val="22"/>
              </w:rPr>
              <w:t>建筑与装饰工程</w:t>
            </w:r>
          </w:p>
        </w:tc>
        <w:tc>
          <w:tcPr>
            <w:tcW w:w="202" w:type="pct"/>
            <w:tcBorders>
              <w:top w:val="nil"/>
              <w:left w:val="nil"/>
              <w:bottom w:val="single" w:color="auto" w:sz="4" w:space="0"/>
              <w:right w:val="single" w:color="auto" w:sz="4" w:space="0"/>
            </w:tcBorders>
            <w:vAlign w:val="center"/>
          </w:tcPr>
          <w:p w14:paraId="086EFD5E">
            <w:pPr>
              <w:widowControl/>
              <w:spacing w:line="240" w:lineRule="auto"/>
              <w:rPr>
                <w:rFonts w:hint="eastAsia" w:cs="宋体"/>
                <w:color w:val="000000"/>
                <w:kern w:val="0"/>
                <w:sz w:val="22"/>
              </w:rPr>
            </w:pPr>
            <w:r>
              <w:rPr>
                <w:rFonts w:cs="宋体"/>
                <w:color w:val="000000"/>
                <w:kern w:val="0"/>
                <w:sz w:val="22"/>
              </w:rPr>
              <w:t>拆除</w:t>
            </w:r>
          </w:p>
        </w:tc>
        <w:tc>
          <w:tcPr>
            <w:tcW w:w="3643" w:type="pct"/>
            <w:tcBorders>
              <w:top w:val="nil"/>
              <w:left w:val="nil"/>
              <w:bottom w:val="single" w:color="auto" w:sz="4" w:space="0"/>
              <w:right w:val="single" w:color="auto" w:sz="4" w:space="0"/>
            </w:tcBorders>
            <w:vAlign w:val="center"/>
          </w:tcPr>
          <w:p w14:paraId="24FAAC1B">
            <w:pPr>
              <w:widowControl/>
              <w:spacing w:line="240" w:lineRule="auto"/>
              <w:rPr>
                <w:rFonts w:hint="eastAsia" w:cs="宋体"/>
                <w:color w:val="000000"/>
                <w:kern w:val="0"/>
                <w:sz w:val="22"/>
              </w:rPr>
            </w:pPr>
            <w:r>
              <w:rPr>
                <w:rFonts w:cs="宋体"/>
                <w:color w:val="000000"/>
                <w:kern w:val="0"/>
                <w:sz w:val="22"/>
              </w:rPr>
              <w:t>1.原有装修拆除、垃圾清运至指定地点，可利旧设备回库盘点</w:t>
            </w:r>
          </w:p>
        </w:tc>
        <w:tc>
          <w:tcPr>
            <w:tcW w:w="216" w:type="pct"/>
            <w:tcBorders>
              <w:top w:val="nil"/>
              <w:left w:val="nil"/>
              <w:bottom w:val="single" w:color="auto" w:sz="4" w:space="0"/>
              <w:right w:val="single" w:color="auto" w:sz="4" w:space="0"/>
            </w:tcBorders>
            <w:vAlign w:val="center"/>
          </w:tcPr>
          <w:p w14:paraId="3FA9610C">
            <w:pPr>
              <w:widowControl/>
              <w:spacing w:line="240" w:lineRule="auto"/>
              <w:jc w:val="center"/>
              <w:rPr>
                <w:rFonts w:hint="eastAsia" w:cs="宋体"/>
                <w:color w:val="000000"/>
                <w:kern w:val="0"/>
                <w:sz w:val="22"/>
              </w:rPr>
            </w:pPr>
            <w:r>
              <w:rPr>
                <w:rFonts w:cs="宋体"/>
                <w:color w:val="000000"/>
                <w:kern w:val="0"/>
                <w:sz w:val="22"/>
              </w:rPr>
              <w:t>项</w:t>
            </w:r>
          </w:p>
        </w:tc>
        <w:tc>
          <w:tcPr>
            <w:tcW w:w="202" w:type="pct"/>
            <w:tcBorders>
              <w:top w:val="nil"/>
              <w:left w:val="nil"/>
              <w:bottom w:val="single" w:color="auto" w:sz="4" w:space="0"/>
              <w:right w:val="single" w:color="auto" w:sz="4" w:space="0"/>
            </w:tcBorders>
            <w:vAlign w:val="center"/>
          </w:tcPr>
          <w:p w14:paraId="5FFCF002">
            <w:pPr>
              <w:widowControl/>
              <w:spacing w:line="240" w:lineRule="auto"/>
              <w:jc w:val="center"/>
              <w:rPr>
                <w:rFonts w:hint="eastAsia" w:cs="宋体"/>
                <w:color w:val="000000"/>
                <w:kern w:val="0"/>
                <w:sz w:val="22"/>
              </w:rPr>
            </w:pPr>
            <w:r>
              <w:rPr>
                <w:rFonts w:cs="宋体"/>
                <w:color w:val="000000"/>
                <w:kern w:val="0"/>
                <w:sz w:val="22"/>
              </w:rPr>
              <w:t>1</w:t>
            </w:r>
          </w:p>
        </w:tc>
      </w:tr>
      <w:tr w14:paraId="2F0E7214">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2355239">
            <w:pPr>
              <w:widowControl/>
              <w:spacing w:line="240" w:lineRule="auto"/>
              <w:jc w:val="center"/>
              <w:rPr>
                <w:rFonts w:hint="eastAsia" w:cs="宋体"/>
                <w:color w:val="000000"/>
                <w:kern w:val="0"/>
                <w:sz w:val="22"/>
              </w:rPr>
            </w:pPr>
            <w:r>
              <w:rPr>
                <w:rFonts w:cs="宋体"/>
                <w:color w:val="000000"/>
                <w:kern w:val="0"/>
                <w:sz w:val="22"/>
              </w:rPr>
              <w:t>100</w:t>
            </w:r>
          </w:p>
        </w:tc>
        <w:tc>
          <w:tcPr>
            <w:tcW w:w="152" w:type="pct"/>
            <w:vMerge w:val="continue"/>
            <w:tcBorders>
              <w:top w:val="nil"/>
              <w:left w:val="single" w:color="auto" w:sz="4" w:space="0"/>
              <w:bottom w:val="single" w:color="000000" w:sz="4" w:space="0"/>
              <w:right w:val="single" w:color="auto" w:sz="4" w:space="0"/>
            </w:tcBorders>
            <w:vAlign w:val="center"/>
          </w:tcPr>
          <w:p w14:paraId="22A01645">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72832C6E">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D4C7039">
            <w:pPr>
              <w:widowControl/>
              <w:spacing w:line="240" w:lineRule="auto"/>
              <w:rPr>
                <w:rFonts w:hint="eastAsia" w:cs="宋体"/>
                <w:color w:val="000000"/>
                <w:kern w:val="0"/>
                <w:sz w:val="22"/>
              </w:rPr>
            </w:pPr>
            <w:r>
              <w:rPr>
                <w:rFonts w:cs="宋体"/>
                <w:color w:val="000000"/>
                <w:kern w:val="0"/>
                <w:sz w:val="22"/>
              </w:rPr>
              <w:t>抹灰面油漆</w:t>
            </w:r>
          </w:p>
        </w:tc>
        <w:tc>
          <w:tcPr>
            <w:tcW w:w="3643" w:type="pct"/>
            <w:tcBorders>
              <w:top w:val="nil"/>
              <w:left w:val="nil"/>
              <w:bottom w:val="single" w:color="auto" w:sz="4" w:space="0"/>
              <w:right w:val="single" w:color="auto" w:sz="4" w:space="0"/>
            </w:tcBorders>
            <w:vAlign w:val="center"/>
          </w:tcPr>
          <w:p w14:paraId="687A02B6">
            <w:pPr>
              <w:widowControl/>
              <w:spacing w:line="240" w:lineRule="auto"/>
              <w:rPr>
                <w:rFonts w:hint="eastAsia" w:cs="宋体"/>
                <w:color w:val="000000"/>
                <w:kern w:val="0"/>
                <w:sz w:val="22"/>
              </w:rPr>
            </w:pPr>
            <w:r>
              <w:rPr>
                <w:rFonts w:cs="宋体"/>
                <w:color w:val="000000"/>
                <w:kern w:val="0"/>
                <w:sz w:val="22"/>
              </w:rPr>
              <w:t>1.油漆品种、刷漆遍数:三遍粉刷腻子罩面乳胶漆饰面</w:t>
            </w:r>
            <w:r>
              <w:rPr>
                <w:rFonts w:cs="宋体"/>
                <w:color w:val="000000"/>
                <w:kern w:val="0"/>
                <w:sz w:val="22"/>
              </w:rPr>
              <w:br w:type="textWrapping"/>
            </w:r>
            <w:r>
              <w:rPr>
                <w:rFonts w:cs="宋体"/>
                <w:color w:val="000000"/>
                <w:kern w:val="0"/>
                <w:sz w:val="22"/>
              </w:rPr>
              <w:t>2.部位:内墙面</w:t>
            </w:r>
          </w:p>
        </w:tc>
        <w:tc>
          <w:tcPr>
            <w:tcW w:w="216" w:type="pct"/>
            <w:tcBorders>
              <w:top w:val="nil"/>
              <w:left w:val="nil"/>
              <w:bottom w:val="single" w:color="auto" w:sz="4" w:space="0"/>
              <w:right w:val="single" w:color="auto" w:sz="4" w:space="0"/>
            </w:tcBorders>
            <w:vAlign w:val="center"/>
          </w:tcPr>
          <w:p w14:paraId="2BC6EF50">
            <w:pPr>
              <w:widowControl/>
              <w:spacing w:line="240" w:lineRule="auto"/>
              <w:jc w:val="center"/>
              <w:rPr>
                <w:rFonts w:hint="eastAsia" w:cs="宋体"/>
                <w:color w:val="000000"/>
                <w:kern w:val="0"/>
                <w:sz w:val="22"/>
              </w:rPr>
            </w:pPr>
            <w:r>
              <w:rPr>
                <w:rFonts w:cs="宋体"/>
                <w:color w:val="000000"/>
                <w:kern w:val="0"/>
                <w:sz w:val="22"/>
              </w:rPr>
              <w:t>m2</w:t>
            </w:r>
          </w:p>
        </w:tc>
        <w:tc>
          <w:tcPr>
            <w:tcW w:w="202" w:type="pct"/>
            <w:tcBorders>
              <w:top w:val="nil"/>
              <w:left w:val="nil"/>
              <w:bottom w:val="single" w:color="auto" w:sz="4" w:space="0"/>
              <w:right w:val="single" w:color="auto" w:sz="4" w:space="0"/>
            </w:tcBorders>
            <w:vAlign w:val="center"/>
          </w:tcPr>
          <w:p w14:paraId="09D798D2">
            <w:pPr>
              <w:widowControl/>
              <w:spacing w:line="240" w:lineRule="auto"/>
              <w:jc w:val="center"/>
              <w:rPr>
                <w:rFonts w:hint="eastAsia" w:cs="宋体"/>
                <w:color w:val="000000"/>
                <w:kern w:val="0"/>
                <w:sz w:val="22"/>
              </w:rPr>
            </w:pPr>
            <w:r>
              <w:rPr>
                <w:rFonts w:cs="宋体"/>
                <w:color w:val="000000"/>
                <w:kern w:val="0"/>
                <w:sz w:val="22"/>
              </w:rPr>
              <w:t>55</w:t>
            </w:r>
          </w:p>
        </w:tc>
      </w:tr>
      <w:tr w14:paraId="4CCBA5BE">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83B2F2C">
            <w:pPr>
              <w:widowControl/>
              <w:spacing w:line="240" w:lineRule="auto"/>
              <w:jc w:val="center"/>
              <w:rPr>
                <w:rFonts w:hint="eastAsia" w:cs="宋体"/>
                <w:color w:val="000000"/>
                <w:kern w:val="0"/>
                <w:sz w:val="22"/>
              </w:rPr>
            </w:pPr>
            <w:r>
              <w:rPr>
                <w:rFonts w:cs="宋体"/>
                <w:color w:val="000000"/>
                <w:kern w:val="0"/>
                <w:sz w:val="22"/>
              </w:rPr>
              <w:t>101</w:t>
            </w:r>
          </w:p>
        </w:tc>
        <w:tc>
          <w:tcPr>
            <w:tcW w:w="152" w:type="pct"/>
            <w:vMerge w:val="continue"/>
            <w:tcBorders>
              <w:top w:val="nil"/>
              <w:left w:val="single" w:color="auto" w:sz="4" w:space="0"/>
              <w:bottom w:val="single" w:color="000000" w:sz="4" w:space="0"/>
              <w:right w:val="single" w:color="auto" w:sz="4" w:space="0"/>
            </w:tcBorders>
            <w:vAlign w:val="center"/>
          </w:tcPr>
          <w:p w14:paraId="718D96E1">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5FE22528">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1B84D45">
            <w:pPr>
              <w:widowControl/>
              <w:spacing w:line="240" w:lineRule="auto"/>
              <w:rPr>
                <w:rFonts w:hint="eastAsia" w:cs="宋体"/>
                <w:color w:val="000000"/>
                <w:kern w:val="0"/>
                <w:sz w:val="22"/>
              </w:rPr>
            </w:pPr>
            <w:r>
              <w:rPr>
                <w:rFonts w:cs="宋体"/>
                <w:color w:val="000000"/>
                <w:kern w:val="0"/>
                <w:sz w:val="22"/>
              </w:rPr>
              <w:t>吊顶天棚</w:t>
            </w:r>
          </w:p>
        </w:tc>
        <w:tc>
          <w:tcPr>
            <w:tcW w:w="3643" w:type="pct"/>
            <w:tcBorders>
              <w:top w:val="nil"/>
              <w:left w:val="nil"/>
              <w:bottom w:val="single" w:color="auto" w:sz="4" w:space="0"/>
              <w:right w:val="single" w:color="auto" w:sz="4" w:space="0"/>
            </w:tcBorders>
            <w:vAlign w:val="center"/>
          </w:tcPr>
          <w:p w14:paraId="16790C76">
            <w:pPr>
              <w:widowControl/>
              <w:spacing w:line="240" w:lineRule="auto"/>
              <w:rPr>
                <w:rFonts w:hint="eastAsia" w:cs="宋体"/>
                <w:color w:val="000000"/>
                <w:kern w:val="0"/>
                <w:sz w:val="22"/>
              </w:rPr>
            </w:pPr>
            <w:r>
              <w:rPr>
                <w:rFonts w:cs="宋体"/>
                <w:color w:val="000000"/>
                <w:kern w:val="0"/>
                <w:sz w:val="22"/>
              </w:rPr>
              <w:t>1.龙骨材料种类、规格、中距：轻钢龙骨</w:t>
            </w:r>
            <w:r>
              <w:rPr>
                <w:rFonts w:cs="宋体"/>
                <w:color w:val="000000"/>
                <w:kern w:val="0"/>
                <w:sz w:val="22"/>
              </w:rPr>
              <w:br w:type="textWrapping"/>
            </w:r>
            <w:r>
              <w:rPr>
                <w:rFonts w:cs="宋体"/>
                <w:color w:val="000000"/>
                <w:kern w:val="0"/>
                <w:sz w:val="22"/>
              </w:rPr>
              <w:t>2.面层 材料品种、规格：微孔铝吊顶</w:t>
            </w:r>
            <w:r>
              <w:rPr>
                <w:rFonts w:cs="宋体"/>
                <w:color w:val="000000"/>
                <w:kern w:val="0"/>
                <w:sz w:val="22"/>
              </w:rPr>
              <w:br w:type="textWrapping"/>
            </w:r>
            <w:r>
              <w:rPr>
                <w:rFonts w:cs="宋体"/>
                <w:color w:val="000000"/>
                <w:kern w:val="0"/>
                <w:sz w:val="22"/>
              </w:rPr>
              <w:t>3.机房吊顶</w:t>
            </w:r>
          </w:p>
        </w:tc>
        <w:tc>
          <w:tcPr>
            <w:tcW w:w="216" w:type="pct"/>
            <w:tcBorders>
              <w:top w:val="nil"/>
              <w:left w:val="nil"/>
              <w:bottom w:val="single" w:color="auto" w:sz="4" w:space="0"/>
              <w:right w:val="single" w:color="auto" w:sz="4" w:space="0"/>
            </w:tcBorders>
            <w:vAlign w:val="center"/>
          </w:tcPr>
          <w:p w14:paraId="3CDFCDC8">
            <w:pPr>
              <w:widowControl/>
              <w:spacing w:line="240" w:lineRule="auto"/>
              <w:jc w:val="center"/>
              <w:rPr>
                <w:rFonts w:hint="eastAsia" w:cs="宋体"/>
                <w:color w:val="000000"/>
                <w:kern w:val="0"/>
                <w:sz w:val="22"/>
              </w:rPr>
            </w:pPr>
            <w:r>
              <w:rPr>
                <w:rFonts w:cs="宋体"/>
                <w:color w:val="000000"/>
                <w:kern w:val="0"/>
                <w:sz w:val="22"/>
              </w:rPr>
              <w:t>m2</w:t>
            </w:r>
          </w:p>
        </w:tc>
        <w:tc>
          <w:tcPr>
            <w:tcW w:w="202" w:type="pct"/>
            <w:tcBorders>
              <w:top w:val="nil"/>
              <w:left w:val="nil"/>
              <w:bottom w:val="single" w:color="auto" w:sz="4" w:space="0"/>
              <w:right w:val="single" w:color="auto" w:sz="4" w:space="0"/>
            </w:tcBorders>
            <w:vAlign w:val="center"/>
          </w:tcPr>
          <w:p w14:paraId="70E64400">
            <w:pPr>
              <w:widowControl/>
              <w:spacing w:line="240" w:lineRule="auto"/>
              <w:jc w:val="center"/>
              <w:rPr>
                <w:rFonts w:hint="eastAsia" w:cs="宋体"/>
                <w:color w:val="000000"/>
                <w:kern w:val="0"/>
                <w:sz w:val="22"/>
              </w:rPr>
            </w:pPr>
            <w:r>
              <w:rPr>
                <w:rFonts w:cs="宋体"/>
                <w:color w:val="000000"/>
                <w:kern w:val="0"/>
                <w:sz w:val="22"/>
              </w:rPr>
              <w:t>64</w:t>
            </w:r>
          </w:p>
        </w:tc>
      </w:tr>
      <w:tr w14:paraId="445D13FF">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3BA239AC">
            <w:pPr>
              <w:widowControl/>
              <w:spacing w:line="240" w:lineRule="auto"/>
              <w:jc w:val="center"/>
              <w:rPr>
                <w:rFonts w:hint="eastAsia" w:cs="宋体"/>
                <w:color w:val="000000"/>
                <w:kern w:val="0"/>
                <w:sz w:val="22"/>
              </w:rPr>
            </w:pPr>
            <w:r>
              <w:rPr>
                <w:rFonts w:cs="宋体"/>
                <w:color w:val="000000"/>
                <w:kern w:val="0"/>
                <w:sz w:val="22"/>
              </w:rPr>
              <w:t>102</w:t>
            </w:r>
          </w:p>
        </w:tc>
        <w:tc>
          <w:tcPr>
            <w:tcW w:w="152" w:type="pct"/>
            <w:vMerge w:val="continue"/>
            <w:tcBorders>
              <w:top w:val="nil"/>
              <w:left w:val="single" w:color="auto" w:sz="4" w:space="0"/>
              <w:bottom w:val="single" w:color="000000" w:sz="4" w:space="0"/>
              <w:right w:val="single" w:color="auto" w:sz="4" w:space="0"/>
            </w:tcBorders>
            <w:vAlign w:val="center"/>
          </w:tcPr>
          <w:p w14:paraId="598B588B">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51D0BD43">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4FF99B57">
            <w:pPr>
              <w:widowControl/>
              <w:spacing w:line="240" w:lineRule="auto"/>
              <w:rPr>
                <w:rFonts w:hint="eastAsia" w:cs="宋体"/>
                <w:color w:val="000000"/>
                <w:kern w:val="0"/>
                <w:sz w:val="22"/>
              </w:rPr>
            </w:pPr>
            <w:r>
              <w:rPr>
                <w:rFonts w:cs="宋体"/>
                <w:color w:val="000000"/>
                <w:kern w:val="0"/>
                <w:sz w:val="22"/>
              </w:rPr>
              <w:t>抹灰面油漆</w:t>
            </w:r>
          </w:p>
        </w:tc>
        <w:tc>
          <w:tcPr>
            <w:tcW w:w="3643" w:type="pct"/>
            <w:tcBorders>
              <w:top w:val="nil"/>
              <w:left w:val="nil"/>
              <w:bottom w:val="single" w:color="auto" w:sz="4" w:space="0"/>
              <w:right w:val="single" w:color="auto" w:sz="4" w:space="0"/>
            </w:tcBorders>
            <w:vAlign w:val="center"/>
          </w:tcPr>
          <w:p w14:paraId="35C936F1">
            <w:pPr>
              <w:widowControl/>
              <w:spacing w:line="240" w:lineRule="auto"/>
              <w:rPr>
                <w:rFonts w:hint="eastAsia" w:cs="宋体"/>
                <w:color w:val="000000"/>
                <w:kern w:val="0"/>
                <w:sz w:val="22"/>
              </w:rPr>
            </w:pPr>
            <w:r>
              <w:rPr>
                <w:rFonts w:cs="宋体"/>
                <w:color w:val="000000"/>
                <w:kern w:val="0"/>
                <w:sz w:val="22"/>
              </w:rPr>
              <w:t>1.涂刷两遍横竖交错</w:t>
            </w:r>
            <w:r>
              <w:rPr>
                <w:rFonts w:cs="宋体"/>
                <w:color w:val="000000"/>
                <w:kern w:val="0"/>
                <w:sz w:val="22"/>
              </w:rPr>
              <w:br w:type="textWrapping"/>
            </w:r>
            <w:r>
              <w:rPr>
                <w:rFonts w:cs="宋体"/>
                <w:color w:val="000000"/>
                <w:kern w:val="0"/>
                <w:sz w:val="22"/>
              </w:rPr>
              <w:t>2.顶面防尘漆</w:t>
            </w:r>
          </w:p>
        </w:tc>
        <w:tc>
          <w:tcPr>
            <w:tcW w:w="216" w:type="pct"/>
            <w:tcBorders>
              <w:top w:val="nil"/>
              <w:left w:val="nil"/>
              <w:bottom w:val="single" w:color="auto" w:sz="4" w:space="0"/>
              <w:right w:val="single" w:color="auto" w:sz="4" w:space="0"/>
            </w:tcBorders>
            <w:vAlign w:val="center"/>
          </w:tcPr>
          <w:p w14:paraId="034D8955">
            <w:pPr>
              <w:widowControl/>
              <w:spacing w:line="240" w:lineRule="auto"/>
              <w:jc w:val="center"/>
              <w:rPr>
                <w:rFonts w:hint="eastAsia" w:cs="宋体"/>
                <w:color w:val="000000"/>
                <w:kern w:val="0"/>
                <w:sz w:val="22"/>
              </w:rPr>
            </w:pPr>
            <w:r>
              <w:rPr>
                <w:rFonts w:cs="宋体"/>
                <w:color w:val="000000"/>
                <w:kern w:val="0"/>
                <w:sz w:val="22"/>
              </w:rPr>
              <w:t>m2</w:t>
            </w:r>
          </w:p>
        </w:tc>
        <w:tc>
          <w:tcPr>
            <w:tcW w:w="202" w:type="pct"/>
            <w:tcBorders>
              <w:top w:val="nil"/>
              <w:left w:val="nil"/>
              <w:bottom w:val="single" w:color="auto" w:sz="4" w:space="0"/>
              <w:right w:val="single" w:color="auto" w:sz="4" w:space="0"/>
            </w:tcBorders>
            <w:vAlign w:val="center"/>
          </w:tcPr>
          <w:p w14:paraId="509A23D2">
            <w:pPr>
              <w:widowControl/>
              <w:spacing w:line="240" w:lineRule="auto"/>
              <w:jc w:val="center"/>
              <w:rPr>
                <w:rFonts w:hint="eastAsia" w:cs="宋体"/>
                <w:color w:val="000000"/>
                <w:kern w:val="0"/>
                <w:sz w:val="22"/>
              </w:rPr>
            </w:pPr>
            <w:r>
              <w:rPr>
                <w:rFonts w:cs="宋体"/>
                <w:color w:val="000000"/>
                <w:kern w:val="0"/>
                <w:sz w:val="22"/>
              </w:rPr>
              <w:t>22</w:t>
            </w:r>
          </w:p>
        </w:tc>
      </w:tr>
      <w:tr w14:paraId="6824E241">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41D4ECE9">
            <w:pPr>
              <w:widowControl/>
              <w:spacing w:line="240" w:lineRule="auto"/>
              <w:jc w:val="center"/>
              <w:rPr>
                <w:rFonts w:hint="eastAsia" w:cs="宋体"/>
                <w:color w:val="000000"/>
                <w:kern w:val="0"/>
                <w:sz w:val="22"/>
              </w:rPr>
            </w:pPr>
            <w:r>
              <w:rPr>
                <w:rFonts w:cs="宋体"/>
                <w:color w:val="000000"/>
                <w:kern w:val="0"/>
                <w:sz w:val="22"/>
              </w:rPr>
              <w:t>103</w:t>
            </w:r>
          </w:p>
        </w:tc>
        <w:tc>
          <w:tcPr>
            <w:tcW w:w="152" w:type="pct"/>
            <w:vMerge w:val="continue"/>
            <w:tcBorders>
              <w:top w:val="nil"/>
              <w:left w:val="single" w:color="auto" w:sz="4" w:space="0"/>
              <w:bottom w:val="single" w:color="000000" w:sz="4" w:space="0"/>
              <w:right w:val="single" w:color="auto" w:sz="4" w:space="0"/>
            </w:tcBorders>
            <w:vAlign w:val="center"/>
          </w:tcPr>
          <w:p w14:paraId="2091873B">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9FD9B15">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1333464">
            <w:pPr>
              <w:widowControl/>
              <w:spacing w:line="240" w:lineRule="auto"/>
              <w:rPr>
                <w:rFonts w:hint="eastAsia" w:cs="宋体"/>
                <w:color w:val="000000"/>
                <w:kern w:val="0"/>
                <w:sz w:val="22"/>
              </w:rPr>
            </w:pPr>
            <w:r>
              <w:rPr>
                <w:rFonts w:cs="宋体"/>
                <w:color w:val="000000"/>
                <w:kern w:val="0"/>
                <w:sz w:val="22"/>
              </w:rPr>
              <w:t>防静电活动地板</w:t>
            </w:r>
          </w:p>
        </w:tc>
        <w:tc>
          <w:tcPr>
            <w:tcW w:w="3643" w:type="pct"/>
            <w:tcBorders>
              <w:top w:val="nil"/>
              <w:left w:val="nil"/>
              <w:bottom w:val="single" w:color="auto" w:sz="4" w:space="0"/>
              <w:right w:val="single" w:color="auto" w:sz="4" w:space="0"/>
            </w:tcBorders>
            <w:vAlign w:val="center"/>
          </w:tcPr>
          <w:p w14:paraId="046DD046">
            <w:pPr>
              <w:widowControl/>
              <w:spacing w:line="240" w:lineRule="auto"/>
              <w:rPr>
                <w:rFonts w:hint="eastAsia" w:cs="宋体"/>
                <w:color w:val="000000"/>
                <w:kern w:val="0"/>
                <w:sz w:val="22"/>
              </w:rPr>
            </w:pPr>
            <w:r>
              <w:rPr>
                <w:rFonts w:cs="宋体"/>
                <w:color w:val="000000"/>
                <w:kern w:val="0"/>
                <w:sz w:val="22"/>
              </w:rPr>
              <w:t>1.钢板壳结构，水泥填充，瓷砖面</w:t>
            </w:r>
            <w:r>
              <w:rPr>
                <w:rFonts w:cs="宋体"/>
                <w:color w:val="000000"/>
                <w:kern w:val="0"/>
                <w:sz w:val="22"/>
              </w:rPr>
              <w:br w:type="textWrapping"/>
            </w:r>
            <w:r>
              <w:rPr>
                <w:rFonts w:cs="宋体"/>
                <w:color w:val="000000"/>
                <w:kern w:val="0"/>
                <w:sz w:val="22"/>
              </w:rPr>
              <w:t>2.颜色：象牙色</w:t>
            </w:r>
            <w:r>
              <w:rPr>
                <w:rFonts w:cs="宋体"/>
                <w:color w:val="000000"/>
                <w:kern w:val="0"/>
                <w:sz w:val="22"/>
              </w:rPr>
              <w:br w:type="textWrapping"/>
            </w:r>
            <w:r>
              <w:rPr>
                <w:rFonts w:cs="宋体"/>
                <w:color w:val="000000"/>
                <w:kern w:val="0"/>
                <w:sz w:val="22"/>
              </w:rPr>
              <w:t>3.规格：600*600</w:t>
            </w:r>
            <w:r>
              <w:rPr>
                <w:rFonts w:cs="宋体"/>
                <w:color w:val="000000"/>
                <w:kern w:val="0"/>
                <w:sz w:val="22"/>
              </w:rPr>
              <w:br w:type="textWrapping"/>
            </w:r>
            <w:r>
              <w:rPr>
                <w:rFonts w:cs="宋体"/>
                <w:color w:val="000000"/>
                <w:kern w:val="0"/>
                <w:sz w:val="22"/>
              </w:rPr>
              <w:t>4.高300mm</w:t>
            </w:r>
            <w:r>
              <w:rPr>
                <w:rFonts w:cs="宋体"/>
                <w:color w:val="000000"/>
                <w:kern w:val="0"/>
                <w:sz w:val="22"/>
              </w:rPr>
              <w:br w:type="textWrapping"/>
            </w:r>
            <w:r>
              <w:rPr>
                <w:rFonts w:cs="宋体"/>
                <w:color w:val="000000"/>
                <w:kern w:val="0"/>
                <w:sz w:val="22"/>
              </w:rPr>
              <w:t>5.每平米承重：＞1000KG，含地板</w:t>
            </w:r>
            <w:r>
              <w:rPr>
                <w:rFonts w:cs="宋体"/>
                <w:color w:val="000000"/>
                <w:kern w:val="0"/>
                <w:sz w:val="22"/>
              </w:rPr>
              <w:br w:type="textWrapping"/>
            </w:r>
            <w:r>
              <w:rPr>
                <w:rFonts w:cs="宋体"/>
                <w:color w:val="000000"/>
                <w:kern w:val="0"/>
                <w:sz w:val="22"/>
              </w:rPr>
              <w:t>6.静电地板</w:t>
            </w:r>
            <w:r>
              <w:rPr>
                <w:rFonts w:cs="宋体"/>
                <w:color w:val="000000"/>
                <w:kern w:val="0"/>
                <w:sz w:val="22"/>
              </w:rPr>
              <w:br w:type="textWrapping"/>
            </w:r>
            <w:r>
              <w:rPr>
                <w:rFonts w:cs="宋体"/>
                <w:color w:val="000000"/>
                <w:kern w:val="0"/>
                <w:sz w:val="22"/>
              </w:rPr>
              <w:t>7.含地板四周支撑角铁、静电泄露网、不锈钢踏步、等电位处理等</w:t>
            </w:r>
          </w:p>
        </w:tc>
        <w:tc>
          <w:tcPr>
            <w:tcW w:w="216" w:type="pct"/>
            <w:tcBorders>
              <w:top w:val="nil"/>
              <w:left w:val="nil"/>
              <w:bottom w:val="single" w:color="auto" w:sz="4" w:space="0"/>
              <w:right w:val="single" w:color="auto" w:sz="4" w:space="0"/>
            </w:tcBorders>
            <w:vAlign w:val="center"/>
          </w:tcPr>
          <w:p w14:paraId="03DBCF25">
            <w:pPr>
              <w:widowControl/>
              <w:spacing w:line="240" w:lineRule="auto"/>
              <w:jc w:val="center"/>
              <w:rPr>
                <w:rFonts w:hint="eastAsia" w:cs="宋体"/>
                <w:color w:val="000000"/>
                <w:kern w:val="0"/>
                <w:sz w:val="22"/>
              </w:rPr>
            </w:pPr>
            <w:r>
              <w:rPr>
                <w:rFonts w:cs="宋体"/>
                <w:color w:val="000000"/>
                <w:kern w:val="0"/>
                <w:sz w:val="22"/>
              </w:rPr>
              <w:t>m2</w:t>
            </w:r>
          </w:p>
        </w:tc>
        <w:tc>
          <w:tcPr>
            <w:tcW w:w="202" w:type="pct"/>
            <w:tcBorders>
              <w:top w:val="nil"/>
              <w:left w:val="nil"/>
              <w:bottom w:val="single" w:color="auto" w:sz="4" w:space="0"/>
              <w:right w:val="single" w:color="auto" w:sz="4" w:space="0"/>
            </w:tcBorders>
            <w:vAlign w:val="center"/>
          </w:tcPr>
          <w:p w14:paraId="22A67D62">
            <w:pPr>
              <w:widowControl/>
              <w:spacing w:line="240" w:lineRule="auto"/>
              <w:jc w:val="center"/>
              <w:rPr>
                <w:rFonts w:hint="eastAsia" w:cs="宋体"/>
                <w:color w:val="000000"/>
                <w:kern w:val="0"/>
                <w:sz w:val="22"/>
              </w:rPr>
            </w:pPr>
            <w:r>
              <w:rPr>
                <w:rFonts w:cs="宋体"/>
                <w:color w:val="000000"/>
                <w:kern w:val="0"/>
                <w:sz w:val="22"/>
              </w:rPr>
              <w:t>22</w:t>
            </w:r>
          </w:p>
        </w:tc>
      </w:tr>
      <w:tr w14:paraId="03BDB12A">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6A08C6A8">
            <w:pPr>
              <w:widowControl/>
              <w:spacing w:line="240" w:lineRule="auto"/>
              <w:jc w:val="center"/>
              <w:rPr>
                <w:rFonts w:hint="eastAsia" w:cs="宋体"/>
                <w:color w:val="000000"/>
                <w:kern w:val="0"/>
                <w:sz w:val="22"/>
              </w:rPr>
            </w:pPr>
            <w:r>
              <w:rPr>
                <w:rFonts w:cs="宋体"/>
                <w:color w:val="000000"/>
                <w:kern w:val="0"/>
                <w:sz w:val="22"/>
              </w:rPr>
              <w:t>104</w:t>
            </w:r>
          </w:p>
        </w:tc>
        <w:tc>
          <w:tcPr>
            <w:tcW w:w="152" w:type="pct"/>
            <w:vMerge w:val="continue"/>
            <w:tcBorders>
              <w:top w:val="nil"/>
              <w:left w:val="single" w:color="auto" w:sz="4" w:space="0"/>
              <w:bottom w:val="single" w:color="000000" w:sz="4" w:space="0"/>
              <w:right w:val="single" w:color="auto" w:sz="4" w:space="0"/>
            </w:tcBorders>
            <w:vAlign w:val="center"/>
          </w:tcPr>
          <w:p w14:paraId="6DB9FC36">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30D9403">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AF3FC41">
            <w:pPr>
              <w:widowControl/>
              <w:spacing w:line="240" w:lineRule="auto"/>
              <w:rPr>
                <w:rFonts w:hint="eastAsia" w:cs="宋体"/>
                <w:color w:val="000000"/>
                <w:kern w:val="0"/>
                <w:sz w:val="22"/>
              </w:rPr>
            </w:pPr>
            <w:r>
              <w:rPr>
                <w:rFonts w:cs="宋体"/>
                <w:color w:val="000000"/>
                <w:kern w:val="0"/>
                <w:sz w:val="22"/>
              </w:rPr>
              <w:t>窗户封堵</w:t>
            </w:r>
          </w:p>
        </w:tc>
        <w:tc>
          <w:tcPr>
            <w:tcW w:w="3643" w:type="pct"/>
            <w:tcBorders>
              <w:top w:val="nil"/>
              <w:left w:val="nil"/>
              <w:bottom w:val="single" w:color="auto" w:sz="4" w:space="0"/>
              <w:right w:val="single" w:color="auto" w:sz="4" w:space="0"/>
            </w:tcBorders>
            <w:vAlign w:val="center"/>
          </w:tcPr>
          <w:p w14:paraId="4D20EFD4">
            <w:pPr>
              <w:widowControl/>
              <w:spacing w:line="240" w:lineRule="auto"/>
              <w:rPr>
                <w:rFonts w:hint="eastAsia" w:cs="宋体"/>
                <w:color w:val="000000"/>
                <w:kern w:val="0"/>
                <w:sz w:val="22"/>
              </w:rPr>
            </w:pPr>
            <w:r>
              <w:rPr>
                <w:rFonts w:cs="宋体"/>
                <w:color w:val="000000"/>
                <w:kern w:val="0"/>
                <w:sz w:val="22"/>
              </w:rPr>
              <w:t>1.窗户封堵</w:t>
            </w:r>
            <w:r>
              <w:rPr>
                <w:rFonts w:cs="宋体"/>
                <w:color w:val="000000"/>
                <w:kern w:val="0"/>
                <w:sz w:val="22"/>
              </w:rPr>
              <w:br w:type="textWrapping"/>
            </w:r>
            <w:r>
              <w:rPr>
                <w:rFonts w:cs="宋体"/>
                <w:color w:val="000000"/>
                <w:kern w:val="0"/>
                <w:sz w:val="22"/>
              </w:rPr>
              <w:t>3.木龙骨找平</w:t>
            </w:r>
            <w:r>
              <w:rPr>
                <w:rFonts w:cs="宋体"/>
                <w:color w:val="000000"/>
                <w:kern w:val="0"/>
                <w:sz w:val="22"/>
              </w:rPr>
              <w:br w:type="textWrapping"/>
            </w:r>
            <w:r>
              <w:rPr>
                <w:rFonts w:cs="宋体"/>
                <w:color w:val="000000"/>
                <w:kern w:val="0"/>
                <w:sz w:val="22"/>
              </w:rPr>
              <w:t>2.玻璃窗口封板</w:t>
            </w:r>
          </w:p>
        </w:tc>
        <w:tc>
          <w:tcPr>
            <w:tcW w:w="216" w:type="pct"/>
            <w:tcBorders>
              <w:top w:val="nil"/>
              <w:left w:val="nil"/>
              <w:bottom w:val="single" w:color="auto" w:sz="4" w:space="0"/>
              <w:right w:val="single" w:color="auto" w:sz="4" w:space="0"/>
            </w:tcBorders>
            <w:vAlign w:val="center"/>
          </w:tcPr>
          <w:p w14:paraId="039D63EC">
            <w:pPr>
              <w:widowControl/>
              <w:spacing w:line="240" w:lineRule="auto"/>
              <w:jc w:val="center"/>
              <w:rPr>
                <w:rFonts w:hint="eastAsia" w:cs="宋体"/>
                <w:color w:val="000000"/>
                <w:kern w:val="0"/>
                <w:sz w:val="22"/>
              </w:rPr>
            </w:pPr>
            <w:r>
              <w:rPr>
                <w:rFonts w:cs="宋体"/>
                <w:color w:val="000000"/>
                <w:kern w:val="0"/>
                <w:sz w:val="22"/>
              </w:rPr>
              <w:t>m2</w:t>
            </w:r>
          </w:p>
        </w:tc>
        <w:tc>
          <w:tcPr>
            <w:tcW w:w="202" w:type="pct"/>
            <w:tcBorders>
              <w:top w:val="nil"/>
              <w:left w:val="nil"/>
              <w:bottom w:val="single" w:color="auto" w:sz="4" w:space="0"/>
              <w:right w:val="single" w:color="auto" w:sz="4" w:space="0"/>
            </w:tcBorders>
            <w:vAlign w:val="center"/>
          </w:tcPr>
          <w:p w14:paraId="480F0849">
            <w:pPr>
              <w:widowControl/>
              <w:spacing w:line="240" w:lineRule="auto"/>
              <w:jc w:val="center"/>
              <w:rPr>
                <w:rFonts w:hint="eastAsia" w:cs="宋体"/>
                <w:color w:val="000000"/>
                <w:kern w:val="0"/>
                <w:sz w:val="22"/>
              </w:rPr>
            </w:pPr>
            <w:r>
              <w:rPr>
                <w:rFonts w:cs="宋体"/>
                <w:color w:val="000000"/>
                <w:kern w:val="0"/>
                <w:sz w:val="22"/>
              </w:rPr>
              <w:t>3</w:t>
            </w:r>
          </w:p>
        </w:tc>
      </w:tr>
      <w:tr w14:paraId="77033384">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F42472A">
            <w:pPr>
              <w:widowControl/>
              <w:spacing w:line="240" w:lineRule="auto"/>
              <w:jc w:val="center"/>
              <w:rPr>
                <w:rFonts w:hint="eastAsia" w:cs="宋体"/>
                <w:color w:val="000000"/>
                <w:kern w:val="0"/>
                <w:sz w:val="22"/>
              </w:rPr>
            </w:pPr>
            <w:r>
              <w:rPr>
                <w:rFonts w:cs="宋体"/>
                <w:color w:val="000000"/>
                <w:kern w:val="0"/>
                <w:sz w:val="22"/>
              </w:rPr>
              <w:t>105</w:t>
            </w:r>
          </w:p>
        </w:tc>
        <w:tc>
          <w:tcPr>
            <w:tcW w:w="152" w:type="pct"/>
            <w:vMerge w:val="continue"/>
            <w:tcBorders>
              <w:top w:val="nil"/>
              <w:left w:val="single" w:color="auto" w:sz="4" w:space="0"/>
              <w:bottom w:val="single" w:color="000000" w:sz="4" w:space="0"/>
              <w:right w:val="single" w:color="auto" w:sz="4" w:space="0"/>
            </w:tcBorders>
            <w:vAlign w:val="center"/>
          </w:tcPr>
          <w:p w14:paraId="4CB0E4DB">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39489427">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306879E8">
            <w:pPr>
              <w:widowControl/>
              <w:spacing w:line="240" w:lineRule="auto"/>
              <w:rPr>
                <w:rFonts w:hint="eastAsia" w:cs="宋体"/>
                <w:color w:val="000000"/>
                <w:kern w:val="0"/>
                <w:sz w:val="22"/>
              </w:rPr>
            </w:pPr>
            <w:r>
              <w:rPr>
                <w:rFonts w:cs="宋体"/>
                <w:color w:val="000000"/>
                <w:kern w:val="0"/>
                <w:sz w:val="22"/>
              </w:rPr>
              <w:t>不锈钢踢脚线</w:t>
            </w:r>
          </w:p>
        </w:tc>
        <w:tc>
          <w:tcPr>
            <w:tcW w:w="3643" w:type="pct"/>
            <w:tcBorders>
              <w:top w:val="nil"/>
              <w:left w:val="nil"/>
              <w:bottom w:val="single" w:color="auto" w:sz="4" w:space="0"/>
              <w:right w:val="single" w:color="auto" w:sz="4" w:space="0"/>
            </w:tcBorders>
            <w:vAlign w:val="center"/>
          </w:tcPr>
          <w:p w14:paraId="331975AD">
            <w:pPr>
              <w:widowControl/>
              <w:spacing w:line="240" w:lineRule="auto"/>
              <w:rPr>
                <w:rFonts w:hint="eastAsia" w:cs="宋体"/>
                <w:color w:val="000000"/>
                <w:kern w:val="0"/>
                <w:sz w:val="22"/>
              </w:rPr>
            </w:pPr>
            <w:r>
              <w:rPr>
                <w:rFonts w:cs="宋体"/>
                <w:color w:val="000000"/>
                <w:kern w:val="0"/>
                <w:sz w:val="22"/>
              </w:rPr>
              <w:t>机房四周不锈钢踢脚线</w:t>
            </w:r>
          </w:p>
        </w:tc>
        <w:tc>
          <w:tcPr>
            <w:tcW w:w="216" w:type="pct"/>
            <w:tcBorders>
              <w:top w:val="nil"/>
              <w:left w:val="nil"/>
              <w:bottom w:val="single" w:color="auto" w:sz="4" w:space="0"/>
              <w:right w:val="single" w:color="auto" w:sz="4" w:space="0"/>
            </w:tcBorders>
            <w:vAlign w:val="center"/>
          </w:tcPr>
          <w:p w14:paraId="72C430C1">
            <w:pPr>
              <w:widowControl/>
              <w:spacing w:line="240" w:lineRule="auto"/>
              <w:jc w:val="center"/>
              <w:rPr>
                <w:rFonts w:hint="eastAsia" w:cs="宋体"/>
                <w:color w:val="000000"/>
                <w:kern w:val="0"/>
                <w:sz w:val="22"/>
              </w:rPr>
            </w:pPr>
            <w:r>
              <w:rPr>
                <w:rFonts w:cs="宋体"/>
                <w:color w:val="000000"/>
                <w:kern w:val="0"/>
                <w:sz w:val="22"/>
              </w:rPr>
              <w:t>米</w:t>
            </w:r>
          </w:p>
        </w:tc>
        <w:tc>
          <w:tcPr>
            <w:tcW w:w="202" w:type="pct"/>
            <w:tcBorders>
              <w:top w:val="nil"/>
              <w:left w:val="nil"/>
              <w:bottom w:val="single" w:color="auto" w:sz="4" w:space="0"/>
              <w:right w:val="single" w:color="auto" w:sz="4" w:space="0"/>
            </w:tcBorders>
            <w:vAlign w:val="center"/>
          </w:tcPr>
          <w:p w14:paraId="6B8F642E">
            <w:pPr>
              <w:widowControl/>
              <w:spacing w:line="240" w:lineRule="auto"/>
              <w:jc w:val="center"/>
              <w:rPr>
                <w:rFonts w:hint="eastAsia" w:cs="宋体"/>
                <w:color w:val="000000"/>
                <w:kern w:val="0"/>
                <w:sz w:val="22"/>
              </w:rPr>
            </w:pPr>
            <w:r>
              <w:rPr>
                <w:rFonts w:cs="宋体"/>
                <w:color w:val="000000"/>
                <w:kern w:val="0"/>
                <w:sz w:val="22"/>
              </w:rPr>
              <w:t>22</w:t>
            </w:r>
          </w:p>
        </w:tc>
      </w:tr>
      <w:tr w14:paraId="0A74CB3A">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0DC4411">
            <w:pPr>
              <w:widowControl/>
              <w:spacing w:line="240" w:lineRule="auto"/>
              <w:jc w:val="center"/>
              <w:rPr>
                <w:rFonts w:hint="eastAsia" w:cs="宋体"/>
                <w:color w:val="000000"/>
                <w:kern w:val="0"/>
                <w:sz w:val="22"/>
              </w:rPr>
            </w:pPr>
            <w:r>
              <w:rPr>
                <w:rFonts w:cs="宋体"/>
                <w:color w:val="000000"/>
                <w:kern w:val="0"/>
                <w:sz w:val="22"/>
              </w:rPr>
              <w:t>106</w:t>
            </w:r>
          </w:p>
        </w:tc>
        <w:tc>
          <w:tcPr>
            <w:tcW w:w="152" w:type="pct"/>
            <w:vMerge w:val="continue"/>
            <w:tcBorders>
              <w:top w:val="nil"/>
              <w:left w:val="single" w:color="auto" w:sz="4" w:space="0"/>
              <w:bottom w:val="single" w:color="000000" w:sz="4" w:space="0"/>
              <w:right w:val="single" w:color="auto" w:sz="4" w:space="0"/>
            </w:tcBorders>
            <w:vAlign w:val="center"/>
          </w:tcPr>
          <w:p w14:paraId="2D2C166B">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F64E356">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C721344">
            <w:pPr>
              <w:widowControl/>
              <w:spacing w:line="240" w:lineRule="auto"/>
              <w:rPr>
                <w:rFonts w:hint="eastAsia" w:cs="宋体"/>
                <w:color w:val="000000"/>
                <w:kern w:val="0"/>
                <w:sz w:val="22"/>
              </w:rPr>
            </w:pPr>
            <w:r>
              <w:rPr>
                <w:rFonts w:cs="宋体"/>
                <w:color w:val="000000"/>
                <w:kern w:val="0"/>
                <w:sz w:val="22"/>
              </w:rPr>
              <w:t>防火防盗门</w:t>
            </w:r>
          </w:p>
        </w:tc>
        <w:tc>
          <w:tcPr>
            <w:tcW w:w="3643" w:type="pct"/>
            <w:tcBorders>
              <w:top w:val="nil"/>
              <w:left w:val="nil"/>
              <w:bottom w:val="single" w:color="auto" w:sz="4" w:space="0"/>
              <w:right w:val="single" w:color="auto" w:sz="4" w:space="0"/>
            </w:tcBorders>
            <w:vAlign w:val="center"/>
          </w:tcPr>
          <w:p w14:paraId="2F59D3F2">
            <w:pPr>
              <w:widowControl/>
              <w:spacing w:line="240" w:lineRule="auto"/>
              <w:rPr>
                <w:rFonts w:hint="eastAsia" w:cs="宋体"/>
                <w:color w:val="000000"/>
                <w:kern w:val="0"/>
                <w:sz w:val="22"/>
              </w:rPr>
            </w:pPr>
            <w:r>
              <w:rPr>
                <w:rFonts w:cs="宋体"/>
                <w:color w:val="000000"/>
                <w:kern w:val="0"/>
                <w:sz w:val="22"/>
              </w:rPr>
              <w:t>甲级防火防盗门安装及采购</w:t>
            </w:r>
          </w:p>
        </w:tc>
        <w:tc>
          <w:tcPr>
            <w:tcW w:w="216" w:type="pct"/>
            <w:tcBorders>
              <w:top w:val="nil"/>
              <w:left w:val="nil"/>
              <w:bottom w:val="single" w:color="auto" w:sz="4" w:space="0"/>
              <w:right w:val="single" w:color="auto" w:sz="4" w:space="0"/>
            </w:tcBorders>
            <w:vAlign w:val="center"/>
          </w:tcPr>
          <w:p w14:paraId="2424C641">
            <w:pPr>
              <w:widowControl/>
              <w:spacing w:line="240" w:lineRule="auto"/>
              <w:jc w:val="center"/>
              <w:rPr>
                <w:rFonts w:hint="eastAsia" w:cs="宋体"/>
                <w:color w:val="000000"/>
                <w:kern w:val="0"/>
                <w:sz w:val="22"/>
              </w:rPr>
            </w:pPr>
            <w:r>
              <w:rPr>
                <w:rFonts w:cs="宋体"/>
                <w:color w:val="000000"/>
                <w:kern w:val="0"/>
                <w:sz w:val="22"/>
              </w:rPr>
              <w:t>樘</w:t>
            </w:r>
          </w:p>
        </w:tc>
        <w:tc>
          <w:tcPr>
            <w:tcW w:w="202" w:type="pct"/>
            <w:tcBorders>
              <w:top w:val="nil"/>
              <w:left w:val="nil"/>
              <w:bottom w:val="single" w:color="auto" w:sz="4" w:space="0"/>
              <w:right w:val="single" w:color="auto" w:sz="4" w:space="0"/>
            </w:tcBorders>
            <w:vAlign w:val="center"/>
          </w:tcPr>
          <w:p w14:paraId="31D66F33">
            <w:pPr>
              <w:widowControl/>
              <w:spacing w:line="240" w:lineRule="auto"/>
              <w:jc w:val="center"/>
              <w:rPr>
                <w:rFonts w:hint="eastAsia" w:cs="宋体"/>
                <w:color w:val="000000"/>
                <w:kern w:val="0"/>
                <w:sz w:val="22"/>
              </w:rPr>
            </w:pPr>
            <w:r>
              <w:rPr>
                <w:rFonts w:cs="宋体"/>
                <w:color w:val="000000"/>
                <w:kern w:val="0"/>
                <w:sz w:val="22"/>
              </w:rPr>
              <w:t>1</w:t>
            </w:r>
          </w:p>
        </w:tc>
      </w:tr>
      <w:tr w14:paraId="649A535E">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3DA51F6D">
            <w:pPr>
              <w:widowControl/>
              <w:spacing w:line="240" w:lineRule="auto"/>
              <w:jc w:val="center"/>
              <w:rPr>
                <w:rFonts w:hint="eastAsia" w:cs="宋体"/>
                <w:color w:val="000000"/>
                <w:kern w:val="0"/>
                <w:sz w:val="22"/>
              </w:rPr>
            </w:pPr>
            <w:r>
              <w:rPr>
                <w:rFonts w:cs="宋体"/>
                <w:color w:val="000000"/>
                <w:kern w:val="0"/>
                <w:sz w:val="22"/>
              </w:rPr>
              <w:t>107</w:t>
            </w:r>
          </w:p>
        </w:tc>
        <w:tc>
          <w:tcPr>
            <w:tcW w:w="152" w:type="pct"/>
            <w:vMerge w:val="continue"/>
            <w:tcBorders>
              <w:top w:val="nil"/>
              <w:left w:val="single" w:color="auto" w:sz="4" w:space="0"/>
              <w:bottom w:val="single" w:color="000000" w:sz="4" w:space="0"/>
              <w:right w:val="single" w:color="auto" w:sz="4" w:space="0"/>
            </w:tcBorders>
            <w:vAlign w:val="center"/>
          </w:tcPr>
          <w:p w14:paraId="02B36AA6">
            <w:pPr>
              <w:widowControl/>
              <w:spacing w:line="240" w:lineRule="auto"/>
              <w:rPr>
                <w:rFonts w:hint="eastAsia" w:cs="宋体"/>
                <w:color w:val="000000"/>
                <w:kern w:val="0"/>
                <w:sz w:val="22"/>
              </w:rPr>
            </w:pPr>
          </w:p>
        </w:tc>
        <w:tc>
          <w:tcPr>
            <w:tcW w:w="331" w:type="pct"/>
            <w:vMerge w:val="restart"/>
            <w:tcBorders>
              <w:top w:val="nil"/>
              <w:left w:val="single" w:color="auto" w:sz="4" w:space="0"/>
              <w:bottom w:val="single" w:color="000000" w:sz="4" w:space="0"/>
              <w:right w:val="single" w:color="auto" w:sz="4" w:space="0"/>
            </w:tcBorders>
            <w:vAlign w:val="center"/>
          </w:tcPr>
          <w:p w14:paraId="380F11CF">
            <w:pPr>
              <w:widowControl/>
              <w:spacing w:line="240" w:lineRule="auto"/>
              <w:jc w:val="center"/>
              <w:rPr>
                <w:rFonts w:hint="eastAsia" w:cs="宋体"/>
                <w:color w:val="000000"/>
                <w:kern w:val="0"/>
                <w:sz w:val="22"/>
              </w:rPr>
            </w:pPr>
            <w:r>
              <w:rPr>
                <w:rFonts w:cs="宋体"/>
                <w:color w:val="000000"/>
                <w:kern w:val="0"/>
                <w:sz w:val="22"/>
              </w:rPr>
              <w:t>电气设备安装工程</w:t>
            </w:r>
          </w:p>
        </w:tc>
        <w:tc>
          <w:tcPr>
            <w:tcW w:w="202" w:type="pct"/>
            <w:tcBorders>
              <w:top w:val="nil"/>
              <w:left w:val="nil"/>
              <w:bottom w:val="single" w:color="auto" w:sz="4" w:space="0"/>
              <w:right w:val="single" w:color="auto" w:sz="4" w:space="0"/>
            </w:tcBorders>
            <w:vAlign w:val="center"/>
          </w:tcPr>
          <w:p w14:paraId="352B1230">
            <w:pPr>
              <w:widowControl/>
              <w:spacing w:line="240" w:lineRule="auto"/>
              <w:rPr>
                <w:rFonts w:hint="eastAsia" w:cs="宋体"/>
                <w:color w:val="000000"/>
                <w:kern w:val="0"/>
                <w:sz w:val="22"/>
              </w:rPr>
            </w:pPr>
            <w:r>
              <w:rPr>
                <w:rFonts w:cs="宋体"/>
                <w:color w:val="000000"/>
                <w:kern w:val="0"/>
                <w:sz w:val="22"/>
              </w:rPr>
              <w:t>开关插座</w:t>
            </w:r>
          </w:p>
        </w:tc>
        <w:tc>
          <w:tcPr>
            <w:tcW w:w="3643" w:type="pct"/>
            <w:tcBorders>
              <w:top w:val="nil"/>
              <w:left w:val="nil"/>
              <w:bottom w:val="single" w:color="auto" w:sz="4" w:space="0"/>
              <w:right w:val="single" w:color="auto" w:sz="4" w:space="0"/>
            </w:tcBorders>
            <w:vAlign w:val="center"/>
          </w:tcPr>
          <w:p w14:paraId="506579B4">
            <w:pPr>
              <w:widowControl/>
              <w:spacing w:line="240" w:lineRule="auto"/>
              <w:rPr>
                <w:rFonts w:hint="eastAsia" w:cs="宋体"/>
                <w:color w:val="000000"/>
                <w:kern w:val="0"/>
                <w:sz w:val="22"/>
              </w:rPr>
            </w:pPr>
            <w:r>
              <w:rPr>
                <w:rFonts w:cs="宋体"/>
                <w:color w:val="000000"/>
                <w:kern w:val="0"/>
                <w:sz w:val="22"/>
              </w:rPr>
              <w:t>1.成品采购安装</w:t>
            </w:r>
            <w:r>
              <w:rPr>
                <w:rFonts w:cs="宋体"/>
                <w:color w:val="000000"/>
                <w:kern w:val="0"/>
                <w:sz w:val="22"/>
              </w:rPr>
              <w:br w:type="textWrapping"/>
            </w:r>
            <w:r>
              <w:rPr>
                <w:rFonts w:cs="宋体"/>
                <w:color w:val="000000"/>
                <w:kern w:val="0"/>
                <w:sz w:val="22"/>
              </w:rPr>
              <w:t>2.开关插座</w:t>
            </w:r>
          </w:p>
        </w:tc>
        <w:tc>
          <w:tcPr>
            <w:tcW w:w="216" w:type="pct"/>
            <w:tcBorders>
              <w:top w:val="nil"/>
              <w:left w:val="nil"/>
              <w:bottom w:val="single" w:color="auto" w:sz="4" w:space="0"/>
              <w:right w:val="single" w:color="auto" w:sz="4" w:space="0"/>
            </w:tcBorders>
            <w:vAlign w:val="center"/>
          </w:tcPr>
          <w:p w14:paraId="5FFAC60E">
            <w:pPr>
              <w:widowControl/>
              <w:spacing w:line="240" w:lineRule="auto"/>
              <w:jc w:val="center"/>
              <w:rPr>
                <w:rFonts w:hint="eastAsia" w:cs="宋体"/>
                <w:color w:val="000000"/>
                <w:kern w:val="0"/>
                <w:sz w:val="22"/>
              </w:rPr>
            </w:pPr>
            <w:r>
              <w:rPr>
                <w:rFonts w:cs="宋体"/>
                <w:color w:val="000000"/>
                <w:kern w:val="0"/>
                <w:sz w:val="22"/>
              </w:rPr>
              <w:t>项</w:t>
            </w:r>
          </w:p>
        </w:tc>
        <w:tc>
          <w:tcPr>
            <w:tcW w:w="202" w:type="pct"/>
            <w:tcBorders>
              <w:top w:val="nil"/>
              <w:left w:val="nil"/>
              <w:bottom w:val="single" w:color="auto" w:sz="4" w:space="0"/>
              <w:right w:val="single" w:color="auto" w:sz="4" w:space="0"/>
            </w:tcBorders>
            <w:vAlign w:val="center"/>
          </w:tcPr>
          <w:p w14:paraId="328CF4DB">
            <w:pPr>
              <w:widowControl/>
              <w:spacing w:line="240" w:lineRule="auto"/>
              <w:jc w:val="center"/>
              <w:rPr>
                <w:rFonts w:hint="eastAsia" w:cs="宋体"/>
                <w:color w:val="000000"/>
                <w:kern w:val="0"/>
                <w:sz w:val="22"/>
              </w:rPr>
            </w:pPr>
            <w:r>
              <w:rPr>
                <w:rFonts w:cs="宋体"/>
                <w:color w:val="000000"/>
                <w:kern w:val="0"/>
                <w:sz w:val="22"/>
              </w:rPr>
              <w:t>1</w:t>
            </w:r>
          </w:p>
        </w:tc>
      </w:tr>
      <w:tr w14:paraId="65C656DB">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F7D26E0">
            <w:pPr>
              <w:widowControl/>
              <w:spacing w:line="240" w:lineRule="auto"/>
              <w:jc w:val="center"/>
              <w:rPr>
                <w:rFonts w:hint="eastAsia" w:cs="宋体"/>
                <w:color w:val="000000"/>
                <w:kern w:val="0"/>
                <w:sz w:val="22"/>
              </w:rPr>
            </w:pPr>
            <w:r>
              <w:rPr>
                <w:rFonts w:cs="宋体"/>
                <w:color w:val="000000"/>
                <w:kern w:val="0"/>
                <w:sz w:val="22"/>
              </w:rPr>
              <w:t>108</w:t>
            </w:r>
          </w:p>
        </w:tc>
        <w:tc>
          <w:tcPr>
            <w:tcW w:w="152" w:type="pct"/>
            <w:vMerge w:val="continue"/>
            <w:tcBorders>
              <w:top w:val="nil"/>
              <w:left w:val="single" w:color="auto" w:sz="4" w:space="0"/>
              <w:bottom w:val="single" w:color="000000" w:sz="4" w:space="0"/>
              <w:right w:val="single" w:color="auto" w:sz="4" w:space="0"/>
            </w:tcBorders>
            <w:vAlign w:val="center"/>
          </w:tcPr>
          <w:p w14:paraId="4F491E2A">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43171357">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74DC187">
            <w:pPr>
              <w:widowControl/>
              <w:spacing w:line="240" w:lineRule="auto"/>
              <w:rPr>
                <w:rFonts w:hint="eastAsia" w:cs="宋体"/>
                <w:color w:val="000000"/>
                <w:kern w:val="0"/>
                <w:sz w:val="22"/>
              </w:rPr>
            </w:pPr>
            <w:r>
              <w:rPr>
                <w:rFonts w:cs="宋体"/>
                <w:color w:val="000000"/>
                <w:kern w:val="0"/>
                <w:sz w:val="22"/>
              </w:rPr>
              <w:t>平板灯</w:t>
            </w:r>
          </w:p>
        </w:tc>
        <w:tc>
          <w:tcPr>
            <w:tcW w:w="3643" w:type="pct"/>
            <w:tcBorders>
              <w:top w:val="nil"/>
              <w:left w:val="nil"/>
              <w:bottom w:val="single" w:color="auto" w:sz="4" w:space="0"/>
              <w:right w:val="single" w:color="auto" w:sz="4" w:space="0"/>
            </w:tcBorders>
            <w:vAlign w:val="center"/>
          </w:tcPr>
          <w:p w14:paraId="2D06387A">
            <w:pPr>
              <w:widowControl/>
              <w:spacing w:line="240" w:lineRule="auto"/>
              <w:rPr>
                <w:rFonts w:hint="eastAsia" w:cs="宋体"/>
                <w:color w:val="000000"/>
                <w:kern w:val="0"/>
                <w:sz w:val="22"/>
              </w:rPr>
            </w:pPr>
            <w:r>
              <w:rPr>
                <w:rFonts w:cs="宋体"/>
                <w:color w:val="000000"/>
                <w:kern w:val="0"/>
                <w:sz w:val="22"/>
              </w:rPr>
              <w:t>600*600*2平板灯</w:t>
            </w:r>
          </w:p>
        </w:tc>
        <w:tc>
          <w:tcPr>
            <w:tcW w:w="216" w:type="pct"/>
            <w:tcBorders>
              <w:top w:val="nil"/>
              <w:left w:val="nil"/>
              <w:bottom w:val="single" w:color="auto" w:sz="4" w:space="0"/>
              <w:right w:val="single" w:color="auto" w:sz="4" w:space="0"/>
            </w:tcBorders>
            <w:vAlign w:val="center"/>
          </w:tcPr>
          <w:p w14:paraId="62B17164">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4C57F7B2">
            <w:pPr>
              <w:widowControl/>
              <w:spacing w:line="240" w:lineRule="auto"/>
              <w:jc w:val="center"/>
              <w:rPr>
                <w:rFonts w:hint="eastAsia" w:cs="宋体"/>
                <w:color w:val="000000"/>
                <w:kern w:val="0"/>
                <w:sz w:val="22"/>
              </w:rPr>
            </w:pPr>
            <w:r>
              <w:rPr>
                <w:rFonts w:cs="宋体"/>
                <w:color w:val="000000"/>
                <w:kern w:val="0"/>
                <w:sz w:val="22"/>
              </w:rPr>
              <w:t>6</w:t>
            </w:r>
          </w:p>
        </w:tc>
      </w:tr>
      <w:tr w14:paraId="3B43A2EF">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4FEFEAE">
            <w:pPr>
              <w:widowControl/>
              <w:spacing w:line="240" w:lineRule="auto"/>
              <w:jc w:val="center"/>
              <w:rPr>
                <w:rFonts w:hint="eastAsia" w:cs="宋体"/>
                <w:color w:val="000000"/>
                <w:kern w:val="0"/>
                <w:sz w:val="22"/>
              </w:rPr>
            </w:pPr>
            <w:r>
              <w:rPr>
                <w:rFonts w:cs="宋体"/>
                <w:color w:val="000000"/>
                <w:kern w:val="0"/>
                <w:sz w:val="22"/>
              </w:rPr>
              <w:t>109</w:t>
            </w:r>
          </w:p>
        </w:tc>
        <w:tc>
          <w:tcPr>
            <w:tcW w:w="152" w:type="pct"/>
            <w:vMerge w:val="continue"/>
            <w:tcBorders>
              <w:top w:val="nil"/>
              <w:left w:val="single" w:color="auto" w:sz="4" w:space="0"/>
              <w:bottom w:val="single" w:color="000000" w:sz="4" w:space="0"/>
              <w:right w:val="single" w:color="auto" w:sz="4" w:space="0"/>
            </w:tcBorders>
            <w:vAlign w:val="center"/>
          </w:tcPr>
          <w:p w14:paraId="457D1AFF">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B8194E8">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53A742D">
            <w:pPr>
              <w:widowControl/>
              <w:spacing w:line="240" w:lineRule="auto"/>
              <w:rPr>
                <w:rFonts w:hint="eastAsia" w:cs="宋体"/>
                <w:color w:val="000000"/>
                <w:kern w:val="0"/>
                <w:sz w:val="22"/>
              </w:rPr>
            </w:pPr>
            <w:r>
              <w:rPr>
                <w:rFonts w:cs="宋体"/>
                <w:color w:val="000000"/>
                <w:kern w:val="0"/>
                <w:sz w:val="22"/>
              </w:rPr>
              <w:t>凿（压)槽</w:t>
            </w:r>
          </w:p>
        </w:tc>
        <w:tc>
          <w:tcPr>
            <w:tcW w:w="3643" w:type="pct"/>
            <w:tcBorders>
              <w:top w:val="nil"/>
              <w:left w:val="nil"/>
              <w:bottom w:val="single" w:color="auto" w:sz="4" w:space="0"/>
              <w:right w:val="single" w:color="auto" w:sz="4" w:space="0"/>
            </w:tcBorders>
            <w:vAlign w:val="center"/>
          </w:tcPr>
          <w:p w14:paraId="0E87D1C5">
            <w:pPr>
              <w:widowControl/>
              <w:spacing w:line="240" w:lineRule="auto"/>
              <w:rPr>
                <w:rFonts w:hint="eastAsia" w:cs="宋体"/>
                <w:color w:val="000000"/>
                <w:kern w:val="0"/>
                <w:sz w:val="22"/>
              </w:rPr>
            </w:pPr>
            <w:r>
              <w:rPr>
                <w:rFonts w:cs="宋体"/>
                <w:color w:val="000000"/>
                <w:kern w:val="0"/>
                <w:sz w:val="22"/>
              </w:rPr>
              <w:t>1.墙面开电槽子</w:t>
            </w:r>
          </w:p>
        </w:tc>
        <w:tc>
          <w:tcPr>
            <w:tcW w:w="216" w:type="pct"/>
            <w:tcBorders>
              <w:top w:val="nil"/>
              <w:left w:val="nil"/>
              <w:bottom w:val="single" w:color="auto" w:sz="4" w:space="0"/>
              <w:right w:val="single" w:color="auto" w:sz="4" w:space="0"/>
            </w:tcBorders>
            <w:vAlign w:val="center"/>
          </w:tcPr>
          <w:p w14:paraId="0B8729DE">
            <w:pPr>
              <w:widowControl/>
              <w:spacing w:line="240" w:lineRule="auto"/>
              <w:jc w:val="center"/>
              <w:rPr>
                <w:rFonts w:hint="eastAsia" w:cs="宋体"/>
                <w:color w:val="000000"/>
                <w:kern w:val="0"/>
                <w:sz w:val="22"/>
              </w:rPr>
            </w:pPr>
            <w:r>
              <w:rPr>
                <w:rFonts w:cs="宋体"/>
                <w:color w:val="000000"/>
                <w:kern w:val="0"/>
                <w:sz w:val="22"/>
              </w:rPr>
              <w:t>m</w:t>
            </w:r>
          </w:p>
        </w:tc>
        <w:tc>
          <w:tcPr>
            <w:tcW w:w="202" w:type="pct"/>
            <w:tcBorders>
              <w:top w:val="nil"/>
              <w:left w:val="nil"/>
              <w:bottom w:val="single" w:color="auto" w:sz="4" w:space="0"/>
              <w:right w:val="single" w:color="auto" w:sz="4" w:space="0"/>
            </w:tcBorders>
            <w:vAlign w:val="center"/>
          </w:tcPr>
          <w:p w14:paraId="5B5DDF12">
            <w:pPr>
              <w:widowControl/>
              <w:spacing w:line="240" w:lineRule="auto"/>
              <w:jc w:val="center"/>
              <w:rPr>
                <w:rFonts w:hint="eastAsia" w:cs="宋体"/>
                <w:color w:val="000000"/>
                <w:kern w:val="0"/>
                <w:sz w:val="22"/>
              </w:rPr>
            </w:pPr>
            <w:r>
              <w:rPr>
                <w:rFonts w:cs="宋体"/>
                <w:color w:val="000000"/>
                <w:kern w:val="0"/>
                <w:sz w:val="22"/>
              </w:rPr>
              <w:t>100</w:t>
            </w:r>
          </w:p>
        </w:tc>
      </w:tr>
      <w:tr w14:paraId="22F111AA">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CCE8C28">
            <w:pPr>
              <w:widowControl/>
              <w:spacing w:line="240" w:lineRule="auto"/>
              <w:jc w:val="center"/>
              <w:rPr>
                <w:rFonts w:hint="eastAsia" w:cs="宋体"/>
                <w:color w:val="000000"/>
                <w:kern w:val="0"/>
                <w:sz w:val="22"/>
              </w:rPr>
            </w:pPr>
            <w:r>
              <w:rPr>
                <w:rFonts w:cs="宋体"/>
                <w:color w:val="000000"/>
                <w:kern w:val="0"/>
                <w:sz w:val="22"/>
              </w:rPr>
              <w:t>110</w:t>
            </w:r>
          </w:p>
        </w:tc>
        <w:tc>
          <w:tcPr>
            <w:tcW w:w="152" w:type="pct"/>
            <w:vMerge w:val="continue"/>
            <w:tcBorders>
              <w:top w:val="nil"/>
              <w:left w:val="single" w:color="auto" w:sz="4" w:space="0"/>
              <w:bottom w:val="single" w:color="000000" w:sz="4" w:space="0"/>
              <w:right w:val="single" w:color="auto" w:sz="4" w:space="0"/>
            </w:tcBorders>
            <w:vAlign w:val="center"/>
          </w:tcPr>
          <w:p w14:paraId="0AE3B280">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5C43956A">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7C7F733">
            <w:pPr>
              <w:widowControl/>
              <w:spacing w:line="240" w:lineRule="auto"/>
              <w:rPr>
                <w:rFonts w:hint="eastAsia" w:cs="宋体"/>
                <w:color w:val="000000"/>
                <w:kern w:val="0"/>
                <w:sz w:val="22"/>
              </w:rPr>
            </w:pPr>
            <w:r>
              <w:rPr>
                <w:rFonts w:cs="宋体"/>
                <w:color w:val="000000"/>
                <w:kern w:val="0"/>
                <w:sz w:val="22"/>
              </w:rPr>
              <w:t>配线</w:t>
            </w:r>
          </w:p>
        </w:tc>
        <w:tc>
          <w:tcPr>
            <w:tcW w:w="3643" w:type="pct"/>
            <w:tcBorders>
              <w:top w:val="nil"/>
              <w:left w:val="nil"/>
              <w:bottom w:val="single" w:color="auto" w:sz="4" w:space="0"/>
              <w:right w:val="single" w:color="auto" w:sz="4" w:space="0"/>
            </w:tcBorders>
            <w:vAlign w:val="center"/>
          </w:tcPr>
          <w:p w14:paraId="3D632463">
            <w:pPr>
              <w:widowControl/>
              <w:spacing w:line="240" w:lineRule="auto"/>
              <w:rPr>
                <w:rFonts w:hint="eastAsia" w:cs="宋体"/>
                <w:color w:val="000000"/>
                <w:kern w:val="0"/>
                <w:sz w:val="22"/>
              </w:rPr>
            </w:pPr>
            <w:r>
              <w:rPr>
                <w:rFonts w:cs="宋体"/>
                <w:color w:val="000000"/>
                <w:kern w:val="0"/>
                <w:sz w:val="22"/>
              </w:rPr>
              <w:t>1.2.5平方电线</w:t>
            </w:r>
          </w:p>
        </w:tc>
        <w:tc>
          <w:tcPr>
            <w:tcW w:w="216" w:type="pct"/>
            <w:tcBorders>
              <w:top w:val="nil"/>
              <w:left w:val="nil"/>
              <w:bottom w:val="single" w:color="auto" w:sz="4" w:space="0"/>
              <w:right w:val="single" w:color="auto" w:sz="4" w:space="0"/>
            </w:tcBorders>
            <w:vAlign w:val="center"/>
          </w:tcPr>
          <w:p w14:paraId="1F77C109">
            <w:pPr>
              <w:widowControl/>
              <w:spacing w:line="240" w:lineRule="auto"/>
              <w:jc w:val="center"/>
              <w:rPr>
                <w:rFonts w:hint="eastAsia" w:cs="宋体"/>
                <w:color w:val="000000"/>
                <w:kern w:val="0"/>
                <w:sz w:val="22"/>
              </w:rPr>
            </w:pPr>
            <w:r>
              <w:rPr>
                <w:rFonts w:cs="宋体"/>
                <w:color w:val="000000"/>
                <w:kern w:val="0"/>
                <w:sz w:val="22"/>
              </w:rPr>
              <w:t>m</w:t>
            </w:r>
          </w:p>
        </w:tc>
        <w:tc>
          <w:tcPr>
            <w:tcW w:w="202" w:type="pct"/>
            <w:tcBorders>
              <w:top w:val="nil"/>
              <w:left w:val="nil"/>
              <w:bottom w:val="single" w:color="auto" w:sz="4" w:space="0"/>
              <w:right w:val="single" w:color="auto" w:sz="4" w:space="0"/>
            </w:tcBorders>
            <w:vAlign w:val="center"/>
          </w:tcPr>
          <w:p w14:paraId="50352C4B">
            <w:pPr>
              <w:widowControl/>
              <w:spacing w:line="240" w:lineRule="auto"/>
              <w:jc w:val="center"/>
              <w:rPr>
                <w:rFonts w:hint="eastAsia" w:cs="宋体"/>
                <w:color w:val="000000"/>
                <w:kern w:val="0"/>
                <w:sz w:val="22"/>
              </w:rPr>
            </w:pPr>
            <w:r>
              <w:rPr>
                <w:rFonts w:cs="宋体"/>
                <w:color w:val="000000"/>
                <w:kern w:val="0"/>
                <w:sz w:val="22"/>
              </w:rPr>
              <w:t>200</w:t>
            </w:r>
          </w:p>
        </w:tc>
      </w:tr>
      <w:tr w14:paraId="4D8906D8">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53F6720">
            <w:pPr>
              <w:widowControl/>
              <w:spacing w:line="240" w:lineRule="auto"/>
              <w:jc w:val="center"/>
              <w:rPr>
                <w:rFonts w:hint="eastAsia" w:cs="宋体"/>
                <w:color w:val="000000"/>
                <w:kern w:val="0"/>
                <w:sz w:val="22"/>
              </w:rPr>
            </w:pPr>
            <w:r>
              <w:rPr>
                <w:rFonts w:cs="宋体"/>
                <w:color w:val="000000"/>
                <w:kern w:val="0"/>
                <w:sz w:val="22"/>
              </w:rPr>
              <w:t>111</w:t>
            </w:r>
          </w:p>
        </w:tc>
        <w:tc>
          <w:tcPr>
            <w:tcW w:w="152" w:type="pct"/>
            <w:vMerge w:val="continue"/>
            <w:tcBorders>
              <w:top w:val="nil"/>
              <w:left w:val="single" w:color="auto" w:sz="4" w:space="0"/>
              <w:bottom w:val="single" w:color="000000" w:sz="4" w:space="0"/>
              <w:right w:val="single" w:color="auto" w:sz="4" w:space="0"/>
            </w:tcBorders>
            <w:vAlign w:val="center"/>
          </w:tcPr>
          <w:p w14:paraId="3C63EB3A">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043D72D">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5A2C1A6">
            <w:pPr>
              <w:widowControl/>
              <w:spacing w:line="240" w:lineRule="auto"/>
              <w:rPr>
                <w:rFonts w:hint="eastAsia" w:cs="宋体"/>
                <w:color w:val="000000"/>
                <w:kern w:val="0"/>
                <w:sz w:val="22"/>
              </w:rPr>
            </w:pPr>
            <w:r>
              <w:rPr>
                <w:rFonts w:cs="宋体"/>
                <w:color w:val="000000"/>
                <w:kern w:val="0"/>
                <w:sz w:val="22"/>
              </w:rPr>
              <w:t>配线</w:t>
            </w:r>
          </w:p>
        </w:tc>
        <w:tc>
          <w:tcPr>
            <w:tcW w:w="3643" w:type="pct"/>
            <w:tcBorders>
              <w:top w:val="nil"/>
              <w:left w:val="nil"/>
              <w:bottom w:val="single" w:color="auto" w:sz="4" w:space="0"/>
              <w:right w:val="single" w:color="auto" w:sz="4" w:space="0"/>
            </w:tcBorders>
            <w:vAlign w:val="center"/>
          </w:tcPr>
          <w:p w14:paraId="6FEBD126">
            <w:pPr>
              <w:widowControl/>
              <w:spacing w:line="240" w:lineRule="auto"/>
              <w:rPr>
                <w:rFonts w:hint="eastAsia" w:cs="宋体"/>
                <w:color w:val="000000"/>
                <w:kern w:val="0"/>
                <w:sz w:val="22"/>
              </w:rPr>
            </w:pPr>
            <w:r>
              <w:rPr>
                <w:rFonts w:cs="宋体"/>
                <w:color w:val="000000"/>
                <w:kern w:val="0"/>
                <w:sz w:val="22"/>
              </w:rPr>
              <w:t>1.4平方电线</w:t>
            </w:r>
          </w:p>
        </w:tc>
        <w:tc>
          <w:tcPr>
            <w:tcW w:w="216" w:type="pct"/>
            <w:tcBorders>
              <w:top w:val="nil"/>
              <w:left w:val="nil"/>
              <w:bottom w:val="single" w:color="auto" w:sz="4" w:space="0"/>
              <w:right w:val="single" w:color="auto" w:sz="4" w:space="0"/>
            </w:tcBorders>
            <w:vAlign w:val="center"/>
          </w:tcPr>
          <w:p w14:paraId="44C38276">
            <w:pPr>
              <w:widowControl/>
              <w:spacing w:line="240" w:lineRule="auto"/>
              <w:jc w:val="center"/>
              <w:rPr>
                <w:rFonts w:hint="eastAsia" w:cs="宋体"/>
                <w:color w:val="000000"/>
                <w:kern w:val="0"/>
                <w:sz w:val="22"/>
              </w:rPr>
            </w:pPr>
            <w:r>
              <w:rPr>
                <w:rFonts w:cs="宋体"/>
                <w:color w:val="000000"/>
                <w:kern w:val="0"/>
                <w:sz w:val="22"/>
              </w:rPr>
              <w:t>m</w:t>
            </w:r>
          </w:p>
        </w:tc>
        <w:tc>
          <w:tcPr>
            <w:tcW w:w="202" w:type="pct"/>
            <w:tcBorders>
              <w:top w:val="nil"/>
              <w:left w:val="nil"/>
              <w:bottom w:val="single" w:color="auto" w:sz="4" w:space="0"/>
              <w:right w:val="single" w:color="auto" w:sz="4" w:space="0"/>
            </w:tcBorders>
            <w:vAlign w:val="center"/>
          </w:tcPr>
          <w:p w14:paraId="1B70B2D3">
            <w:pPr>
              <w:widowControl/>
              <w:spacing w:line="240" w:lineRule="auto"/>
              <w:jc w:val="center"/>
              <w:rPr>
                <w:rFonts w:hint="eastAsia" w:cs="宋体"/>
                <w:color w:val="000000"/>
                <w:kern w:val="0"/>
                <w:sz w:val="22"/>
              </w:rPr>
            </w:pPr>
            <w:r>
              <w:rPr>
                <w:rFonts w:cs="宋体"/>
                <w:color w:val="000000"/>
                <w:kern w:val="0"/>
                <w:sz w:val="22"/>
              </w:rPr>
              <w:t>200</w:t>
            </w:r>
          </w:p>
        </w:tc>
      </w:tr>
      <w:tr w14:paraId="7693D407">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CD85D2B">
            <w:pPr>
              <w:widowControl/>
              <w:spacing w:line="240" w:lineRule="auto"/>
              <w:jc w:val="center"/>
              <w:rPr>
                <w:rFonts w:hint="eastAsia" w:cs="宋体"/>
                <w:color w:val="000000"/>
                <w:kern w:val="0"/>
                <w:sz w:val="22"/>
              </w:rPr>
            </w:pPr>
            <w:r>
              <w:rPr>
                <w:rFonts w:cs="宋体"/>
                <w:color w:val="000000"/>
                <w:kern w:val="0"/>
                <w:sz w:val="22"/>
              </w:rPr>
              <w:t>112</w:t>
            </w:r>
          </w:p>
        </w:tc>
        <w:tc>
          <w:tcPr>
            <w:tcW w:w="152" w:type="pct"/>
            <w:vMerge w:val="continue"/>
            <w:tcBorders>
              <w:top w:val="nil"/>
              <w:left w:val="single" w:color="auto" w:sz="4" w:space="0"/>
              <w:bottom w:val="single" w:color="000000" w:sz="4" w:space="0"/>
              <w:right w:val="single" w:color="auto" w:sz="4" w:space="0"/>
            </w:tcBorders>
            <w:vAlign w:val="center"/>
          </w:tcPr>
          <w:p w14:paraId="337B0626">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1A7BD3E">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B13BA67">
            <w:pPr>
              <w:widowControl/>
              <w:spacing w:line="240" w:lineRule="auto"/>
              <w:rPr>
                <w:rFonts w:hint="eastAsia" w:cs="宋体"/>
                <w:color w:val="000000"/>
                <w:kern w:val="0"/>
                <w:sz w:val="22"/>
              </w:rPr>
            </w:pPr>
            <w:r>
              <w:rPr>
                <w:rFonts w:cs="宋体"/>
                <w:color w:val="000000"/>
                <w:kern w:val="0"/>
                <w:sz w:val="22"/>
              </w:rPr>
              <w:t>配管</w:t>
            </w:r>
          </w:p>
        </w:tc>
        <w:tc>
          <w:tcPr>
            <w:tcW w:w="3643" w:type="pct"/>
            <w:tcBorders>
              <w:top w:val="nil"/>
              <w:left w:val="nil"/>
              <w:bottom w:val="single" w:color="auto" w:sz="4" w:space="0"/>
              <w:right w:val="single" w:color="auto" w:sz="4" w:space="0"/>
            </w:tcBorders>
            <w:vAlign w:val="center"/>
          </w:tcPr>
          <w:p w14:paraId="6EE2FB2D">
            <w:pPr>
              <w:widowControl/>
              <w:spacing w:line="240" w:lineRule="auto"/>
              <w:rPr>
                <w:rFonts w:hint="eastAsia" w:cs="宋体"/>
                <w:color w:val="000000"/>
                <w:kern w:val="0"/>
                <w:sz w:val="22"/>
              </w:rPr>
            </w:pPr>
            <w:r>
              <w:rPr>
                <w:rFonts w:cs="宋体"/>
                <w:color w:val="000000"/>
                <w:kern w:val="0"/>
                <w:sz w:val="22"/>
              </w:rPr>
              <w:t>1.sc电线管</w:t>
            </w:r>
          </w:p>
        </w:tc>
        <w:tc>
          <w:tcPr>
            <w:tcW w:w="216" w:type="pct"/>
            <w:tcBorders>
              <w:top w:val="nil"/>
              <w:left w:val="nil"/>
              <w:bottom w:val="single" w:color="auto" w:sz="4" w:space="0"/>
              <w:right w:val="single" w:color="auto" w:sz="4" w:space="0"/>
            </w:tcBorders>
            <w:vAlign w:val="center"/>
          </w:tcPr>
          <w:p w14:paraId="14CACDA2">
            <w:pPr>
              <w:widowControl/>
              <w:spacing w:line="240" w:lineRule="auto"/>
              <w:jc w:val="center"/>
              <w:rPr>
                <w:rFonts w:hint="eastAsia" w:cs="宋体"/>
                <w:color w:val="000000"/>
                <w:kern w:val="0"/>
                <w:sz w:val="22"/>
              </w:rPr>
            </w:pPr>
            <w:r>
              <w:rPr>
                <w:rFonts w:cs="宋体"/>
                <w:color w:val="000000"/>
                <w:kern w:val="0"/>
                <w:sz w:val="22"/>
              </w:rPr>
              <w:t>m</w:t>
            </w:r>
          </w:p>
        </w:tc>
        <w:tc>
          <w:tcPr>
            <w:tcW w:w="202" w:type="pct"/>
            <w:tcBorders>
              <w:top w:val="nil"/>
              <w:left w:val="nil"/>
              <w:bottom w:val="single" w:color="auto" w:sz="4" w:space="0"/>
              <w:right w:val="single" w:color="auto" w:sz="4" w:space="0"/>
            </w:tcBorders>
            <w:vAlign w:val="center"/>
          </w:tcPr>
          <w:p w14:paraId="433F8310">
            <w:pPr>
              <w:widowControl/>
              <w:spacing w:line="240" w:lineRule="auto"/>
              <w:jc w:val="center"/>
              <w:rPr>
                <w:rFonts w:hint="eastAsia" w:cs="宋体"/>
                <w:color w:val="000000"/>
                <w:kern w:val="0"/>
                <w:sz w:val="22"/>
              </w:rPr>
            </w:pPr>
            <w:r>
              <w:rPr>
                <w:rFonts w:cs="宋体"/>
                <w:color w:val="000000"/>
                <w:kern w:val="0"/>
                <w:sz w:val="22"/>
              </w:rPr>
              <w:t>100</w:t>
            </w:r>
          </w:p>
        </w:tc>
      </w:tr>
      <w:tr w14:paraId="4E1FFF9F">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039FADE">
            <w:pPr>
              <w:widowControl/>
              <w:spacing w:line="240" w:lineRule="auto"/>
              <w:jc w:val="center"/>
              <w:rPr>
                <w:rFonts w:hint="eastAsia" w:cs="宋体"/>
                <w:color w:val="000000"/>
                <w:kern w:val="0"/>
                <w:sz w:val="22"/>
              </w:rPr>
            </w:pPr>
            <w:r>
              <w:rPr>
                <w:rFonts w:cs="宋体"/>
                <w:color w:val="000000"/>
                <w:kern w:val="0"/>
                <w:sz w:val="22"/>
              </w:rPr>
              <w:t>113</w:t>
            </w:r>
          </w:p>
        </w:tc>
        <w:tc>
          <w:tcPr>
            <w:tcW w:w="152" w:type="pct"/>
            <w:vMerge w:val="continue"/>
            <w:tcBorders>
              <w:top w:val="nil"/>
              <w:left w:val="single" w:color="auto" w:sz="4" w:space="0"/>
              <w:bottom w:val="single" w:color="000000" w:sz="4" w:space="0"/>
              <w:right w:val="single" w:color="auto" w:sz="4" w:space="0"/>
            </w:tcBorders>
            <w:vAlign w:val="center"/>
          </w:tcPr>
          <w:p w14:paraId="6B59E6E5">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72FBCDA2">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410CB62A">
            <w:pPr>
              <w:widowControl/>
              <w:spacing w:line="240" w:lineRule="auto"/>
              <w:rPr>
                <w:rFonts w:hint="eastAsia" w:cs="宋体"/>
                <w:color w:val="000000"/>
                <w:kern w:val="0"/>
                <w:sz w:val="22"/>
              </w:rPr>
            </w:pPr>
            <w:r>
              <w:rPr>
                <w:rFonts w:cs="宋体"/>
                <w:color w:val="000000"/>
                <w:kern w:val="0"/>
                <w:sz w:val="22"/>
              </w:rPr>
              <w:t>配管</w:t>
            </w:r>
          </w:p>
        </w:tc>
        <w:tc>
          <w:tcPr>
            <w:tcW w:w="3643" w:type="pct"/>
            <w:tcBorders>
              <w:top w:val="nil"/>
              <w:left w:val="nil"/>
              <w:bottom w:val="single" w:color="auto" w:sz="4" w:space="0"/>
              <w:right w:val="single" w:color="auto" w:sz="4" w:space="0"/>
            </w:tcBorders>
            <w:vAlign w:val="center"/>
          </w:tcPr>
          <w:p w14:paraId="1FB53BE8">
            <w:pPr>
              <w:widowControl/>
              <w:spacing w:line="240" w:lineRule="auto"/>
              <w:rPr>
                <w:rFonts w:hint="eastAsia" w:cs="宋体"/>
                <w:color w:val="000000"/>
                <w:kern w:val="0"/>
                <w:sz w:val="22"/>
              </w:rPr>
            </w:pPr>
            <w:r>
              <w:rPr>
                <w:rFonts w:cs="宋体"/>
                <w:color w:val="000000"/>
                <w:kern w:val="0"/>
                <w:sz w:val="22"/>
              </w:rPr>
              <w:t>1.PC电线管</w:t>
            </w:r>
          </w:p>
        </w:tc>
        <w:tc>
          <w:tcPr>
            <w:tcW w:w="216" w:type="pct"/>
            <w:tcBorders>
              <w:top w:val="nil"/>
              <w:left w:val="nil"/>
              <w:bottom w:val="single" w:color="auto" w:sz="4" w:space="0"/>
              <w:right w:val="single" w:color="auto" w:sz="4" w:space="0"/>
            </w:tcBorders>
            <w:vAlign w:val="center"/>
          </w:tcPr>
          <w:p w14:paraId="06C7F42C">
            <w:pPr>
              <w:widowControl/>
              <w:spacing w:line="240" w:lineRule="auto"/>
              <w:jc w:val="center"/>
              <w:rPr>
                <w:rFonts w:hint="eastAsia" w:cs="宋体"/>
                <w:color w:val="000000"/>
                <w:kern w:val="0"/>
                <w:sz w:val="22"/>
              </w:rPr>
            </w:pPr>
            <w:r>
              <w:rPr>
                <w:rFonts w:cs="宋体"/>
                <w:color w:val="000000"/>
                <w:kern w:val="0"/>
                <w:sz w:val="22"/>
              </w:rPr>
              <w:t>m</w:t>
            </w:r>
          </w:p>
        </w:tc>
        <w:tc>
          <w:tcPr>
            <w:tcW w:w="202" w:type="pct"/>
            <w:tcBorders>
              <w:top w:val="nil"/>
              <w:left w:val="nil"/>
              <w:bottom w:val="single" w:color="auto" w:sz="4" w:space="0"/>
              <w:right w:val="single" w:color="auto" w:sz="4" w:space="0"/>
            </w:tcBorders>
            <w:vAlign w:val="center"/>
          </w:tcPr>
          <w:p w14:paraId="3FEEFB00">
            <w:pPr>
              <w:widowControl/>
              <w:spacing w:line="240" w:lineRule="auto"/>
              <w:jc w:val="center"/>
              <w:rPr>
                <w:rFonts w:hint="eastAsia" w:cs="宋体"/>
                <w:color w:val="000000"/>
                <w:kern w:val="0"/>
                <w:sz w:val="22"/>
              </w:rPr>
            </w:pPr>
            <w:r>
              <w:rPr>
                <w:rFonts w:cs="宋体"/>
                <w:color w:val="000000"/>
                <w:kern w:val="0"/>
                <w:sz w:val="22"/>
              </w:rPr>
              <w:t>300</w:t>
            </w:r>
          </w:p>
        </w:tc>
      </w:tr>
      <w:tr w14:paraId="7EC25281">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3C9E61AF">
            <w:pPr>
              <w:widowControl/>
              <w:spacing w:line="240" w:lineRule="auto"/>
              <w:jc w:val="center"/>
              <w:rPr>
                <w:rFonts w:hint="eastAsia" w:cs="宋体"/>
                <w:color w:val="000000"/>
                <w:kern w:val="0"/>
                <w:sz w:val="22"/>
              </w:rPr>
            </w:pPr>
            <w:r>
              <w:rPr>
                <w:rFonts w:cs="宋体"/>
                <w:color w:val="000000"/>
                <w:kern w:val="0"/>
                <w:sz w:val="22"/>
              </w:rPr>
              <w:t>114</w:t>
            </w:r>
          </w:p>
        </w:tc>
        <w:tc>
          <w:tcPr>
            <w:tcW w:w="152" w:type="pct"/>
            <w:vMerge w:val="continue"/>
            <w:tcBorders>
              <w:top w:val="nil"/>
              <w:left w:val="single" w:color="auto" w:sz="4" w:space="0"/>
              <w:bottom w:val="single" w:color="000000" w:sz="4" w:space="0"/>
              <w:right w:val="single" w:color="auto" w:sz="4" w:space="0"/>
            </w:tcBorders>
            <w:vAlign w:val="center"/>
          </w:tcPr>
          <w:p w14:paraId="23165822">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2B3FD6DC">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4B228CD7">
            <w:pPr>
              <w:widowControl/>
              <w:spacing w:line="240" w:lineRule="auto"/>
              <w:rPr>
                <w:rFonts w:hint="eastAsia" w:cs="宋体"/>
                <w:color w:val="000000"/>
                <w:kern w:val="0"/>
                <w:sz w:val="22"/>
              </w:rPr>
            </w:pPr>
            <w:r>
              <w:rPr>
                <w:rFonts w:cs="宋体"/>
                <w:color w:val="000000"/>
                <w:kern w:val="0"/>
                <w:sz w:val="22"/>
              </w:rPr>
              <w:t>散力架</w:t>
            </w:r>
          </w:p>
        </w:tc>
        <w:tc>
          <w:tcPr>
            <w:tcW w:w="3643" w:type="pct"/>
            <w:tcBorders>
              <w:top w:val="nil"/>
              <w:left w:val="nil"/>
              <w:bottom w:val="single" w:color="auto" w:sz="4" w:space="0"/>
              <w:right w:val="single" w:color="auto" w:sz="4" w:space="0"/>
            </w:tcBorders>
            <w:vAlign w:val="center"/>
          </w:tcPr>
          <w:p w14:paraId="0781E28F">
            <w:pPr>
              <w:widowControl/>
              <w:spacing w:line="240" w:lineRule="auto"/>
              <w:rPr>
                <w:rFonts w:hint="eastAsia" w:cs="宋体"/>
                <w:color w:val="000000"/>
                <w:kern w:val="0"/>
                <w:sz w:val="22"/>
              </w:rPr>
            </w:pPr>
            <w:r>
              <w:rPr>
                <w:rFonts w:cs="宋体"/>
                <w:color w:val="000000"/>
                <w:kern w:val="0"/>
                <w:sz w:val="22"/>
              </w:rPr>
              <w:t>散力架，根据现场情况定制</w:t>
            </w:r>
          </w:p>
        </w:tc>
        <w:tc>
          <w:tcPr>
            <w:tcW w:w="216" w:type="pct"/>
            <w:tcBorders>
              <w:top w:val="nil"/>
              <w:left w:val="nil"/>
              <w:bottom w:val="single" w:color="auto" w:sz="4" w:space="0"/>
              <w:right w:val="single" w:color="auto" w:sz="4" w:space="0"/>
            </w:tcBorders>
            <w:vAlign w:val="center"/>
          </w:tcPr>
          <w:p w14:paraId="1CDD423F">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6F432A80">
            <w:pPr>
              <w:widowControl/>
              <w:spacing w:line="240" w:lineRule="auto"/>
              <w:jc w:val="center"/>
              <w:rPr>
                <w:rFonts w:hint="eastAsia" w:cs="宋体"/>
                <w:color w:val="000000"/>
                <w:kern w:val="0"/>
                <w:sz w:val="22"/>
              </w:rPr>
            </w:pPr>
            <w:r>
              <w:rPr>
                <w:rFonts w:cs="宋体"/>
                <w:color w:val="000000"/>
                <w:kern w:val="0"/>
                <w:sz w:val="22"/>
              </w:rPr>
              <w:t>8</w:t>
            </w:r>
          </w:p>
        </w:tc>
      </w:tr>
      <w:tr w14:paraId="1FDD9F89">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FE40F2D">
            <w:pPr>
              <w:widowControl/>
              <w:spacing w:line="240" w:lineRule="auto"/>
              <w:jc w:val="center"/>
              <w:rPr>
                <w:rFonts w:hint="eastAsia" w:cs="宋体"/>
                <w:color w:val="000000"/>
                <w:kern w:val="0"/>
                <w:sz w:val="22"/>
              </w:rPr>
            </w:pPr>
            <w:r>
              <w:rPr>
                <w:rFonts w:cs="宋体"/>
                <w:color w:val="000000"/>
                <w:kern w:val="0"/>
                <w:sz w:val="22"/>
              </w:rPr>
              <w:t>115</w:t>
            </w:r>
          </w:p>
        </w:tc>
        <w:tc>
          <w:tcPr>
            <w:tcW w:w="152" w:type="pct"/>
            <w:vMerge w:val="continue"/>
            <w:tcBorders>
              <w:top w:val="nil"/>
              <w:left w:val="single" w:color="auto" w:sz="4" w:space="0"/>
              <w:bottom w:val="single" w:color="000000" w:sz="4" w:space="0"/>
              <w:right w:val="single" w:color="auto" w:sz="4" w:space="0"/>
            </w:tcBorders>
            <w:vAlign w:val="center"/>
          </w:tcPr>
          <w:p w14:paraId="6B273C56">
            <w:pPr>
              <w:widowControl/>
              <w:spacing w:line="240" w:lineRule="auto"/>
              <w:rPr>
                <w:rFonts w:hint="eastAsia" w:cs="宋体"/>
                <w:color w:val="000000"/>
                <w:kern w:val="0"/>
                <w:sz w:val="22"/>
              </w:rPr>
            </w:pPr>
          </w:p>
        </w:tc>
        <w:tc>
          <w:tcPr>
            <w:tcW w:w="331" w:type="pct"/>
            <w:vMerge w:val="restart"/>
            <w:tcBorders>
              <w:top w:val="nil"/>
              <w:left w:val="single" w:color="auto" w:sz="4" w:space="0"/>
              <w:bottom w:val="single" w:color="000000" w:sz="4" w:space="0"/>
              <w:right w:val="single" w:color="auto" w:sz="4" w:space="0"/>
            </w:tcBorders>
            <w:vAlign w:val="center"/>
          </w:tcPr>
          <w:p w14:paraId="5B42AD58">
            <w:pPr>
              <w:widowControl/>
              <w:spacing w:line="240" w:lineRule="auto"/>
              <w:jc w:val="center"/>
              <w:rPr>
                <w:rFonts w:hint="eastAsia" w:cs="宋体"/>
                <w:color w:val="000000"/>
                <w:kern w:val="0"/>
                <w:sz w:val="22"/>
              </w:rPr>
            </w:pPr>
            <w:r>
              <w:rPr>
                <w:rFonts w:cs="宋体"/>
                <w:color w:val="000000"/>
                <w:kern w:val="0"/>
                <w:sz w:val="22"/>
              </w:rPr>
              <w:t>消防</w:t>
            </w:r>
          </w:p>
        </w:tc>
        <w:tc>
          <w:tcPr>
            <w:tcW w:w="202" w:type="pct"/>
            <w:tcBorders>
              <w:top w:val="nil"/>
              <w:left w:val="nil"/>
              <w:bottom w:val="single" w:color="auto" w:sz="4" w:space="0"/>
              <w:right w:val="single" w:color="auto" w:sz="4" w:space="0"/>
            </w:tcBorders>
            <w:vAlign w:val="center"/>
          </w:tcPr>
          <w:p w14:paraId="2800FDC9">
            <w:pPr>
              <w:widowControl/>
              <w:spacing w:line="240" w:lineRule="auto"/>
              <w:rPr>
                <w:rFonts w:hint="eastAsia" w:cs="宋体"/>
                <w:color w:val="000000"/>
                <w:kern w:val="0"/>
                <w:sz w:val="22"/>
              </w:rPr>
            </w:pPr>
            <w:r>
              <w:rPr>
                <w:rFonts w:cs="宋体"/>
                <w:color w:val="000000"/>
                <w:kern w:val="0"/>
                <w:sz w:val="22"/>
              </w:rPr>
              <w:t>七氟丙烷灭火系统(储瓶）</w:t>
            </w:r>
          </w:p>
        </w:tc>
        <w:tc>
          <w:tcPr>
            <w:tcW w:w="3643" w:type="pct"/>
            <w:tcBorders>
              <w:top w:val="nil"/>
              <w:left w:val="nil"/>
              <w:bottom w:val="single" w:color="auto" w:sz="4" w:space="0"/>
              <w:right w:val="single" w:color="auto" w:sz="4" w:space="0"/>
            </w:tcBorders>
            <w:vAlign w:val="center"/>
          </w:tcPr>
          <w:p w14:paraId="4914C250">
            <w:pPr>
              <w:widowControl/>
              <w:spacing w:line="240" w:lineRule="auto"/>
              <w:rPr>
                <w:rFonts w:hint="eastAsia" w:cs="宋体"/>
                <w:color w:val="000000"/>
                <w:kern w:val="0"/>
                <w:sz w:val="22"/>
              </w:rPr>
            </w:pPr>
            <w:r>
              <w:rPr>
                <w:rFonts w:cs="宋体"/>
                <w:color w:val="000000"/>
                <w:kern w:val="0"/>
                <w:sz w:val="22"/>
              </w:rPr>
              <w:t>1、充装压力（20℃时）：2.5Mpa。</w:t>
            </w:r>
            <w:r>
              <w:rPr>
                <w:rFonts w:cs="宋体"/>
                <w:color w:val="000000"/>
                <w:kern w:val="0"/>
                <w:sz w:val="22"/>
              </w:rPr>
              <w:br w:type="textWrapping"/>
            </w:r>
            <w:r>
              <w:rPr>
                <w:rFonts w:cs="宋体"/>
                <w:color w:val="000000"/>
                <w:kern w:val="0"/>
                <w:sz w:val="22"/>
              </w:rPr>
              <w:t>2、电磁阀工作电压：DC24V。</w:t>
            </w:r>
            <w:r>
              <w:rPr>
                <w:rFonts w:cs="宋体"/>
                <w:color w:val="000000"/>
                <w:kern w:val="0"/>
                <w:sz w:val="22"/>
              </w:rPr>
              <w:br w:type="textWrapping"/>
            </w:r>
            <w:r>
              <w:rPr>
                <w:rFonts w:cs="宋体"/>
                <w:color w:val="000000"/>
                <w:kern w:val="0"/>
                <w:sz w:val="22"/>
              </w:rPr>
              <w:t>3、启动电流：1～1.5A。</w:t>
            </w:r>
            <w:r>
              <w:rPr>
                <w:rFonts w:cs="宋体"/>
                <w:color w:val="000000"/>
                <w:kern w:val="0"/>
                <w:sz w:val="22"/>
              </w:rPr>
              <w:br w:type="textWrapping"/>
            </w:r>
            <w:r>
              <w:rPr>
                <w:rFonts w:cs="宋体"/>
                <w:color w:val="000000"/>
                <w:kern w:val="0"/>
                <w:sz w:val="22"/>
              </w:rPr>
              <w:t>4、喷射时间：≤10S。</w:t>
            </w:r>
            <w:r>
              <w:rPr>
                <w:rFonts w:cs="宋体"/>
                <w:color w:val="000000"/>
                <w:kern w:val="0"/>
                <w:sz w:val="22"/>
              </w:rPr>
              <w:br w:type="textWrapping"/>
            </w:r>
            <w:r>
              <w:rPr>
                <w:rFonts w:cs="宋体"/>
                <w:color w:val="000000"/>
                <w:kern w:val="0"/>
                <w:sz w:val="22"/>
              </w:rPr>
              <w:t>5、使用环境：温度：0℃～50℃。含钢瓶、瓶头阀、压力开关、排放管、喷头、钢瓶柜</w:t>
            </w:r>
          </w:p>
        </w:tc>
        <w:tc>
          <w:tcPr>
            <w:tcW w:w="216" w:type="pct"/>
            <w:tcBorders>
              <w:top w:val="nil"/>
              <w:left w:val="nil"/>
              <w:bottom w:val="single" w:color="auto" w:sz="4" w:space="0"/>
              <w:right w:val="single" w:color="auto" w:sz="4" w:space="0"/>
            </w:tcBorders>
            <w:vAlign w:val="center"/>
          </w:tcPr>
          <w:p w14:paraId="3C6F5D0A">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17512AA4">
            <w:pPr>
              <w:widowControl/>
              <w:spacing w:line="240" w:lineRule="auto"/>
              <w:jc w:val="center"/>
              <w:rPr>
                <w:rFonts w:hint="eastAsia" w:cs="宋体"/>
                <w:color w:val="000000"/>
                <w:kern w:val="0"/>
                <w:sz w:val="22"/>
              </w:rPr>
            </w:pPr>
            <w:r>
              <w:rPr>
                <w:rFonts w:cs="宋体"/>
                <w:color w:val="000000"/>
                <w:kern w:val="0"/>
                <w:sz w:val="22"/>
              </w:rPr>
              <w:t>1</w:t>
            </w:r>
          </w:p>
        </w:tc>
      </w:tr>
      <w:tr w14:paraId="48BD1194">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43E08F7">
            <w:pPr>
              <w:widowControl/>
              <w:spacing w:line="240" w:lineRule="auto"/>
              <w:jc w:val="center"/>
              <w:rPr>
                <w:rFonts w:hint="eastAsia" w:cs="宋体"/>
                <w:color w:val="000000"/>
                <w:kern w:val="0"/>
                <w:sz w:val="22"/>
              </w:rPr>
            </w:pPr>
            <w:r>
              <w:rPr>
                <w:rFonts w:cs="宋体"/>
                <w:color w:val="000000"/>
                <w:kern w:val="0"/>
                <w:sz w:val="22"/>
              </w:rPr>
              <w:t>116</w:t>
            </w:r>
          </w:p>
        </w:tc>
        <w:tc>
          <w:tcPr>
            <w:tcW w:w="152" w:type="pct"/>
            <w:vMerge w:val="continue"/>
            <w:tcBorders>
              <w:top w:val="nil"/>
              <w:left w:val="single" w:color="auto" w:sz="4" w:space="0"/>
              <w:bottom w:val="single" w:color="000000" w:sz="4" w:space="0"/>
              <w:right w:val="single" w:color="auto" w:sz="4" w:space="0"/>
            </w:tcBorders>
            <w:vAlign w:val="center"/>
          </w:tcPr>
          <w:p w14:paraId="2AEA9611">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48BD5B5">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39237D5">
            <w:pPr>
              <w:widowControl/>
              <w:spacing w:line="240" w:lineRule="auto"/>
              <w:rPr>
                <w:rFonts w:hint="eastAsia" w:cs="宋体"/>
                <w:color w:val="000000"/>
                <w:kern w:val="0"/>
                <w:sz w:val="22"/>
              </w:rPr>
            </w:pPr>
            <w:r>
              <w:rPr>
                <w:rFonts w:cs="宋体"/>
                <w:color w:val="000000"/>
                <w:kern w:val="0"/>
                <w:sz w:val="22"/>
              </w:rPr>
              <w:t>七氟丙烷药剂</w:t>
            </w:r>
          </w:p>
        </w:tc>
        <w:tc>
          <w:tcPr>
            <w:tcW w:w="3643" w:type="pct"/>
            <w:tcBorders>
              <w:top w:val="nil"/>
              <w:left w:val="nil"/>
              <w:bottom w:val="single" w:color="auto" w:sz="4" w:space="0"/>
              <w:right w:val="single" w:color="auto" w:sz="4" w:space="0"/>
            </w:tcBorders>
            <w:vAlign w:val="center"/>
          </w:tcPr>
          <w:p w14:paraId="1B7486E6">
            <w:pPr>
              <w:widowControl/>
              <w:spacing w:line="240" w:lineRule="auto"/>
              <w:rPr>
                <w:rFonts w:hint="eastAsia" w:cs="宋体"/>
                <w:color w:val="000000"/>
                <w:kern w:val="0"/>
                <w:sz w:val="22"/>
              </w:rPr>
            </w:pPr>
            <w:r>
              <w:rPr>
                <w:rFonts w:cs="宋体"/>
                <w:color w:val="000000"/>
                <w:kern w:val="0"/>
                <w:sz w:val="22"/>
              </w:rPr>
              <w:t xml:space="preserve">1、纯度≥99.6﹪； </w:t>
            </w:r>
            <w:r>
              <w:rPr>
                <w:rFonts w:cs="宋体"/>
                <w:color w:val="000000"/>
                <w:kern w:val="0"/>
                <w:sz w:val="22"/>
              </w:rPr>
              <w:br w:type="textWrapping"/>
            </w:r>
            <w:r>
              <w:rPr>
                <w:rFonts w:cs="宋体"/>
                <w:color w:val="000000"/>
                <w:kern w:val="0"/>
                <w:sz w:val="22"/>
              </w:rPr>
              <w:t>2、水份/（mg/kg）≤10 ；</w:t>
            </w:r>
            <w:r>
              <w:rPr>
                <w:rFonts w:cs="宋体"/>
                <w:color w:val="000000"/>
                <w:kern w:val="0"/>
                <w:sz w:val="22"/>
              </w:rPr>
              <w:br w:type="textWrapping"/>
            </w:r>
            <w:r>
              <w:rPr>
                <w:rFonts w:cs="宋体"/>
                <w:color w:val="000000"/>
                <w:kern w:val="0"/>
                <w:sz w:val="22"/>
              </w:rPr>
              <w:t>3、酸度（以HF计）/（mg/kg）≤1；</w:t>
            </w:r>
            <w:r>
              <w:rPr>
                <w:rFonts w:cs="宋体"/>
                <w:color w:val="000000"/>
                <w:kern w:val="0"/>
                <w:sz w:val="22"/>
              </w:rPr>
              <w:br w:type="textWrapping"/>
            </w:r>
            <w:r>
              <w:rPr>
                <w:rFonts w:cs="宋体"/>
                <w:color w:val="000000"/>
                <w:kern w:val="0"/>
                <w:sz w:val="22"/>
              </w:rPr>
              <w:t>4、蒸发残留物/﹪≤0.01</w:t>
            </w:r>
          </w:p>
        </w:tc>
        <w:tc>
          <w:tcPr>
            <w:tcW w:w="216" w:type="pct"/>
            <w:tcBorders>
              <w:top w:val="nil"/>
              <w:left w:val="nil"/>
              <w:bottom w:val="single" w:color="auto" w:sz="4" w:space="0"/>
              <w:right w:val="single" w:color="auto" w:sz="4" w:space="0"/>
            </w:tcBorders>
            <w:vAlign w:val="center"/>
          </w:tcPr>
          <w:p w14:paraId="6067F8F3">
            <w:pPr>
              <w:widowControl/>
              <w:spacing w:line="240" w:lineRule="auto"/>
              <w:jc w:val="center"/>
              <w:rPr>
                <w:rFonts w:hint="eastAsia" w:cs="宋体"/>
                <w:color w:val="000000"/>
                <w:kern w:val="0"/>
                <w:sz w:val="22"/>
              </w:rPr>
            </w:pPr>
            <w:r>
              <w:rPr>
                <w:rFonts w:cs="宋体"/>
                <w:color w:val="000000"/>
                <w:kern w:val="0"/>
                <w:sz w:val="22"/>
              </w:rPr>
              <w:t>kg</w:t>
            </w:r>
          </w:p>
        </w:tc>
        <w:tc>
          <w:tcPr>
            <w:tcW w:w="202" w:type="pct"/>
            <w:tcBorders>
              <w:top w:val="nil"/>
              <w:left w:val="nil"/>
              <w:bottom w:val="single" w:color="auto" w:sz="4" w:space="0"/>
              <w:right w:val="single" w:color="auto" w:sz="4" w:space="0"/>
            </w:tcBorders>
            <w:vAlign w:val="center"/>
          </w:tcPr>
          <w:p w14:paraId="0FC6627D">
            <w:pPr>
              <w:widowControl/>
              <w:spacing w:line="240" w:lineRule="auto"/>
              <w:jc w:val="center"/>
              <w:rPr>
                <w:rFonts w:hint="eastAsia" w:cs="宋体"/>
                <w:color w:val="000000"/>
                <w:kern w:val="0"/>
                <w:sz w:val="22"/>
              </w:rPr>
            </w:pPr>
            <w:r>
              <w:rPr>
                <w:rFonts w:cs="宋体"/>
                <w:color w:val="000000"/>
                <w:kern w:val="0"/>
                <w:sz w:val="22"/>
              </w:rPr>
              <w:t>38</w:t>
            </w:r>
          </w:p>
        </w:tc>
      </w:tr>
      <w:tr w14:paraId="4A701ABD">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8582F23">
            <w:pPr>
              <w:widowControl/>
              <w:spacing w:line="240" w:lineRule="auto"/>
              <w:jc w:val="center"/>
              <w:rPr>
                <w:rFonts w:hint="eastAsia" w:cs="宋体"/>
                <w:color w:val="000000"/>
                <w:kern w:val="0"/>
                <w:sz w:val="22"/>
              </w:rPr>
            </w:pPr>
            <w:r>
              <w:rPr>
                <w:rFonts w:cs="宋体"/>
                <w:color w:val="000000"/>
                <w:kern w:val="0"/>
                <w:sz w:val="22"/>
              </w:rPr>
              <w:t>117</w:t>
            </w:r>
          </w:p>
        </w:tc>
        <w:tc>
          <w:tcPr>
            <w:tcW w:w="152" w:type="pct"/>
            <w:vMerge w:val="continue"/>
            <w:tcBorders>
              <w:top w:val="nil"/>
              <w:left w:val="single" w:color="auto" w:sz="4" w:space="0"/>
              <w:bottom w:val="single" w:color="000000" w:sz="4" w:space="0"/>
              <w:right w:val="single" w:color="auto" w:sz="4" w:space="0"/>
            </w:tcBorders>
            <w:vAlign w:val="center"/>
          </w:tcPr>
          <w:p w14:paraId="0A15196D">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67D178D">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7FD7BD3">
            <w:pPr>
              <w:widowControl/>
              <w:spacing w:line="240" w:lineRule="auto"/>
              <w:rPr>
                <w:rFonts w:hint="eastAsia" w:cs="宋体"/>
                <w:color w:val="000000"/>
                <w:kern w:val="0"/>
                <w:sz w:val="22"/>
              </w:rPr>
            </w:pPr>
            <w:r>
              <w:rPr>
                <w:rFonts w:cs="宋体"/>
                <w:color w:val="000000"/>
                <w:kern w:val="0"/>
                <w:sz w:val="22"/>
              </w:rPr>
              <w:t>泄压装置</w:t>
            </w:r>
          </w:p>
        </w:tc>
        <w:tc>
          <w:tcPr>
            <w:tcW w:w="3643" w:type="pct"/>
            <w:tcBorders>
              <w:top w:val="nil"/>
              <w:left w:val="nil"/>
              <w:bottom w:val="single" w:color="auto" w:sz="4" w:space="0"/>
              <w:right w:val="single" w:color="auto" w:sz="4" w:space="0"/>
            </w:tcBorders>
            <w:noWrap/>
            <w:vAlign w:val="center"/>
          </w:tcPr>
          <w:p w14:paraId="0284344F">
            <w:pPr>
              <w:widowControl/>
              <w:spacing w:line="240" w:lineRule="auto"/>
              <w:rPr>
                <w:rFonts w:hint="eastAsia" w:cs="宋体"/>
                <w:color w:val="000000"/>
                <w:kern w:val="0"/>
                <w:sz w:val="22"/>
              </w:rPr>
            </w:pPr>
            <w:r>
              <w:rPr>
                <w:rFonts w:cs="宋体"/>
                <w:color w:val="000000"/>
                <w:kern w:val="0"/>
                <w:sz w:val="22"/>
              </w:rPr>
              <w:t>自动机械型气体灭火泄压装置</w:t>
            </w:r>
          </w:p>
        </w:tc>
        <w:tc>
          <w:tcPr>
            <w:tcW w:w="216" w:type="pct"/>
            <w:tcBorders>
              <w:top w:val="nil"/>
              <w:left w:val="nil"/>
              <w:bottom w:val="single" w:color="auto" w:sz="4" w:space="0"/>
              <w:right w:val="single" w:color="auto" w:sz="4" w:space="0"/>
            </w:tcBorders>
            <w:vAlign w:val="center"/>
          </w:tcPr>
          <w:p w14:paraId="24D76855">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76CA501B">
            <w:pPr>
              <w:widowControl/>
              <w:spacing w:line="240" w:lineRule="auto"/>
              <w:jc w:val="center"/>
              <w:rPr>
                <w:rFonts w:hint="eastAsia" w:cs="宋体"/>
                <w:color w:val="000000"/>
                <w:kern w:val="0"/>
                <w:sz w:val="22"/>
              </w:rPr>
            </w:pPr>
            <w:r>
              <w:rPr>
                <w:rFonts w:cs="宋体"/>
                <w:color w:val="000000"/>
                <w:kern w:val="0"/>
                <w:sz w:val="22"/>
              </w:rPr>
              <w:t>1</w:t>
            </w:r>
          </w:p>
        </w:tc>
      </w:tr>
      <w:tr w14:paraId="682E0198">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49BE931C">
            <w:pPr>
              <w:widowControl/>
              <w:spacing w:line="240" w:lineRule="auto"/>
              <w:jc w:val="center"/>
              <w:rPr>
                <w:rFonts w:hint="eastAsia" w:cs="宋体"/>
                <w:color w:val="000000"/>
                <w:kern w:val="0"/>
                <w:sz w:val="22"/>
              </w:rPr>
            </w:pPr>
            <w:r>
              <w:rPr>
                <w:rFonts w:cs="宋体"/>
                <w:color w:val="000000"/>
                <w:kern w:val="0"/>
                <w:sz w:val="22"/>
              </w:rPr>
              <w:t>118</w:t>
            </w:r>
          </w:p>
        </w:tc>
        <w:tc>
          <w:tcPr>
            <w:tcW w:w="152" w:type="pct"/>
            <w:vMerge w:val="continue"/>
            <w:tcBorders>
              <w:top w:val="nil"/>
              <w:left w:val="single" w:color="auto" w:sz="4" w:space="0"/>
              <w:bottom w:val="single" w:color="000000" w:sz="4" w:space="0"/>
              <w:right w:val="single" w:color="auto" w:sz="4" w:space="0"/>
            </w:tcBorders>
            <w:vAlign w:val="center"/>
          </w:tcPr>
          <w:p w14:paraId="2F1E79D5">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3F349FFE">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0EAB547">
            <w:pPr>
              <w:widowControl/>
              <w:spacing w:line="240" w:lineRule="auto"/>
              <w:rPr>
                <w:rFonts w:hint="eastAsia" w:cs="宋体"/>
                <w:color w:val="000000"/>
                <w:kern w:val="0"/>
                <w:sz w:val="22"/>
              </w:rPr>
            </w:pPr>
            <w:r>
              <w:rPr>
                <w:rFonts w:cs="宋体"/>
                <w:color w:val="000000"/>
                <w:kern w:val="0"/>
                <w:sz w:val="22"/>
              </w:rPr>
              <w:t>火灾报警气体灭火控制器</w:t>
            </w:r>
          </w:p>
        </w:tc>
        <w:tc>
          <w:tcPr>
            <w:tcW w:w="3643" w:type="pct"/>
            <w:tcBorders>
              <w:top w:val="nil"/>
              <w:left w:val="nil"/>
              <w:bottom w:val="single" w:color="auto" w:sz="4" w:space="0"/>
              <w:right w:val="single" w:color="auto" w:sz="4" w:space="0"/>
            </w:tcBorders>
            <w:vAlign w:val="center"/>
          </w:tcPr>
          <w:p w14:paraId="2739551D">
            <w:pPr>
              <w:widowControl/>
              <w:spacing w:line="240" w:lineRule="auto"/>
              <w:rPr>
                <w:rFonts w:hint="eastAsia" w:cs="宋体"/>
                <w:color w:val="000000"/>
                <w:kern w:val="0"/>
                <w:sz w:val="22"/>
              </w:rPr>
            </w:pPr>
            <w:r>
              <w:rPr>
                <w:rFonts w:cs="宋体"/>
                <w:color w:val="000000"/>
                <w:kern w:val="0"/>
                <w:sz w:val="22"/>
              </w:rPr>
              <w:t xml:space="preserve">1、使用环境温度：0℃～40℃；相对湿度：≤95% ( 40℃) 。 </w:t>
            </w:r>
            <w:r>
              <w:rPr>
                <w:rFonts w:cs="宋体"/>
                <w:color w:val="000000"/>
                <w:kern w:val="0"/>
                <w:sz w:val="22"/>
              </w:rPr>
              <w:br w:type="textWrapping"/>
            </w:r>
            <w:r>
              <w:rPr>
                <w:rFonts w:cs="宋体"/>
                <w:color w:val="000000"/>
                <w:kern w:val="0"/>
                <w:sz w:val="22"/>
              </w:rPr>
              <w:t>2、交流输入电压：220V, 50Hz±1%。</w:t>
            </w:r>
            <w:r>
              <w:rPr>
                <w:rFonts w:cs="宋体"/>
                <w:color w:val="000000"/>
                <w:kern w:val="0"/>
                <w:sz w:val="22"/>
              </w:rPr>
              <w:br w:type="textWrapping"/>
            </w:r>
            <w:r>
              <w:rPr>
                <w:rFonts w:cs="宋体"/>
                <w:color w:val="000000"/>
                <w:kern w:val="0"/>
                <w:sz w:val="22"/>
              </w:rPr>
              <w:t>3、交流输入功率：≤100W。</w:t>
            </w:r>
            <w:r>
              <w:rPr>
                <w:rFonts w:cs="宋体"/>
                <w:color w:val="000000"/>
                <w:kern w:val="0"/>
                <w:sz w:val="22"/>
              </w:rPr>
              <w:br w:type="textWrapping"/>
            </w:r>
            <w:r>
              <w:rPr>
                <w:rFonts w:cs="宋体"/>
                <w:color w:val="000000"/>
                <w:kern w:val="0"/>
                <w:sz w:val="22"/>
              </w:rPr>
              <w:t>4、直流备电：DC24V/5.0Ah,全密封免维护蓄电池。</w:t>
            </w:r>
            <w:r>
              <w:rPr>
                <w:rFonts w:cs="宋体"/>
                <w:color w:val="000000"/>
                <w:kern w:val="0"/>
                <w:sz w:val="22"/>
              </w:rPr>
              <w:br w:type="textWrapping"/>
            </w:r>
            <w:r>
              <w:rPr>
                <w:rFonts w:cs="宋体"/>
                <w:color w:val="000000"/>
                <w:kern w:val="0"/>
                <w:sz w:val="22"/>
              </w:rPr>
              <w:t>5、容量：1区；回路容量≤160点。</w:t>
            </w:r>
            <w:r>
              <w:rPr>
                <w:rFonts w:cs="宋体"/>
                <w:color w:val="000000"/>
                <w:kern w:val="0"/>
                <w:sz w:val="22"/>
              </w:rPr>
              <w:br w:type="textWrapping"/>
            </w:r>
            <w:r>
              <w:rPr>
                <w:rFonts w:cs="宋体"/>
                <w:color w:val="000000"/>
                <w:kern w:val="0"/>
                <w:sz w:val="22"/>
              </w:rPr>
              <w:t>6、DC24V电源最大输出电流：2A（瞬态输出可达3A）。</w:t>
            </w:r>
            <w:r>
              <w:rPr>
                <w:rFonts w:cs="宋体"/>
                <w:color w:val="000000"/>
                <w:kern w:val="0"/>
                <w:sz w:val="22"/>
              </w:rPr>
              <w:br w:type="textWrapping"/>
            </w:r>
            <w:r>
              <w:rPr>
                <w:rFonts w:cs="宋体"/>
                <w:color w:val="000000"/>
                <w:kern w:val="0"/>
                <w:sz w:val="22"/>
              </w:rPr>
              <w:t>7、总线长度：≤1500米。</w:t>
            </w:r>
            <w:r>
              <w:rPr>
                <w:rFonts w:cs="宋体"/>
                <w:color w:val="000000"/>
                <w:kern w:val="0"/>
                <w:sz w:val="22"/>
              </w:rPr>
              <w:br w:type="textWrapping"/>
            </w:r>
            <w:r>
              <w:rPr>
                <w:rFonts w:cs="宋体"/>
                <w:color w:val="000000"/>
                <w:kern w:val="0"/>
                <w:sz w:val="22"/>
              </w:rPr>
              <w:t>8、具有历史记录存储功能，可自动打印保存火警、故障、联动、操作等信息。</w:t>
            </w:r>
          </w:p>
        </w:tc>
        <w:tc>
          <w:tcPr>
            <w:tcW w:w="216" w:type="pct"/>
            <w:tcBorders>
              <w:top w:val="nil"/>
              <w:left w:val="nil"/>
              <w:bottom w:val="single" w:color="auto" w:sz="4" w:space="0"/>
              <w:right w:val="single" w:color="auto" w:sz="4" w:space="0"/>
            </w:tcBorders>
            <w:vAlign w:val="center"/>
          </w:tcPr>
          <w:p w14:paraId="5D82F7B9">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04666B46">
            <w:pPr>
              <w:widowControl/>
              <w:spacing w:line="240" w:lineRule="auto"/>
              <w:jc w:val="center"/>
              <w:rPr>
                <w:rFonts w:hint="eastAsia" w:cs="宋体"/>
                <w:color w:val="000000"/>
                <w:kern w:val="0"/>
                <w:sz w:val="22"/>
              </w:rPr>
            </w:pPr>
            <w:r>
              <w:rPr>
                <w:rFonts w:cs="宋体"/>
                <w:color w:val="000000"/>
                <w:kern w:val="0"/>
                <w:sz w:val="22"/>
              </w:rPr>
              <w:t>1</w:t>
            </w:r>
          </w:p>
        </w:tc>
      </w:tr>
      <w:tr w14:paraId="310D7BD6">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480001A7">
            <w:pPr>
              <w:widowControl/>
              <w:spacing w:line="240" w:lineRule="auto"/>
              <w:jc w:val="center"/>
              <w:rPr>
                <w:rFonts w:hint="eastAsia" w:cs="宋体"/>
                <w:color w:val="000000"/>
                <w:kern w:val="0"/>
                <w:sz w:val="22"/>
              </w:rPr>
            </w:pPr>
            <w:r>
              <w:rPr>
                <w:rFonts w:cs="宋体"/>
                <w:color w:val="000000"/>
                <w:kern w:val="0"/>
                <w:sz w:val="22"/>
              </w:rPr>
              <w:t>119</w:t>
            </w:r>
          </w:p>
        </w:tc>
        <w:tc>
          <w:tcPr>
            <w:tcW w:w="152" w:type="pct"/>
            <w:vMerge w:val="continue"/>
            <w:tcBorders>
              <w:top w:val="nil"/>
              <w:left w:val="single" w:color="auto" w:sz="4" w:space="0"/>
              <w:bottom w:val="single" w:color="000000" w:sz="4" w:space="0"/>
              <w:right w:val="single" w:color="auto" w:sz="4" w:space="0"/>
            </w:tcBorders>
            <w:vAlign w:val="center"/>
          </w:tcPr>
          <w:p w14:paraId="434C50EA">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1C8F467">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7554F39F">
            <w:pPr>
              <w:widowControl/>
              <w:spacing w:line="240" w:lineRule="auto"/>
              <w:rPr>
                <w:rFonts w:hint="eastAsia" w:cs="宋体"/>
                <w:color w:val="000000"/>
                <w:kern w:val="0"/>
                <w:sz w:val="22"/>
              </w:rPr>
            </w:pPr>
            <w:r>
              <w:rPr>
                <w:rFonts w:cs="宋体"/>
                <w:color w:val="000000"/>
                <w:kern w:val="0"/>
                <w:sz w:val="22"/>
              </w:rPr>
              <w:t>紧急启动按钮</w:t>
            </w:r>
          </w:p>
        </w:tc>
        <w:tc>
          <w:tcPr>
            <w:tcW w:w="3643" w:type="pct"/>
            <w:tcBorders>
              <w:top w:val="nil"/>
              <w:left w:val="nil"/>
              <w:bottom w:val="single" w:color="auto" w:sz="4" w:space="0"/>
              <w:right w:val="single" w:color="auto" w:sz="4" w:space="0"/>
            </w:tcBorders>
            <w:vAlign w:val="center"/>
          </w:tcPr>
          <w:p w14:paraId="571323A8">
            <w:pPr>
              <w:widowControl/>
              <w:spacing w:line="240" w:lineRule="auto"/>
              <w:rPr>
                <w:rFonts w:hint="eastAsia" w:cs="宋体"/>
                <w:color w:val="000000"/>
                <w:kern w:val="0"/>
                <w:sz w:val="22"/>
              </w:rPr>
            </w:pPr>
            <w:r>
              <w:rPr>
                <w:rFonts w:cs="宋体"/>
                <w:color w:val="000000"/>
                <w:kern w:val="0"/>
                <w:sz w:val="22"/>
              </w:rPr>
              <w:t>1、使用环境温度：-10～+50℃；</w:t>
            </w:r>
            <w:r>
              <w:rPr>
                <w:rFonts w:cs="宋体"/>
                <w:color w:val="000000"/>
                <w:kern w:val="0"/>
                <w:sz w:val="22"/>
              </w:rPr>
              <w:br w:type="textWrapping"/>
            </w:r>
            <w:r>
              <w:rPr>
                <w:rFonts w:cs="宋体"/>
                <w:color w:val="000000"/>
                <w:kern w:val="0"/>
                <w:sz w:val="22"/>
              </w:rPr>
              <w:t>2、工作电压：16V～32V。</w:t>
            </w:r>
            <w:r>
              <w:rPr>
                <w:rFonts w:cs="宋体"/>
                <w:color w:val="000000"/>
                <w:kern w:val="0"/>
                <w:sz w:val="22"/>
              </w:rPr>
              <w:br w:type="textWrapping"/>
            </w:r>
            <w:r>
              <w:rPr>
                <w:rFonts w:cs="宋体"/>
                <w:color w:val="000000"/>
                <w:kern w:val="0"/>
                <w:sz w:val="22"/>
              </w:rPr>
              <w:t>3、常开输出触点：额定值DC60V、0.1A，接触电阻≤100mW。</w:t>
            </w:r>
            <w:r>
              <w:rPr>
                <w:rFonts w:cs="宋体"/>
                <w:color w:val="000000"/>
                <w:kern w:val="0"/>
                <w:sz w:val="22"/>
              </w:rPr>
              <w:br w:type="textWrapping"/>
            </w:r>
            <w:r>
              <w:rPr>
                <w:rFonts w:cs="宋体"/>
                <w:color w:val="000000"/>
                <w:kern w:val="0"/>
                <w:sz w:val="22"/>
              </w:rPr>
              <w:t>4、启动方式：击碎玻璃罩后，按下“按下启动”按键。</w:t>
            </w:r>
            <w:r>
              <w:rPr>
                <w:rFonts w:cs="宋体"/>
                <w:color w:val="000000"/>
                <w:kern w:val="0"/>
                <w:sz w:val="22"/>
              </w:rPr>
              <w:br w:type="textWrapping"/>
            </w:r>
            <w:r>
              <w:rPr>
                <w:rFonts w:cs="宋体"/>
                <w:color w:val="000000"/>
                <w:kern w:val="0"/>
                <w:sz w:val="22"/>
              </w:rPr>
              <w:t>5、启动零件类型：重复使用型。</w:t>
            </w:r>
            <w:r>
              <w:rPr>
                <w:rFonts w:cs="宋体"/>
                <w:color w:val="000000"/>
                <w:kern w:val="0"/>
                <w:sz w:val="22"/>
              </w:rPr>
              <w:br w:type="textWrapping"/>
            </w:r>
            <w:r>
              <w:rPr>
                <w:rFonts w:cs="宋体"/>
                <w:color w:val="000000"/>
                <w:kern w:val="0"/>
                <w:sz w:val="22"/>
              </w:rPr>
              <w:t>6、指示灯：“按下启动”按键：红色，按下时常亮；“停止”按键：绿色，按下时常亮。</w:t>
            </w:r>
          </w:p>
        </w:tc>
        <w:tc>
          <w:tcPr>
            <w:tcW w:w="216" w:type="pct"/>
            <w:tcBorders>
              <w:top w:val="nil"/>
              <w:left w:val="nil"/>
              <w:bottom w:val="single" w:color="auto" w:sz="4" w:space="0"/>
              <w:right w:val="single" w:color="auto" w:sz="4" w:space="0"/>
            </w:tcBorders>
            <w:vAlign w:val="center"/>
          </w:tcPr>
          <w:p w14:paraId="144BB87A">
            <w:pPr>
              <w:widowControl/>
              <w:spacing w:line="240" w:lineRule="auto"/>
              <w:jc w:val="center"/>
              <w:rPr>
                <w:rFonts w:hint="eastAsia" w:cs="宋体"/>
                <w:color w:val="000000"/>
                <w:kern w:val="0"/>
                <w:sz w:val="22"/>
              </w:rPr>
            </w:pPr>
            <w:r>
              <w:rPr>
                <w:rFonts w:cs="宋体"/>
                <w:color w:val="000000"/>
                <w:kern w:val="0"/>
                <w:sz w:val="22"/>
              </w:rPr>
              <w:t>个</w:t>
            </w:r>
          </w:p>
        </w:tc>
        <w:tc>
          <w:tcPr>
            <w:tcW w:w="202" w:type="pct"/>
            <w:tcBorders>
              <w:top w:val="nil"/>
              <w:left w:val="nil"/>
              <w:bottom w:val="single" w:color="auto" w:sz="4" w:space="0"/>
              <w:right w:val="single" w:color="auto" w:sz="4" w:space="0"/>
            </w:tcBorders>
            <w:vAlign w:val="center"/>
          </w:tcPr>
          <w:p w14:paraId="37F0EEFF">
            <w:pPr>
              <w:widowControl/>
              <w:spacing w:line="240" w:lineRule="auto"/>
              <w:jc w:val="center"/>
              <w:rPr>
                <w:rFonts w:hint="eastAsia" w:cs="宋体"/>
                <w:color w:val="000000"/>
                <w:kern w:val="0"/>
                <w:sz w:val="22"/>
              </w:rPr>
            </w:pPr>
            <w:r>
              <w:rPr>
                <w:rFonts w:cs="宋体"/>
                <w:color w:val="000000"/>
                <w:kern w:val="0"/>
                <w:sz w:val="22"/>
              </w:rPr>
              <w:t>1</w:t>
            </w:r>
          </w:p>
        </w:tc>
      </w:tr>
      <w:tr w14:paraId="6A927CA7">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6D549A5B">
            <w:pPr>
              <w:widowControl/>
              <w:spacing w:line="240" w:lineRule="auto"/>
              <w:jc w:val="center"/>
              <w:rPr>
                <w:rFonts w:hint="eastAsia" w:cs="宋体"/>
                <w:color w:val="000000"/>
                <w:kern w:val="0"/>
                <w:sz w:val="22"/>
              </w:rPr>
            </w:pPr>
            <w:r>
              <w:rPr>
                <w:rFonts w:cs="宋体"/>
                <w:color w:val="000000"/>
                <w:kern w:val="0"/>
                <w:sz w:val="22"/>
              </w:rPr>
              <w:t>120</w:t>
            </w:r>
          </w:p>
        </w:tc>
        <w:tc>
          <w:tcPr>
            <w:tcW w:w="152" w:type="pct"/>
            <w:vMerge w:val="continue"/>
            <w:tcBorders>
              <w:top w:val="nil"/>
              <w:left w:val="single" w:color="auto" w:sz="4" w:space="0"/>
              <w:bottom w:val="single" w:color="000000" w:sz="4" w:space="0"/>
              <w:right w:val="single" w:color="auto" w:sz="4" w:space="0"/>
            </w:tcBorders>
            <w:vAlign w:val="center"/>
          </w:tcPr>
          <w:p w14:paraId="61B27830">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6B9AF45">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C8597C5">
            <w:pPr>
              <w:widowControl/>
              <w:spacing w:line="240" w:lineRule="auto"/>
              <w:rPr>
                <w:rFonts w:hint="eastAsia" w:cs="宋体"/>
                <w:color w:val="000000"/>
                <w:kern w:val="0"/>
                <w:sz w:val="22"/>
              </w:rPr>
            </w:pPr>
            <w:r>
              <w:rPr>
                <w:rFonts w:cs="宋体"/>
                <w:color w:val="000000"/>
                <w:kern w:val="0"/>
                <w:sz w:val="22"/>
              </w:rPr>
              <w:t>声光报警器</w:t>
            </w:r>
          </w:p>
        </w:tc>
        <w:tc>
          <w:tcPr>
            <w:tcW w:w="3643" w:type="pct"/>
            <w:tcBorders>
              <w:top w:val="nil"/>
              <w:left w:val="nil"/>
              <w:bottom w:val="single" w:color="auto" w:sz="4" w:space="0"/>
              <w:right w:val="single" w:color="auto" w:sz="4" w:space="0"/>
            </w:tcBorders>
            <w:vAlign w:val="center"/>
          </w:tcPr>
          <w:p w14:paraId="5C1C5920">
            <w:pPr>
              <w:widowControl/>
              <w:spacing w:line="240" w:lineRule="auto"/>
              <w:rPr>
                <w:rFonts w:hint="eastAsia" w:cs="宋体"/>
                <w:color w:val="000000"/>
                <w:kern w:val="0"/>
                <w:sz w:val="22"/>
              </w:rPr>
            </w:pPr>
            <w:r>
              <w:rPr>
                <w:rFonts w:cs="宋体"/>
                <w:color w:val="000000"/>
                <w:kern w:val="0"/>
                <w:sz w:val="22"/>
              </w:rPr>
              <w:t>1.工作电压：DC 19-24V；</w:t>
            </w:r>
            <w:r>
              <w:rPr>
                <w:rFonts w:cs="宋体"/>
                <w:color w:val="000000"/>
                <w:kern w:val="0"/>
                <w:sz w:val="22"/>
              </w:rPr>
              <w:br w:type="textWrapping"/>
            </w:r>
            <w:r>
              <w:rPr>
                <w:rFonts w:cs="宋体"/>
                <w:color w:val="000000"/>
                <w:kern w:val="0"/>
                <w:sz w:val="22"/>
              </w:rPr>
              <w:t>2.工作温度：-10～+50℃；</w:t>
            </w:r>
            <w:r>
              <w:rPr>
                <w:rFonts w:cs="宋体"/>
                <w:color w:val="000000"/>
                <w:kern w:val="0"/>
                <w:sz w:val="22"/>
              </w:rPr>
              <w:br w:type="textWrapping"/>
            </w:r>
            <w:r>
              <w:rPr>
                <w:rFonts w:cs="宋体"/>
                <w:color w:val="000000"/>
                <w:kern w:val="0"/>
                <w:sz w:val="22"/>
              </w:rPr>
              <w:t>3.贮存温度：-20～+50℃；</w:t>
            </w:r>
            <w:r>
              <w:rPr>
                <w:rFonts w:cs="宋体"/>
                <w:color w:val="000000"/>
                <w:kern w:val="0"/>
                <w:sz w:val="22"/>
              </w:rPr>
              <w:br w:type="textWrapping"/>
            </w:r>
            <w:r>
              <w:rPr>
                <w:rFonts w:cs="宋体"/>
                <w:color w:val="000000"/>
                <w:kern w:val="0"/>
                <w:sz w:val="22"/>
              </w:rPr>
              <w:t>4.相对湿度：≤95%(40±2℃) ；</w:t>
            </w:r>
            <w:r>
              <w:rPr>
                <w:rFonts w:cs="宋体"/>
                <w:color w:val="000000"/>
                <w:kern w:val="0"/>
                <w:sz w:val="22"/>
              </w:rPr>
              <w:br w:type="textWrapping"/>
            </w:r>
            <w:r>
              <w:rPr>
                <w:rFonts w:cs="宋体"/>
                <w:color w:val="000000"/>
                <w:kern w:val="0"/>
                <w:sz w:val="22"/>
              </w:rPr>
              <w:t>5.动作电流：≤80mA （24V）；</w:t>
            </w:r>
            <w:r>
              <w:rPr>
                <w:rFonts w:cs="宋体"/>
                <w:color w:val="000000"/>
                <w:kern w:val="0"/>
                <w:sz w:val="22"/>
              </w:rPr>
              <w:br w:type="textWrapping"/>
            </w:r>
            <w:r>
              <w:rPr>
                <w:rFonts w:cs="宋体"/>
                <w:color w:val="000000"/>
                <w:kern w:val="0"/>
                <w:sz w:val="22"/>
              </w:rPr>
              <w:t>6.报警音量：&gt;90dB；</w:t>
            </w:r>
            <w:r>
              <w:rPr>
                <w:rFonts w:cs="宋体"/>
                <w:color w:val="000000"/>
                <w:kern w:val="0"/>
                <w:sz w:val="22"/>
              </w:rPr>
              <w:br w:type="textWrapping"/>
            </w:r>
            <w:r>
              <w:rPr>
                <w:rFonts w:cs="宋体"/>
                <w:color w:val="000000"/>
                <w:kern w:val="0"/>
                <w:sz w:val="22"/>
              </w:rPr>
              <w:t>7.警灯频闪周期：≥1.5 秒；</w:t>
            </w:r>
            <w:r>
              <w:rPr>
                <w:rFonts w:cs="宋体"/>
                <w:color w:val="000000"/>
                <w:kern w:val="0"/>
                <w:sz w:val="22"/>
              </w:rPr>
              <w:br w:type="textWrapping"/>
            </w:r>
            <w:r>
              <w:rPr>
                <w:rFonts w:cs="宋体"/>
                <w:color w:val="000000"/>
                <w:kern w:val="0"/>
                <w:sz w:val="22"/>
              </w:rPr>
              <w:t>8.线 制：二线连接。</w:t>
            </w:r>
          </w:p>
        </w:tc>
        <w:tc>
          <w:tcPr>
            <w:tcW w:w="216" w:type="pct"/>
            <w:tcBorders>
              <w:top w:val="nil"/>
              <w:left w:val="nil"/>
              <w:bottom w:val="single" w:color="auto" w:sz="4" w:space="0"/>
              <w:right w:val="single" w:color="auto" w:sz="4" w:space="0"/>
            </w:tcBorders>
            <w:vAlign w:val="center"/>
          </w:tcPr>
          <w:p w14:paraId="46940481">
            <w:pPr>
              <w:widowControl/>
              <w:spacing w:line="240" w:lineRule="auto"/>
              <w:jc w:val="center"/>
              <w:rPr>
                <w:rFonts w:hint="eastAsia" w:cs="宋体"/>
                <w:color w:val="000000"/>
                <w:kern w:val="0"/>
                <w:sz w:val="22"/>
              </w:rPr>
            </w:pPr>
            <w:r>
              <w:rPr>
                <w:rFonts w:cs="宋体"/>
                <w:color w:val="000000"/>
                <w:kern w:val="0"/>
                <w:sz w:val="22"/>
              </w:rPr>
              <w:t>个</w:t>
            </w:r>
          </w:p>
        </w:tc>
        <w:tc>
          <w:tcPr>
            <w:tcW w:w="202" w:type="pct"/>
            <w:tcBorders>
              <w:top w:val="nil"/>
              <w:left w:val="nil"/>
              <w:bottom w:val="single" w:color="auto" w:sz="4" w:space="0"/>
              <w:right w:val="single" w:color="auto" w:sz="4" w:space="0"/>
            </w:tcBorders>
            <w:vAlign w:val="center"/>
          </w:tcPr>
          <w:p w14:paraId="377DA793">
            <w:pPr>
              <w:widowControl/>
              <w:spacing w:line="240" w:lineRule="auto"/>
              <w:jc w:val="center"/>
              <w:rPr>
                <w:rFonts w:hint="eastAsia" w:cs="宋体"/>
                <w:color w:val="000000"/>
                <w:kern w:val="0"/>
                <w:sz w:val="22"/>
              </w:rPr>
            </w:pPr>
            <w:r>
              <w:rPr>
                <w:rFonts w:cs="宋体"/>
                <w:color w:val="000000"/>
                <w:kern w:val="0"/>
                <w:sz w:val="22"/>
              </w:rPr>
              <w:t>2</w:t>
            </w:r>
          </w:p>
        </w:tc>
      </w:tr>
      <w:tr w14:paraId="129C9179">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0C51319">
            <w:pPr>
              <w:widowControl/>
              <w:spacing w:line="240" w:lineRule="auto"/>
              <w:jc w:val="center"/>
              <w:rPr>
                <w:rFonts w:hint="eastAsia" w:cs="宋体"/>
                <w:color w:val="000000"/>
                <w:kern w:val="0"/>
                <w:sz w:val="22"/>
              </w:rPr>
            </w:pPr>
            <w:r>
              <w:rPr>
                <w:rFonts w:cs="宋体"/>
                <w:color w:val="000000"/>
                <w:kern w:val="0"/>
                <w:sz w:val="22"/>
              </w:rPr>
              <w:t>121</w:t>
            </w:r>
          </w:p>
        </w:tc>
        <w:tc>
          <w:tcPr>
            <w:tcW w:w="152" w:type="pct"/>
            <w:vMerge w:val="continue"/>
            <w:tcBorders>
              <w:top w:val="nil"/>
              <w:left w:val="single" w:color="auto" w:sz="4" w:space="0"/>
              <w:bottom w:val="single" w:color="000000" w:sz="4" w:space="0"/>
              <w:right w:val="single" w:color="auto" w:sz="4" w:space="0"/>
            </w:tcBorders>
            <w:vAlign w:val="center"/>
          </w:tcPr>
          <w:p w14:paraId="737A664B">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39B33EA3">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C76C291">
            <w:pPr>
              <w:widowControl/>
              <w:spacing w:line="240" w:lineRule="auto"/>
              <w:rPr>
                <w:rFonts w:hint="eastAsia" w:cs="宋体"/>
                <w:color w:val="000000"/>
                <w:kern w:val="0"/>
                <w:sz w:val="22"/>
              </w:rPr>
            </w:pPr>
            <w:r>
              <w:rPr>
                <w:rFonts w:cs="宋体"/>
                <w:color w:val="000000"/>
                <w:kern w:val="0"/>
                <w:sz w:val="22"/>
              </w:rPr>
              <w:t>紧急按钮</w:t>
            </w:r>
          </w:p>
        </w:tc>
        <w:tc>
          <w:tcPr>
            <w:tcW w:w="3643" w:type="pct"/>
            <w:tcBorders>
              <w:top w:val="nil"/>
              <w:left w:val="nil"/>
              <w:bottom w:val="single" w:color="auto" w:sz="4" w:space="0"/>
              <w:right w:val="single" w:color="auto" w:sz="4" w:space="0"/>
            </w:tcBorders>
            <w:noWrap/>
            <w:vAlign w:val="center"/>
          </w:tcPr>
          <w:p w14:paraId="6312F5DD">
            <w:pPr>
              <w:widowControl/>
              <w:spacing w:line="240" w:lineRule="auto"/>
              <w:rPr>
                <w:rFonts w:hint="eastAsia" w:cs="宋体"/>
                <w:color w:val="000000"/>
                <w:kern w:val="0"/>
                <w:sz w:val="22"/>
              </w:rPr>
            </w:pPr>
            <w:r>
              <w:rPr>
                <w:rFonts w:cs="宋体"/>
                <w:color w:val="000000"/>
                <w:kern w:val="0"/>
                <w:sz w:val="22"/>
              </w:rPr>
              <w:t>紧急按钮（凸出墙面），53.6*53.6*27（mm）/钥匙复位/防火ABS阻燃外壳/不适合86盒安装,工作电压: ≤250V,工作电流≤300ma</w:t>
            </w:r>
          </w:p>
        </w:tc>
        <w:tc>
          <w:tcPr>
            <w:tcW w:w="216" w:type="pct"/>
            <w:tcBorders>
              <w:top w:val="nil"/>
              <w:left w:val="nil"/>
              <w:bottom w:val="single" w:color="auto" w:sz="4" w:space="0"/>
              <w:right w:val="single" w:color="auto" w:sz="4" w:space="0"/>
            </w:tcBorders>
            <w:vAlign w:val="center"/>
          </w:tcPr>
          <w:p w14:paraId="696EFA2C">
            <w:pPr>
              <w:widowControl/>
              <w:spacing w:line="240" w:lineRule="auto"/>
              <w:jc w:val="center"/>
              <w:rPr>
                <w:rFonts w:hint="eastAsia" w:cs="宋体"/>
                <w:color w:val="000000"/>
                <w:kern w:val="0"/>
                <w:sz w:val="22"/>
              </w:rPr>
            </w:pPr>
            <w:r>
              <w:rPr>
                <w:rFonts w:cs="宋体"/>
                <w:color w:val="000000"/>
                <w:kern w:val="0"/>
                <w:sz w:val="22"/>
              </w:rPr>
              <w:t>个</w:t>
            </w:r>
          </w:p>
        </w:tc>
        <w:tc>
          <w:tcPr>
            <w:tcW w:w="202" w:type="pct"/>
            <w:tcBorders>
              <w:top w:val="nil"/>
              <w:left w:val="nil"/>
              <w:bottom w:val="single" w:color="auto" w:sz="4" w:space="0"/>
              <w:right w:val="single" w:color="auto" w:sz="4" w:space="0"/>
            </w:tcBorders>
            <w:vAlign w:val="center"/>
          </w:tcPr>
          <w:p w14:paraId="6180507C">
            <w:pPr>
              <w:widowControl/>
              <w:spacing w:line="240" w:lineRule="auto"/>
              <w:jc w:val="center"/>
              <w:rPr>
                <w:rFonts w:hint="eastAsia" w:cs="宋体"/>
                <w:color w:val="000000"/>
                <w:kern w:val="0"/>
                <w:sz w:val="22"/>
              </w:rPr>
            </w:pPr>
            <w:r>
              <w:rPr>
                <w:rFonts w:cs="宋体"/>
                <w:color w:val="000000"/>
                <w:kern w:val="0"/>
                <w:sz w:val="22"/>
              </w:rPr>
              <w:t>2</w:t>
            </w:r>
          </w:p>
        </w:tc>
      </w:tr>
      <w:tr w14:paraId="616FB70C">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B857C11">
            <w:pPr>
              <w:widowControl/>
              <w:spacing w:line="240" w:lineRule="auto"/>
              <w:jc w:val="center"/>
              <w:rPr>
                <w:rFonts w:hint="eastAsia" w:cs="宋体"/>
                <w:color w:val="000000"/>
                <w:kern w:val="0"/>
                <w:sz w:val="22"/>
              </w:rPr>
            </w:pPr>
            <w:r>
              <w:rPr>
                <w:rFonts w:cs="宋体"/>
                <w:color w:val="000000"/>
                <w:kern w:val="0"/>
                <w:sz w:val="22"/>
              </w:rPr>
              <w:t>122</w:t>
            </w:r>
          </w:p>
        </w:tc>
        <w:tc>
          <w:tcPr>
            <w:tcW w:w="152" w:type="pct"/>
            <w:vMerge w:val="continue"/>
            <w:tcBorders>
              <w:top w:val="nil"/>
              <w:left w:val="single" w:color="auto" w:sz="4" w:space="0"/>
              <w:bottom w:val="single" w:color="000000" w:sz="4" w:space="0"/>
              <w:right w:val="single" w:color="auto" w:sz="4" w:space="0"/>
            </w:tcBorders>
            <w:vAlign w:val="center"/>
          </w:tcPr>
          <w:p w14:paraId="6AF558FD">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163C051">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4AD5DE88">
            <w:pPr>
              <w:widowControl/>
              <w:spacing w:line="240" w:lineRule="auto"/>
              <w:rPr>
                <w:rFonts w:hint="eastAsia" w:cs="宋体"/>
                <w:color w:val="000000"/>
                <w:kern w:val="0"/>
                <w:sz w:val="22"/>
              </w:rPr>
            </w:pPr>
            <w:r>
              <w:rPr>
                <w:rFonts w:cs="宋体"/>
                <w:color w:val="000000"/>
                <w:kern w:val="0"/>
                <w:sz w:val="22"/>
              </w:rPr>
              <w:t>报警键盘</w:t>
            </w:r>
          </w:p>
        </w:tc>
        <w:tc>
          <w:tcPr>
            <w:tcW w:w="3643" w:type="pct"/>
            <w:tcBorders>
              <w:top w:val="nil"/>
              <w:left w:val="nil"/>
              <w:bottom w:val="single" w:color="auto" w:sz="4" w:space="0"/>
              <w:right w:val="single" w:color="auto" w:sz="4" w:space="0"/>
            </w:tcBorders>
            <w:vAlign w:val="center"/>
          </w:tcPr>
          <w:p w14:paraId="09C6F1F5">
            <w:pPr>
              <w:widowControl/>
              <w:spacing w:line="240" w:lineRule="auto"/>
              <w:rPr>
                <w:rFonts w:hint="eastAsia" w:cs="宋体"/>
                <w:color w:val="000000"/>
                <w:kern w:val="0"/>
                <w:sz w:val="22"/>
              </w:rPr>
            </w:pPr>
            <w:r>
              <w:rPr>
                <w:rFonts w:cs="宋体"/>
                <w:color w:val="000000"/>
                <w:kern w:val="0"/>
                <w:sz w:val="22"/>
              </w:rPr>
              <w:t xml:space="preserve">LCD报警键盘；（可通过遥控器和刷卡布撤防） 连接到报警主机， </w:t>
            </w:r>
            <w:r>
              <w:rPr>
                <w:rFonts w:cs="宋体"/>
                <w:color w:val="000000"/>
                <w:kern w:val="0"/>
                <w:sz w:val="22"/>
              </w:rPr>
              <w:br w:type="textWrapping"/>
            </w:r>
            <w:r>
              <w:rPr>
                <w:rFonts w:cs="宋体"/>
                <w:color w:val="000000"/>
                <w:kern w:val="0"/>
                <w:sz w:val="22"/>
              </w:rPr>
              <w:t xml:space="preserve">可以对报警主机进行操作和编程，通过指示灯和报警音提示报警；  </w:t>
            </w:r>
            <w:r>
              <w:rPr>
                <w:rFonts w:cs="宋体"/>
                <w:color w:val="000000"/>
                <w:kern w:val="0"/>
                <w:sz w:val="22"/>
              </w:rPr>
              <w:br w:type="textWrapping"/>
            </w:r>
            <w:r>
              <w:rPr>
                <w:rFonts w:cs="宋体"/>
                <w:color w:val="000000"/>
                <w:kern w:val="0"/>
                <w:sz w:val="22"/>
              </w:rPr>
              <w:t xml:space="preserve">支持连接遥控器进行远程布撤防，支持双向遥控器，遥控器LED显示操作结果； </w:t>
            </w:r>
            <w:r>
              <w:rPr>
                <w:rFonts w:cs="宋体"/>
                <w:color w:val="000000"/>
                <w:kern w:val="0"/>
                <w:sz w:val="22"/>
              </w:rPr>
              <w:br w:type="textWrapping"/>
            </w:r>
            <w:r>
              <w:rPr>
                <w:rFonts w:cs="宋体"/>
                <w:color w:val="000000"/>
                <w:kern w:val="0"/>
                <w:sz w:val="22"/>
              </w:rPr>
              <w:t xml:space="preserve">键盘最多所能支持的无线遥控器数量由主机决定，最多支持32个遥控器； </w:t>
            </w:r>
            <w:r>
              <w:rPr>
                <w:rFonts w:cs="宋体"/>
                <w:color w:val="000000"/>
                <w:kern w:val="0"/>
                <w:sz w:val="22"/>
              </w:rPr>
              <w:br w:type="textWrapping"/>
            </w:r>
            <w:r>
              <w:rPr>
                <w:rFonts w:cs="宋体"/>
                <w:color w:val="000000"/>
                <w:kern w:val="0"/>
                <w:sz w:val="22"/>
              </w:rPr>
              <w:t xml:space="preserve"> 支持刷卡布撤防，但刷卡不支持消警功能，卡片数量由主机限制，目前网络主机最大可添加32张卡片； </w:t>
            </w:r>
            <w:r>
              <w:rPr>
                <w:rFonts w:cs="宋体"/>
                <w:color w:val="000000"/>
                <w:kern w:val="0"/>
                <w:sz w:val="22"/>
              </w:rPr>
              <w:br w:type="textWrapping"/>
            </w:r>
            <w:r>
              <w:rPr>
                <w:rFonts w:cs="宋体"/>
                <w:color w:val="000000"/>
                <w:kern w:val="0"/>
                <w:sz w:val="22"/>
              </w:rPr>
              <w:t xml:space="preserve"> 主机状态指示灯：系统故障（橙色），网络链接状态（绿色），报警（红色），布撤防（蓝色），配置状态（红绿双色） 功能键：8个，工程、查询，旁路，一键，火警，紧急，左键，右键；  </w:t>
            </w:r>
            <w:r>
              <w:rPr>
                <w:rFonts w:cs="宋体"/>
                <w:color w:val="000000"/>
                <w:kern w:val="0"/>
                <w:sz w:val="22"/>
              </w:rPr>
              <w:br w:type="textWrapping"/>
            </w:r>
            <w:r>
              <w:rPr>
                <w:rFonts w:cs="宋体"/>
                <w:color w:val="000000"/>
                <w:kern w:val="0"/>
                <w:sz w:val="22"/>
              </w:rPr>
              <w:t xml:space="preserve">防拆功能：支持；与主机通讯：485；键盘警情输出：蜂鸣器；  </w:t>
            </w:r>
            <w:r>
              <w:rPr>
                <w:rFonts w:cs="宋体"/>
                <w:color w:val="000000"/>
                <w:kern w:val="0"/>
                <w:sz w:val="22"/>
              </w:rPr>
              <w:br w:type="textWrapping"/>
            </w:r>
            <w:r>
              <w:rPr>
                <w:rFonts w:cs="宋体"/>
                <w:color w:val="000000"/>
                <w:kern w:val="0"/>
                <w:sz w:val="22"/>
              </w:rPr>
              <w:t xml:space="preserve">功能特性：对主机编程、撤布防、消警、旁路/旁路恢复、工程测试、子系统操作、继电器操作、主机状态查询；  </w:t>
            </w:r>
            <w:r>
              <w:rPr>
                <w:rFonts w:cs="宋体"/>
                <w:color w:val="000000"/>
                <w:kern w:val="0"/>
                <w:sz w:val="22"/>
              </w:rPr>
              <w:br w:type="textWrapping"/>
            </w:r>
            <w:r>
              <w:rPr>
                <w:rFonts w:cs="宋体"/>
                <w:color w:val="000000"/>
                <w:kern w:val="0"/>
                <w:sz w:val="22"/>
              </w:rPr>
              <w:t>功耗：1.8W；工作温度：-10℃～＋55℃；工作湿度：10％～90％； 尺寸(mm)：164mm(长)*124mm(宽)*31mm(高)；重量(g)：272g</w:t>
            </w:r>
          </w:p>
        </w:tc>
        <w:tc>
          <w:tcPr>
            <w:tcW w:w="216" w:type="pct"/>
            <w:tcBorders>
              <w:top w:val="nil"/>
              <w:left w:val="nil"/>
              <w:bottom w:val="single" w:color="auto" w:sz="4" w:space="0"/>
              <w:right w:val="single" w:color="auto" w:sz="4" w:space="0"/>
            </w:tcBorders>
            <w:vAlign w:val="center"/>
          </w:tcPr>
          <w:p w14:paraId="303D02B8">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2F9E27F5">
            <w:pPr>
              <w:widowControl/>
              <w:spacing w:line="240" w:lineRule="auto"/>
              <w:jc w:val="center"/>
              <w:rPr>
                <w:rFonts w:hint="eastAsia" w:cs="宋体"/>
                <w:color w:val="000000"/>
                <w:kern w:val="0"/>
                <w:sz w:val="22"/>
              </w:rPr>
            </w:pPr>
            <w:r>
              <w:rPr>
                <w:rFonts w:cs="宋体"/>
                <w:color w:val="000000"/>
                <w:kern w:val="0"/>
                <w:sz w:val="22"/>
              </w:rPr>
              <w:t>1</w:t>
            </w:r>
          </w:p>
        </w:tc>
      </w:tr>
      <w:tr w14:paraId="5AACB435">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5CE276C">
            <w:pPr>
              <w:widowControl/>
              <w:spacing w:line="240" w:lineRule="auto"/>
              <w:jc w:val="center"/>
              <w:rPr>
                <w:rFonts w:hint="eastAsia" w:cs="宋体"/>
                <w:color w:val="000000"/>
                <w:kern w:val="0"/>
                <w:sz w:val="22"/>
              </w:rPr>
            </w:pPr>
            <w:r>
              <w:rPr>
                <w:rFonts w:cs="宋体"/>
                <w:color w:val="000000"/>
                <w:kern w:val="0"/>
                <w:sz w:val="22"/>
              </w:rPr>
              <w:t>123</w:t>
            </w:r>
          </w:p>
        </w:tc>
        <w:tc>
          <w:tcPr>
            <w:tcW w:w="152" w:type="pct"/>
            <w:vMerge w:val="continue"/>
            <w:tcBorders>
              <w:top w:val="nil"/>
              <w:left w:val="single" w:color="auto" w:sz="4" w:space="0"/>
              <w:bottom w:val="single" w:color="000000" w:sz="4" w:space="0"/>
              <w:right w:val="single" w:color="auto" w:sz="4" w:space="0"/>
            </w:tcBorders>
            <w:vAlign w:val="center"/>
          </w:tcPr>
          <w:p w14:paraId="20CB0878">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281099D8">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1FEABA6E">
            <w:pPr>
              <w:widowControl/>
              <w:spacing w:line="240" w:lineRule="auto"/>
              <w:rPr>
                <w:rFonts w:hint="eastAsia" w:cs="宋体"/>
                <w:color w:val="000000"/>
                <w:kern w:val="0"/>
                <w:sz w:val="22"/>
              </w:rPr>
            </w:pPr>
            <w:r>
              <w:rPr>
                <w:rFonts w:cs="宋体"/>
                <w:color w:val="000000"/>
                <w:kern w:val="0"/>
                <w:sz w:val="22"/>
              </w:rPr>
              <w:t>报警主机电池</w:t>
            </w:r>
          </w:p>
        </w:tc>
        <w:tc>
          <w:tcPr>
            <w:tcW w:w="3643" w:type="pct"/>
            <w:tcBorders>
              <w:top w:val="nil"/>
              <w:left w:val="nil"/>
              <w:bottom w:val="single" w:color="auto" w:sz="4" w:space="0"/>
              <w:right w:val="single" w:color="auto" w:sz="4" w:space="0"/>
            </w:tcBorders>
            <w:vAlign w:val="center"/>
          </w:tcPr>
          <w:p w14:paraId="0AFEC1F7">
            <w:pPr>
              <w:widowControl/>
              <w:spacing w:line="240" w:lineRule="auto"/>
              <w:rPr>
                <w:rFonts w:hint="eastAsia" w:cs="宋体"/>
                <w:color w:val="000000"/>
                <w:kern w:val="0"/>
                <w:sz w:val="22"/>
              </w:rPr>
            </w:pPr>
            <w:r>
              <w:rPr>
                <w:rFonts w:cs="宋体"/>
                <w:color w:val="000000"/>
                <w:kern w:val="0"/>
                <w:sz w:val="22"/>
              </w:rPr>
              <w:t xml:space="preserve">充电后备电池（12V7AH，报警主机专用），尺寸：151mm（长）*65mm（宽）*94mm（高） </w:t>
            </w:r>
            <w:r>
              <w:rPr>
                <w:rFonts w:cs="宋体"/>
                <w:color w:val="000000"/>
                <w:kern w:val="0"/>
                <w:sz w:val="22"/>
              </w:rPr>
              <w:br w:type="textWrapping"/>
            </w:r>
            <w:r>
              <w:rPr>
                <w:rFonts w:cs="宋体"/>
                <w:color w:val="000000"/>
                <w:kern w:val="0"/>
                <w:sz w:val="22"/>
              </w:rPr>
              <w:t xml:space="preserve">标准电压 12V </w:t>
            </w:r>
            <w:r>
              <w:rPr>
                <w:rFonts w:cs="宋体"/>
                <w:color w:val="000000"/>
                <w:kern w:val="0"/>
                <w:sz w:val="22"/>
              </w:rPr>
              <w:br w:type="textWrapping"/>
            </w:r>
            <w:r>
              <w:rPr>
                <w:rFonts w:cs="宋体"/>
                <w:color w:val="000000"/>
                <w:kern w:val="0"/>
                <w:sz w:val="22"/>
              </w:rPr>
              <w:t xml:space="preserve">额定容量 7.0Ah </w:t>
            </w:r>
            <w:r>
              <w:rPr>
                <w:rFonts w:cs="宋体"/>
                <w:color w:val="000000"/>
                <w:kern w:val="0"/>
                <w:sz w:val="22"/>
              </w:rPr>
              <w:br w:type="textWrapping"/>
            </w:r>
            <w:r>
              <w:rPr>
                <w:rFonts w:cs="宋体"/>
                <w:color w:val="000000"/>
                <w:kern w:val="0"/>
                <w:sz w:val="22"/>
              </w:rPr>
              <w:t>重量约 2.13Kg</w:t>
            </w:r>
          </w:p>
        </w:tc>
        <w:tc>
          <w:tcPr>
            <w:tcW w:w="216" w:type="pct"/>
            <w:tcBorders>
              <w:top w:val="nil"/>
              <w:left w:val="nil"/>
              <w:bottom w:val="single" w:color="auto" w:sz="4" w:space="0"/>
              <w:right w:val="single" w:color="auto" w:sz="4" w:space="0"/>
            </w:tcBorders>
            <w:vAlign w:val="center"/>
          </w:tcPr>
          <w:p w14:paraId="6A63D674">
            <w:pPr>
              <w:widowControl/>
              <w:spacing w:line="240" w:lineRule="auto"/>
              <w:jc w:val="center"/>
              <w:rPr>
                <w:rFonts w:hint="eastAsia" w:cs="宋体"/>
                <w:color w:val="000000"/>
                <w:kern w:val="0"/>
                <w:sz w:val="22"/>
              </w:rPr>
            </w:pPr>
            <w:r>
              <w:rPr>
                <w:rFonts w:cs="宋体"/>
                <w:color w:val="000000"/>
                <w:kern w:val="0"/>
                <w:sz w:val="22"/>
              </w:rPr>
              <w:t>只</w:t>
            </w:r>
          </w:p>
        </w:tc>
        <w:tc>
          <w:tcPr>
            <w:tcW w:w="202" w:type="pct"/>
            <w:tcBorders>
              <w:top w:val="nil"/>
              <w:left w:val="nil"/>
              <w:bottom w:val="single" w:color="auto" w:sz="4" w:space="0"/>
              <w:right w:val="single" w:color="auto" w:sz="4" w:space="0"/>
            </w:tcBorders>
            <w:vAlign w:val="center"/>
          </w:tcPr>
          <w:p w14:paraId="1327030D">
            <w:pPr>
              <w:widowControl/>
              <w:spacing w:line="240" w:lineRule="auto"/>
              <w:jc w:val="center"/>
              <w:rPr>
                <w:rFonts w:hint="eastAsia" w:cs="宋体"/>
                <w:color w:val="000000"/>
                <w:kern w:val="0"/>
                <w:sz w:val="22"/>
              </w:rPr>
            </w:pPr>
            <w:r>
              <w:rPr>
                <w:rFonts w:cs="宋体"/>
                <w:color w:val="000000"/>
                <w:kern w:val="0"/>
                <w:sz w:val="22"/>
              </w:rPr>
              <w:t>1</w:t>
            </w:r>
          </w:p>
        </w:tc>
      </w:tr>
      <w:tr w14:paraId="3C8011C2">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E8A2EB8">
            <w:pPr>
              <w:widowControl/>
              <w:spacing w:line="240" w:lineRule="auto"/>
              <w:jc w:val="center"/>
              <w:rPr>
                <w:rFonts w:hint="eastAsia" w:cs="宋体"/>
                <w:color w:val="000000"/>
                <w:kern w:val="0"/>
                <w:sz w:val="22"/>
              </w:rPr>
            </w:pPr>
            <w:r>
              <w:rPr>
                <w:rFonts w:cs="宋体"/>
                <w:color w:val="000000"/>
                <w:kern w:val="0"/>
                <w:sz w:val="22"/>
              </w:rPr>
              <w:t>124</w:t>
            </w:r>
          </w:p>
        </w:tc>
        <w:tc>
          <w:tcPr>
            <w:tcW w:w="152" w:type="pct"/>
            <w:vMerge w:val="continue"/>
            <w:tcBorders>
              <w:top w:val="nil"/>
              <w:left w:val="single" w:color="auto" w:sz="4" w:space="0"/>
              <w:bottom w:val="single" w:color="000000" w:sz="4" w:space="0"/>
              <w:right w:val="single" w:color="auto" w:sz="4" w:space="0"/>
            </w:tcBorders>
            <w:vAlign w:val="center"/>
          </w:tcPr>
          <w:p w14:paraId="062F1E0B">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58A02D43">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13F5560F">
            <w:pPr>
              <w:widowControl/>
              <w:spacing w:line="240" w:lineRule="auto"/>
              <w:rPr>
                <w:rFonts w:hint="eastAsia" w:cs="宋体"/>
                <w:color w:val="000000"/>
                <w:kern w:val="0"/>
                <w:sz w:val="22"/>
              </w:rPr>
            </w:pPr>
            <w:r>
              <w:rPr>
                <w:rFonts w:cs="宋体"/>
                <w:color w:val="000000"/>
                <w:kern w:val="0"/>
                <w:sz w:val="22"/>
              </w:rPr>
              <w:t>报警遥控器</w:t>
            </w:r>
          </w:p>
        </w:tc>
        <w:tc>
          <w:tcPr>
            <w:tcW w:w="3643" w:type="pct"/>
            <w:tcBorders>
              <w:top w:val="nil"/>
              <w:left w:val="nil"/>
              <w:bottom w:val="single" w:color="auto" w:sz="4" w:space="0"/>
              <w:right w:val="single" w:color="auto" w:sz="4" w:space="0"/>
            </w:tcBorders>
            <w:noWrap/>
            <w:vAlign w:val="center"/>
          </w:tcPr>
          <w:p w14:paraId="45F33472">
            <w:pPr>
              <w:widowControl/>
              <w:spacing w:line="240" w:lineRule="auto"/>
              <w:rPr>
                <w:rFonts w:hint="eastAsia" w:cs="宋体"/>
                <w:color w:val="000000"/>
                <w:kern w:val="0"/>
                <w:sz w:val="22"/>
              </w:rPr>
            </w:pPr>
            <w:r>
              <w:rPr>
                <w:rFonts w:cs="宋体"/>
                <w:color w:val="000000"/>
                <w:kern w:val="0"/>
                <w:sz w:val="22"/>
              </w:rPr>
              <w:t>配套PK系列键盘和商业级主机,支持所有有线报警主机使用/支持布防、撤防、周界布防、紧急报警、消警/5键遥控器</w:t>
            </w:r>
          </w:p>
        </w:tc>
        <w:tc>
          <w:tcPr>
            <w:tcW w:w="216" w:type="pct"/>
            <w:tcBorders>
              <w:top w:val="nil"/>
              <w:left w:val="nil"/>
              <w:bottom w:val="single" w:color="auto" w:sz="4" w:space="0"/>
              <w:right w:val="single" w:color="auto" w:sz="4" w:space="0"/>
            </w:tcBorders>
            <w:vAlign w:val="center"/>
          </w:tcPr>
          <w:p w14:paraId="1E2FDFB2">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2DA560D2">
            <w:pPr>
              <w:widowControl/>
              <w:spacing w:line="240" w:lineRule="auto"/>
              <w:jc w:val="center"/>
              <w:rPr>
                <w:rFonts w:hint="eastAsia" w:cs="宋体"/>
                <w:color w:val="000000"/>
                <w:kern w:val="0"/>
                <w:sz w:val="22"/>
              </w:rPr>
            </w:pPr>
            <w:r>
              <w:rPr>
                <w:rFonts w:cs="宋体"/>
                <w:color w:val="000000"/>
                <w:kern w:val="0"/>
                <w:sz w:val="22"/>
              </w:rPr>
              <w:t>1</w:t>
            </w:r>
          </w:p>
        </w:tc>
      </w:tr>
      <w:tr w14:paraId="77F7AAB7">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8362588">
            <w:pPr>
              <w:widowControl/>
              <w:spacing w:line="240" w:lineRule="auto"/>
              <w:jc w:val="center"/>
              <w:rPr>
                <w:rFonts w:hint="eastAsia" w:cs="宋体"/>
                <w:color w:val="000000"/>
                <w:kern w:val="0"/>
                <w:sz w:val="22"/>
              </w:rPr>
            </w:pPr>
            <w:r>
              <w:rPr>
                <w:rFonts w:cs="宋体"/>
                <w:color w:val="000000"/>
                <w:kern w:val="0"/>
                <w:sz w:val="22"/>
              </w:rPr>
              <w:t>125</w:t>
            </w:r>
          </w:p>
        </w:tc>
        <w:tc>
          <w:tcPr>
            <w:tcW w:w="152" w:type="pct"/>
            <w:vMerge w:val="continue"/>
            <w:tcBorders>
              <w:top w:val="nil"/>
              <w:left w:val="single" w:color="auto" w:sz="4" w:space="0"/>
              <w:bottom w:val="single" w:color="000000" w:sz="4" w:space="0"/>
              <w:right w:val="single" w:color="auto" w:sz="4" w:space="0"/>
            </w:tcBorders>
            <w:vAlign w:val="center"/>
          </w:tcPr>
          <w:p w14:paraId="704A9504">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7843A6A5">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65D133B">
            <w:pPr>
              <w:widowControl/>
              <w:spacing w:line="240" w:lineRule="auto"/>
              <w:rPr>
                <w:rFonts w:hint="eastAsia" w:cs="宋体"/>
                <w:color w:val="000000"/>
                <w:kern w:val="0"/>
                <w:sz w:val="22"/>
              </w:rPr>
            </w:pPr>
            <w:r>
              <w:rPr>
                <w:rFonts w:cs="宋体"/>
                <w:color w:val="000000"/>
                <w:kern w:val="0"/>
                <w:sz w:val="22"/>
              </w:rPr>
              <w:t>总线报警主机</w:t>
            </w:r>
          </w:p>
        </w:tc>
        <w:tc>
          <w:tcPr>
            <w:tcW w:w="3643" w:type="pct"/>
            <w:tcBorders>
              <w:top w:val="nil"/>
              <w:left w:val="nil"/>
              <w:bottom w:val="single" w:color="auto" w:sz="4" w:space="0"/>
              <w:right w:val="single" w:color="auto" w:sz="4" w:space="0"/>
            </w:tcBorders>
            <w:vAlign w:val="center"/>
          </w:tcPr>
          <w:p w14:paraId="4BB7B20C">
            <w:pPr>
              <w:widowControl/>
              <w:spacing w:line="240" w:lineRule="auto"/>
              <w:rPr>
                <w:rFonts w:hint="eastAsia" w:cs="宋体"/>
                <w:color w:val="000000"/>
                <w:kern w:val="0"/>
                <w:sz w:val="22"/>
              </w:rPr>
            </w:pPr>
            <w:r>
              <w:rPr>
                <w:rFonts w:cs="宋体"/>
                <w:color w:val="000000"/>
                <w:kern w:val="0"/>
                <w:sz w:val="22"/>
              </w:rPr>
              <w:t>1. 专业级总线制网络报警主机，应支持≥8个板载有线防区，可扩展至≥256个，支持≥4个板载触发器输出，可扩展至≥256个；</w:t>
            </w:r>
            <w:r>
              <w:rPr>
                <w:rFonts w:cs="宋体"/>
                <w:color w:val="000000"/>
                <w:kern w:val="0"/>
                <w:sz w:val="22"/>
              </w:rPr>
              <w:br w:type="textWrapping"/>
            </w:r>
            <w:r>
              <w:rPr>
                <w:rFonts w:cs="宋体"/>
                <w:color w:val="000000"/>
                <w:kern w:val="0"/>
                <w:sz w:val="22"/>
              </w:rPr>
              <w:t>2. 支持不少于两条总线，每条支持≥2400M，支持星型、树形、手牵手总线拓扑，总线无极性；</w:t>
            </w:r>
            <w:r>
              <w:rPr>
                <w:rFonts w:cs="宋体"/>
                <w:color w:val="000000"/>
                <w:kern w:val="0"/>
                <w:sz w:val="22"/>
              </w:rPr>
              <w:br w:type="textWrapping"/>
            </w:r>
            <w:r>
              <w:rPr>
                <w:rFonts w:cs="宋体"/>
                <w:color w:val="000000"/>
                <w:kern w:val="0"/>
                <w:sz w:val="22"/>
              </w:rPr>
              <w:t>3. 支持通过网络、电话线方式上传报警数据，支持≥8000条报警事件记录、≥2000条操作日志、≥1500条管理记录，支持远程搜索查询事件日志；</w:t>
            </w:r>
            <w:r>
              <w:rPr>
                <w:rFonts w:cs="宋体"/>
                <w:color w:val="000000"/>
                <w:kern w:val="0"/>
                <w:sz w:val="22"/>
              </w:rPr>
              <w:br w:type="textWrapping"/>
            </w:r>
            <w:r>
              <w:rPr>
                <w:rFonts w:cs="宋体"/>
                <w:color w:val="000000"/>
                <w:kern w:val="0"/>
                <w:sz w:val="22"/>
              </w:rPr>
              <w:t>4. 支持AC 220V主电源接口，主辅电源可自动切换，支持蓄电池辅助供电，自动充电控制，电压实时监测，掉电保护，支持主电源断电状态下可稳定工作≥8小时；</w:t>
            </w:r>
            <w:r>
              <w:rPr>
                <w:rFonts w:cs="宋体"/>
                <w:color w:val="000000"/>
                <w:kern w:val="0"/>
                <w:sz w:val="22"/>
              </w:rPr>
              <w:br w:type="textWrapping"/>
            </w:r>
            <w:r>
              <w:rPr>
                <w:rFonts w:cs="宋体"/>
                <w:color w:val="000000"/>
                <w:kern w:val="0"/>
                <w:sz w:val="22"/>
              </w:rPr>
              <w:t>5. 支持本地警号声光提醒，支持继电器联动输出控制，支持与报警防区一对一、一对多、多对一、多对多自由关联输出配置，支持控制键盘报警显示查询；</w:t>
            </w:r>
          </w:p>
        </w:tc>
        <w:tc>
          <w:tcPr>
            <w:tcW w:w="216" w:type="pct"/>
            <w:tcBorders>
              <w:top w:val="nil"/>
              <w:left w:val="nil"/>
              <w:bottom w:val="single" w:color="auto" w:sz="4" w:space="0"/>
              <w:right w:val="single" w:color="auto" w:sz="4" w:space="0"/>
            </w:tcBorders>
            <w:vAlign w:val="center"/>
          </w:tcPr>
          <w:p w14:paraId="61365A9D">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7D3F1438">
            <w:pPr>
              <w:widowControl/>
              <w:spacing w:line="240" w:lineRule="auto"/>
              <w:jc w:val="center"/>
              <w:rPr>
                <w:rFonts w:hint="eastAsia" w:cs="宋体"/>
                <w:color w:val="000000"/>
                <w:kern w:val="0"/>
                <w:sz w:val="22"/>
              </w:rPr>
            </w:pPr>
            <w:r>
              <w:rPr>
                <w:rFonts w:cs="宋体"/>
                <w:color w:val="000000"/>
                <w:kern w:val="0"/>
                <w:sz w:val="22"/>
              </w:rPr>
              <w:t>1</w:t>
            </w:r>
          </w:p>
        </w:tc>
      </w:tr>
      <w:tr w14:paraId="69AEEFAB">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35D30C7">
            <w:pPr>
              <w:widowControl/>
              <w:spacing w:line="240" w:lineRule="auto"/>
              <w:jc w:val="center"/>
              <w:rPr>
                <w:rFonts w:hint="eastAsia" w:cs="宋体"/>
                <w:color w:val="000000"/>
                <w:kern w:val="0"/>
                <w:sz w:val="22"/>
              </w:rPr>
            </w:pPr>
            <w:r>
              <w:rPr>
                <w:rFonts w:cs="宋体"/>
                <w:color w:val="000000"/>
                <w:kern w:val="0"/>
                <w:sz w:val="22"/>
              </w:rPr>
              <w:t>126</w:t>
            </w:r>
          </w:p>
        </w:tc>
        <w:tc>
          <w:tcPr>
            <w:tcW w:w="152" w:type="pct"/>
            <w:vMerge w:val="continue"/>
            <w:tcBorders>
              <w:top w:val="nil"/>
              <w:left w:val="single" w:color="auto" w:sz="4" w:space="0"/>
              <w:bottom w:val="single" w:color="000000" w:sz="4" w:space="0"/>
              <w:right w:val="single" w:color="auto" w:sz="4" w:space="0"/>
            </w:tcBorders>
            <w:vAlign w:val="center"/>
          </w:tcPr>
          <w:p w14:paraId="59253DB3">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4BCDC2A">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C56EC75">
            <w:pPr>
              <w:widowControl/>
              <w:spacing w:line="240" w:lineRule="auto"/>
              <w:rPr>
                <w:rFonts w:hint="eastAsia" w:cs="宋体"/>
                <w:color w:val="000000"/>
                <w:kern w:val="0"/>
                <w:sz w:val="22"/>
              </w:rPr>
            </w:pPr>
            <w:r>
              <w:rPr>
                <w:rFonts w:cs="宋体"/>
                <w:color w:val="000000"/>
                <w:kern w:val="0"/>
                <w:sz w:val="22"/>
              </w:rPr>
              <w:t>防区扩展模块</w:t>
            </w:r>
          </w:p>
        </w:tc>
        <w:tc>
          <w:tcPr>
            <w:tcW w:w="3643" w:type="pct"/>
            <w:tcBorders>
              <w:top w:val="nil"/>
              <w:left w:val="nil"/>
              <w:bottom w:val="single" w:color="auto" w:sz="4" w:space="0"/>
              <w:right w:val="single" w:color="auto" w:sz="4" w:space="0"/>
            </w:tcBorders>
            <w:vAlign w:val="center"/>
          </w:tcPr>
          <w:p w14:paraId="0DBA1CFF">
            <w:pPr>
              <w:widowControl/>
              <w:spacing w:line="240" w:lineRule="auto"/>
              <w:rPr>
                <w:rFonts w:hint="eastAsia" w:cs="宋体"/>
                <w:color w:val="000000"/>
                <w:kern w:val="0"/>
                <w:sz w:val="22"/>
              </w:rPr>
            </w:pPr>
            <w:r>
              <w:rPr>
                <w:rFonts w:cs="宋体"/>
                <w:color w:val="000000"/>
                <w:kern w:val="0"/>
                <w:sz w:val="22"/>
              </w:rPr>
              <w:t xml:space="preserve">总线网络报警主机单防区扩展模块/1个扩展防区数/248最大级联数/0.8mA静态电流 </w:t>
            </w:r>
            <w:r>
              <w:rPr>
                <w:rFonts w:cs="宋体"/>
                <w:color w:val="000000"/>
                <w:kern w:val="0"/>
                <w:sz w:val="22"/>
              </w:rPr>
              <w:br w:type="textWrapping"/>
            </w:r>
            <w:r>
              <w:rPr>
                <w:rFonts w:cs="宋体"/>
                <w:color w:val="000000"/>
                <w:kern w:val="0"/>
                <w:sz w:val="22"/>
              </w:rPr>
              <w:t>规格尺寸（长*宽*高）：49.4mm*32mm*14.3mm</w:t>
            </w:r>
          </w:p>
        </w:tc>
        <w:tc>
          <w:tcPr>
            <w:tcW w:w="216" w:type="pct"/>
            <w:tcBorders>
              <w:top w:val="nil"/>
              <w:left w:val="nil"/>
              <w:bottom w:val="single" w:color="auto" w:sz="4" w:space="0"/>
              <w:right w:val="single" w:color="auto" w:sz="4" w:space="0"/>
            </w:tcBorders>
            <w:vAlign w:val="center"/>
          </w:tcPr>
          <w:p w14:paraId="37F729F8">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2011E5F0">
            <w:pPr>
              <w:widowControl/>
              <w:spacing w:line="240" w:lineRule="auto"/>
              <w:jc w:val="center"/>
              <w:rPr>
                <w:rFonts w:hint="eastAsia" w:cs="宋体"/>
                <w:color w:val="000000"/>
                <w:kern w:val="0"/>
                <w:sz w:val="22"/>
              </w:rPr>
            </w:pPr>
            <w:r>
              <w:rPr>
                <w:rFonts w:cs="宋体"/>
                <w:color w:val="000000"/>
                <w:kern w:val="0"/>
                <w:sz w:val="22"/>
              </w:rPr>
              <w:t>4</w:t>
            </w:r>
          </w:p>
        </w:tc>
      </w:tr>
      <w:tr w14:paraId="51F0A6C3">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72D57E6">
            <w:pPr>
              <w:widowControl/>
              <w:spacing w:line="240" w:lineRule="auto"/>
              <w:jc w:val="center"/>
              <w:rPr>
                <w:rFonts w:hint="eastAsia" w:cs="宋体"/>
                <w:color w:val="000000"/>
                <w:kern w:val="0"/>
                <w:sz w:val="22"/>
              </w:rPr>
            </w:pPr>
            <w:r>
              <w:rPr>
                <w:rFonts w:cs="宋体"/>
                <w:color w:val="000000"/>
                <w:kern w:val="0"/>
                <w:sz w:val="22"/>
              </w:rPr>
              <w:t>127</w:t>
            </w:r>
          </w:p>
        </w:tc>
        <w:tc>
          <w:tcPr>
            <w:tcW w:w="152" w:type="pct"/>
            <w:vMerge w:val="continue"/>
            <w:tcBorders>
              <w:top w:val="nil"/>
              <w:left w:val="single" w:color="auto" w:sz="4" w:space="0"/>
              <w:bottom w:val="single" w:color="000000" w:sz="4" w:space="0"/>
              <w:right w:val="single" w:color="auto" w:sz="4" w:space="0"/>
            </w:tcBorders>
            <w:vAlign w:val="center"/>
          </w:tcPr>
          <w:p w14:paraId="2191F829">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77E9FC0E">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677AA02">
            <w:pPr>
              <w:widowControl/>
              <w:spacing w:line="240" w:lineRule="auto"/>
              <w:rPr>
                <w:rFonts w:hint="eastAsia" w:cs="宋体"/>
                <w:color w:val="000000"/>
                <w:kern w:val="0"/>
                <w:sz w:val="22"/>
              </w:rPr>
            </w:pPr>
            <w:r>
              <w:rPr>
                <w:rFonts w:cs="宋体"/>
                <w:color w:val="000000"/>
                <w:kern w:val="0"/>
                <w:sz w:val="22"/>
              </w:rPr>
              <w:t>继电器输出模块</w:t>
            </w:r>
          </w:p>
        </w:tc>
        <w:tc>
          <w:tcPr>
            <w:tcW w:w="3643" w:type="pct"/>
            <w:tcBorders>
              <w:top w:val="nil"/>
              <w:left w:val="nil"/>
              <w:bottom w:val="single" w:color="auto" w:sz="4" w:space="0"/>
              <w:right w:val="single" w:color="auto" w:sz="4" w:space="0"/>
            </w:tcBorders>
            <w:noWrap/>
            <w:vAlign w:val="center"/>
          </w:tcPr>
          <w:p w14:paraId="17C1F18F">
            <w:pPr>
              <w:widowControl/>
              <w:spacing w:line="240" w:lineRule="auto"/>
              <w:rPr>
                <w:rFonts w:hint="eastAsia" w:cs="宋体"/>
                <w:color w:val="000000"/>
                <w:kern w:val="0"/>
                <w:sz w:val="22"/>
              </w:rPr>
            </w:pPr>
            <w:r>
              <w:rPr>
                <w:rFonts w:cs="宋体"/>
                <w:color w:val="000000"/>
                <w:kern w:val="0"/>
                <w:sz w:val="22"/>
              </w:rPr>
              <w:t>1进1出M-BUS总线扩展模块/弱电板，1路防区扩展+1路继电器输出</w:t>
            </w:r>
          </w:p>
        </w:tc>
        <w:tc>
          <w:tcPr>
            <w:tcW w:w="216" w:type="pct"/>
            <w:tcBorders>
              <w:top w:val="nil"/>
              <w:left w:val="nil"/>
              <w:bottom w:val="single" w:color="auto" w:sz="4" w:space="0"/>
              <w:right w:val="single" w:color="auto" w:sz="4" w:space="0"/>
            </w:tcBorders>
            <w:vAlign w:val="center"/>
          </w:tcPr>
          <w:p w14:paraId="065CC4D5">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2FF7D69A">
            <w:pPr>
              <w:widowControl/>
              <w:spacing w:line="240" w:lineRule="auto"/>
              <w:jc w:val="center"/>
              <w:rPr>
                <w:rFonts w:hint="eastAsia" w:cs="宋体"/>
                <w:color w:val="000000"/>
                <w:kern w:val="0"/>
                <w:sz w:val="22"/>
              </w:rPr>
            </w:pPr>
            <w:r>
              <w:rPr>
                <w:rFonts w:cs="宋体"/>
                <w:color w:val="000000"/>
                <w:kern w:val="0"/>
                <w:sz w:val="22"/>
              </w:rPr>
              <w:t>4</w:t>
            </w:r>
          </w:p>
        </w:tc>
      </w:tr>
      <w:tr w14:paraId="36E94175">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83A785C">
            <w:pPr>
              <w:widowControl/>
              <w:spacing w:line="240" w:lineRule="auto"/>
              <w:jc w:val="center"/>
              <w:rPr>
                <w:rFonts w:hint="eastAsia" w:cs="宋体"/>
                <w:color w:val="000000"/>
                <w:kern w:val="0"/>
                <w:sz w:val="22"/>
              </w:rPr>
            </w:pPr>
            <w:r>
              <w:rPr>
                <w:rFonts w:cs="宋体"/>
                <w:color w:val="000000"/>
                <w:kern w:val="0"/>
                <w:sz w:val="22"/>
              </w:rPr>
              <w:t>128</w:t>
            </w:r>
          </w:p>
        </w:tc>
        <w:tc>
          <w:tcPr>
            <w:tcW w:w="152" w:type="pct"/>
            <w:vMerge w:val="continue"/>
            <w:tcBorders>
              <w:top w:val="nil"/>
              <w:left w:val="single" w:color="auto" w:sz="4" w:space="0"/>
              <w:bottom w:val="single" w:color="000000" w:sz="4" w:space="0"/>
              <w:right w:val="single" w:color="auto" w:sz="4" w:space="0"/>
            </w:tcBorders>
            <w:vAlign w:val="center"/>
          </w:tcPr>
          <w:p w14:paraId="16281C05">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BC7A0F1">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4760F12">
            <w:pPr>
              <w:widowControl/>
              <w:spacing w:line="240" w:lineRule="auto"/>
              <w:rPr>
                <w:rFonts w:hint="eastAsia" w:cs="宋体"/>
                <w:color w:val="000000"/>
                <w:kern w:val="0"/>
                <w:sz w:val="22"/>
              </w:rPr>
            </w:pPr>
            <w:r>
              <w:rPr>
                <w:rFonts w:cs="宋体"/>
                <w:color w:val="000000"/>
                <w:kern w:val="0"/>
                <w:sz w:val="22"/>
              </w:rPr>
              <w:t>手/自动转换按钮</w:t>
            </w:r>
          </w:p>
        </w:tc>
        <w:tc>
          <w:tcPr>
            <w:tcW w:w="3643" w:type="pct"/>
            <w:tcBorders>
              <w:top w:val="nil"/>
              <w:left w:val="nil"/>
              <w:bottom w:val="single" w:color="auto" w:sz="4" w:space="0"/>
              <w:right w:val="single" w:color="auto" w:sz="4" w:space="0"/>
            </w:tcBorders>
            <w:vAlign w:val="center"/>
          </w:tcPr>
          <w:p w14:paraId="502D175B">
            <w:pPr>
              <w:widowControl/>
              <w:spacing w:line="240" w:lineRule="auto"/>
              <w:rPr>
                <w:rFonts w:hint="eastAsia" w:cs="宋体"/>
                <w:color w:val="000000"/>
                <w:kern w:val="0"/>
                <w:sz w:val="22"/>
              </w:rPr>
            </w:pPr>
            <w:r>
              <w:rPr>
                <w:rFonts w:cs="宋体"/>
                <w:color w:val="000000"/>
                <w:kern w:val="0"/>
                <w:sz w:val="22"/>
              </w:rPr>
              <w:t>1.利用钥匙开关向模块提供“手动/自动”输入动作信号（无源常开）。可对气体灭火分区的手动/自动状态进行控制，可接收模块的“自动”输出信号，点亮“自动”灯。</w:t>
            </w:r>
            <w:r>
              <w:rPr>
                <w:rFonts w:cs="宋体"/>
                <w:color w:val="000000"/>
                <w:kern w:val="0"/>
                <w:sz w:val="22"/>
              </w:rPr>
              <w:br w:type="textWrapping"/>
            </w:r>
            <w:r>
              <w:rPr>
                <w:rFonts w:cs="宋体"/>
                <w:color w:val="000000"/>
                <w:kern w:val="0"/>
                <w:sz w:val="22"/>
              </w:rPr>
              <w:t>2.塑料模具，外形美观，适用于不同的预埋盒，安装使用方便。</w:t>
            </w:r>
            <w:r>
              <w:rPr>
                <w:rFonts w:cs="宋体"/>
                <w:color w:val="000000"/>
                <w:kern w:val="0"/>
                <w:sz w:val="22"/>
              </w:rPr>
              <w:br w:type="textWrapping"/>
            </w:r>
            <w:r>
              <w:rPr>
                <w:rFonts w:cs="宋体"/>
                <w:color w:val="000000"/>
                <w:kern w:val="0"/>
                <w:sz w:val="22"/>
              </w:rPr>
              <w:t>3.适用环境温度：-10℃～+50℃；湿度：＜95%RH(不凝露)</w:t>
            </w:r>
            <w:r>
              <w:rPr>
                <w:rFonts w:cs="宋体"/>
                <w:color w:val="000000"/>
                <w:kern w:val="0"/>
                <w:sz w:val="22"/>
              </w:rPr>
              <w:br w:type="textWrapping"/>
            </w:r>
            <w:r>
              <w:rPr>
                <w:rFonts w:cs="宋体"/>
                <w:color w:val="000000"/>
                <w:kern w:val="0"/>
                <w:sz w:val="22"/>
              </w:rPr>
              <w:t>4.指示灯工作电流：2mA</w:t>
            </w:r>
            <w:r>
              <w:rPr>
                <w:rFonts w:cs="宋体"/>
                <w:color w:val="000000"/>
                <w:kern w:val="0"/>
                <w:sz w:val="22"/>
              </w:rPr>
              <w:br w:type="textWrapping"/>
            </w:r>
            <w:r>
              <w:rPr>
                <w:rFonts w:cs="宋体"/>
                <w:color w:val="000000"/>
                <w:kern w:val="0"/>
                <w:sz w:val="22"/>
              </w:rPr>
              <w:t>5.工作电压：DC24V</w:t>
            </w:r>
          </w:p>
        </w:tc>
        <w:tc>
          <w:tcPr>
            <w:tcW w:w="216" w:type="pct"/>
            <w:tcBorders>
              <w:top w:val="nil"/>
              <w:left w:val="nil"/>
              <w:bottom w:val="single" w:color="auto" w:sz="4" w:space="0"/>
              <w:right w:val="single" w:color="auto" w:sz="4" w:space="0"/>
            </w:tcBorders>
            <w:vAlign w:val="center"/>
          </w:tcPr>
          <w:p w14:paraId="6CE5D486">
            <w:pPr>
              <w:widowControl/>
              <w:spacing w:line="240" w:lineRule="auto"/>
              <w:jc w:val="center"/>
              <w:rPr>
                <w:rFonts w:hint="eastAsia" w:cs="宋体"/>
                <w:color w:val="000000"/>
                <w:kern w:val="0"/>
                <w:sz w:val="22"/>
              </w:rPr>
            </w:pPr>
            <w:r>
              <w:rPr>
                <w:rFonts w:cs="宋体"/>
                <w:color w:val="000000"/>
                <w:kern w:val="0"/>
                <w:sz w:val="22"/>
              </w:rPr>
              <w:t>个</w:t>
            </w:r>
          </w:p>
        </w:tc>
        <w:tc>
          <w:tcPr>
            <w:tcW w:w="202" w:type="pct"/>
            <w:tcBorders>
              <w:top w:val="nil"/>
              <w:left w:val="nil"/>
              <w:bottom w:val="single" w:color="auto" w:sz="4" w:space="0"/>
              <w:right w:val="single" w:color="auto" w:sz="4" w:space="0"/>
            </w:tcBorders>
            <w:vAlign w:val="center"/>
          </w:tcPr>
          <w:p w14:paraId="48170A0C">
            <w:pPr>
              <w:widowControl/>
              <w:spacing w:line="240" w:lineRule="auto"/>
              <w:jc w:val="center"/>
              <w:rPr>
                <w:rFonts w:hint="eastAsia" w:cs="宋体"/>
                <w:color w:val="000000"/>
                <w:kern w:val="0"/>
                <w:sz w:val="22"/>
              </w:rPr>
            </w:pPr>
            <w:r>
              <w:rPr>
                <w:rFonts w:cs="宋体"/>
                <w:color w:val="000000"/>
                <w:kern w:val="0"/>
                <w:sz w:val="22"/>
              </w:rPr>
              <w:t>2</w:t>
            </w:r>
          </w:p>
        </w:tc>
      </w:tr>
      <w:tr w14:paraId="01BE6AD9">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D80E9D7">
            <w:pPr>
              <w:widowControl/>
              <w:spacing w:line="240" w:lineRule="auto"/>
              <w:jc w:val="center"/>
              <w:rPr>
                <w:rFonts w:hint="eastAsia" w:cs="宋体"/>
                <w:color w:val="000000"/>
                <w:kern w:val="0"/>
                <w:sz w:val="22"/>
              </w:rPr>
            </w:pPr>
            <w:r>
              <w:rPr>
                <w:rFonts w:cs="宋体"/>
                <w:color w:val="000000"/>
                <w:kern w:val="0"/>
                <w:sz w:val="22"/>
              </w:rPr>
              <w:t>129</w:t>
            </w:r>
          </w:p>
        </w:tc>
        <w:tc>
          <w:tcPr>
            <w:tcW w:w="152" w:type="pct"/>
            <w:vMerge w:val="continue"/>
            <w:tcBorders>
              <w:top w:val="nil"/>
              <w:left w:val="single" w:color="auto" w:sz="4" w:space="0"/>
              <w:bottom w:val="single" w:color="000000" w:sz="4" w:space="0"/>
              <w:right w:val="single" w:color="auto" w:sz="4" w:space="0"/>
            </w:tcBorders>
            <w:vAlign w:val="center"/>
          </w:tcPr>
          <w:p w14:paraId="4597A9C2">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6584A58">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4290E1F">
            <w:pPr>
              <w:widowControl/>
              <w:spacing w:line="240" w:lineRule="auto"/>
              <w:rPr>
                <w:rFonts w:hint="eastAsia" w:cs="宋体"/>
                <w:color w:val="000000"/>
                <w:kern w:val="0"/>
                <w:sz w:val="22"/>
              </w:rPr>
            </w:pPr>
            <w:r>
              <w:rPr>
                <w:rFonts w:cs="宋体"/>
                <w:color w:val="000000"/>
                <w:kern w:val="0"/>
                <w:sz w:val="22"/>
              </w:rPr>
              <w:t>气体喷洒指示灯</w:t>
            </w:r>
          </w:p>
        </w:tc>
        <w:tc>
          <w:tcPr>
            <w:tcW w:w="3643" w:type="pct"/>
            <w:tcBorders>
              <w:top w:val="nil"/>
              <w:left w:val="nil"/>
              <w:bottom w:val="single" w:color="auto" w:sz="4" w:space="0"/>
              <w:right w:val="single" w:color="auto" w:sz="4" w:space="0"/>
            </w:tcBorders>
            <w:vAlign w:val="center"/>
          </w:tcPr>
          <w:p w14:paraId="160FBAA5">
            <w:pPr>
              <w:widowControl/>
              <w:spacing w:line="240" w:lineRule="auto"/>
              <w:rPr>
                <w:rFonts w:hint="eastAsia" w:cs="宋体"/>
                <w:color w:val="000000"/>
                <w:kern w:val="0"/>
                <w:sz w:val="22"/>
              </w:rPr>
            </w:pPr>
            <w:r>
              <w:rPr>
                <w:rFonts w:cs="宋体"/>
                <w:color w:val="000000"/>
                <w:kern w:val="0"/>
                <w:sz w:val="22"/>
              </w:rPr>
              <w:t>1、工作电压：24；</w:t>
            </w:r>
            <w:r>
              <w:rPr>
                <w:rFonts w:cs="宋体"/>
                <w:color w:val="000000"/>
                <w:kern w:val="0"/>
                <w:sz w:val="22"/>
              </w:rPr>
              <w:br w:type="textWrapping"/>
            </w:r>
            <w:r>
              <w:rPr>
                <w:rFonts w:cs="宋体"/>
                <w:color w:val="000000"/>
                <w:kern w:val="0"/>
                <w:sz w:val="22"/>
              </w:rPr>
              <w:t>2、工作电流：≤280mA；</w:t>
            </w:r>
            <w:r>
              <w:rPr>
                <w:rFonts w:cs="宋体"/>
                <w:color w:val="000000"/>
                <w:kern w:val="0"/>
                <w:sz w:val="22"/>
              </w:rPr>
              <w:br w:type="textWrapping"/>
            </w:r>
            <w:r>
              <w:rPr>
                <w:rFonts w:cs="宋体"/>
                <w:color w:val="000000"/>
                <w:kern w:val="0"/>
                <w:sz w:val="22"/>
              </w:rPr>
              <w:t>3、线制：二线连接，无极性；</w:t>
            </w:r>
            <w:r>
              <w:rPr>
                <w:rFonts w:cs="宋体"/>
                <w:color w:val="000000"/>
                <w:kern w:val="0"/>
                <w:sz w:val="22"/>
              </w:rPr>
              <w:br w:type="textWrapping"/>
            </w:r>
            <w:r>
              <w:rPr>
                <w:rFonts w:cs="宋体"/>
                <w:color w:val="000000"/>
                <w:kern w:val="0"/>
                <w:sz w:val="22"/>
              </w:rPr>
              <w:t>4、用环境：温度：-10℃～+50℃；相对湿度≤95%。</w:t>
            </w:r>
          </w:p>
        </w:tc>
        <w:tc>
          <w:tcPr>
            <w:tcW w:w="216" w:type="pct"/>
            <w:tcBorders>
              <w:top w:val="nil"/>
              <w:left w:val="nil"/>
              <w:bottom w:val="single" w:color="auto" w:sz="4" w:space="0"/>
              <w:right w:val="single" w:color="auto" w:sz="4" w:space="0"/>
            </w:tcBorders>
            <w:vAlign w:val="center"/>
          </w:tcPr>
          <w:p w14:paraId="7477F752">
            <w:pPr>
              <w:widowControl/>
              <w:spacing w:line="240" w:lineRule="auto"/>
              <w:jc w:val="center"/>
              <w:rPr>
                <w:rFonts w:hint="eastAsia" w:cs="宋体"/>
                <w:color w:val="000000"/>
                <w:kern w:val="0"/>
                <w:sz w:val="22"/>
              </w:rPr>
            </w:pPr>
            <w:r>
              <w:rPr>
                <w:rFonts w:cs="宋体"/>
                <w:color w:val="000000"/>
                <w:kern w:val="0"/>
                <w:sz w:val="22"/>
              </w:rPr>
              <w:t>个</w:t>
            </w:r>
          </w:p>
        </w:tc>
        <w:tc>
          <w:tcPr>
            <w:tcW w:w="202" w:type="pct"/>
            <w:tcBorders>
              <w:top w:val="nil"/>
              <w:left w:val="nil"/>
              <w:bottom w:val="single" w:color="auto" w:sz="4" w:space="0"/>
              <w:right w:val="single" w:color="auto" w:sz="4" w:space="0"/>
            </w:tcBorders>
            <w:vAlign w:val="center"/>
          </w:tcPr>
          <w:p w14:paraId="39580B83">
            <w:pPr>
              <w:widowControl/>
              <w:spacing w:line="240" w:lineRule="auto"/>
              <w:jc w:val="center"/>
              <w:rPr>
                <w:rFonts w:hint="eastAsia" w:cs="宋体"/>
                <w:color w:val="000000"/>
                <w:kern w:val="0"/>
                <w:sz w:val="22"/>
              </w:rPr>
            </w:pPr>
            <w:r>
              <w:rPr>
                <w:rFonts w:cs="宋体"/>
                <w:color w:val="000000"/>
                <w:kern w:val="0"/>
                <w:sz w:val="22"/>
              </w:rPr>
              <w:t>2</w:t>
            </w:r>
          </w:p>
        </w:tc>
      </w:tr>
      <w:tr w14:paraId="4BA2D5EA">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115BA89">
            <w:pPr>
              <w:widowControl/>
              <w:spacing w:line="240" w:lineRule="auto"/>
              <w:jc w:val="center"/>
              <w:rPr>
                <w:rFonts w:hint="eastAsia" w:cs="宋体"/>
                <w:color w:val="000000"/>
                <w:kern w:val="0"/>
                <w:sz w:val="22"/>
              </w:rPr>
            </w:pPr>
            <w:r>
              <w:rPr>
                <w:rFonts w:cs="宋体"/>
                <w:color w:val="000000"/>
                <w:kern w:val="0"/>
                <w:sz w:val="22"/>
              </w:rPr>
              <w:t>130</w:t>
            </w:r>
          </w:p>
        </w:tc>
        <w:tc>
          <w:tcPr>
            <w:tcW w:w="152" w:type="pct"/>
            <w:vMerge w:val="continue"/>
            <w:tcBorders>
              <w:top w:val="nil"/>
              <w:left w:val="single" w:color="auto" w:sz="4" w:space="0"/>
              <w:bottom w:val="single" w:color="000000" w:sz="4" w:space="0"/>
              <w:right w:val="single" w:color="auto" w:sz="4" w:space="0"/>
            </w:tcBorders>
            <w:vAlign w:val="center"/>
          </w:tcPr>
          <w:p w14:paraId="39A1D9FC">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1347C93">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59BC695">
            <w:pPr>
              <w:widowControl/>
              <w:spacing w:line="240" w:lineRule="auto"/>
              <w:rPr>
                <w:rFonts w:hint="eastAsia" w:cs="宋体"/>
                <w:color w:val="000000"/>
                <w:kern w:val="0"/>
                <w:sz w:val="22"/>
              </w:rPr>
            </w:pPr>
            <w:r>
              <w:rPr>
                <w:rFonts w:cs="宋体"/>
                <w:color w:val="000000"/>
                <w:kern w:val="0"/>
                <w:sz w:val="22"/>
              </w:rPr>
              <w:t>感烟探测器</w:t>
            </w:r>
          </w:p>
        </w:tc>
        <w:tc>
          <w:tcPr>
            <w:tcW w:w="3643" w:type="pct"/>
            <w:tcBorders>
              <w:top w:val="nil"/>
              <w:left w:val="nil"/>
              <w:bottom w:val="single" w:color="auto" w:sz="4" w:space="0"/>
              <w:right w:val="single" w:color="auto" w:sz="4" w:space="0"/>
            </w:tcBorders>
            <w:vAlign w:val="center"/>
          </w:tcPr>
          <w:p w14:paraId="641DF7ED">
            <w:pPr>
              <w:widowControl/>
              <w:spacing w:line="240" w:lineRule="auto"/>
              <w:rPr>
                <w:rFonts w:hint="eastAsia" w:cs="宋体"/>
                <w:color w:val="000000"/>
                <w:kern w:val="0"/>
                <w:sz w:val="22"/>
              </w:rPr>
            </w:pPr>
            <w:r>
              <w:rPr>
                <w:rFonts w:cs="宋体"/>
                <w:color w:val="000000"/>
                <w:kern w:val="0"/>
                <w:sz w:val="22"/>
              </w:rPr>
              <w:t>1、工作电压：DC 24V 脉动电压；</w:t>
            </w:r>
            <w:r>
              <w:rPr>
                <w:rFonts w:cs="宋体"/>
                <w:color w:val="000000"/>
                <w:kern w:val="0"/>
                <w:sz w:val="22"/>
              </w:rPr>
              <w:br w:type="textWrapping"/>
            </w:r>
            <w:r>
              <w:rPr>
                <w:rFonts w:cs="宋体"/>
                <w:color w:val="000000"/>
                <w:kern w:val="0"/>
                <w:sz w:val="22"/>
              </w:rPr>
              <w:t>2、使用环境温度：-10～+55℃；</w:t>
            </w:r>
            <w:r>
              <w:rPr>
                <w:rFonts w:cs="宋体"/>
                <w:color w:val="000000"/>
                <w:kern w:val="0"/>
                <w:sz w:val="22"/>
              </w:rPr>
              <w:br w:type="textWrapping"/>
            </w:r>
            <w:r>
              <w:rPr>
                <w:rFonts w:cs="宋体"/>
                <w:color w:val="000000"/>
                <w:kern w:val="0"/>
                <w:sz w:val="22"/>
              </w:rPr>
              <w:t>3、环境温度：≤95%RH ；</w:t>
            </w:r>
            <w:r>
              <w:rPr>
                <w:rFonts w:cs="宋体"/>
                <w:color w:val="000000"/>
                <w:kern w:val="0"/>
                <w:sz w:val="22"/>
              </w:rPr>
              <w:br w:type="textWrapping"/>
            </w:r>
            <w:r>
              <w:rPr>
                <w:rFonts w:cs="宋体"/>
                <w:color w:val="000000"/>
                <w:kern w:val="0"/>
                <w:sz w:val="22"/>
              </w:rPr>
              <w:t>4、监视电流：≤0.35mA ；</w:t>
            </w:r>
            <w:r>
              <w:rPr>
                <w:rFonts w:cs="宋体"/>
                <w:color w:val="000000"/>
                <w:kern w:val="0"/>
                <w:sz w:val="22"/>
              </w:rPr>
              <w:br w:type="textWrapping"/>
            </w:r>
            <w:r>
              <w:rPr>
                <w:rFonts w:cs="宋体"/>
                <w:color w:val="000000"/>
                <w:kern w:val="0"/>
                <w:sz w:val="22"/>
              </w:rPr>
              <w:t>5、报警电流： ≤0.8mA；</w:t>
            </w:r>
            <w:r>
              <w:rPr>
                <w:rFonts w:cs="宋体"/>
                <w:color w:val="000000"/>
                <w:kern w:val="0"/>
                <w:sz w:val="22"/>
              </w:rPr>
              <w:br w:type="textWrapping"/>
            </w:r>
            <w:r>
              <w:rPr>
                <w:rFonts w:cs="宋体"/>
                <w:color w:val="000000"/>
                <w:kern w:val="0"/>
                <w:sz w:val="22"/>
              </w:rPr>
              <w:t>6、确认灯：红色,巡检时闪亮，报警常亮；</w:t>
            </w:r>
            <w:r>
              <w:rPr>
                <w:rFonts w:cs="宋体"/>
                <w:color w:val="000000"/>
                <w:kern w:val="0"/>
                <w:sz w:val="22"/>
              </w:rPr>
              <w:br w:type="textWrapping"/>
            </w:r>
            <w:r>
              <w:rPr>
                <w:rFonts w:cs="宋体"/>
                <w:color w:val="000000"/>
                <w:kern w:val="0"/>
                <w:sz w:val="22"/>
              </w:rPr>
              <w:t>7、风速：＜5m/s；</w:t>
            </w:r>
            <w:r>
              <w:rPr>
                <w:rFonts w:cs="宋体"/>
                <w:color w:val="000000"/>
                <w:kern w:val="0"/>
                <w:sz w:val="22"/>
              </w:rPr>
              <w:br w:type="textWrapping"/>
            </w:r>
            <w:r>
              <w:rPr>
                <w:rFonts w:cs="宋体"/>
                <w:color w:val="000000"/>
                <w:kern w:val="0"/>
                <w:sz w:val="22"/>
              </w:rPr>
              <w:t>8、线 制：二总线，无极性；</w:t>
            </w:r>
            <w:r>
              <w:rPr>
                <w:rFonts w:cs="宋体"/>
                <w:color w:val="000000"/>
                <w:kern w:val="0"/>
                <w:sz w:val="22"/>
              </w:rPr>
              <w:br w:type="textWrapping"/>
            </w:r>
            <w:r>
              <w:rPr>
                <w:rFonts w:cs="宋体"/>
                <w:color w:val="000000"/>
                <w:kern w:val="0"/>
                <w:sz w:val="22"/>
              </w:rPr>
              <w:t>9、最远传输距离：2000m；</w:t>
            </w:r>
            <w:r>
              <w:rPr>
                <w:rFonts w:cs="宋体"/>
                <w:color w:val="000000"/>
                <w:kern w:val="0"/>
                <w:sz w:val="22"/>
              </w:rPr>
              <w:br w:type="textWrapping"/>
            </w:r>
            <w:r>
              <w:rPr>
                <w:rFonts w:cs="宋体"/>
                <w:color w:val="000000"/>
                <w:kern w:val="0"/>
                <w:sz w:val="22"/>
              </w:rPr>
              <w:t>10、执行标准：GB4715-2005《点型感烟火灾探测器》。</w:t>
            </w:r>
          </w:p>
        </w:tc>
        <w:tc>
          <w:tcPr>
            <w:tcW w:w="216" w:type="pct"/>
            <w:tcBorders>
              <w:top w:val="nil"/>
              <w:left w:val="nil"/>
              <w:bottom w:val="single" w:color="auto" w:sz="4" w:space="0"/>
              <w:right w:val="single" w:color="auto" w:sz="4" w:space="0"/>
            </w:tcBorders>
            <w:vAlign w:val="center"/>
          </w:tcPr>
          <w:p w14:paraId="6CBD28F8">
            <w:pPr>
              <w:widowControl/>
              <w:spacing w:line="240" w:lineRule="auto"/>
              <w:jc w:val="center"/>
              <w:rPr>
                <w:rFonts w:hint="eastAsia" w:cs="宋体"/>
                <w:color w:val="000000"/>
                <w:kern w:val="0"/>
                <w:sz w:val="22"/>
              </w:rPr>
            </w:pPr>
            <w:r>
              <w:rPr>
                <w:rFonts w:cs="宋体"/>
                <w:color w:val="000000"/>
                <w:kern w:val="0"/>
                <w:sz w:val="22"/>
              </w:rPr>
              <w:t>只</w:t>
            </w:r>
          </w:p>
        </w:tc>
        <w:tc>
          <w:tcPr>
            <w:tcW w:w="202" w:type="pct"/>
            <w:tcBorders>
              <w:top w:val="nil"/>
              <w:left w:val="nil"/>
              <w:bottom w:val="single" w:color="auto" w:sz="4" w:space="0"/>
              <w:right w:val="single" w:color="auto" w:sz="4" w:space="0"/>
            </w:tcBorders>
            <w:vAlign w:val="center"/>
          </w:tcPr>
          <w:p w14:paraId="2FD9A52F">
            <w:pPr>
              <w:widowControl/>
              <w:spacing w:line="240" w:lineRule="auto"/>
              <w:jc w:val="center"/>
              <w:rPr>
                <w:rFonts w:hint="eastAsia" w:cs="宋体"/>
                <w:color w:val="000000"/>
                <w:kern w:val="0"/>
                <w:sz w:val="22"/>
              </w:rPr>
            </w:pPr>
            <w:r>
              <w:rPr>
                <w:rFonts w:cs="宋体"/>
                <w:color w:val="000000"/>
                <w:kern w:val="0"/>
                <w:sz w:val="22"/>
              </w:rPr>
              <w:t>2</w:t>
            </w:r>
          </w:p>
        </w:tc>
      </w:tr>
      <w:tr w14:paraId="184ABC97">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40F543AE">
            <w:pPr>
              <w:widowControl/>
              <w:spacing w:line="240" w:lineRule="auto"/>
              <w:jc w:val="center"/>
              <w:rPr>
                <w:rFonts w:hint="eastAsia" w:cs="宋体"/>
                <w:color w:val="000000"/>
                <w:kern w:val="0"/>
                <w:sz w:val="22"/>
              </w:rPr>
            </w:pPr>
            <w:r>
              <w:rPr>
                <w:rFonts w:cs="宋体"/>
                <w:color w:val="000000"/>
                <w:kern w:val="0"/>
                <w:sz w:val="22"/>
              </w:rPr>
              <w:t>131</w:t>
            </w:r>
          </w:p>
        </w:tc>
        <w:tc>
          <w:tcPr>
            <w:tcW w:w="152" w:type="pct"/>
            <w:vMerge w:val="continue"/>
            <w:tcBorders>
              <w:top w:val="nil"/>
              <w:left w:val="single" w:color="auto" w:sz="4" w:space="0"/>
              <w:bottom w:val="single" w:color="000000" w:sz="4" w:space="0"/>
              <w:right w:val="single" w:color="auto" w:sz="4" w:space="0"/>
            </w:tcBorders>
            <w:vAlign w:val="center"/>
          </w:tcPr>
          <w:p w14:paraId="1C32439A">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4F58392B">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69618BE">
            <w:pPr>
              <w:widowControl/>
              <w:spacing w:line="240" w:lineRule="auto"/>
              <w:rPr>
                <w:rFonts w:hint="eastAsia" w:cs="宋体"/>
                <w:color w:val="000000"/>
                <w:kern w:val="0"/>
                <w:sz w:val="22"/>
              </w:rPr>
            </w:pPr>
            <w:r>
              <w:rPr>
                <w:rFonts w:cs="宋体"/>
                <w:color w:val="000000"/>
                <w:kern w:val="0"/>
                <w:sz w:val="22"/>
              </w:rPr>
              <w:t>感温探测器</w:t>
            </w:r>
          </w:p>
        </w:tc>
        <w:tc>
          <w:tcPr>
            <w:tcW w:w="3643" w:type="pct"/>
            <w:tcBorders>
              <w:top w:val="nil"/>
              <w:left w:val="nil"/>
              <w:bottom w:val="single" w:color="auto" w:sz="4" w:space="0"/>
              <w:right w:val="single" w:color="auto" w:sz="4" w:space="0"/>
            </w:tcBorders>
            <w:vAlign w:val="center"/>
          </w:tcPr>
          <w:p w14:paraId="473FD6A3">
            <w:pPr>
              <w:widowControl/>
              <w:spacing w:line="240" w:lineRule="auto"/>
              <w:rPr>
                <w:rFonts w:hint="eastAsia" w:cs="宋体"/>
                <w:color w:val="000000"/>
                <w:kern w:val="0"/>
                <w:sz w:val="22"/>
              </w:rPr>
            </w:pPr>
            <w:r>
              <w:rPr>
                <w:rFonts w:cs="宋体"/>
                <w:color w:val="000000"/>
                <w:kern w:val="0"/>
                <w:sz w:val="22"/>
              </w:rPr>
              <w:t>1、工作电压：DC 24V 脉动电压；</w:t>
            </w:r>
            <w:r>
              <w:rPr>
                <w:rFonts w:cs="宋体"/>
                <w:color w:val="000000"/>
                <w:kern w:val="0"/>
                <w:sz w:val="22"/>
              </w:rPr>
              <w:br w:type="textWrapping"/>
            </w:r>
            <w:r>
              <w:rPr>
                <w:rFonts w:cs="宋体"/>
                <w:color w:val="000000"/>
                <w:kern w:val="0"/>
                <w:sz w:val="22"/>
              </w:rPr>
              <w:t>2、使用环境温度：-10～+55℃；</w:t>
            </w:r>
            <w:r>
              <w:rPr>
                <w:rFonts w:cs="宋体"/>
                <w:color w:val="000000"/>
                <w:kern w:val="0"/>
                <w:sz w:val="22"/>
              </w:rPr>
              <w:br w:type="textWrapping"/>
            </w:r>
            <w:r>
              <w:rPr>
                <w:rFonts w:cs="宋体"/>
                <w:color w:val="000000"/>
                <w:kern w:val="0"/>
                <w:sz w:val="22"/>
              </w:rPr>
              <w:t>3、环境温度：≤95%RH ；</w:t>
            </w:r>
            <w:r>
              <w:rPr>
                <w:rFonts w:cs="宋体"/>
                <w:color w:val="000000"/>
                <w:kern w:val="0"/>
                <w:sz w:val="22"/>
              </w:rPr>
              <w:br w:type="textWrapping"/>
            </w:r>
            <w:r>
              <w:rPr>
                <w:rFonts w:cs="宋体"/>
                <w:color w:val="000000"/>
                <w:kern w:val="0"/>
                <w:sz w:val="22"/>
              </w:rPr>
              <w:t>4、监视电流：≤0.35mA ；</w:t>
            </w:r>
            <w:r>
              <w:rPr>
                <w:rFonts w:cs="宋体"/>
                <w:color w:val="000000"/>
                <w:kern w:val="0"/>
                <w:sz w:val="22"/>
              </w:rPr>
              <w:br w:type="textWrapping"/>
            </w:r>
            <w:r>
              <w:rPr>
                <w:rFonts w:cs="宋体"/>
                <w:color w:val="000000"/>
                <w:kern w:val="0"/>
                <w:sz w:val="22"/>
              </w:rPr>
              <w:t>5、报警电流： ≤0.8mA；</w:t>
            </w:r>
            <w:r>
              <w:rPr>
                <w:rFonts w:cs="宋体"/>
                <w:color w:val="000000"/>
                <w:kern w:val="0"/>
                <w:sz w:val="22"/>
              </w:rPr>
              <w:br w:type="textWrapping"/>
            </w:r>
            <w:r>
              <w:rPr>
                <w:rFonts w:cs="宋体"/>
                <w:color w:val="000000"/>
                <w:kern w:val="0"/>
                <w:sz w:val="22"/>
              </w:rPr>
              <w:t>6、确认灯：红色,巡检时闪亮，报警常亮；</w:t>
            </w:r>
            <w:r>
              <w:rPr>
                <w:rFonts w:cs="宋体"/>
                <w:color w:val="000000"/>
                <w:kern w:val="0"/>
                <w:sz w:val="22"/>
              </w:rPr>
              <w:br w:type="textWrapping"/>
            </w:r>
            <w:r>
              <w:rPr>
                <w:rFonts w:cs="宋体"/>
                <w:color w:val="000000"/>
                <w:kern w:val="0"/>
                <w:sz w:val="22"/>
              </w:rPr>
              <w:t>7、动作温度范围：56℃-66℃（控制器可设制）；</w:t>
            </w:r>
            <w:r>
              <w:rPr>
                <w:rFonts w:cs="宋体"/>
                <w:color w:val="000000"/>
                <w:kern w:val="0"/>
                <w:sz w:val="22"/>
              </w:rPr>
              <w:br w:type="textWrapping"/>
            </w:r>
            <w:r>
              <w:rPr>
                <w:rFonts w:cs="宋体"/>
                <w:color w:val="000000"/>
                <w:kern w:val="0"/>
                <w:sz w:val="22"/>
              </w:rPr>
              <w:t>8、线 制：二总线，无极性；</w:t>
            </w:r>
            <w:r>
              <w:rPr>
                <w:rFonts w:cs="宋体"/>
                <w:color w:val="000000"/>
                <w:kern w:val="0"/>
                <w:sz w:val="22"/>
              </w:rPr>
              <w:br w:type="textWrapping"/>
            </w:r>
            <w:r>
              <w:rPr>
                <w:rFonts w:cs="宋体"/>
                <w:color w:val="000000"/>
                <w:kern w:val="0"/>
                <w:sz w:val="22"/>
              </w:rPr>
              <w:t>9、最远传输距离：2000m；</w:t>
            </w:r>
            <w:r>
              <w:rPr>
                <w:rFonts w:cs="宋体"/>
                <w:color w:val="000000"/>
                <w:kern w:val="0"/>
                <w:sz w:val="22"/>
              </w:rPr>
              <w:br w:type="textWrapping"/>
            </w:r>
            <w:r>
              <w:rPr>
                <w:rFonts w:cs="宋体"/>
                <w:color w:val="000000"/>
                <w:kern w:val="0"/>
                <w:sz w:val="22"/>
              </w:rPr>
              <w:t>10、执行标准：GB4716-2005《点型感温火灾探测器》。</w:t>
            </w:r>
          </w:p>
        </w:tc>
        <w:tc>
          <w:tcPr>
            <w:tcW w:w="216" w:type="pct"/>
            <w:tcBorders>
              <w:top w:val="nil"/>
              <w:left w:val="nil"/>
              <w:bottom w:val="single" w:color="auto" w:sz="4" w:space="0"/>
              <w:right w:val="single" w:color="auto" w:sz="4" w:space="0"/>
            </w:tcBorders>
            <w:vAlign w:val="center"/>
          </w:tcPr>
          <w:p w14:paraId="771A0C18">
            <w:pPr>
              <w:widowControl/>
              <w:spacing w:line="240" w:lineRule="auto"/>
              <w:jc w:val="center"/>
              <w:rPr>
                <w:rFonts w:hint="eastAsia" w:cs="宋体"/>
                <w:color w:val="000000"/>
                <w:kern w:val="0"/>
                <w:sz w:val="22"/>
              </w:rPr>
            </w:pPr>
            <w:r>
              <w:rPr>
                <w:rFonts w:cs="宋体"/>
                <w:color w:val="000000"/>
                <w:kern w:val="0"/>
                <w:sz w:val="22"/>
              </w:rPr>
              <w:t>只</w:t>
            </w:r>
          </w:p>
        </w:tc>
        <w:tc>
          <w:tcPr>
            <w:tcW w:w="202" w:type="pct"/>
            <w:tcBorders>
              <w:top w:val="nil"/>
              <w:left w:val="nil"/>
              <w:bottom w:val="single" w:color="auto" w:sz="4" w:space="0"/>
              <w:right w:val="single" w:color="auto" w:sz="4" w:space="0"/>
            </w:tcBorders>
            <w:vAlign w:val="center"/>
          </w:tcPr>
          <w:p w14:paraId="3D4EEF9A">
            <w:pPr>
              <w:widowControl/>
              <w:spacing w:line="240" w:lineRule="auto"/>
              <w:jc w:val="center"/>
              <w:rPr>
                <w:rFonts w:hint="eastAsia" w:cs="宋体"/>
                <w:color w:val="000000"/>
                <w:kern w:val="0"/>
                <w:sz w:val="22"/>
              </w:rPr>
            </w:pPr>
            <w:r>
              <w:rPr>
                <w:rFonts w:cs="宋体"/>
                <w:color w:val="000000"/>
                <w:kern w:val="0"/>
                <w:sz w:val="22"/>
              </w:rPr>
              <w:t>2</w:t>
            </w:r>
          </w:p>
        </w:tc>
      </w:tr>
      <w:tr w14:paraId="2CD609CF">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631B7F0">
            <w:pPr>
              <w:widowControl/>
              <w:spacing w:line="240" w:lineRule="auto"/>
              <w:jc w:val="center"/>
              <w:rPr>
                <w:rFonts w:hint="eastAsia" w:cs="宋体"/>
                <w:color w:val="000000"/>
                <w:kern w:val="0"/>
                <w:sz w:val="22"/>
              </w:rPr>
            </w:pPr>
            <w:r>
              <w:rPr>
                <w:rFonts w:cs="宋体"/>
                <w:color w:val="000000"/>
                <w:kern w:val="0"/>
                <w:sz w:val="22"/>
              </w:rPr>
              <w:t>132</w:t>
            </w:r>
          </w:p>
        </w:tc>
        <w:tc>
          <w:tcPr>
            <w:tcW w:w="152" w:type="pct"/>
            <w:vMerge w:val="continue"/>
            <w:tcBorders>
              <w:top w:val="nil"/>
              <w:left w:val="single" w:color="auto" w:sz="4" w:space="0"/>
              <w:bottom w:val="single" w:color="000000" w:sz="4" w:space="0"/>
              <w:right w:val="single" w:color="auto" w:sz="4" w:space="0"/>
            </w:tcBorders>
            <w:vAlign w:val="center"/>
          </w:tcPr>
          <w:p w14:paraId="3C6A25D0">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4F397C2C">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B5D7521">
            <w:pPr>
              <w:widowControl/>
              <w:spacing w:line="240" w:lineRule="auto"/>
              <w:rPr>
                <w:rFonts w:hint="eastAsia" w:cs="宋体"/>
                <w:color w:val="000000"/>
                <w:kern w:val="0"/>
                <w:sz w:val="22"/>
              </w:rPr>
            </w:pPr>
            <w:r>
              <w:rPr>
                <w:rFonts w:cs="宋体"/>
                <w:color w:val="000000"/>
                <w:kern w:val="0"/>
                <w:sz w:val="22"/>
              </w:rPr>
              <w:t>探测器底座</w:t>
            </w:r>
          </w:p>
        </w:tc>
        <w:tc>
          <w:tcPr>
            <w:tcW w:w="3643" w:type="pct"/>
            <w:tcBorders>
              <w:top w:val="nil"/>
              <w:left w:val="nil"/>
              <w:bottom w:val="single" w:color="auto" w:sz="4" w:space="0"/>
              <w:right w:val="single" w:color="auto" w:sz="4" w:space="0"/>
            </w:tcBorders>
            <w:noWrap/>
            <w:vAlign w:val="center"/>
          </w:tcPr>
          <w:p w14:paraId="7B636853">
            <w:pPr>
              <w:widowControl/>
              <w:spacing w:line="240" w:lineRule="auto"/>
              <w:rPr>
                <w:rFonts w:hint="eastAsia" w:cs="宋体"/>
                <w:color w:val="000000"/>
                <w:kern w:val="0"/>
                <w:sz w:val="22"/>
              </w:rPr>
            </w:pPr>
            <w:r>
              <w:rPr>
                <w:rFonts w:cs="宋体"/>
                <w:color w:val="000000"/>
                <w:kern w:val="0"/>
                <w:sz w:val="22"/>
              </w:rPr>
              <w:t>配套烟感及温感吸顶式底座</w:t>
            </w:r>
          </w:p>
        </w:tc>
        <w:tc>
          <w:tcPr>
            <w:tcW w:w="216" w:type="pct"/>
            <w:tcBorders>
              <w:top w:val="nil"/>
              <w:left w:val="nil"/>
              <w:bottom w:val="single" w:color="auto" w:sz="4" w:space="0"/>
              <w:right w:val="single" w:color="auto" w:sz="4" w:space="0"/>
            </w:tcBorders>
            <w:vAlign w:val="center"/>
          </w:tcPr>
          <w:p w14:paraId="2FA62360">
            <w:pPr>
              <w:widowControl/>
              <w:spacing w:line="240" w:lineRule="auto"/>
              <w:jc w:val="center"/>
              <w:rPr>
                <w:rFonts w:hint="eastAsia" w:cs="宋体"/>
                <w:color w:val="000000"/>
                <w:kern w:val="0"/>
                <w:sz w:val="22"/>
              </w:rPr>
            </w:pPr>
            <w:r>
              <w:rPr>
                <w:rFonts w:cs="宋体"/>
                <w:color w:val="000000"/>
                <w:kern w:val="0"/>
                <w:sz w:val="22"/>
              </w:rPr>
              <w:t>只</w:t>
            </w:r>
          </w:p>
        </w:tc>
        <w:tc>
          <w:tcPr>
            <w:tcW w:w="202" w:type="pct"/>
            <w:tcBorders>
              <w:top w:val="nil"/>
              <w:left w:val="nil"/>
              <w:bottom w:val="single" w:color="auto" w:sz="4" w:space="0"/>
              <w:right w:val="single" w:color="auto" w:sz="4" w:space="0"/>
            </w:tcBorders>
            <w:vAlign w:val="center"/>
          </w:tcPr>
          <w:p w14:paraId="13A7F105">
            <w:pPr>
              <w:widowControl/>
              <w:spacing w:line="240" w:lineRule="auto"/>
              <w:jc w:val="center"/>
              <w:rPr>
                <w:rFonts w:hint="eastAsia" w:cs="宋体"/>
                <w:color w:val="000000"/>
                <w:kern w:val="0"/>
                <w:sz w:val="22"/>
              </w:rPr>
            </w:pPr>
            <w:r>
              <w:rPr>
                <w:rFonts w:cs="宋体"/>
                <w:color w:val="000000"/>
                <w:kern w:val="0"/>
                <w:sz w:val="22"/>
              </w:rPr>
              <w:t>4</w:t>
            </w:r>
          </w:p>
        </w:tc>
      </w:tr>
      <w:tr w14:paraId="7CAA1348">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A431E7F">
            <w:pPr>
              <w:widowControl/>
              <w:spacing w:line="240" w:lineRule="auto"/>
              <w:jc w:val="center"/>
              <w:rPr>
                <w:rFonts w:hint="eastAsia" w:cs="宋体"/>
                <w:color w:val="000000"/>
                <w:kern w:val="0"/>
                <w:sz w:val="22"/>
              </w:rPr>
            </w:pPr>
            <w:r>
              <w:rPr>
                <w:rFonts w:cs="宋体"/>
                <w:color w:val="000000"/>
                <w:kern w:val="0"/>
                <w:sz w:val="22"/>
              </w:rPr>
              <w:t>133</w:t>
            </w:r>
          </w:p>
        </w:tc>
        <w:tc>
          <w:tcPr>
            <w:tcW w:w="152" w:type="pct"/>
            <w:vMerge w:val="continue"/>
            <w:tcBorders>
              <w:top w:val="nil"/>
              <w:left w:val="single" w:color="auto" w:sz="4" w:space="0"/>
              <w:bottom w:val="single" w:color="000000" w:sz="4" w:space="0"/>
              <w:right w:val="single" w:color="auto" w:sz="4" w:space="0"/>
            </w:tcBorders>
            <w:vAlign w:val="center"/>
          </w:tcPr>
          <w:p w14:paraId="6BF5AEDF">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4B429ED1">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5D390DD">
            <w:pPr>
              <w:widowControl/>
              <w:spacing w:line="240" w:lineRule="auto"/>
              <w:rPr>
                <w:rFonts w:hint="eastAsia" w:cs="宋体"/>
                <w:color w:val="000000"/>
                <w:kern w:val="0"/>
                <w:sz w:val="22"/>
              </w:rPr>
            </w:pPr>
            <w:r>
              <w:rPr>
                <w:rFonts w:cs="宋体"/>
                <w:color w:val="000000"/>
                <w:kern w:val="0"/>
                <w:sz w:val="22"/>
              </w:rPr>
              <w:t>安全出口指示灯</w:t>
            </w:r>
          </w:p>
        </w:tc>
        <w:tc>
          <w:tcPr>
            <w:tcW w:w="3643" w:type="pct"/>
            <w:tcBorders>
              <w:top w:val="nil"/>
              <w:left w:val="nil"/>
              <w:bottom w:val="single" w:color="auto" w:sz="4" w:space="0"/>
              <w:right w:val="single" w:color="auto" w:sz="4" w:space="0"/>
            </w:tcBorders>
            <w:vAlign w:val="center"/>
          </w:tcPr>
          <w:p w14:paraId="30695F6E">
            <w:pPr>
              <w:widowControl/>
              <w:spacing w:line="240" w:lineRule="auto"/>
              <w:rPr>
                <w:rFonts w:hint="eastAsia" w:cs="宋体"/>
                <w:color w:val="000000"/>
                <w:kern w:val="0"/>
                <w:sz w:val="22"/>
              </w:rPr>
            </w:pPr>
            <w:r>
              <w:rPr>
                <w:rFonts w:cs="宋体"/>
                <w:color w:val="000000"/>
                <w:kern w:val="0"/>
                <w:sz w:val="22"/>
              </w:rPr>
              <w:t>1、工作电压：交流220V± 10%、50Hz；</w:t>
            </w:r>
            <w:r>
              <w:rPr>
                <w:rFonts w:cs="宋体"/>
                <w:color w:val="000000"/>
                <w:kern w:val="0"/>
                <w:sz w:val="22"/>
              </w:rPr>
              <w:br w:type="textWrapping"/>
            </w:r>
            <w:r>
              <w:rPr>
                <w:rFonts w:cs="宋体"/>
                <w:color w:val="000000"/>
                <w:kern w:val="0"/>
                <w:sz w:val="22"/>
              </w:rPr>
              <w:t>2、使用环境温度：0℃～50℃；</w:t>
            </w:r>
            <w:r>
              <w:rPr>
                <w:rFonts w:cs="宋体"/>
                <w:color w:val="000000"/>
                <w:kern w:val="0"/>
                <w:sz w:val="22"/>
              </w:rPr>
              <w:br w:type="textWrapping"/>
            </w:r>
            <w:r>
              <w:rPr>
                <w:rFonts w:cs="宋体"/>
                <w:color w:val="000000"/>
                <w:kern w:val="0"/>
                <w:sz w:val="22"/>
              </w:rPr>
              <w:t>3、输入电压:AC220V/50HZ</w:t>
            </w:r>
            <w:r>
              <w:rPr>
                <w:rFonts w:cs="宋体"/>
                <w:color w:val="000000"/>
                <w:kern w:val="0"/>
                <w:sz w:val="22"/>
              </w:rPr>
              <w:br w:type="textWrapping"/>
            </w:r>
            <w:r>
              <w:rPr>
                <w:rFonts w:cs="宋体"/>
                <w:color w:val="000000"/>
                <w:kern w:val="0"/>
                <w:sz w:val="22"/>
              </w:rPr>
              <w:t>4、功率:3W LED</w:t>
            </w:r>
            <w:r>
              <w:rPr>
                <w:rFonts w:cs="宋体"/>
                <w:color w:val="000000"/>
                <w:kern w:val="0"/>
                <w:sz w:val="22"/>
              </w:rPr>
              <w:br w:type="textWrapping"/>
            </w:r>
            <w:r>
              <w:rPr>
                <w:rFonts w:cs="宋体"/>
                <w:color w:val="000000"/>
                <w:kern w:val="0"/>
                <w:sz w:val="22"/>
              </w:rPr>
              <w:t>5、应急时间:90min</w:t>
            </w:r>
            <w:r>
              <w:rPr>
                <w:rFonts w:cs="宋体"/>
                <w:color w:val="000000"/>
                <w:kern w:val="0"/>
                <w:sz w:val="22"/>
              </w:rPr>
              <w:br w:type="textWrapping"/>
            </w:r>
            <w:r>
              <w:rPr>
                <w:rFonts w:cs="宋体"/>
                <w:color w:val="000000"/>
                <w:kern w:val="0"/>
                <w:sz w:val="22"/>
              </w:rPr>
              <w:t>6、工作模式:持续式</w:t>
            </w:r>
            <w:r>
              <w:rPr>
                <w:rFonts w:cs="宋体"/>
                <w:color w:val="000000"/>
                <w:kern w:val="0"/>
                <w:sz w:val="22"/>
              </w:rPr>
              <w:br w:type="textWrapping"/>
            </w:r>
            <w:r>
              <w:rPr>
                <w:rFonts w:cs="宋体"/>
                <w:color w:val="000000"/>
                <w:kern w:val="0"/>
                <w:sz w:val="22"/>
              </w:rPr>
              <w:t>7、充电时间:≥24</w:t>
            </w:r>
            <w:r>
              <w:rPr>
                <w:rFonts w:cs="宋体"/>
                <w:color w:val="000000"/>
                <w:kern w:val="0"/>
                <w:sz w:val="22"/>
              </w:rPr>
              <w:br w:type="textWrapping"/>
            </w:r>
            <w:r>
              <w:rPr>
                <w:rFonts w:cs="宋体"/>
                <w:color w:val="000000"/>
                <w:kern w:val="0"/>
                <w:sz w:val="22"/>
              </w:rPr>
              <w:t>8、面板：玻璃；框架铝合金</w:t>
            </w:r>
            <w:r>
              <w:rPr>
                <w:rFonts w:cs="宋体"/>
                <w:color w:val="000000"/>
                <w:kern w:val="0"/>
                <w:sz w:val="22"/>
              </w:rPr>
              <w:br w:type="textWrapping"/>
            </w:r>
            <w:r>
              <w:rPr>
                <w:rFonts w:cs="宋体"/>
                <w:color w:val="000000"/>
                <w:kern w:val="0"/>
                <w:sz w:val="22"/>
              </w:rPr>
              <w:t>9、安装方式:挂壁式</w:t>
            </w:r>
          </w:p>
        </w:tc>
        <w:tc>
          <w:tcPr>
            <w:tcW w:w="216" w:type="pct"/>
            <w:tcBorders>
              <w:top w:val="nil"/>
              <w:left w:val="nil"/>
              <w:bottom w:val="single" w:color="auto" w:sz="4" w:space="0"/>
              <w:right w:val="single" w:color="auto" w:sz="4" w:space="0"/>
            </w:tcBorders>
            <w:vAlign w:val="center"/>
          </w:tcPr>
          <w:p w14:paraId="557EBD13">
            <w:pPr>
              <w:widowControl/>
              <w:spacing w:line="240" w:lineRule="auto"/>
              <w:jc w:val="center"/>
              <w:rPr>
                <w:rFonts w:hint="eastAsia" w:cs="宋体"/>
                <w:color w:val="000000"/>
                <w:kern w:val="0"/>
                <w:sz w:val="22"/>
              </w:rPr>
            </w:pPr>
            <w:r>
              <w:rPr>
                <w:rFonts w:cs="宋体"/>
                <w:color w:val="000000"/>
                <w:kern w:val="0"/>
                <w:sz w:val="22"/>
              </w:rPr>
              <w:t>套</w:t>
            </w:r>
          </w:p>
        </w:tc>
        <w:tc>
          <w:tcPr>
            <w:tcW w:w="202" w:type="pct"/>
            <w:tcBorders>
              <w:top w:val="nil"/>
              <w:left w:val="nil"/>
              <w:bottom w:val="single" w:color="auto" w:sz="4" w:space="0"/>
              <w:right w:val="single" w:color="auto" w:sz="4" w:space="0"/>
            </w:tcBorders>
            <w:vAlign w:val="center"/>
          </w:tcPr>
          <w:p w14:paraId="7A2871FE">
            <w:pPr>
              <w:widowControl/>
              <w:spacing w:line="240" w:lineRule="auto"/>
              <w:jc w:val="center"/>
              <w:rPr>
                <w:rFonts w:hint="eastAsia" w:cs="宋体"/>
                <w:color w:val="000000"/>
                <w:kern w:val="0"/>
                <w:sz w:val="22"/>
              </w:rPr>
            </w:pPr>
            <w:r>
              <w:rPr>
                <w:rFonts w:cs="宋体"/>
                <w:color w:val="000000"/>
                <w:kern w:val="0"/>
                <w:sz w:val="22"/>
              </w:rPr>
              <w:t>2</w:t>
            </w:r>
          </w:p>
        </w:tc>
      </w:tr>
      <w:tr w14:paraId="381A96B9">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3B2B4A8">
            <w:pPr>
              <w:widowControl/>
              <w:spacing w:line="240" w:lineRule="auto"/>
              <w:jc w:val="center"/>
              <w:rPr>
                <w:rFonts w:hint="eastAsia" w:cs="宋体"/>
                <w:color w:val="000000"/>
                <w:kern w:val="0"/>
                <w:sz w:val="22"/>
              </w:rPr>
            </w:pPr>
            <w:r>
              <w:rPr>
                <w:rFonts w:cs="宋体"/>
                <w:color w:val="000000"/>
                <w:kern w:val="0"/>
                <w:sz w:val="22"/>
              </w:rPr>
              <w:t>134</w:t>
            </w:r>
          </w:p>
        </w:tc>
        <w:tc>
          <w:tcPr>
            <w:tcW w:w="152" w:type="pct"/>
            <w:vMerge w:val="continue"/>
            <w:tcBorders>
              <w:top w:val="nil"/>
              <w:left w:val="single" w:color="auto" w:sz="4" w:space="0"/>
              <w:bottom w:val="single" w:color="000000" w:sz="4" w:space="0"/>
              <w:right w:val="single" w:color="auto" w:sz="4" w:space="0"/>
            </w:tcBorders>
            <w:vAlign w:val="center"/>
          </w:tcPr>
          <w:p w14:paraId="19C9627B">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5DD3CD2B">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172C536">
            <w:pPr>
              <w:widowControl/>
              <w:spacing w:line="240" w:lineRule="auto"/>
              <w:rPr>
                <w:rFonts w:hint="eastAsia" w:cs="宋体"/>
                <w:color w:val="000000"/>
                <w:kern w:val="0"/>
                <w:sz w:val="22"/>
              </w:rPr>
            </w:pPr>
            <w:r>
              <w:rPr>
                <w:rFonts w:cs="宋体"/>
                <w:color w:val="000000"/>
                <w:kern w:val="0"/>
                <w:sz w:val="22"/>
              </w:rPr>
              <w:t>呼吸器</w:t>
            </w:r>
          </w:p>
        </w:tc>
        <w:tc>
          <w:tcPr>
            <w:tcW w:w="3643" w:type="pct"/>
            <w:tcBorders>
              <w:top w:val="nil"/>
              <w:left w:val="nil"/>
              <w:bottom w:val="single" w:color="auto" w:sz="4" w:space="0"/>
              <w:right w:val="single" w:color="auto" w:sz="4" w:space="0"/>
            </w:tcBorders>
            <w:vAlign w:val="center"/>
          </w:tcPr>
          <w:p w14:paraId="4B04733F">
            <w:pPr>
              <w:widowControl/>
              <w:spacing w:line="240" w:lineRule="auto"/>
              <w:rPr>
                <w:rFonts w:hint="eastAsia" w:cs="宋体"/>
                <w:color w:val="000000"/>
                <w:kern w:val="0"/>
                <w:sz w:val="22"/>
              </w:rPr>
            </w:pPr>
            <w:r>
              <w:rPr>
                <w:rFonts w:cs="宋体"/>
                <w:color w:val="000000"/>
                <w:kern w:val="0"/>
                <w:sz w:val="22"/>
              </w:rPr>
              <w:t xml:space="preserve">1、防护时间：40型40min  60型60min </w:t>
            </w:r>
            <w:r>
              <w:rPr>
                <w:rFonts w:cs="宋体"/>
                <w:color w:val="000000"/>
                <w:kern w:val="0"/>
                <w:sz w:val="22"/>
              </w:rPr>
              <w:br w:type="textWrapping"/>
            </w:r>
            <w:r>
              <w:rPr>
                <w:rFonts w:cs="宋体"/>
                <w:color w:val="000000"/>
                <w:kern w:val="0"/>
                <w:sz w:val="22"/>
              </w:rPr>
              <w:t xml:space="preserve">2、吸气阻力：95L/rain时不大于800Pa </w:t>
            </w:r>
            <w:r>
              <w:rPr>
                <w:rFonts w:cs="宋体"/>
                <w:color w:val="000000"/>
                <w:kern w:val="0"/>
                <w:sz w:val="22"/>
              </w:rPr>
              <w:br w:type="textWrapping"/>
            </w:r>
            <w:r>
              <w:rPr>
                <w:rFonts w:cs="宋体"/>
                <w:color w:val="000000"/>
                <w:kern w:val="0"/>
                <w:sz w:val="22"/>
              </w:rPr>
              <w:t xml:space="preserve">3、呼气阻力：95L／min时不大于300Pa </w:t>
            </w:r>
            <w:r>
              <w:rPr>
                <w:rFonts w:cs="宋体"/>
                <w:color w:val="000000"/>
                <w:kern w:val="0"/>
                <w:sz w:val="22"/>
              </w:rPr>
              <w:br w:type="textWrapping"/>
            </w:r>
            <w:r>
              <w:rPr>
                <w:rFonts w:cs="宋体"/>
                <w:color w:val="000000"/>
                <w:kern w:val="0"/>
                <w:sz w:val="22"/>
              </w:rPr>
              <w:t xml:space="preserve">4、油雾透过系数：不大于5% </w:t>
            </w:r>
            <w:r>
              <w:rPr>
                <w:rFonts w:cs="宋体"/>
                <w:color w:val="000000"/>
                <w:kern w:val="0"/>
                <w:sz w:val="22"/>
              </w:rPr>
              <w:br w:type="textWrapping"/>
            </w:r>
            <w:r>
              <w:rPr>
                <w:rFonts w:cs="宋体"/>
                <w:color w:val="000000"/>
                <w:kern w:val="0"/>
                <w:sz w:val="22"/>
              </w:rPr>
              <w:t xml:space="preserve">5、吸气温度：0.25％C0时不大于65 </w:t>
            </w:r>
            <w:r>
              <w:rPr>
                <w:rFonts w:cs="宋体"/>
                <w:color w:val="000000"/>
                <w:kern w:val="0"/>
                <w:sz w:val="22"/>
              </w:rPr>
              <w:br w:type="textWrapping"/>
            </w:r>
            <w:r>
              <w:rPr>
                <w:rFonts w:cs="宋体"/>
                <w:color w:val="000000"/>
                <w:kern w:val="0"/>
                <w:sz w:val="22"/>
              </w:rPr>
              <w:t xml:space="preserve">6、佩戴质量：不大于lOOg </w:t>
            </w:r>
            <w:r>
              <w:rPr>
                <w:rFonts w:cs="宋体"/>
                <w:color w:val="000000"/>
                <w:kern w:val="0"/>
                <w:sz w:val="22"/>
              </w:rPr>
              <w:br w:type="textWrapping"/>
            </w:r>
            <w:r>
              <w:rPr>
                <w:rFonts w:cs="宋体"/>
                <w:color w:val="000000"/>
                <w:kern w:val="0"/>
                <w:sz w:val="22"/>
              </w:rPr>
              <w:t xml:space="preserve">7、单台产品包装盒外形尺寸：2166mm×l40mm×lOOmm </w:t>
            </w:r>
            <w:r>
              <w:rPr>
                <w:rFonts w:cs="宋体"/>
                <w:color w:val="000000"/>
                <w:kern w:val="0"/>
                <w:sz w:val="22"/>
              </w:rPr>
              <w:br w:type="textWrapping"/>
            </w:r>
            <w:r>
              <w:rPr>
                <w:rFonts w:cs="宋体"/>
                <w:color w:val="000000"/>
                <w:kern w:val="0"/>
                <w:sz w:val="22"/>
              </w:rPr>
              <w:t>8、co防护浓度：0～1％</w:t>
            </w:r>
          </w:p>
        </w:tc>
        <w:tc>
          <w:tcPr>
            <w:tcW w:w="216" w:type="pct"/>
            <w:tcBorders>
              <w:top w:val="nil"/>
              <w:left w:val="nil"/>
              <w:bottom w:val="single" w:color="auto" w:sz="4" w:space="0"/>
              <w:right w:val="single" w:color="auto" w:sz="4" w:space="0"/>
            </w:tcBorders>
            <w:vAlign w:val="center"/>
          </w:tcPr>
          <w:p w14:paraId="04C60E6F">
            <w:pPr>
              <w:widowControl/>
              <w:spacing w:line="240" w:lineRule="auto"/>
              <w:jc w:val="center"/>
              <w:rPr>
                <w:rFonts w:hint="eastAsia" w:cs="宋体"/>
                <w:color w:val="000000"/>
                <w:kern w:val="0"/>
                <w:sz w:val="22"/>
              </w:rPr>
            </w:pPr>
            <w:r>
              <w:rPr>
                <w:rFonts w:cs="宋体"/>
                <w:color w:val="000000"/>
                <w:kern w:val="0"/>
                <w:sz w:val="22"/>
              </w:rPr>
              <w:t>个</w:t>
            </w:r>
          </w:p>
        </w:tc>
        <w:tc>
          <w:tcPr>
            <w:tcW w:w="202" w:type="pct"/>
            <w:tcBorders>
              <w:top w:val="nil"/>
              <w:left w:val="nil"/>
              <w:bottom w:val="single" w:color="auto" w:sz="4" w:space="0"/>
              <w:right w:val="single" w:color="auto" w:sz="4" w:space="0"/>
            </w:tcBorders>
            <w:vAlign w:val="center"/>
          </w:tcPr>
          <w:p w14:paraId="3D2463EF">
            <w:pPr>
              <w:widowControl/>
              <w:spacing w:line="240" w:lineRule="auto"/>
              <w:jc w:val="center"/>
              <w:rPr>
                <w:rFonts w:hint="eastAsia" w:cs="宋体"/>
                <w:color w:val="000000"/>
                <w:kern w:val="0"/>
                <w:sz w:val="22"/>
              </w:rPr>
            </w:pPr>
            <w:r>
              <w:rPr>
                <w:rFonts w:cs="宋体"/>
                <w:color w:val="000000"/>
                <w:kern w:val="0"/>
                <w:sz w:val="22"/>
              </w:rPr>
              <w:t>4</w:t>
            </w:r>
          </w:p>
        </w:tc>
      </w:tr>
      <w:tr w14:paraId="5CB714C3">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6F151B4F">
            <w:pPr>
              <w:widowControl/>
              <w:spacing w:line="240" w:lineRule="auto"/>
              <w:jc w:val="center"/>
              <w:rPr>
                <w:rFonts w:hint="eastAsia" w:cs="宋体"/>
                <w:color w:val="000000"/>
                <w:kern w:val="0"/>
                <w:sz w:val="22"/>
              </w:rPr>
            </w:pPr>
            <w:r>
              <w:rPr>
                <w:rFonts w:cs="宋体"/>
                <w:color w:val="000000"/>
                <w:kern w:val="0"/>
                <w:sz w:val="22"/>
              </w:rPr>
              <w:t>135</w:t>
            </w:r>
          </w:p>
        </w:tc>
        <w:tc>
          <w:tcPr>
            <w:tcW w:w="152" w:type="pct"/>
            <w:vMerge w:val="continue"/>
            <w:tcBorders>
              <w:top w:val="nil"/>
              <w:left w:val="single" w:color="auto" w:sz="4" w:space="0"/>
              <w:bottom w:val="single" w:color="000000" w:sz="4" w:space="0"/>
              <w:right w:val="single" w:color="auto" w:sz="4" w:space="0"/>
            </w:tcBorders>
            <w:vAlign w:val="center"/>
          </w:tcPr>
          <w:p w14:paraId="17C59951">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2977665">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7A5BC7C">
            <w:pPr>
              <w:widowControl/>
              <w:spacing w:line="240" w:lineRule="auto"/>
              <w:rPr>
                <w:rFonts w:hint="eastAsia" w:cs="宋体"/>
                <w:color w:val="000000"/>
                <w:kern w:val="0"/>
                <w:sz w:val="22"/>
              </w:rPr>
            </w:pPr>
            <w:r>
              <w:rPr>
                <w:rFonts w:cs="宋体"/>
                <w:color w:val="000000"/>
                <w:kern w:val="0"/>
                <w:sz w:val="22"/>
              </w:rPr>
              <w:t>线材施工</w:t>
            </w:r>
          </w:p>
        </w:tc>
        <w:tc>
          <w:tcPr>
            <w:tcW w:w="3643" w:type="pct"/>
            <w:tcBorders>
              <w:top w:val="nil"/>
              <w:left w:val="nil"/>
              <w:bottom w:val="single" w:color="auto" w:sz="4" w:space="0"/>
              <w:right w:val="single" w:color="auto" w:sz="4" w:space="0"/>
            </w:tcBorders>
            <w:vAlign w:val="center"/>
          </w:tcPr>
          <w:p w14:paraId="0C3CB8F1">
            <w:pPr>
              <w:widowControl/>
              <w:spacing w:line="240" w:lineRule="auto"/>
              <w:rPr>
                <w:rFonts w:hint="eastAsia" w:cs="宋体"/>
                <w:color w:val="000000"/>
                <w:kern w:val="0"/>
                <w:sz w:val="22"/>
              </w:rPr>
            </w:pPr>
            <w:r>
              <w:rPr>
                <w:rFonts w:cs="宋体"/>
                <w:color w:val="000000"/>
                <w:kern w:val="0"/>
                <w:sz w:val="22"/>
              </w:rPr>
              <w:t>涉及气体消防安装用的信号线、控制线、电源线等</w:t>
            </w:r>
          </w:p>
        </w:tc>
        <w:tc>
          <w:tcPr>
            <w:tcW w:w="216" w:type="pct"/>
            <w:tcBorders>
              <w:top w:val="nil"/>
              <w:left w:val="nil"/>
              <w:bottom w:val="single" w:color="auto" w:sz="4" w:space="0"/>
              <w:right w:val="single" w:color="auto" w:sz="4" w:space="0"/>
            </w:tcBorders>
            <w:vAlign w:val="center"/>
          </w:tcPr>
          <w:p w14:paraId="108FAB81">
            <w:pPr>
              <w:widowControl/>
              <w:spacing w:line="240" w:lineRule="auto"/>
              <w:jc w:val="center"/>
              <w:rPr>
                <w:rFonts w:hint="eastAsia" w:cs="宋体"/>
                <w:color w:val="000000"/>
                <w:kern w:val="0"/>
                <w:sz w:val="22"/>
              </w:rPr>
            </w:pPr>
            <w:r>
              <w:rPr>
                <w:rFonts w:cs="宋体"/>
                <w:color w:val="000000"/>
                <w:kern w:val="0"/>
                <w:sz w:val="22"/>
              </w:rPr>
              <w:t>批</w:t>
            </w:r>
          </w:p>
        </w:tc>
        <w:tc>
          <w:tcPr>
            <w:tcW w:w="202" w:type="pct"/>
            <w:tcBorders>
              <w:top w:val="nil"/>
              <w:left w:val="nil"/>
              <w:bottom w:val="single" w:color="auto" w:sz="4" w:space="0"/>
              <w:right w:val="single" w:color="auto" w:sz="4" w:space="0"/>
            </w:tcBorders>
            <w:vAlign w:val="center"/>
          </w:tcPr>
          <w:p w14:paraId="72B31EF2">
            <w:pPr>
              <w:widowControl/>
              <w:spacing w:line="240" w:lineRule="auto"/>
              <w:jc w:val="center"/>
              <w:rPr>
                <w:rFonts w:hint="eastAsia" w:cs="宋体"/>
                <w:color w:val="000000"/>
                <w:kern w:val="0"/>
                <w:sz w:val="22"/>
              </w:rPr>
            </w:pPr>
            <w:r>
              <w:rPr>
                <w:rFonts w:cs="宋体"/>
                <w:color w:val="000000"/>
                <w:kern w:val="0"/>
                <w:sz w:val="22"/>
              </w:rPr>
              <w:t>1</w:t>
            </w:r>
          </w:p>
        </w:tc>
      </w:tr>
      <w:tr w14:paraId="16B39C92">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6A45793">
            <w:pPr>
              <w:widowControl/>
              <w:spacing w:line="240" w:lineRule="auto"/>
              <w:jc w:val="center"/>
              <w:rPr>
                <w:rFonts w:hint="eastAsia" w:cs="宋体"/>
                <w:color w:val="000000"/>
                <w:kern w:val="0"/>
                <w:sz w:val="22"/>
              </w:rPr>
            </w:pPr>
            <w:r>
              <w:rPr>
                <w:rFonts w:cs="宋体"/>
                <w:color w:val="000000"/>
                <w:kern w:val="0"/>
                <w:sz w:val="22"/>
              </w:rPr>
              <w:t>136</w:t>
            </w:r>
          </w:p>
        </w:tc>
        <w:tc>
          <w:tcPr>
            <w:tcW w:w="152" w:type="pct"/>
            <w:vMerge w:val="continue"/>
            <w:tcBorders>
              <w:top w:val="nil"/>
              <w:left w:val="single" w:color="auto" w:sz="4" w:space="0"/>
              <w:bottom w:val="single" w:color="000000" w:sz="4" w:space="0"/>
              <w:right w:val="single" w:color="auto" w:sz="4" w:space="0"/>
            </w:tcBorders>
            <w:vAlign w:val="center"/>
          </w:tcPr>
          <w:p w14:paraId="19C0A155">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DFA0855">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4C1E5F2C">
            <w:pPr>
              <w:widowControl/>
              <w:spacing w:line="240" w:lineRule="auto"/>
              <w:rPr>
                <w:rFonts w:hint="eastAsia" w:cs="宋体"/>
                <w:color w:val="000000"/>
                <w:kern w:val="0"/>
                <w:sz w:val="22"/>
              </w:rPr>
            </w:pPr>
            <w:r>
              <w:rPr>
                <w:rFonts w:cs="宋体"/>
                <w:color w:val="000000"/>
                <w:kern w:val="0"/>
                <w:sz w:val="22"/>
              </w:rPr>
              <w:t>辅材</w:t>
            </w:r>
          </w:p>
        </w:tc>
        <w:tc>
          <w:tcPr>
            <w:tcW w:w="3643" w:type="pct"/>
            <w:tcBorders>
              <w:top w:val="nil"/>
              <w:left w:val="nil"/>
              <w:bottom w:val="single" w:color="auto" w:sz="4" w:space="0"/>
              <w:right w:val="single" w:color="auto" w:sz="4" w:space="0"/>
            </w:tcBorders>
            <w:vAlign w:val="center"/>
          </w:tcPr>
          <w:p w14:paraId="443600F6">
            <w:pPr>
              <w:widowControl/>
              <w:spacing w:line="240" w:lineRule="auto"/>
              <w:rPr>
                <w:rFonts w:hint="eastAsia" w:cs="宋体"/>
                <w:color w:val="000000"/>
                <w:kern w:val="0"/>
                <w:sz w:val="22"/>
              </w:rPr>
            </w:pPr>
            <w:r>
              <w:rPr>
                <w:rFonts w:cs="宋体"/>
                <w:color w:val="000000"/>
                <w:kern w:val="0"/>
                <w:sz w:val="22"/>
              </w:rPr>
              <w:t>各类胶水、各类补缝防裂材料、踢脚线、五金配件、各类钉子、螺丝等</w:t>
            </w:r>
          </w:p>
        </w:tc>
        <w:tc>
          <w:tcPr>
            <w:tcW w:w="216" w:type="pct"/>
            <w:tcBorders>
              <w:top w:val="nil"/>
              <w:left w:val="nil"/>
              <w:bottom w:val="single" w:color="auto" w:sz="4" w:space="0"/>
              <w:right w:val="single" w:color="auto" w:sz="4" w:space="0"/>
            </w:tcBorders>
            <w:vAlign w:val="center"/>
          </w:tcPr>
          <w:p w14:paraId="66CFBF5F">
            <w:pPr>
              <w:widowControl/>
              <w:spacing w:line="240" w:lineRule="auto"/>
              <w:jc w:val="center"/>
              <w:rPr>
                <w:rFonts w:hint="eastAsia" w:cs="宋体"/>
                <w:color w:val="000000"/>
                <w:kern w:val="0"/>
                <w:sz w:val="22"/>
              </w:rPr>
            </w:pPr>
            <w:r>
              <w:rPr>
                <w:rFonts w:cs="宋体"/>
                <w:color w:val="000000"/>
                <w:kern w:val="0"/>
                <w:sz w:val="22"/>
              </w:rPr>
              <w:t>批</w:t>
            </w:r>
          </w:p>
        </w:tc>
        <w:tc>
          <w:tcPr>
            <w:tcW w:w="202" w:type="pct"/>
            <w:tcBorders>
              <w:top w:val="nil"/>
              <w:left w:val="nil"/>
              <w:bottom w:val="single" w:color="auto" w:sz="4" w:space="0"/>
              <w:right w:val="single" w:color="auto" w:sz="4" w:space="0"/>
            </w:tcBorders>
            <w:vAlign w:val="center"/>
          </w:tcPr>
          <w:p w14:paraId="4AED8FD4">
            <w:pPr>
              <w:widowControl/>
              <w:spacing w:line="240" w:lineRule="auto"/>
              <w:jc w:val="center"/>
              <w:rPr>
                <w:rFonts w:hint="eastAsia" w:cs="宋体"/>
                <w:color w:val="000000"/>
                <w:kern w:val="0"/>
                <w:sz w:val="22"/>
              </w:rPr>
            </w:pPr>
            <w:r>
              <w:rPr>
                <w:rFonts w:cs="宋体"/>
                <w:color w:val="000000"/>
                <w:kern w:val="0"/>
                <w:sz w:val="22"/>
              </w:rPr>
              <w:t>1</w:t>
            </w:r>
          </w:p>
        </w:tc>
      </w:tr>
      <w:tr w14:paraId="14B55B7D">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38A5DBE">
            <w:pPr>
              <w:widowControl/>
              <w:spacing w:line="240" w:lineRule="auto"/>
              <w:jc w:val="center"/>
              <w:rPr>
                <w:rFonts w:hint="eastAsia" w:cs="宋体"/>
                <w:color w:val="000000"/>
                <w:kern w:val="0"/>
                <w:sz w:val="22"/>
              </w:rPr>
            </w:pPr>
            <w:r>
              <w:rPr>
                <w:rFonts w:cs="宋体"/>
                <w:color w:val="000000"/>
                <w:kern w:val="0"/>
                <w:sz w:val="22"/>
              </w:rPr>
              <w:t>137</w:t>
            </w:r>
          </w:p>
        </w:tc>
        <w:tc>
          <w:tcPr>
            <w:tcW w:w="152" w:type="pct"/>
            <w:vMerge w:val="continue"/>
            <w:tcBorders>
              <w:top w:val="nil"/>
              <w:left w:val="single" w:color="auto" w:sz="4" w:space="0"/>
              <w:bottom w:val="single" w:color="000000" w:sz="4" w:space="0"/>
              <w:right w:val="single" w:color="auto" w:sz="4" w:space="0"/>
            </w:tcBorders>
            <w:vAlign w:val="center"/>
          </w:tcPr>
          <w:p w14:paraId="6E3AE72F">
            <w:pPr>
              <w:widowControl/>
              <w:spacing w:line="240" w:lineRule="auto"/>
              <w:rPr>
                <w:rFonts w:hint="eastAsia" w:cs="宋体"/>
                <w:color w:val="000000"/>
                <w:kern w:val="0"/>
                <w:sz w:val="22"/>
              </w:rPr>
            </w:pPr>
          </w:p>
        </w:tc>
        <w:tc>
          <w:tcPr>
            <w:tcW w:w="331" w:type="pct"/>
            <w:tcBorders>
              <w:top w:val="nil"/>
              <w:left w:val="nil"/>
              <w:bottom w:val="single" w:color="auto" w:sz="4" w:space="0"/>
              <w:right w:val="single" w:color="auto" w:sz="4" w:space="0"/>
            </w:tcBorders>
            <w:vAlign w:val="center"/>
          </w:tcPr>
          <w:p w14:paraId="64C3F9DF">
            <w:pPr>
              <w:widowControl/>
              <w:spacing w:line="240" w:lineRule="auto"/>
              <w:jc w:val="center"/>
              <w:rPr>
                <w:rFonts w:hint="eastAsia" w:cs="宋体"/>
                <w:color w:val="000000"/>
                <w:kern w:val="0"/>
                <w:sz w:val="22"/>
              </w:rPr>
            </w:pPr>
            <w:r>
              <w:rPr>
                <w:rFonts w:cs="宋体"/>
                <w:color w:val="000000"/>
                <w:kern w:val="0"/>
                <w:sz w:val="22"/>
              </w:rPr>
              <w:t>接地</w:t>
            </w:r>
          </w:p>
        </w:tc>
        <w:tc>
          <w:tcPr>
            <w:tcW w:w="202" w:type="pct"/>
            <w:tcBorders>
              <w:top w:val="nil"/>
              <w:left w:val="nil"/>
              <w:bottom w:val="single" w:color="auto" w:sz="4" w:space="0"/>
              <w:right w:val="single" w:color="auto" w:sz="4" w:space="0"/>
            </w:tcBorders>
            <w:vAlign w:val="center"/>
          </w:tcPr>
          <w:p w14:paraId="4D55CD55">
            <w:pPr>
              <w:widowControl/>
              <w:spacing w:line="240" w:lineRule="auto"/>
              <w:rPr>
                <w:rFonts w:hint="eastAsia" w:cs="宋体"/>
                <w:color w:val="000000"/>
                <w:kern w:val="0"/>
                <w:sz w:val="22"/>
              </w:rPr>
            </w:pPr>
            <w:r>
              <w:rPr>
                <w:rFonts w:cs="宋体"/>
                <w:color w:val="000000"/>
                <w:kern w:val="0"/>
                <w:sz w:val="22"/>
              </w:rPr>
              <w:t>独立接地系统</w:t>
            </w:r>
          </w:p>
        </w:tc>
        <w:tc>
          <w:tcPr>
            <w:tcW w:w="3643" w:type="pct"/>
            <w:tcBorders>
              <w:top w:val="nil"/>
              <w:left w:val="nil"/>
              <w:bottom w:val="single" w:color="auto" w:sz="4" w:space="0"/>
              <w:right w:val="single" w:color="auto" w:sz="4" w:space="0"/>
            </w:tcBorders>
            <w:vAlign w:val="center"/>
          </w:tcPr>
          <w:p w14:paraId="6FB3103D">
            <w:pPr>
              <w:widowControl/>
              <w:spacing w:line="240" w:lineRule="auto"/>
              <w:rPr>
                <w:rFonts w:hint="eastAsia" w:cs="宋体"/>
                <w:color w:val="000000"/>
                <w:kern w:val="0"/>
                <w:sz w:val="22"/>
              </w:rPr>
            </w:pPr>
            <w:r>
              <w:rPr>
                <w:rFonts w:cs="宋体"/>
                <w:color w:val="000000"/>
                <w:kern w:val="0"/>
                <w:sz w:val="22"/>
              </w:rPr>
              <w:t>1.名称:独立接地系统</w:t>
            </w:r>
            <w:r>
              <w:rPr>
                <w:rFonts w:cs="宋体"/>
                <w:color w:val="000000"/>
                <w:kern w:val="0"/>
                <w:sz w:val="22"/>
              </w:rPr>
              <w:br w:type="textWrapping"/>
            </w:r>
            <w:r>
              <w:rPr>
                <w:rFonts w:cs="宋体"/>
                <w:color w:val="000000"/>
                <w:kern w:val="0"/>
                <w:sz w:val="22"/>
              </w:rPr>
              <w:t>2.规格型号：在地面选择合适的位置下挖1.5米后用Φ32的接地棒每根长2.5m，打入地下，填入降阻剂；接地绞线截面35㎡，此线缆连接到指定位置，接地电阻1≤Ω；路面开挖后恢复、绿化修复及辅材</w:t>
            </w:r>
            <w:r>
              <w:rPr>
                <w:rFonts w:cs="宋体"/>
                <w:color w:val="000000"/>
                <w:kern w:val="0"/>
                <w:sz w:val="22"/>
              </w:rPr>
              <w:br w:type="textWrapping"/>
            </w:r>
            <w:r>
              <w:rPr>
                <w:rFonts w:cs="宋体"/>
                <w:color w:val="000000"/>
                <w:kern w:val="0"/>
                <w:sz w:val="22"/>
              </w:rPr>
              <w:t>3.技术等级：符合国家标准，需提供第三方接地检测合格报告。应综合考虑新疆地区地质环境</w:t>
            </w:r>
          </w:p>
        </w:tc>
        <w:tc>
          <w:tcPr>
            <w:tcW w:w="216" w:type="pct"/>
            <w:tcBorders>
              <w:top w:val="nil"/>
              <w:left w:val="nil"/>
              <w:bottom w:val="single" w:color="auto" w:sz="4" w:space="0"/>
              <w:right w:val="single" w:color="auto" w:sz="4" w:space="0"/>
            </w:tcBorders>
            <w:vAlign w:val="center"/>
          </w:tcPr>
          <w:p w14:paraId="4382F69C">
            <w:pPr>
              <w:widowControl/>
              <w:spacing w:line="240" w:lineRule="auto"/>
              <w:jc w:val="center"/>
              <w:rPr>
                <w:rFonts w:hint="eastAsia" w:cs="宋体"/>
                <w:color w:val="000000"/>
                <w:kern w:val="0"/>
                <w:sz w:val="22"/>
              </w:rPr>
            </w:pPr>
            <w:r>
              <w:rPr>
                <w:rFonts w:cs="宋体"/>
                <w:color w:val="000000"/>
                <w:kern w:val="0"/>
                <w:sz w:val="22"/>
              </w:rPr>
              <w:t>项</w:t>
            </w:r>
          </w:p>
        </w:tc>
        <w:tc>
          <w:tcPr>
            <w:tcW w:w="202" w:type="pct"/>
            <w:tcBorders>
              <w:top w:val="nil"/>
              <w:left w:val="nil"/>
              <w:bottom w:val="single" w:color="auto" w:sz="4" w:space="0"/>
              <w:right w:val="single" w:color="auto" w:sz="4" w:space="0"/>
            </w:tcBorders>
            <w:vAlign w:val="center"/>
          </w:tcPr>
          <w:p w14:paraId="123BA1A8">
            <w:pPr>
              <w:widowControl/>
              <w:spacing w:line="240" w:lineRule="auto"/>
              <w:jc w:val="center"/>
              <w:rPr>
                <w:rFonts w:hint="eastAsia" w:cs="宋体"/>
                <w:color w:val="000000"/>
                <w:kern w:val="0"/>
                <w:sz w:val="22"/>
              </w:rPr>
            </w:pPr>
            <w:r>
              <w:rPr>
                <w:rFonts w:cs="宋体"/>
                <w:color w:val="000000"/>
                <w:kern w:val="0"/>
                <w:sz w:val="22"/>
              </w:rPr>
              <w:t>1</w:t>
            </w:r>
          </w:p>
        </w:tc>
      </w:tr>
      <w:tr w14:paraId="17AC7089">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C837965">
            <w:pPr>
              <w:widowControl/>
              <w:spacing w:line="240" w:lineRule="auto"/>
              <w:jc w:val="center"/>
              <w:rPr>
                <w:rFonts w:hint="eastAsia" w:cs="宋体"/>
                <w:color w:val="000000"/>
                <w:kern w:val="0"/>
                <w:sz w:val="22"/>
              </w:rPr>
            </w:pPr>
            <w:r>
              <w:rPr>
                <w:rFonts w:cs="宋体"/>
                <w:color w:val="000000"/>
                <w:kern w:val="0"/>
                <w:sz w:val="22"/>
              </w:rPr>
              <w:t>138</w:t>
            </w:r>
          </w:p>
        </w:tc>
        <w:tc>
          <w:tcPr>
            <w:tcW w:w="152" w:type="pct"/>
            <w:vMerge w:val="restart"/>
            <w:tcBorders>
              <w:top w:val="nil"/>
              <w:left w:val="single" w:color="auto" w:sz="4" w:space="0"/>
              <w:bottom w:val="single" w:color="000000" w:sz="4" w:space="0"/>
              <w:right w:val="single" w:color="auto" w:sz="4" w:space="0"/>
            </w:tcBorders>
            <w:noWrap/>
            <w:vAlign w:val="center"/>
          </w:tcPr>
          <w:p w14:paraId="2AD4C6E6">
            <w:pPr>
              <w:widowControl/>
              <w:spacing w:line="240" w:lineRule="auto"/>
              <w:jc w:val="center"/>
              <w:rPr>
                <w:rFonts w:hint="eastAsia" w:cs="宋体"/>
                <w:color w:val="000000"/>
                <w:kern w:val="0"/>
                <w:sz w:val="22"/>
              </w:rPr>
            </w:pPr>
            <w:r>
              <w:rPr>
                <w:rFonts w:cs="宋体"/>
                <w:color w:val="000000"/>
                <w:kern w:val="0"/>
                <w:sz w:val="22"/>
              </w:rPr>
              <w:t>管护所</w:t>
            </w:r>
          </w:p>
        </w:tc>
        <w:tc>
          <w:tcPr>
            <w:tcW w:w="331" w:type="pct"/>
            <w:vMerge w:val="restart"/>
            <w:tcBorders>
              <w:top w:val="nil"/>
              <w:left w:val="single" w:color="auto" w:sz="4" w:space="0"/>
              <w:bottom w:val="single" w:color="000000" w:sz="4" w:space="0"/>
              <w:right w:val="single" w:color="auto" w:sz="4" w:space="0"/>
            </w:tcBorders>
            <w:noWrap/>
            <w:vAlign w:val="center"/>
          </w:tcPr>
          <w:p w14:paraId="3FDF29AA">
            <w:pPr>
              <w:widowControl/>
              <w:spacing w:line="240" w:lineRule="auto"/>
              <w:jc w:val="center"/>
              <w:rPr>
                <w:rFonts w:hint="eastAsia" w:cs="宋体"/>
                <w:color w:val="000000"/>
                <w:kern w:val="0"/>
                <w:sz w:val="22"/>
              </w:rPr>
            </w:pPr>
            <w:r>
              <w:rPr>
                <w:rFonts w:cs="宋体"/>
                <w:color w:val="000000"/>
                <w:kern w:val="0"/>
                <w:sz w:val="22"/>
              </w:rPr>
              <w:t>核心管护所</w:t>
            </w:r>
          </w:p>
        </w:tc>
        <w:tc>
          <w:tcPr>
            <w:tcW w:w="202" w:type="pct"/>
            <w:tcBorders>
              <w:top w:val="nil"/>
              <w:left w:val="nil"/>
              <w:bottom w:val="single" w:color="auto" w:sz="4" w:space="0"/>
              <w:right w:val="single" w:color="auto" w:sz="4" w:space="0"/>
            </w:tcBorders>
            <w:vAlign w:val="center"/>
          </w:tcPr>
          <w:p w14:paraId="6F4E3CDD">
            <w:pPr>
              <w:widowControl/>
              <w:spacing w:line="240" w:lineRule="auto"/>
              <w:rPr>
                <w:rFonts w:hint="eastAsia" w:cs="宋体"/>
                <w:color w:val="000000"/>
                <w:kern w:val="0"/>
                <w:sz w:val="22"/>
              </w:rPr>
            </w:pPr>
            <w:r>
              <w:rPr>
                <w:rFonts w:cs="宋体"/>
                <w:color w:val="000000"/>
                <w:kern w:val="0"/>
                <w:sz w:val="22"/>
              </w:rPr>
              <w:t>视频会议终端</w:t>
            </w:r>
          </w:p>
        </w:tc>
        <w:tc>
          <w:tcPr>
            <w:tcW w:w="3643" w:type="pct"/>
            <w:tcBorders>
              <w:top w:val="nil"/>
              <w:left w:val="nil"/>
              <w:bottom w:val="nil"/>
              <w:right w:val="nil"/>
            </w:tcBorders>
            <w:vAlign w:val="center"/>
          </w:tcPr>
          <w:p w14:paraId="2781EFE2">
            <w:pPr>
              <w:widowControl/>
              <w:spacing w:line="240" w:lineRule="auto"/>
              <w:rPr>
                <w:rFonts w:hint="eastAsia" w:cs="宋体"/>
                <w:color w:val="000000"/>
                <w:kern w:val="0"/>
                <w:sz w:val="22"/>
              </w:rPr>
            </w:pPr>
            <w:r>
              <w:rPr>
                <w:rFonts w:cs="宋体"/>
                <w:color w:val="000000"/>
                <w:kern w:val="0"/>
                <w:sz w:val="22"/>
              </w:rPr>
              <w:t>1. 终端采用一体式设计，内置编解码器、PTZ摄像机、数字阵列麦克等</w:t>
            </w:r>
            <w:r>
              <w:rPr>
                <w:rFonts w:cs="宋体"/>
                <w:color w:val="000000"/>
                <w:kern w:val="0"/>
                <w:sz w:val="22"/>
              </w:rPr>
              <w:br w:type="textWrapping"/>
            </w:r>
            <w:r>
              <w:rPr>
                <w:rFonts w:cs="宋体"/>
                <w:color w:val="000000"/>
                <w:kern w:val="0"/>
                <w:sz w:val="22"/>
              </w:rPr>
              <w:t>2. 终端采用国产嵌入式操作系统。（投标人需提供第三方权威机构检测报告证明）</w:t>
            </w:r>
            <w:r>
              <w:rPr>
                <w:rFonts w:cs="宋体"/>
                <w:color w:val="000000"/>
                <w:kern w:val="0"/>
                <w:sz w:val="22"/>
              </w:rPr>
              <w:br w:type="textWrapping"/>
            </w:r>
            <w:r>
              <w:rPr>
                <w:rFonts w:cs="宋体"/>
                <w:color w:val="000000"/>
                <w:kern w:val="0"/>
                <w:sz w:val="22"/>
              </w:rPr>
              <w:t>3. 终端核心芯片采用国产化元器件。</w:t>
            </w:r>
            <w:r>
              <w:rPr>
                <w:rFonts w:cs="宋体"/>
                <w:color w:val="000000"/>
                <w:kern w:val="0"/>
                <w:sz w:val="22"/>
              </w:rPr>
              <w:br w:type="textWrapping"/>
            </w:r>
            <w:r>
              <w:rPr>
                <w:rFonts w:cs="宋体"/>
                <w:color w:val="000000"/>
                <w:kern w:val="0"/>
                <w:sz w:val="22"/>
              </w:rPr>
              <w:t>4. 支持ITU-T H.323和IETF SIP、RTC通信标准，会议速率支持128Kbps－8Mbps。</w:t>
            </w:r>
            <w:r>
              <w:rPr>
                <w:rFonts w:cs="宋体"/>
                <w:color w:val="000000"/>
                <w:kern w:val="0"/>
                <w:sz w:val="22"/>
              </w:rPr>
              <w:br w:type="textWrapping"/>
            </w:r>
            <w:r>
              <w:rPr>
                <w:rFonts w:cs="宋体"/>
                <w:color w:val="000000"/>
                <w:kern w:val="0"/>
                <w:sz w:val="22"/>
              </w:rPr>
              <w:t>5. 支持H.264 BP、H.264 HP、H.265视频编解码协议。</w:t>
            </w:r>
            <w:r>
              <w:rPr>
                <w:rFonts w:cs="宋体"/>
                <w:color w:val="000000"/>
                <w:kern w:val="0"/>
                <w:sz w:val="22"/>
              </w:rPr>
              <w:br w:type="textWrapping"/>
            </w:r>
            <w:r>
              <w:rPr>
                <w:rFonts w:cs="宋体"/>
                <w:color w:val="000000"/>
                <w:kern w:val="0"/>
                <w:sz w:val="22"/>
              </w:rPr>
              <w:t>6. 支持G.711A-law、G.711µ-law、G.722、G.729、G.719、G.728、G.722.1 C 、MPEG-4 AAC-LD、MPEG-4 AAC-LC、Opus等音频协议，可达到20KHz以上的宽频效果。</w:t>
            </w:r>
            <w:r>
              <w:rPr>
                <w:rFonts w:cs="宋体"/>
                <w:color w:val="000000"/>
                <w:kern w:val="0"/>
                <w:sz w:val="22"/>
              </w:rPr>
              <w:br w:type="textWrapping"/>
            </w:r>
            <w:r>
              <w:rPr>
                <w:rFonts w:cs="宋体"/>
                <w:color w:val="000000"/>
                <w:kern w:val="0"/>
                <w:sz w:val="22"/>
              </w:rPr>
              <w:t>7. 内置高清PTZ摄像机，采用不低于846万像素 1/2.8 英寸CMOS镜头，支持4K60视频图像采集，支持不少于5倍光学变焦，水平视角≥80°。</w:t>
            </w:r>
            <w:r>
              <w:rPr>
                <w:rFonts w:cs="宋体"/>
                <w:color w:val="000000"/>
                <w:kern w:val="0"/>
                <w:sz w:val="22"/>
              </w:rPr>
              <w:br w:type="textWrapping"/>
            </w:r>
            <w:r>
              <w:rPr>
                <w:rFonts w:cs="宋体"/>
                <w:color w:val="000000"/>
                <w:kern w:val="0"/>
                <w:sz w:val="22"/>
              </w:rPr>
              <w:t>8. 支持1080p60、1080p30、720p60、720p30高清分辨率，并向下兼容4CIF、CIF标清分辨率。</w:t>
            </w:r>
            <w:r>
              <w:rPr>
                <w:rFonts w:cs="宋体"/>
                <w:color w:val="000000"/>
                <w:kern w:val="0"/>
                <w:sz w:val="22"/>
              </w:rPr>
              <w:br w:type="textWrapping"/>
            </w:r>
            <w:r>
              <w:rPr>
                <w:rFonts w:cs="宋体"/>
                <w:color w:val="000000"/>
                <w:kern w:val="0"/>
                <w:sz w:val="22"/>
              </w:rPr>
              <w:t>9. 支持在较低的带宽下实现超高清视频效果，支持512Kbps呼叫带宽情况下可实现1080p60图像传输；支持384Kbps呼叫带宽情况下可实现1080p30fps图像传输。</w:t>
            </w:r>
            <w:r>
              <w:rPr>
                <w:rFonts w:cs="宋体"/>
                <w:color w:val="000000"/>
                <w:kern w:val="0"/>
                <w:sz w:val="22"/>
              </w:rPr>
              <w:br w:type="textWrapping"/>
            </w:r>
            <w:r>
              <w:rPr>
                <w:rFonts w:cs="宋体"/>
                <w:color w:val="000000"/>
                <w:kern w:val="0"/>
                <w:sz w:val="22"/>
              </w:rPr>
              <w:t>10. 支持智能视频编码（ROI），可对感兴趣的与会方增强编码，其他区域弱化编码，节省带宽的同时提高与会方图像的显示效果。</w:t>
            </w:r>
            <w:r>
              <w:rPr>
                <w:rFonts w:cs="宋体"/>
                <w:color w:val="000000"/>
                <w:kern w:val="0"/>
                <w:sz w:val="22"/>
              </w:rPr>
              <w:br w:type="textWrapping"/>
            </w:r>
            <w:r>
              <w:rPr>
                <w:rFonts w:cs="宋体"/>
                <w:color w:val="000000"/>
                <w:kern w:val="0"/>
                <w:sz w:val="22"/>
              </w:rPr>
              <w:t>11. 支持OLED屏显示设备运行状态，显示状态：启动、升级、休眠、网络异常、错误码、温度异常、风扇异常、IP地址以及号码</w:t>
            </w:r>
            <w:r>
              <w:rPr>
                <w:rFonts w:cs="宋体"/>
                <w:color w:val="000000"/>
                <w:kern w:val="0"/>
                <w:sz w:val="22"/>
              </w:rPr>
              <w:br w:type="textWrapping"/>
            </w:r>
            <w:r>
              <w:rPr>
                <w:rFonts w:cs="宋体"/>
                <w:color w:val="000000"/>
                <w:kern w:val="0"/>
                <w:sz w:val="22"/>
              </w:rPr>
              <w:t>12. 支持H.235协议的音视频加密，支持AES256加密算法</w:t>
            </w:r>
            <w:r>
              <w:rPr>
                <w:rFonts w:cs="宋体"/>
                <w:color w:val="000000"/>
                <w:kern w:val="0"/>
                <w:sz w:val="22"/>
              </w:rPr>
              <w:br w:type="textWrapping"/>
            </w:r>
            <w:r>
              <w:rPr>
                <w:rFonts w:cs="宋体"/>
                <w:color w:val="000000"/>
                <w:kern w:val="0"/>
                <w:sz w:val="22"/>
              </w:rPr>
              <w:t>13. 终端支持国家密码局认定的国产密码算法，保证信息安全自主可控。支持SM1、SM2、SM3、SM4等国密加密算法。</w:t>
            </w:r>
            <w:r>
              <w:rPr>
                <w:rFonts w:cs="宋体"/>
                <w:color w:val="000000"/>
                <w:kern w:val="0"/>
                <w:sz w:val="22"/>
              </w:rPr>
              <w:br w:type="textWrapping"/>
            </w:r>
            <w:r>
              <w:rPr>
                <w:rFonts w:cs="宋体"/>
                <w:color w:val="000000"/>
                <w:kern w:val="0"/>
                <w:sz w:val="22"/>
              </w:rPr>
              <w:t>14. 终端内置安全芯片，生产预置的设备证书及对应的私钥都存储在安全芯片内；支持一机一证，终端生产时向内置安全芯片烧写唯一的证书。</w:t>
            </w:r>
            <w:r>
              <w:rPr>
                <w:rFonts w:cs="宋体"/>
                <w:color w:val="000000"/>
                <w:kern w:val="0"/>
                <w:sz w:val="22"/>
              </w:rPr>
              <w:br w:type="textWrapping"/>
            </w:r>
            <w:r>
              <w:rPr>
                <w:rFonts w:cs="宋体"/>
                <w:color w:val="000000"/>
                <w:kern w:val="0"/>
                <w:sz w:val="22"/>
              </w:rPr>
              <w:t>15. 支持国密SSL控制信令加密，国密SSL协议实现满足《GB/T 38636-2020信息安全技术层密码协议(TLCP)》</w:t>
            </w:r>
            <w:r>
              <w:rPr>
                <w:rFonts w:cs="宋体"/>
                <w:color w:val="000000"/>
                <w:kern w:val="0"/>
                <w:sz w:val="22"/>
              </w:rPr>
              <w:br w:type="textWrapping"/>
            </w:r>
            <w:r>
              <w:rPr>
                <w:rFonts w:cs="宋体"/>
                <w:color w:val="000000"/>
                <w:kern w:val="0"/>
                <w:sz w:val="22"/>
              </w:rPr>
              <w:t>16. 支持SRTP码流加密，SRTP协议符合RFC3711规范，密钥协商遵循RFC4568规范。</w:t>
            </w:r>
            <w:r>
              <w:rPr>
                <w:rFonts w:cs="宋体"/>
                <w:color w:val="000000"/>
                <w:kern w:val="0"/>
                <w:sz w:val="22"/>
              </w:rPr>
              <w:br w:type="textWrapping"/>
            </w:r>
            <w:r>
              <w:rPr>
                <w:rFonts w:cs="宋体"/>
                <w:color w:val="000000"/>
                <w:kern w:val="0"/>
                <w:sz w:val="22"/>
              </w:rPr>
              <w:t>17. 支持防火墙和NAT穿越。</w:t>
            </w:r>
            <w:r>
              <w:rPr>
                <w:rFonts w:cs="宋体"/>
                <w:color w:val="000000"/>
                <w:kern w:val="0"/>
                <w:sz w:val="22"/>
              </w:rPr>
              <w:br w:type="textWrapping"/>
            </w:r>
            <w:r>
              <w:rPr>
                <w:rFonts w:cs="宋体"/>
                <w:color w:val="000000"/>
                <w:kern w:val="0"/>
                <w:sz w:val="22"/>
              </w:rPr>
              <w:t>▲18.具备较强的网络抗丢包能力，在IP网络达到55%丢包率情况下声音清晰连续、视频清晰流畅、无马赛克；80%的丢包率情况下声音清晰流畅、可准确理解。（投标人需提供第三方权威机构检测报告证明）</w:t>
            </w:r>
            <w:r>
              <w:rPr>
                <w:rFonts w:cs="宋体"/>
                <w:color w:val="000000"/>
                <w:kern w:val="0"/>
                <w:sz w:val="22"/>
              </w:rPr>
              <w:br w:type="textWrapping"/>
            </w:r>
            <w:r>
              <w:rPr>
                <w:rFonts w:cs="宋体"/>
                <w:color w:val="000000"/>
                <w:kern w:val="0"/>
                <w:sz w:val="22"/>
              </w:rPr>
              <w:t>19. 具备多种抗丢包策略，支持丢包重传、前向纠错、自适应丢包补偿技术、自适应抖动平滑技术。</w:t>
            </w:r>
            <w:r>
              <w:rPr>
                <w:rFonts w:cs="宋体"/>
                <w:color w:val="000000"/>
                <w:kern w:val="0"/>
                <w:sz w:val="22"/>
              </w:rPr>
              <w:br w:type="textWrapping"/>
            </w:r>
            <w:r>
              <w:rPr>
                <w:rFonts w:cs="宋体"/>
                <w:color w:val="000000"/>
                <w:kern w:val="0"/>
                <w:sz w:val="22"/>
              </w:rPr>
              <w:t>20. 具备电信设备入网证。</w:t>
            </w:r>
          </w:p>
        </w:tc>
        <w:tc>
          <w:tcPr>
            <w:tcW w:w="216" w:type="pct"/>
            <w:tcBorders>
              <w:top w:val="nil"/>
              <w:left w:val="single" w:color="auto" w:sz="4" w:space="0"/>
              <w:bottom w:val="single" w:color="auto" w:sz="4" w:space="0"/>
              <w:right w:val="single" w:color="auto" w:sz="4" w:space="0"/>
            </w:tcBorders>
            <w:noWrap/>
            <w:vAlign w:val="center"/>
          </w:tcPr>
          <w:p w14:paraId="3EDC85D9">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2D079A05">
            <w:pPr>
              <w:widowControl/>
              <w:spacing w:line="240" w:lineRule="auto"/>
              <w:jc w:val="center"/>
              <w:rPr>
                <w:rFonts w:hint="eastAsia" w:cs="宋体"/>
                <w:color w:val="000000"/>
                <w:kern w:val="0"/>
                <w:sz w:val="22"/>
              </w:rPr>
            </w:pPr>
            <w:r>
              <w:rPr>
                <w:rFonts w:cs="宋体"/>
                <w:color w:val="000000"/>
                <w:kern w:val="0"/>
                <w:sz w:val="22"/>
              </w:rPr>
              <w:t>1</w:t>
            </w:r>
          </w:p>
        </w:tc>
      </w:tr>
      <w:tr w14:paraId="5CBBB678">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4D65EC85">
            <w:pPr>
              <w:widowControl/>
              <w:spacing w:line="240" w:lineRule="auto"/>
              <w:jc w:val="center"/>
              <w:rPr>
                <w:rFonts w:hint="eastAsia" w:cs="宋体"/>
                <w:color w:val="000000"/>
                <w:kern w:val="0"/>
                <w:sz w:val="22"/>
              </w:rPr>
            </w:pPr>
            <w:r>
              <w:rPr>
                <w:rFonts w:cs="宋体"/>
                <w:color w:val="000000"/>
                <w:kern w:val="0"/>
                <w:sz w:val="22"/>
              </w:rPr>
              <w:t>139</w:t>
            </w:r>
          </w:p>
        </w:tc>
        <w:tc>
          <w:tcPr>
            <w:tcW w:w="152" w:type="pct"/>
            <w:vMerge w:val="continue"/>
            <w:tcBorders>
              <w:top w:val="nil"/>
              <w:left w:val="single" w:color="auto" w:sz="4" w:space="0"/>
              <w:bottom w:val="single" w:color="000000" w:sz="4" w:space="0"/>
              <w:right w:val="single" w:color="auto" w:sz="4" w:space="0"/>
            </w:tcBorders>
            <w:vAlign w:val="center"/>
          </w:tcPr>
          <w:p w14:paraId="5A2F7F5C">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B35CC7A">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9F25F48">
            <w:pPr>
              <w:widowControl/>
              <w:spacing w:line="240" w:lineRule="auto"/>
              <w:rPr>
                <w:rFonts w:hint="eastAsia" w:cs="宋体"/>
                <w:color w:val="000000"/>
                <w:kern w:val="0"/>
                <w:sz w:val="22"/>
              </w:rPr>
            </w:pPr>
            <w:r>
              <w:rPr>
                <w:rFonts w:cs="宋体"/>
                <w:color w:val="000000"/>
                <w:kern w:val="0"/>
                <w:sz w:val="22"/>
              </w:rPr>
              <w:t>LED屏</w:t>
            </w:r>
          </w:p>
        </w:tc>
        <w:tc>
          <w:tcPr>
            <w:tcW w:w="3643" w:type="pct"/>
            <w:tcBorders>
              <w:top w:val="single" w:color="auto" w:sz="4" w:space="0"/>
              <w:left w:val="nil"/>
              <w:bottom w:val="single" w:color="auto" w:sz="4" w:space="0"/>
              <w:right w:val="single" w:color="auto" w:sz="4" w:space="0"/>
            </w:tcBorders>
            <w:vAlign w:val="center"/>
          </w:tcPr>
          <w:p w14:paraId="323E037B">
            <w:pPr>
              <w:widowControl/>
              <w:spacing w:line="240" w:lineRule="auto"/>
              <w:rPr>
                <w:rFonts w:hint="eastAsia" w:cs="宋体"/>
                <w:color w:val="000000"/>
                <w:kern w:val="0"/>
                <w:sz w:val="22"/>
              </w:rPr>
            </w:pPr>
            <w:r>
              <w:rPr>
                <w:rFonts w:cs="宋体"/>
                <w:color w:val="000000"/>
                <w:kern w:val="0"/>
                <w:sz w:val="22"/>
              </w:rPr>
              <w:t>1.点间距≤1.25mm ；</w:t>
            </w:r>
            <w:r>
              <w:rPr>
                <w:rFonts w:cs="宋体"/>
                <w:color w:val="000000"/>
                <w:kern w:val="0"/>
                <w:sz w:val="22"/>
              </w:rPr>
              <w:br w:type="textWrapping"/>
            </w:r>
            <w:r>
              <w:rPr>
                <w:rFonts w:cs="宋体"/>
                <w:color w:val="000000"/>
                <w:kern w:val="0"/>
                <w:sz w:val="22"/>
              </w:rPr>
              <w:t>2.亮度不低于 200-800cd/m²，支持亮度调节及定时调节；</w:t>
            </w:r>
            <w:r>
              <w:rPr>
                <w:rFonts w:cs="宋体"/>
                <w:color w:val="000000"/>
                <w:kern w:val="0"/>
                <w:sz w:val="22"/>
              </w:rPr>
              <w:br w:type="textWrapping"/>
            </w:r>
            <w:r>
              <w:rPr>
                <w:rFonts w:cs="宋体"/>
                <w:color w:val="000000"/>
                <w:kern w:val="0"/>
                <w:sz w:val="22"/>
              </w:rPr>
              <w:t>3.对比度≥10000：1；LED 显示屏杂点率≤1/100000 且无连续失控点；LED 显示屏亮度均匀性≥99%；LED 显示色度均匀性±0.001Cx,Cy 之内；LED 显示屏像素中心距相对偏差≤1%；LED 显示屏观看水平/垂直视角≥175°；LED 显示屏平均故障恢复时间（MTTR）≤2分钟；</w:t>
            </w:r>
            <w:r>
              <w:rPr>
                <w:rFonts w:cs="宋体"/>
                <w:color w:val="000000"/>
                <w:kern w:val="0"/>
                <w:sz w:val="22"/>
              </w:rPr>
              <w:br w:type="textWrapping"/>
            </w:r>
            <w:r>
              <w:rPr>
                <w:rFonts w:cs="宋体"/>
                <w:color w:val="000000"/>
                <w:kern w:val="0"/>
                <w:sz w:val="22"/>
              </w:rPr>
              <w:t>4.PCB板表面 采用 FR-4 四层板同等级或更高材料，TG≥170℃，备防潮/防尘/防静电；</w:t>
            </w:r>
            <w:r>
              <w:rPr>
                <w:rFonts w:cs="宋体"/>
                <w:color w:val="000000"/>
                <w:kern w:val="0"/>
                <w:sz w:val="22"/>
              </w:rPr>
              <w:br w:type="textWrapping"/>
            </w:r>
            <w:r>
              <w:rPr>
                <w:rFonts w:cs="宋体"/>
                <w:color w:val="000000"/>
                <w:kern w:val="0"/>
                <w:sz w:val="22"/>
              </w:rPr>
              <w:t>5.单电源漏电电流≤0.3mA；</w:t>
            </w:r>
            <w:r>
              <w:rPr>
                <w:rFonts w:cs="宋体"/>
                <w:color w:val="000000"/>
                <w:kern w:val="0"/>
                <w:sz w:val="22"/>
              </w:rPr>
              <w:br w:type="textWrapping"/>
            </w:r>
            <w:r>
              <w:rPr>
                <w:rFonts w:cs="宋体"/>
                <w:color w:val="000000"/>
                <w:kern w:val="0"/>
                <w:sz w:val="22"/>
              </w:rPr>
              <w:t>6.支持低蓝光模式，可选择 30%、40%、70%三挡调节显示屏蓝光输出；</w:t>
            </w:r>
            <w:r>
              <w:rPr>
                <w:rFonts w:cs="宋体"/>
                <w:color w:val="000000"/>
                <w:kern w:val="0"/>
                <w:sz w:val="22"/>
              </w:rPr>
              <w:br w:type="textWrapping"/>
            </w:r>
            <w:r>
              <w:rPr>
                <w:rFonts w:cs="宋体"/>
                <w:color w:val="000000"/>
                <w:kern w:val="0"/>
                <w:sz w:val="22"/>
              </w:rPr>
              <w:t>7.不低于IP5X 防护等级；</w:t>
            </w:r>
          </w:p>
        </w:tc>
        <w:tc>
          <w:tcPr>
            <w:tcW w:w="216" w:type="pct"/>
            <w:tcBorders>
              <w:top w:val="nil"/>
              <w:left w:val="nil"/>
              <w:bottom w:val="single" w:color="auto" w:sz="4" w:space="0"/>
              <w:right w:val="single" w:color="auto" w:sz="4" w:space="0"/>
            </w:tcBorders>
            <w:noWrap/>
            <w:vAlign w:val="center"/>
          </w:tcPr>
          <w:p w14:paraId="1018539D">
            <w:pPr>
              <w:widowControl/>
              <w:spacing w:line="240" w:lineRule="auto"/>
              <w:jc w:val="center"/>
              <w:rPr>
                <w:rFonts w:hint="eastAsia" w:cs="宋体"/>
                <w:color w:val="000000"/>
                <w:kern w:val="0"/>
                <w:sz w:val="22"/>
              </w:rPr>
            </w:pPr>
            <w:r>
              <w:rPr>
                <w:rFonts w:cs="宋体"/>
                <w:color w:val="000000"/>
                <w:kern w:val="0"/>
                <w:sz w:val="22"/>
              </w:rPr>
              <w:t>平方米</w:t>
            </w:r>
          </w:p>
        </w:tc>
        <w:tc>
          <w:tcPr>
            <w:tcW w:w="202" w:type="pct"/>
            <w:tcBorders>
              <w:top w:val="nil"/>
              <w:left w:val="nil"/>
              <w:bottom w:val="single" w:color="auto" w:sz="4" w:space="0"/>
              <w:right w:val="single" w:color="auto" w:sz="4" w:space="0"/>
            </w:tcBorders>
            <w:noWrap/>
            <w:vAlign w:val="center"/>
          </w:tcPr>
          <w:p w14:paraId="104C5DEB">
            <w:pPr>
              <w:widowControl/>
              <w:spacing w:line="240" w:lineRule="auto"/>
              <w:jc w:val="center"/>
              <w:rPr>
                <w:rFonts w:hint="eastAsia" w:cs="宋体"/>
                <w:color w:val="000000"/>
                <w:kern w:val="0"/>
                <w:sz w:val="22"/>
              </w:rPr>
            </w:pPr>
            <w:r>
              <w:rPr>
                <w:rFonts w:cs="宋体"/>
                <w:color w:val="000000"/>
                <w:kern w:val="0"/>
                <w:sz w:val="22"/>
              </w:rPr>
              <w:t>10.76</w:t>
            </w:r>
          </w:p>
        </w:tc>
      </w:tr>
      <w:tr w14:paraId="456CDB45">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853F8FB">
            <w:pPr>
              <w:widowControl/>
              <w:spacing w:line="240" w:lineRule="auto"/>
              <w:jc w:val="center"/>
              <w:rPr>
                <w:rFonts w:hint="eastAsia" w:cs="宋体"/>
                <w:color w:val="000000"/>
                <w:kern w:val="0"/>
                <w:sz w:val="22"/>
              </w:rPr>
            </w:pPr>
            <w:r>
              <w:rPr>
                <w:rFonts w:cs="宋体"/>
                <w:color w:val="000000"/>
                <w:kern w:val="0"/>
                <w:sz w:val="22"/>
              </w:rPr>
              <w:t>140</w:t>
            </w:r>
          </w:p>
        </w:tc>
        <w:tc>
          <w:tcPr>
            <w:tcW w:w="152" w:type="pct"/>
            <w:vMerge w:val="continue"/>
            <w:tcBorders>
              <w:top w:val="nil"/>
              <w:left w:val="single" w:color="auto" w:sz="4" w:space="0"/>
              <w:bottom w:val="single" w:color="000000" w:sz="4" w:space="0"/>
              <w:right w:val="single" w:color="auto" w:sz="4" w:space="0"/>
            </w:tcBorders>
            <w:vAlign w:val="center"/>
          </w:tcPr>
          <w:p w14:paraId="3883716D">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25A33DF0">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28BE3C7">
            <w:pPr>
              <w:widowControl/>
              <w:spacing w:line="240" w:lineRule="auto"/>
              <w:rPr>
                <w:rFonts w:hint="eastAsia" w:cs="宋体"/>
                <w:color w:val="000000"/>
                <w:kern w:val="0"/>
                <w:sz w:val="22"/>
              </w:rPr>
            </w:pPr>
            <w:r>
              <w:rPr>
                <w:rFonts w:cs="宋体"/>
                <w:color w:val="000000"/>
                <w:kern w:val="0"/>
                <w:sz w:val="22"/>
              </w:rPr>
              <w:t>拼接控制器</w:t>
            </w:r>
          </w:p>
        </w:tc>
        <w:tc>
          <w:tcPr>
            <w:tcW w:w="3643" w:type="pct"/>
            <w:tcBorders>
              <w:top w:val="nil"/>
              <w:left w:val="nil"/>
              <w:bottom w:val="single" w:color="auto" w:sz="4" w:space="0"/>
              <w:right w:val="single" w:color="auto" w:sz="4" w:space="0"/>
            </w:tcBorders>
            <w:vAlign w:val="center"/>
          </w:tcPr>
          <w:p w14:paraId="4BADF6A0">
            <w:pPr>
              <w:widowControl/>
              <w:spacing w:line="240" w:lineRule="auto"/>
              <w:rPr>
                <w:rFonts w:hint="eastAsia" w:cs="宋体"/>
                <w:color w:val="000000"/>
                <w:kern w:val="0"/>
                <w:sz w:val="22"/>
              </w:rPr>
            </w:pPr>
            <w:r>
              <w:rPr>
                <w:rFonts w:cs="宋体"/>
                <w:color w:val="000000"/>
                <w:kern w:val="0"/>
                <w:sz w:val="22"/>
              </w:rPr>
              <w:t>（一）机箱</w:t>
            </w:r>
            <w:r>
              <w:rPr>
                <w:rFonts w:cs="宋体"/>
                <w:color w:val="000000"/>
                <w:kern w:val="0"/>
                <w:sz w:val="22"/>
              </w:rPr>
              <w:br w:type="textWrapping"/>
            </w:r>
            <w:r>
              <w:rPr>
                <w:rFonts w:cs="宋体"/>
                <w:color w:val="000000"/>
                <w:kern w:val="0"/>
                <w:sz w:val="22"/>
              </w:rPr>
              <w:t>1.插卡式架构设计，≥4 个输入卡槽，≥2 个输出卡槽，输出支持视频接口输出卡与二合一网口输出卡同时输出；</w:t>
            </w:r>
            <w:r>
              <w:rPr>
                <w:rFonts w:cs="宋体"/>
                <w:color w:val="000000"/>
                <w:kern w:val="0"/>
                <w:sz w:val="22"/>
              </w:rPr>
              <w:br w:type="textWrapping"/>
            </w:r>
            <w:r>
              <w:rPr>
                <w:rFonts w:cs="宋体"/>
                <w:color w:val="000000"/>
                <w:kern w:val="0"/>
                <w:sz w:val="22"/>
              </w:rPr>
              <w:t>2.支持接入≥2 张二合一网口输出卡，可直接对接 LED 显示屏，单台设备带载≥4160 万像素；</w:t>
            </w:r>
            <w:r>
              <w:rPr>
                <w:rFonts w:cs="宋体"/>
                <w:color w:val="000000"/>
                <w:kern w:val="0"/>
                <w:sz w:val="22"/>
              </w:rPr>
              <w:br w:type="textWrapping"/>
            </w:r>
            <w:r>
              <w:rPr>
                <w:rFonts w:cs="宋体"/>
                <w:color w:val="000000"/>
                <w:kern w:val="0"/>
                <w:sz w:val="22"/>
              </w:rPr>
              <w:t>3.具备输入板卡、输出板卡、预监板卡的热插拔功能，设备无需关机重启和设置；</w:t>
            </w:r>
            <w:r>
              <w:rPr>
                <w:rFonts w:cs="宋体"/>
                <w:color w:val="000000"/>
                <w:kern w:val="0"/>
                <w:sz w:val="22"/>
              </w:rPr>
              <w:br w:type="textWrapping"/>
            </w:r>
            <w:r>
              <w:rPr>
                <w:rFonts w:cs="宋体"/>
                <w:color w:val="000000"/>
                <w:kern w:val="0"/>
                <w:sz w:val="22"/>
              </w:rPr>
              <w:t>4.单张输出板卡具备≥16 个图层，可实现单卡任意开窗、叠加、漫游、无极缩放；具备画面截取、图层设置、图层翻转、图层冻结；</w:t>
            </w:r>
            <w:r>
              <w:rPr>
                <w:rFonts w:cs="宋体"/>
                <w:color w:val="000000"/>
                <w:kern w:val="0"/>
                <w:sz w:val="22"/>
              </w:rPr>
              <w:br w:type="textWrapping"/>
            </w:r>
            <w:r>
              <w:rPr>
                <w:rFonts w:cs="宋体"/>
                <w:color w:val="000000"/>
                <w:kern w:val="0"/>
                <w:sz w:val="22"/>
              </w:rPr>
              <w:t>5.支持对所有输入源同时预监，输出具备对所有输出进行回显（包含 IP 流回显）；</w:t>
            </w:r>
            <w:r>
              <w:rPr>
                <w:rFonts w:cs="宋体"/>
                <w:color w:val="000000"/>
                <w:kern w:val="0"/>
                <w:sz w:val="22"/>
              </w:rPr>
              <w:br w:type="textWrapping"/>
            </w:r>
            <w:r>
              <w:rPr>
                <w:rFonts w:cs="宋体"/>
                <w:color w:val="000000"/>
                <w:kern w:val="0"/>
                <w:sz w:val="22"/>
              </w:rPr>
              <w:t>6.输出接口画质调节具备亮度、对比度、饱和度、色调、色温、Gamma 调节，支持间距、速度、亮度调节；</w:t>
            </w:r>
            <w:r>
              <w:rPr>
                <w:rFonts w:cs="宋体"/>
                <w:color w:val="000000"/>
                <w:kern w:val="0"/>
                <w:sz w:val="22"/>
              </w:rPr>
              <w:br w:type="textWrapping"/>
            </w:r>
            <w:r>
              <w:rPr>
                <w:rFonts w:cs="宋体"/>
                <w:color w:val="000000"/>
                <w:kern w:val="0"/>
                <w:sz w:val="22"/>
              </w:rPr>
              <w:t>7.具备设置≥2000 个用户场景，能够实现图片或者视频的场景切换，具备淡入淡出、切换不黑屏，场景调取响应速度＜60ms；</w:t>
            </w:r>
            <w:r>
              <w:rPr>
                <w:rFonts w:cs="宋体"/>
                <w:color w:val="000000"/>
                <w:kern w:val="0"/>
                <w:sz w:val="22"/>
              </w:rPr>
              <w:br w:type="textWrapping"/>
            </w:r>
            <w:r>
              <w:rPr>
                <w:rFonts w:cs="宋体"/>
                <w:color w:val="000000"/>
                <w:kern w:val="0"/>
                <w:sz w:val="22"/>
              </w:rPr>
              <w:t>8.具备 GENLOCK 同步锁相信号接口；</w:t>
            </w:r>
            <w:r>
              <w:rPr>
                <w:rFonts w:cs="宋体"/>
                <w:color w:val="000000"/>
                <w:kern w:val="0"/>
                <w:sz w:val="22"/>
              </w:rPr>
              <w:br w:type="textWrapping"/>
            </w:r>
            <w:r>
              <w:rPr>
                <w:rFonts w:cs="宋体"/>
                <w:color w:val="000000"/>
                <w:kern w:val="0"/>
                <w:sz w:val="22"/>
              </w:rPr>
              <w:t>9.具备≥2 路 USB2.0 接口，支持 U 盘升级设备程序，U盘导入/导出设备所有配置参数；</w:t>
            </w:r>
            <w:r>
              <w:rPr>
                <w:rFonts w:cs="宋体"/>
                <w:color w:val="000000"/>
                <w:kern w:val="0"/>
                <w:sz w:val="22"/>
              </w:rPr>
              <w:br w:type="textWrapping"/>
            </w:r>
            <w:r>
              <w:rPr>
                <w:rFonts w:cs="宋体"/>
                <w:color w:val="000000"/>
                <w:kern w:val="0"/>
                <w:sz w:val="22"/>
              </w:rPr>
              <w:t>10.具备 RS232 协议串口，支持与中控系统对接，通过中控系统进行操控；</w:t>
            </w:r>
            <w:r>
              <w:rPr>
                <w:rFonts w:cs="宋体"/>
                <w:color w:val="000000"/>
                <w:kern w:val="0"/>
                <w:sz w:val="22"/>
              </w:rPr>
              <w:br w:type="textWrapping"/>
            </w:r>
            <w:r>
              <w:rPr>
                <w:rFonts w:cs="宋体"/>
                <w:color w:val="000000"/>
                <w:kern w:val="0"/>
                <w:sz w:val="22"/>
              </w:rPr>
              <w:t>（二）输入卡</w:t>
            </w:r>
            <w:r>
              <w:rPr>
                <w:rFonts w:cs="宋体"/>
                <w:color w:val="000000"/>
                <w:kern w:val="0"/>
                <w:sz w:val="22"/>
              </w:rPr>
              <w:br w:type="textWrapping"/>
            </w:r>
            <w:r>
              <w:rPr>
                <w:rFonts w:cs="宋体"/>
                <w:color w:val="000000"/>
                <w:kern w:val="0"/>
                <w:sz w:val="22"/>
              </w:rPr>
              <w:t>输入卡*1</w:t>
            </w:r>
            <w:r>
              <w:rPr>
                <w:rFonts w:cs="宋体"/>
                <w:color w:val="000000"/>
                <w:kern w:val="0"/>
                <w:sz w:val="22"/>
              </w:rPr>
              <w:br w:type="textWrapping"/>
            </w:r>
            <w:r>
              <w:rPr>
                <w:rFonts w:cs="宋体"/>
                <w:color w:val="000000"/>
                <w:kern w:val="0"/>
                <w:sz w:val="22"/>
              </w:rPr>
              <w:t>1.板卡具备≥2 路 HDMI 1.3 输入接口，≥2 路 HDMI 1.4输入接口；</w:t>
            </w:r>
            <w:r>
              <w:rPr>
                <w:rFonts w:cs="宋体"/>
                <w:color w:val="000000"/>
                <w:kern w:val="0"/>
                <w:sz w:val="22"/>
              </w:rPr>
              <w:br w:type="textWrapping"/>
            </w:r>
            <w:r>
              <w:rPr>
                <w:rFonts w:cs="宋体"/>
                <w:color w:val="000000"/>
                <w:kern w:val="0"/>
                <w:sz w:val="22"/>
              </w:rPr>
              <w:t>2.HDMI 1.3 输入分辨率支持≥2048*1152@60Hz，向下兼容；</w:t>
            </w:r>
            <w:r>
              <w:rPr>
                <w:rFonts w:cs="宋体"/>
                <w:color w:val="000000"/>
                <w:kern w:val="0"/>
                <w:sz w:val="22"/>
              </w:rPr>
              <w:br w:type="textWrapping"/>
            </w:r>
            <w:r>
              <w:rPr>
                <w:rFonts w:cs="宋体"/>
                <w:color w:val="000000"/>
                <w:kern w:val="0"/>
                <w:sz w:val="22"/>
              </w:rPr>
              <w:t>3.HDMI 1.4 输入分辨率支持≥3840*1080@60Hz，向下兼容；</w:t>
            </w:r>
            <w:r>
              <w:rPr>
                <w:rFonts w:cs="宋体"/>
                <w:color w:val="000000"/>
                <w:kern w:val="0"/>
                <w:sz w:val="22"/>
              </w:rPr>
              <w:br w:type="textWrapping"/>
            </w:r>
            <w:r>
              <w:rPr>
                <w:rFonts w:cs="宋体"/>
                <w:color w:val="000000"/>
                <w:kern w:val="0"/>
                <w:sz w:val="22"/>
              </w:rPr>
              <w:t>4.具备自定义分辨率；</w:t>
            </w:r>
            <w:r>
              <w:rPr>
                <w:rFonts w:cs="宋体"/>
                <w:color w:val="000000"/>
                <w:kern w:val="0"/>
                <w:sz w:val="22"/>
              </w:rPr>
              <w:br w:type="textWrapping"/>
            </w:r>
            <w:r>
              <w:rPr>
                <w:rFonts w:cs="宋体"/>
                <w:color w:val="000000"/>
                <w:kern w:val="0"/>
                <w:sz w:val="22"/>
              </w:rPr>
              <w:t>5.具备持 HDCP1.4；</w:t>
            </w:r>
            <w:r>
              <w:rPr>
                <w:rFonts w:cs="宋体"/>
                <w:color w:val="000000"/>
                <w:kern w:val="0"/>
                <w:sz w:val="22"/>
              </w:rPr>
              <w:br w:type="textWrapping"/>
            </w:r>
            <w:r>
              <w:rPr>
                <w:rFonts w:cs="宋体"/>
                <w:color w:val="000000"/>
                <w:kern w:val="0"/>
                <w:sz w:val="22"/>
              </w:rPr>
              <w:t>（三）发送卡</w:t>
            </w:r>
            <w:r>
              <w:rPr>
                <w:rFonts w:cs="宋体"/>
                <w:color w:val="000000"/>
                <w:kern w:val="0"/>
                <w:sz w:val="22"/>
              </w:rPr>
              <w:br w:type="textWrapping"/>
            </w:r>
            <w:r>
              <w:rPr>
                <w:rFonts w:cs="宋体"/>
                <w:color w:val="000000"/>
                <w:kern w:val="0"/>
                <w:sz w:val="22"/>
              </w:rPr>
              <w:t>1.LED 拼接发送卡，具备≥20 路 RJ45 千兆网口；</w:t>
            </w:r>
            <w:r>
              <w:rPr>
                <w:rFonts w:cs="宋体"/>
                <w:color w:val="000000"/>
                <w:kern w:val="0"/>
                <w:sz w:val="22"/>
              </w:rPr>
              <w:br w:type="textWrapping"/>
            </w:r>
            <w:r>
              <w:rPr>
                <w:rFonts w:cs="宋体"/>
                <w:color w:val="000000"/>
                <w:kern w:val="0"/>
                <w:sz w:val="22"/>
              </w:rPr>
              <w:t>2.单卡带载≥1300 万像素点带载，极限宽度≥10752 像素，极限高度≥10752 像素；</w:t>
            </w:r>
            <w:r>
              <w:rPr>
                <w:rFonts w:cs="宋体"/>
                <w:color w:val="000000"/>
                <w:kern w:val="0"/>
                <w:sz w:val="22"/>
              </w:rPr>
              <w:br w:type="textWrapping"/>
            </w:r>
            <w:r>
              <w:rPr>
                <w:rFonts w:cs="宋体"/>
                <w:color w:val="000000"/>
                <w:kern w:val="0"/>
                <w:sz w:val="22"/>
              </w:rPr>
              <w:t>（四）输出卡</w:t>
            </w:r>
            <w:r>
              <w:rPr>
                <w:rFonts w:cs="宋体"/>
                <w:color w:val="000000"/>
                <w:kern w:val="0"/>
                <w:sz w:val="22"/>
              </w:rPr>
              <w:br w:type="textWrapping"/>
            </w:r>
            <w:r>
              <w:rPr>
                <w:rFonts w:cs="宋体"/>
                <w:color w:val="000000"/>
                <w:kern w:val="0"/>
                <w:sz w:val="22"/>
              </w:rPr>
              <w:t>输出卡*1</w:t>
            </w:r>
            <w:r>
              <w:rPr>
                <w:rFonts w:cs="宋体"/>
                <w:color w:val="000000"/>
                <w:kern w:val="0"/>
                <w:sz w:val="22"/>
              </w:rPr>
              <w:br w:type="textWrapping"/>
            </w:r>
            <w:r>
              <w:rPr>
                <w:rFonts w:cs="宋体"/>
                <w:color w:val="000000"/>
                <w:kern w:val="0"/>
                <w:sz w:val="22"/>
              </w:rPr>
              <w:t>1.板卡具备≥4 路 HDMI 1.4 输出接口；</w:t>
            </w:r>
            <w:r>
              <w:rPr>
                <w:rFonts w:cs="宋体"/>
                <w:color w:val="000000"/>
                <w:kern w:val="0"/>
                <w:sz w:val="22"/>
              </w:rPr>
              <w:br w:type="textWrapping"/>
            </w:r>
            <w:r>
              <w:rPr>
                <w:rFonts w:cs="宋体"/>
                <w:color w:val="000000"/>
                <w:kern w:val="0"/>
                <w:sz w:val="22"/>
              </w:rPr>
              <w:t>2.支持单链模式和双链模式设置，单链模式分辨率支持≥2048*1152@60Hz，并向下兼容，双链模式分辨率支持≥4096*2160@60Hz，并向下兼容；</w:t>
            </w:r>
            <w:r>
              <w:rPr>
                <w:rFonts w:cs="宋体"/>
                <w:color w:val="000000"/>
                <w:kern w:val="0"/>
                <w:sz w:val="22"/>
              </w:rPr>
              <w:br w:type="textWrapping"/>
            </w:r>
            <w:r>
              <w:rPr>
                <w:rFonts w:cs="宋体"/>
                <w:color w:val="000000"/>
                <w:kern w:val="0"/>
                <w:sz w:val="22"/>
              </w:rPr>
              <w:t>3.支持单口输出≥4 图层；</w:t>
            </w:r>
          </w:p>
        </w:tc>
        <w:tc>
          <w:tcPr>
            <w:tcW w:w="216" w:type="pct"/>
            <w:tcBorders>
              <w:top w:val="nil"/>
              <w:left w:val="nil"/>
              <w:bottom w:val="single" w:color="auto" w:sz="4" w:space="0"/>
              <w:right w:val="single" w:color="auto" w:sz="4" w:space="0"/>
            </w:tcBorders>
            <w:noWrap/>
            <w:vAlign w:val="center"/>
          </w:tcPr>
          <w:p w14:paraId="6BDB2DD8">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527AA084">
            <w:pPr>
              <w:widowControl/>
              <w:spacing w:line="240" w:lineRule="auto"/>
              <w:jc w:val="center"/>
              <w:rPr>
                <w:rFonts w:hint="eastAsia" w:cs="宋体"/>
                <w:color w:val="000000"/>
                <w:kern w:val="0"/>
                <w:sz w:val="22"/>
              </w:rPr>
            </w:pPr>
            <w:r>
              <w:rPr>
                <w:rFonts w:cs="宋体"/>
                <w:color w:val="000000"/>
                <w:kern w:val="0"/>
                <w:sz w:val="22"/>
              </w:rPr>
              <w:t>1</w:t>
            </w:r>
          </w:p>
        </w:tc>
      </w:tr>
      <w:tr w14:paraId="734E6342">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C24AE72">
            <w:pPr>
              <w:widowControl/>
              <w:spacing w:line="240" w:lineRule="auto"/>
              <w:jc w:val="center"/>
              <w:rPr>
                <w:rFonts w:hint="eastAsia" w:cs="宋体"/>
                <w:color w:val="000000"/>
                <w:kern w:val="0"/>
                <w:sz w:val="22"/>
              </w:rPr>
            </w:pPr>
            <w:r>
              <w:rPr>
                <w:rFonts w:cs="宋体"/>
                <w:color w:val="000000"/>
                <w:kern w:val="0"/>
                <w:sz w:val="22"/>
              </w:rPr>
              <w:t>141</w:t>
            </w:r>
          </w:p>
        </w:tc>
        <w:tc>
          <w:tcPr>
            <w:tcW w:w="152" w:type="pct"/>
            <w:vMerge w:val="continue"/>
            <w:tcBorders>
              <w:top w:val="nil"/>
              <w:left w:val="single" w:color="auto" w:sz="4" w:space="0"/>
              <w:bottom w:val="single" w:color="000000" w:sz="4" w:space="0"/>
              <w:right w:val="single" w:color="auto" w:sz="4" w:space="0"/>
            </w:tcBorders>
            <w:vAlign w:val="center"/>
          </w:tcPr>
          <w:p w14:paraId="26453717">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485F2195">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4981BC3">
            <w:pPr>
              <w:widowControl/>
              <w:spacing w:line="240" w:lineRule="auto"/>
              <w:rPr>
                <w:rFonts w:hint="eastAsia" w:cs="宋体"/>
                <w:color w:val="000000"/>
                <w:kern w:val="0"/>
                <w:sz w:val="22"/>
              </w:rPr>
            </w:pPr>
            <w:r>
              <w:rPr>
                <w:rFonts w:cs="宋体"/>
                <w:color w:val="000000"/>
                <w:kern w:val="0"/>
                <w:sz w:val="22"/>
              </w:rPr>
              <w:t>网络音频处理器</w:t>
            </w:r>
          </w:p>
        </w:tc>
        <w:tc>
          <w:tcPr>
            <w:tcW w:w="3643" w:type="pct"/>
            <w:tcBorders>
              <w:top w:val="nil"/>
              <w:left w:val="nil"/>
              <w:bottom w:val="single" w:color="auto" w:sz="4" w:space="0"/>
              <w:right w:val="single" w:color="auto" w:sz="4" w:space="0"/>
            </w:tcBorders>
            <w:vAlign w:val="center"/>
          </w:tcPr>
          <w:p w14:paraId="5A6DB804">
            <w:pPr>
              <w:widowControl/>
              <w:spacing w:line="240" w:lineRule="auto"/>
              <w:rPr>
                <w:rFonts w:hint="eastAsia" w:cs="宋体"/>
                <w:color w:val="000000"/>
                <w:kern w:val="0"/>
                <w:sz w:val="22"/>
              </w:rPr>
            </w:pPr>
            <w:r>
              <w:rPr>
                <w:rFonts w:cs="宋体"/>
                <w:color w:val="000000"/>
                <w:kern w:val="0"/>
                <w:sz w:val="22"/>
              </w:rPr>
              <w:t>1、模拟音频通道:支持≥8个模拟音频通道，支持≥8路自定义通道，最大支持16路音频输入或者输出（投标人需提供第三方权威机构检测报告证明）</w:t>
            </w:r>
            <w:r>
              <w:rPr>
                <w:rFonts w:cs="宋体"/>
                <w:color w:val="000000"/>
                <w:kern w:val="0"/>
                <w:sz w:val="22"/>
              </w:rPr>
              <w:br w:type="textWrapping"/>
            </w:r>
            <w:r>
              <w:rPr>
                <w:rFonts w:cs="宋体"/>
                <w:color w:val="000000"/>
                <w:kern w:val="0"/>
                <w:sz w:val="22"/>
              </w:rPr>
              <w:t>2、网络音频通道：支持≥8路网络通道，可支持≥8路网络音频流的输入和输出。</w:t>
            </w:r>
            <w:r>
              <w:rPr>
                <w:rFonts w:cs="宋体"/>
                <w:color w:val="000000"/>
                <w:kern w:val="0"/>
                <w:sz w:val="22"/>
              </w:rPr>
              <w:br w:type="textWrapping"/>
            </w:r>
            <w:r>
              <w:rPr>
                <w:rFonts w:cs="宋体"/>
                <w:color w:val="000000"/>
                <w:kern w:val="0"/>
                <w:sz w:val="22"/>
              </w:rPr>
              <w:t>3、采样率：采样率≥48kHz</w:t>
            </w:r>
            <w:r>
              <w:rPr>
                <w:rFonts w:cs="宋体"/>
                <w:color w:val="000000"/>
                <w:kern w:val="0"/>
                <w:sz w:val="22"/>
              </w:rPr>
              <w:br w:type="textWrapping"/>
            </w:r>
            <w:r>
              <w:rPr>
                <w:rFonts w:cs="宋体"/>
                <w:color w:val="000000"/>
                <w:kern w:val="0"/>
                <w:sz w:val="22"/>
              </w:rPr>
              <w:t>4、DSP算法：设备内置多种音频算法。</w:t>
            </w:r>
            <w:r>
              <w:rPr>
                <w:rFonts w:cs="宋体"/>
                <w:color w:val="000000"/>
                <w:kern w:val="0"/>
                <w:sz w:val="22"/>
              </w:rPr>
              <w:br w:type="textWrapping"/>
            </w:r>
            <w:r>
              <w:rPr>
                <w:rFonts w:cs="宋体"/>
                <w:color w:val="000000"/>
                <w:kern w:val="0"/>
                <w:sz w:val="22"/>
              </w:rPr>
              <w:t>5、DSP算法：支持输入与输出的矩阵混音</w:t>
            </w:r>
            <w:r>
              <w:rPr>
                <w:rFonts w:cs="宋体"/>
                <w:color w:val="000000"/>
                <w:kern w:val="0"/>
                <w:sz w:val="22"/>
              </w:rPr>
              <w:br w:type="textWrapping"/>
            </w:r>
            <w:r>
              <w:rPr>
                <w:rFonts w:cs="宋体"/>
                <w:color w:val="000000"/>
                <w:kern w:val="0"/>
                <w:sz w:val="22"/>
              </w:rPr>
              <w:t>6、参量均衡：支持≥8段参量均衡器，2个高低架滤波器，2个高低通滤波器</w:t>
            </w:r>
            <w:r>
              <w:rPr>
                <w:rFonts w:cs="宋体"/>
                <w:color w:val="000000"/>
                <w:kern w:val="0"/>
                <w:sz w:val="22"/>
              </w:rPr>
              <w:br w:type="textWrapping"/>
            </w:r>
            <w:r>
              <w:rPr>
                <w:rFonts w:cs="宋体"/>
                <w:color w:val="000000"/>
                <w:kern w:val="0"/>
                <w:sz w:val="22"/>
              </w:rPr>
              <w:t>7、反馈抑制：同时支持16个静态+16动态频点的反馈抑制功能（投标人需提供第三方权威机构检测报告证明）</w:t>
            </w:r>
            <w:r>
              <w:rPr>
                <w:rFonts w:cs="宋体"/>
                <w:color w:val="000000"/>
                <w:kern w:val="0"/>
                <w:sz w:val="22"/>
              </w:rPr>
              <w:br w:type="textWrapping"/>
            </w:r>
            <w:r>
              <w:rPr>
                <w:rFonts w:cs="宋体"/>
                <w:color w:val="000000"/>
                <w:kern w:val="0"/>
                <w:sz w:val="22"/>
              </w:rPr>
              <w:t>8、自动混音：支持输入的自动混音功能，具备阈值、启动时间、保持时间、通道优先级等功能配置</w:t>
            </w:r>
            <w:r>
              <w:rPr>
                <w:rFonts w:cs="宋体"/>
                <w:color w:val="000000"/>
                <w:kern w:val="0"/>
                <w:sz w:val="22"/>
              </w:rPr>
              <w:br w:type="textWrapping"/>
            </w:r>
            <w:r>
              <w:rPr>
                <w:rFonts w:cs="宋体"/>
                <w:color w:val="000000"/>
                <w:kern w:val="0"/>
                <w:sz w:val="22"/>
              </w:rPr>
              <w:t>9、自动增益：支持带门限检测的自动增益控制功能，最大增益20dB，-60dBFs~-20dBFs阈值可调</w:t>
            </w:r>
            <w:r>
              <w:rPr>
                <w:rFonts w:cs="宋体"/>
                <w:color w:val="000000"/>
                <w:kern w:val="0"/>
                <w:sz w:val="22"/>
              </w:rPr>
              <w:br w:type="textWrapping"/>
            </w:r>
            <w:r>
              <w:rPr>
                <w:rFonts w:cs="宋体"/>
                <w:color w:val="000000"/>
                <w:kern w:val="0"/>
                <w:sz w:val="22"/>
              </w:rPr>
              <w:t>10、信号发生器：支持白噪、粉噪、正弦波3种测试信号源</w:t>
            </w:r>
            <w:r>
              <w:rPr>
                <w:rFonts w:cs="宋体"/>
                <w:color w:val="000000"/>
                <w:kern w:val="0"/>
                <w:sz w:val="22"/>
              </w:rPr>
              <w:br w:type="textWrapping"/>
            </w:r>
            <w:r>
              <w:rPr>
                <w:rFonts w:cs="宋体"/>
                <w:color w:val="000000"/>
                <w:kern w:val="0"/>
                <w:sz w:val="22"/>
              </w:rPr>
              <w:t>11、调试软件：设备支持接入音频助手客户端，可进行网络搭建、系统配置、设备控制、参数调节、算法应用、音频调试等能力</w:t>
            </w:r>
          </w:p>
        </w:tc>
        <w:tc>
          <w:tcPr>
            <w:tcW w:w="216" w:type="pct"/>
            <w:tcBorders>
              <w:top w:val="nil"/>
              <w:left w:val="nil"/>
              <w:bottom w:val="single" w:color="auto" w:sz="4" w:space="0"/>
              <w:right w:val="single" w:color="auto" w:sz="4" w:space="0"/>
            </w:tcBorders>
            <w:noWrap/>
            <w:vAlign w:val="center"/>
          </w:tcPr>
          <w:p w14:paraId="3E3969CA">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noWrap/>
            <w:vAlign w:val="center"/>
          </w:tcPr>
          <w:p w14:paraId="3B9C3948">
            <w:pPr>
              <w:widowControl/>
              <w:spacing w:line="240" w:lineRule="auto"/>
              <w:jc w:val="center"/>
              <w:rPr>
                <w:rFonts w:hint="eastAsia" w:cs="宋体"/>
                <w:color w:val="000000"/>
                <w:kern w:val="0"/>
                <w:sz w:val="22"/>
              </w:rPr>
            </w:pPr>
            <w:r>
              <w:rPr>
                <w:rFonts w:cs="宋体"/>
                <w:color w:val="000000"/>
                <w:kern w:val="0"/>
                <w:sz w:val="22"/>
              </w:rPr>
              <w:t>1</w:t>
            </w:r>
          </w:p>
        </w:tc>
      </w:tr>
      <w:tr w14:paraId="63DA9F66">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142CE98">
            <w:pPr>
              <w:widowControl/>
              <w:spacing w:line="240" w:lineRule="auto"/>
              <w:jc w:val="center"/>
              <w:rPr>
                <w:rFonts w:hint="eastAsia" w:cs="宋体"/>
                <w:color w:val="000000"/>
                <w:kern w:val="0"/>
                <w:sz w:val="22"/>
              </w:rPr>
            </w:pPr>
            <w:r>
              <w:rPr>
                <w:rFonts w:cs="宋体"/>
                <w:color w:val="000000"/>
                <w:kern w:val="0"/>
                <w:sz w:val="22"/>
              </w:rPr>
              <w:t>142</w:t>
            </w:r>
          </w:p>
        </w:tc>
        <w:tc>
          <w:tcPr>
            <w:tcW w:w="152" w:type="pct"/>
            <w:vMerge w:val="continue"/>
            <w:tcBorders>
              <w:top w:val="nil"/>
              <w:left w:val="single" w:color="auto" w:sz="4" w:space="0"/>
              <w:bottom w:val="single" w:color="000000" w:sz="4" w:space="0"/>
              <w:right w:val="single" w:color="auto" w:sz="4" w:space="0"/>
            </w:tcBorders>
            <w:vAlign w:val="center"/>
          </w:tcPr>
          <w:p w14:paraId="1AFC5B30">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5E42FC3B">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4AD33B53">
            <w:pPr>
              <w:widowControl/>
              <w:spacing w:line="240" w:lineRule="auto"/>
              <w:rPr>
                <w:rFonts w:hint="eastAsia" w:cs="宋体"/>
                <w:color w:val="000000"/>
                <w:kern w:val="0"/>
                <w:sz w:val="22"/>
              </w:rPr>
            </w:pPr>
            <w:r>
              <w:rPr>
                <w:rFonts w:cs="宋体"/>
                <w:color w:val="000000"/>
                <w:kern w:val="0"/>
                <w:sz w:val="22"/>
              </w:rPr>
              <w:t>网络电源时序器</w:t>
            </w:r>
          </w:p>
        </w:tc>
        <w:tc>
          <w:tcPr>
            <w:tcW w:w="3643" w:type="pct"/>
            <w:tcBorders>
              <w:top w:val="nil"/>
              <w:left w:val="nil"/>
              <w:bottom w:val="single" w:color="auto" w:sz="4" w:space="0"/>
              <w:right w:val="single" w:color="auto" w:sz="4" w:space="0"/>
            </w:tcBorders>
            <w:vAlign w:val="center"/>
          </w:tcPr>
          <w:p w14:paraId="2497BB77">
            <w:pPr>
              <w:widowControl/>
              <w:spacing w:line="240" w:lineRule="auto"/>
              <w:rPr>
                <w:rFonts w:hint="eastAsia" w:cs="宋体"/>
                <w:color w:val="000000"/>
                <w:kern w:val="0"/>
                <w:sz w:val="22"/>
              </w:rPr>
            </w:pPr>
            <w:r>
              <w:rPr>
                <w:rFonts w:cs="宋体"/>
                <w:color w:val="000000"/>
                <w:kern w:val="0"/>
                <w:sz w:val="22"/>
              </w:rPr>
              <w:t>1、支持智能显示窗，可实时显示当前电压、日期时间、通道开关状态；</w:t>
            </w:r>
            <w:r>
              <w:rPr>
                <w:rFonts w:cs="宋体"/>
                <w:color w:val="000000"/>
                <w:kern w:val="0"/>
                <w:sz w:val="22"/>
              </w:rPr>
              <w:br w:type="textWrapping"/>
            </w:r>
            <w:r>
              <w:rPr>
                <w:rFonts w:cs="宋体"/>
                <w:color w:val="000000"/>
                <w:kern w:val="0"/>
                <w:sz w:val="22"/>
              </w:rPr>
              <w:t>2、支持电源EMI滤波器，可有效抑制电磁噪声，减小对设备音质的干扰；</w:t>
            </w:r>
            <w:r>
              <w:rPr>
                <w:rFonts w:cs="宋体"/>
                <w:color w:val="000000"/>
                <w:kern w:val="0"/>
                <w:sz w:val="22"/>
              </w:rPr>
              <w:br w:type="textWrapping"/>
            </w:r>
            <w:r>
              <w:rPr>
                <w:rFonts w:cs="宋体"/>
                <w:color w:val="000000"/>
                <w:kern w:val="0"/>
                <w:sz w:val="22"/>
              </w:rPr>
              <w:t>3、内置时钟芯片，可根据日期时间定时设置自动开关机,不须人为操作，支持脱机模式，在脱离服务器时，也能保证定时任务按时执行；</w:t>
            </w:r>
            <w:r>
              <w:rPr>
                <w:rFonts w:cs="宋体"/>
                <w:color w:val="000000"/>
                <w:kern w:val="0"/>
                <w:sz w:val="22"/>
              </w:rPr>
              <w:br w:type="textWrapping"/>
            </w:r>
            <w:r>
              <w:rPr>
                <w:rFonts w:cs="宋体"/>
                <w:color w:val="000000"/>
                <w:kern w:val="0"/>
                <w:sz w:val="22"/>
              </w:rPr>
              <w:t>4、支持485凤凰端子串口，支持≧8台设备级联顺序控制，级联自动检测设置；</w:t>
            </w:r>
            <w:r>
              <w:rPr>
                <w:rFonts w:cs="宋体"/>
                <w:color w:val="000000"/>
                <w:kern w:val="0"/>
                <w:sz w:val="22"/>
              </w:rPr>
              <w:br w:type="textWrapping"/>
            </w:r>
            <w:r>
              <w:rPr>
                <w:rFonts w:cs="宋体"/>
                <w:color w:val="000000"/>
                <w:kern w:val="0"/>
                <w:sz w:val="22"/>
              </w:rPr>
              <w:t>5、具有≥1个10M/100M网口，支持网络远程固件升级，多台设备通过级联后只需一路网口即可接入局域网通过软件控制；</w:t>
            </w:r>
            <w:r>
              <w:rPr>
                <w:rFonts w:cs="宋体"/>
                <w:color w:val="000000"/>
                <w:kern w:val="0"/>
                <w:sz w:val="22"/>
              </w:rPr>
              <w:br w:type="textWrapping"/>
            </w:r>
            <w:r>
              <w:rPr>
                <w:rFonts w:cs="宋体"/>
                <w:color w:val="000000"/>
                <w:kern w:val="0"/>
                <w:sz w:val="22"/>
              </w:rPr>
              <w:t>6、具有≥1路RS232接口，支持TCP/IP、RS232协议在电脑上控制，具有开放的第三方接口协议，支持第三方设备对接控制；</w:t>
            </w:r>
          </w:p>
        </w:tc>
        <w:tc>
          <w:tcPr>
            <w:tcW w:w="216" w:type="pct"/>
            <w:tcBorders>
              <w:top w:val="nil"/>
              <w:left w:val="nil"/>
              <w:bottom w:val="single" w:color="auto" w:sz="4" w:space="0"/>
              <w:right w:val="single" w:color="auto" w:sz="4" w:space="0"/>
            </w:tcBorders>
            <w:noWrap/>
            <w:vAlign w:val="center"/>
          </w:tcPr>
          <w:p w14:paraId="6BFF95AD">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noWrap/>
            <w:vAlign w:val="center"/>
          </w:tcPr>
          <w:p w14:paraId="471DF8B2">
            <w:pPr>
              <w:widowControl/>
              <w:spacing w:line="240" w:lineRule="auto"/>
              <w:jc w:val="center"/>
              <w:rPr>
                <w:rFonts w:hint="eastAsia" w:cs="宋体"/>
                <w:color w:val="000000"/>
                <w:kern w:val="0"/>
                <w:sz w:val="22"/>
              </w:rPr>
            </w:pPr>
            <w:r>
              <w:rPr>
                <w:rFonts w:cs="宋体"/>
                <w:color w:val="000000"/>
                <w:kern w:val="0"/>
                <w:sz w:val="22"/>
              </w:rPr>
              <w:t>1</w:t>
            </w:r>
          </w:p>
        </w:tc>
      </w:tr>
      <w:tr w14:paraId="11C56168">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5220AFB">
            <w:pPr>
              <w:widowControl/>
              <w:spacing w:line="240" w:lineRule="auto"/>
              <w:jc w:val="center"/>
              <w:rPr>
                <w:rFonts w:hint="eastAsia" w:cs="宋体"/>
                <w:color w:val="000000"/>
                <w:kern w:val="0"/>
                <w:sz w:val="22"/>
              </w:rPr>
            </w:pPr>
            <w:r>
              <w:rPr>
                <w:rFonts w:cs="宋体"/>
                <w:color w:val="000000"/>
                <w:kern w:val="0"/>
                <w:sz w:val="22"/>
              </w:rPr>
              <w:t>143</w:t>
            </w:r>
          </w:p>
        </w:tc>
        <w:tc>
          <w:tcPr>
            <w:tcW w:w="152" w:type="pct"/>
            <w:vMerge w:val="continue"/>
            <w:tcBorders>
              <w:top w:val="nil"/>
              <w:left w:val="single" w:color="auto" w:sz="4" w:space="0"/>
              <w:bottom w:val="single" w:color="000000" w:sz="4" w:space="0"/>
              <w:right w:val="single" w:color="auto" w:sz="4" w:space="0"/>
            </w:tcBorders>
            <w:vAlign w:val="center"/>
          </w:tcPr>
          <w:p w14:paraId="160C33DA">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6D2DDE8D">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13BFB572">
            <w:pPr>
              <w:widowControl/>
              <w:spacing w:line="240" w:lineRule="auto"/>
              <w:rPr>
                <w:rFonts w:hint="eastAsia" w:cs="宋体"/>
                <w:color w:val="000000"/>
                <w:kern w:val="0"/>
                <w:sz w:val="22"/>
              </w:rPr>
            </w:pPr>
            <w:r>
              <w:rPr>
                <w:rFonts w:cs="宋体"/>
                <w:color w:val="000000"/>
                <w:kern w:val="0"/>
                <w:sz w:val="22"/>
              </w:rPr>
              <w:t>麦克风</w:t>
            </w:r>
          </w:p>
        </w:tc>
        <w:tc>
          <w:tcPr>
            <w:tcW w:w="3643" w:type="pct"/>
            <w:tcBorders>
              <w:top w:val="nil"/>
              <w:left w:val="nil"/>
              <w:bottom w:val="single" w:color="auto" w:sz="4" w:space="0"/>
              <w:right w:val="single" w:color="auto" w:sz="4" w:space="0"/>
            </w:tcBorders>
            <w:vAlign w:val="center"/>
          </w:tcPr>
          <w:p w14:paraId="3CA09162">
            <w:pPr>
              <w:widowControl/>
              <w:spacing w:line="240" w:lineRule="auto"/>
              <w:rPr>
                <w:rFonts w:hint="eastAsia" w:cs="宋体"/>
                <w:color w:val="000000"/>
                <w:kern w:val="0"/>
                <w:sz w:val="22"/>
              </w:rPr>
            </w:pPr>
            <w:r>
              <w:rPr>
                <w:rFonts w:cs="宋体"/>
                <w:color w:val="000000"/>
                <w:kern w:val="0"/>
                <w:sz w:val="22"/>
              </w:rPr>
              <w:t>1、供电方式：支持POE供电，采用网络传输音频信号，兼容Dante协议</w:t>
            </w:r>
            <w:r>
              <w:rPr>
                <w:rFonts w:cs="宋体"/>
                <w:color w:val="000000"/>
                <w:kern w:val="0"/>
                <w:sz w:val="22"/>
              </w:rPr>
              <w:br w:type="textWrapping"/>
            </w:r>
            <w:r>
              <w:rPr>
                <w:rFonts w:cs="宋体"/>
                <w:color w:val="000000"/>
                <w:kern w:val="0"/>
                <w:sz w:val="22"/>
              </w:rPr>
              <w:t>2、音频参数：灵敏度≥-40dBV，信噪比≥67dB，采样率48kHz/24bit</w:t>
            </w:r>
            <w:r>
              <w:rPr>
                <w:rFonts w:cs="宋体"/>
                <w:color w:val="000000"/>
                <w:kern w:val="0"/>
                <w:sz w:val="22"/>
              </w:rPr>
              <w:br w:type="textWrapping"/>
            </w:r>
            <w:r>
              <w:rPr>
                <w:rFonts w:cs="宋体"/>
                <w:color w:val="000000"/>
                <w:kern w:val="0"/>
                <w:sz w:val="22"/>
              </w:rPr>
              <w:t>3、频率响应：频率响应20Hz~20kHz，动态范围≥96dB</w:t>
            </w:r>
            <w:r>
              <w:rPr>
                <w:rFonts w:cs="宋体"/>
                <w:color w:val="000000"/>
                <w:kern w:val="0"/>
                <w:sz w:val="22"/>
              </w:rPr>
              <w:br w:type="textWrapping"/>
            </w:r>
            <w:r>
              <w:rPr>
                <w:rFonts w:cs="宋体"/>
                <w:color w:val="000000"/>
                <w:kern w:val="0"/>
                <w:sz w:val="22"/>
              </w:rPr>
              <w:t>4、拾音距离：拾音距离≥40cm</w:t>
            </w:r>
            <w:r>
              <w:rPr>
                <w:rFonts w:cs="宋体"/>
                <w:color w:val="000000"/>
                <w:kern w:val="0"/>
                <w:sz w:val="22"/>
              </w:rPr>
              <w:br w:type="textWrapping"/>
            </w:r>
            <w:r>
              <w:rPr>
                <w:rFonts w:cs="宋体"/>
                <w:color w:val="000000"/>
                <w:kern w:val="0"/>
                <w:sz w:val="22"/>
              </w:rPr>
              <w:t>5、指向型：支持指向性调节，支持全指向型、强指向性、心型、超心型、8字型</w:t>
            </w:r>
            <w:r>
              <w:rPr>
                <w:rFonts w:cs="宋体"/>
                <w:color w:val="000000"/>
                <w:kern w:val="0"/>
                <w:sz w:val="22"/>
              </w:rPr>
              <w:br w:type="textWrapping"/>
            </w:r>
            <w:r>
              <w:rPr>
                <w:rFonts w:cs="宋体"/>
                <w:color w:val="000000"/>
                <w:kern w:val="0"/>
                <w:sz w:val="22"/>
              </w:rPr>
              <w:t>6、自动增益：支持带门限检测的自动增益控制功能，最大增益20dB，-60dBFs~-20dBFs阈值可调</w:t>
            </w:r>
            <w:r>
              <w:rPr>
                <w:rFonts w:cs="宋体"/>
                <w:color w:val="000000"/>
                <w:kern w:val="0"/>
                <w:sz w:val="22"/>
              </w:rPr>
              <w:br w:type="textWrapping"/>
            </w:r>
            <w:r>
              <w:rPr>
                <w:rFonts w:cs="宋体"/>
                <w:color w:val="000000"/>
                <w:kern w:val="0"/>
                <w:sz w:val="22"/>
              </w:rPr>
              <w:t>7、反馈抑制：内置反馈抑制算法，单话筒支持反馈抑制功能</w:t>
            </w:r>
          </w:p>
        </w:tc>
        <w:tc>
          <w:tcPr>
            <w:tcW w:w="216" w:type="pct"/>
            <w:tcBorders>
              <w:top w:val="nil"/>
              <w:left w:val="nil"/>
              <w:bottom w:val="single" w:color="auto" w:sz="4" w:space="0"/>
              <w:right w:val="single" w:color="auto" w:sz="4" w:space="0"/>
            </w:tcBorders>
            <w:noWrap/>
            <w:vAlign w:val="center"/>
          </w:tcPr>
          <w:p w14:paraId="76F63490">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noWrap/>
            <w:vAlign w:val="center"/>
          </w:tcPr>
          <w:p w14:paraId="5E4B81F4">
            <w:pPr>
              <w:widowControl/>
              <w:spacing w:line="240" w:lineRule="auto"/>
              <w:jc w:val="center"/>
              <w:rPr>
                <w:rFonts w:hint="eastAsia" w:cs="宋体"/>
                <w:color w:val="000000"/>
                <w:kern w:val="0"/>
                <w:sz w:val="22"/>
              </w:rPr>
            </w:pPr>
            <w:r>
              <w:rPr>
                <w:rFonts w:cs="宋体"/>
                <w:color w:val="000000"/>
                <w:kern w:val="0"/>
                <w:sz w:val="22"/>
              </w:rPr>
              <w:t>3</w:t>
            </w:r>
          </w:p>
        </w:tc>
      </w:tr>
      <w:tr w14:paraId="3F0A6708">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C369E9B">
            <w:pPr>
              <w:widowControl/>
              <w:spacing w:line="240" w:lineRule="auto"/>
              <w:jc w:val="center"/>
              <w:rPr>
                <w:rFonts w:hint="eastAsia" w:cs="宋体"/>
                <w:color w:val="000000"/>
                <w:kern w:val="0"/>
                <w:sz w:val="22"/>
              </w:rPr>
            </w:pPr>
            <w:r>
              <w:rPr>
                <w:rFonts w:cs="宋体"/>
                <w:color w:val="000000"/>
                <w:kern w:val="0"/>
                <w:sz w:val="22"/>
              </w:rPr>
              <w:t>144</w:t>
            </w:r>
          </w:p>
        </w:tc>
        <w:tc>
          <w:tcPr>
            <w:tcW w:w="152" w:type="pct"/>
            <w:vMerge w:val="continue"/>
            <w:tcBorders>
              <w:top w:val="nil"/>
              <w:left w:val="single" w:color="auto" w:sz="4" w:space="0"/>
              <w:bottom w:val="single" w:color="000000" w:sz="4" w:space="0"/>
              <w:right w:val="single" w:color="auto" w:sz="4" w:space="0"/>
            </w:tcBorders>
            <w:vAlign w:val="center"/>
          </w:tcPr>
          <w:p w14:paraId="366F999E">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72651F28">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C693CCA">
            <w:pPr>
              <w:widowControl/>
              <w:spacing w:line="240" w:lineRule="auto"/>
              <w:rPr>
                <w:rFonts w:hint="eastAsia" w:cs="宋体"/>
                <w:color w:val="000000"/>
                <w:kern w:val="0"/>
                <w:sz w:val="22"/>
              </w:rPr>
            </w:pPr>
            <w:r>
              <w:rPr>
                <w:rFonts w:cs="宋体"/>
                <w:color w:val="000000"/>
                <w:kern w:val="0"/>
                <w:sz w:val="22"/>
              </w:rPr>
              <w:t>网络阵列音柱</w:t>
            </w:r>
          </w:p>
        </w:tc>
        <w:tc>
          <w:tcPr>
            <w:tcW w:w="3643" w:type="pct"/>
            <w:tcBorders>
              <w:top w:val="nil"/>
              <w:left w:val="nil"/>
              <w:bottom w:val="single" w:color="auto" w:sz="4" w:space="0"/>
              <w:right w:val="single" w:color="auto" w:sz="4" w:space="0"/>
            </w:tcBorders>
            <w:vAlign w:val="center"/>
          </w:tcPr>
          <w:p w14:paraId="5C4DE394">
            <w:pPr>
              <w:widowControl/>
              <w:spacing w:line="240" w:lineRule="auto"/>
              <w:rPr>
                <w:rFonts w:hint="eastAsia" w:cs="宋体"/>
                <w:color w:val="000000"/>
                <w:kern w:val="0"/>
                <w:sz w:val="22"/>
              </w:rPr>
            </w:pPr>
            <w:r>
              <w:rPr>
                <w:rFonts w:cs="宋体"/>
                <w:color w:val="000000"/>
                <w:kern w:val="0"/>
                <w:sz w:val="22"/>
              </w:rPr>
              <w:t>1、额定功率：额定功率≥300W</w:t>
            </w:r>
            <w:r>
              <w:rPr>
                <w:rFonts w:cs="宋体"/>
                <w:color w:val="000000"/>
                <w:kern w:val="0"/>
                <w:sz w:val="22"/>
              </w:rPr>
              <w:br w:type="textWrapping"/>
            </w:r>
            <w:r>
              <w:rPr>
                <w:rFonts w:cs="宋体"/>
                <w:color w:val="000000"/>
                <w:kern w:val="0"/>
                <w:sz w:val="22"/>
              </w:rPr>
              <w:t>2、灵敏度：灵敏度≥96dB（SPL/1W@1m）</w:t>
            </w:r>
            <w:r>
              <w:rPr>
                <w:rFonts w:cs="宋体"/>
                <w:color w:val="000000"/>
                <w:kern w:val="0"/>
                <w:sz w:val="22"/>
              </w:rPr>
              <w:br w:type="textWrapping"/>
            </w:r>
            <w:r>
              <w:rPr>
                <w:rFonts w:cs="宋体"/>
                <w:color w:val="000000"/>
                <w:kern w:val="0"/>
                <w:sz w:val="22"/>
              </w:rPr>
              <w:t>3、连续声压级：连续声压级≥121dB</w:t>
            </w:r>
            <w:r>
              <w:rPr>
                <w:rFonts w:cs="宋体"/>
                <w:color w:val="000000"/>
                <w:kern w:val="0"/>
                <w:sz w:val="22"/>
              </w:rPr>
              <w:br w:type="textWrapping"/>
            </w:r>
            <w:r>
              <w:rPr>
                <w:rFonts w:cs="宋体"/>
                <w:color w:val="000000"/>
                <w:kern w:val="0"/>
                <w:sz w:val="22"/>
              </w:rPr>
              <w:t>4、覆盖角度：水平覆盖角≥90°，垂直覆盖角≥60°</w:t>
            </w:r>
            <w:r>
              <w:rPr>
                <w:rFonts w:cs="宋体"/>
                <w:color w:val="000000"/>
                <w:kern w:val="0"/>
                <w:sz w:val="22"/>
              </w:rPr>
              <w:br w:type="textWrapping"/>
            </w:r>
            <w:r>
              <w:rPr>
                <w:rFonts w:cs="宋体"/>
                <w:color w:val="000000"/>
                <w:kern w:val="0"/>
                <w:sz w:val="22"/>
              </w:rPr>
              <w:t>5、输入输出接口：设备具备多种输入输出接口，网络输入≥2.卡农输入≥1，卡农输出≥1</w:t>
            </w:r>
            <w:r>
              <w:rPr>
                <w:rFonts w:cs="宋体"/>
                <w:color w:val="000000"/>
                <w:kern w:val="0"/>
                <w:sz w:val="22"/>
              </w:rPr>
              <w:br w:type="textWrapping"/>
            </w:r>
            <w:r>
              <w:rPr>
                <w:rFonts w:cs="宋体"/>
                <w:color w:val="000000"/>
                <w:kern w:val="0"/>
                <w:sz w:val="22"/>
              </w:rPr>
              <w:t>6、传输协议：支持AES67，支持兼容Dante设备</w:t>
            </w:r>
            <w:r>
              <w:rPr>
                <w:rFonts w:cs="宋体"/>
                <w:color w:val="000000"/>
                <w:kern w:val="0"/>
                <w:sz w:val="22"/>
              </w:rPr>
              <w:br w:type="textWrapping"/>
            </w:r>
            <w:r>
              <w:rPr>
                <w:rFonts w:cs="宋体"/>
                <w:color w:val="000000"/>
                <w:kern w:val="0"/>
                <w:sz w:val="22"/>
              </w:rPr>
              <w:t>7、参量均衡器：内置参量均衡器，支持≥8段参量均衡器，≥2个高低架滤波器，≥2个高低通滤波器</w:t>
            </w:r>
            <w:r>
              <w:rPr>
                <w:rFonts w:cs="宋体"/>
                <w:color w:val="000000"/>
                <w:kern w:val="0"/>
                <w:sz w:val="22"/>
              </w:rPr>
              <w:br w:type="textWrapping"/>
            </w:r>
            <w:r>
              <w:rPr>
                <w:rFonts w:cs="宋体"/>
                <w:color w:val="000000"/>
                <w:kern w:val="0"/>
                <w:sz w:val="22"/>
              </w:rPr>
              <w:t>8、延时器：内置延时器，支持0~10000ms可配置，精度小≤1ms</w:t>
            </w:r>
            <w:r>
              <w:rPr>
                <w:rFonts w:cs="宋体"/>
                <w:color w:val="000000"/>
                <w:kern w:val="0"/>
                <w:sz w:val="22"/>
              </w:rPr>
              <w:br w:type="textWrapping"/>
            </w:r>
            <w:r>
              <w:rPr>
                <w:rFonts w:cs="宋体"/>
                <w:color w:val="000000"/>
                <w:kern w:val="0"/>
                <w:sz w:val="22"/>
              </w:rPr>
              <w:t>9、混音：支持混音，≥5路输入*1路输出矩阵混音</w:t>
            </w:r>
            <w:r>
              <w:rPr>
                <w:rFonts w:cs="宋体"/>
                <w:color w:val="000000"/>
                <w:kern w:val="0"/>
                <w:sz w:val="22"/>
              </w:rPr>
              <w:br w:type="textWrapping"/>
            </w:r>
            <w:r>
              <w:rPr>
                <w:rFonts w:cs="宋体"/>
                <w:color w:val="000000"/>
                <w:kern w:val="0"/>
                <w:sz w:val="22"/>
              </w:rPr>
              <w:t>10、信号发生器：内置白噪、粉噪、正弦波3种测试信号源</w:t>
            </w:r>
            <w:r>
              <w:rPr>
                <w:rFonts w:cs="宋体"/>
                <w:color w:val="000000"/>
                <w:kern w:val="0"/>
                <w:sz w:val="22"/>
              </w:rPr>
              <w:br w:type="textWrapping"/>
            </w:r>
            <w:r>
              <w:rPr>
                <w:rFonts w:cs="宋体"/>
                <w:color w:val="000000"/>
                <w:kern w:val="0"/>
                <w:sz w:val="22"/>
              </w:rPr>
              <w:t>11、场景模式和电平条：内置≥32种场景模式，支持在线显示实时音量，具备峰值(黄色刻度)、平均值(蓝色刻度)两种显示</w:t>
            </w:r>
            <w:r>
              <w:rPr>
                <w:rFonts w:cs="宋体"/>
                <w:color w:val="000000"/>
                <w:kern w:val="0"/>
                <w:sz w:val="22"/>
              </w:rPr>
              <w:br w:type="textWrapping"/>
            </w:r>
            <w:r>
              <w:rPr>
                <w:rFonts w:cs="宋体"/>
                <w:color w:val="000000"/>
                <w:kern w:val="0"/>
                <w:sz w:val="22"/>
              </w:rPr>
              <w:t>12、平台管理：支持网络音频系统运维管理平台管理，具有系统配置、设备控制、参数调节、算法应用、音频调试等功能</w:t>
            </w:r>
            <w:r>
              <w:rPr>
                <w:rFonts w:cs="宋体"/>
                <w:color w:val="000000"/>
                <w:kern w:val="0"/>
                <w:sz w:val="22"/>
              </w:rPr>
              <w:br w:type="textWrapping"/>
            </w:r>
            <w:r>
              <w:rPr>
                <w:rFonts w:cs="宋体"/>
                <w:color w:val="000000"/>
                <w:kern w:val="0"/>
                <w:sz w:val="22"/>
              </w:rPr>
              <w:t>13、识别定位：支持音箱状态实时显示，一键设备识别，设备定位功能</w:t>
            </w:r>
          </w:p>
        </w:tc>
        <w:tc>
          <w:tcPr>
            <w:tcW w:w="216" w:type="pct"/>
            <w:tcBorders>
              <w:top w:val="nil"/>
              <w:left w:val="nil"/>
              <w:bottom w:val="single" w:color="auto" w:sz="4" w:space="0"/>
              <w:right w:val="single" w:color="auto" w:sz="4" w:space="0"/>
            </w:tcBorders>
            <w:noWrap/>
            <w:vAlign w:val="center"/>
          </w:tcPr>
          <w:p w14:paraId="33208892">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noWrap/>
            <w:vAlign w:val="center"/>
          </w:tcPr>
          <w:p w14:paraId="022420C9">
            <w:pPr>
              <w:widowControl/>
              <w:spacing w:line="240" w:lineRule="auto"/>
              <w:jc w:val="center"/>
              <w:rPr>
                <w:rFonts w:hint="eastAsia" w:cs="宋体"/>
                <w:color w:val="000000"/>
                <w:kern w:val="0"/>
                <w:sz w:val="22"/>
              </w:rPr>
            </w:pPr>
            <w:r>
              <w:rPr>
                <w:rFonts w:cs="宋体"/>
                <w:color w:val="000000"/>
                <w:kern w:val="0"/>
                <w:sz w:val="22"/>
              </w:rPr>
              <w:t>2</w:t>
            </w:r>
          </w:p>
        </w:tc>
      </w:tr>
      <w:tr w14:paraId="1DBC06A6">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0D1F779A">
            <w:pPr>
              <w:widowControl/>
              <w:spacing w:line="240" w:lineRule="auto"/>
              <w:jc w:val="center"/>
              <w:rPr>
                <w:rFonts w:hint="eastAsia" w:cs="宋体"/>
                <w:color w:val="000000"/>
                <w:kern w:val="0"/>
                <w:sz w:val="22"/>
              </w:rPr>
            </w:pPr>
            <w:r>
              <w:rPr>
                <w:rFonts w:cs="宋体"/>
                <w:color w:val="000000"/>
                <w:kern w:val="0"/>
                <w:sz w:val="22"/>
              </w:rPr>
              <w:t>145</w:t>
            </w:r>
          </w:p>
        </w:tc>
        <w:tc>
          <w:tcPr>
            <w:tcW w:w="152" w:type="pct"/>
            <w:vMerge w:val="continue"/>
            <w:tcBorders>
              <w:top w:val="nil"/>
              <w:left w:val="single" w:color="auto" w:sz="4" w:space="0"/>
              <w:bottom w:val="single" w:color="000000" w:sz="4" w:space="0"/>
              <w:right w:val="single" w:color="auto" w:sz="4" w:space="0"/>
            </w:tcBorders>
            <w:vAlign w:val="center"/>
          </w:tcPr>
          <w:p w14:paraId="0B3C0353">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858395B">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0B9D265D">
            <w:pPr>
              <w:widowControl/>
              <w:spacing w:line="240" w:lineRule="auto"/>
              <w:rPr>
                <w:rFonts w:hint="eastAsia" w:cs="宋体"/>
                <w:color w:val="000000"/>
                <w:kern w:val="0"/>
                <w:sz w:val="22"/>
              </w:rPr>
            </w:pPr>
            <w:r>
              <w:rPr>
                <w:rFonts w:cs="宋体"/>
                <w:color w:val="000000"/>
                <w:kern w:val="0"/>
                <w:sz w:val="22"/>
              </w:rPr>
              <w:t>分布式节点</w:t>
            </w:r>
          </w:p>
        </w:tc>
        <w:tc>
          <w:tcPr>
            <w:tcW w:w="3643" w:type="pct"/>
            <w:tcBorders>
              <w:top w:val="nil"/>
              <w:left w:val="nil"/>
              <w:bottom w:val="single" w:color="auto" w:sz="4" w:space="0"/>
              <w:right w:val="single" w:color="auto" w:sz="4" w:space="0"/>
            </w:tcBorders>
            <w:vAlign w:val="center"/>
          </w:tcPr>
          <w:p w14:paraId="26D56A25">
            <w:pPr>
              <w:widowControl/>
              <w:spacing w:line="240" w:lineRule="auto"/>
              <w:rPr>
                <w:rFonts w:hint="eastAsia" w:cs="宋体"/>
                <w:color w:val="000000"/>
                <w:kern w:val="0"/>
                <w:sz w:val="22"/>
              </w:rPr>
            </w:pPr>
            <w:r>
              <w:rPr>
                <w:rFonts w:cs="宋体"/>
                <w:color w:val="000000"/>
                <w:kern w:val="0"/>
                <w:sz w:val="22"/>
              </w:rPr>
              <w:t>1.终端采用国产芯片、采用输入输出一体化设计，根据需求可任意配置为输入终端、输出终端、KVM输入终端或KVM输出终端。</w:t>
            </w:r>
            <w:r>
              <w:rPr>
                <w:rFonts w:cs="宋体"/>
                <w:color w:val="000000"/>
                <w:kern w:val="0"/>
                <w:sz w:val="22"/>
              </w:rPr>
              <w:br w:type="textWrapping"/>
            </w:r>
            <w:r>
              <w:rPr>
                <w:rFonts w:cs="宋体"/>
                <w:color w:val="000000"/>
                <w:kern w:val="0"/>
                <w:sz w:val="22"/>
              </w:rPr>
              <w:t>2.支持国密算法SM2、SM3、SM4对信令和媒体流进行加密传输。</w:t>
            </w:r>
            <w:r>
              <w:rPr>
                <w:rFonts w:cs="宋体"/>
                <w:color w:val="000000"/>
                <w:kern w:val="0"/>
                <w:sz w:val="22"/>
              </w:rPr>
              <w:br w:type="textWrapping"/>
            </w:r>
            <w:r>
              <w:rPr>
                <w:rFonts w:cs="宋体"/>
                <w:color w:val="000000"/>
                <w:kern w:val="0"/>
                <w:sz w:val="22"/>
              </w:rPr>
              <w:t>3.作为输入节点时，支持≥4K@60fps高清视频信号输入并向下兼容，4K输入可同时兼容4K及2K输出终端；作为输出节点时，支持≥2路4K@60或≥8路1080P@60fps的H.264/H.265解码显示，具备画面平铺、缩放、叠加、分割功能。</w:t>
            </w:r>
            <w:r>
              <w:rPr>
                <w:rFonts w:cs="宋体"/>
                <w:color w:val="000000"/>
                <w:kern w:val="0"/>
                <w:sz w:val="22"/>
              </w:rPr>
              <w:br w:type="textWrapping"/>
            </w:r>
            <w:r>
              <w:rPr>
                <w:rFonts w:cs="宋体"/>
                <w:color w:val="000000"/>
                <w:kern w:val="0"/>
                <w:sz w:val="22"/>
              </w:rPr>
              <w:t>4.具有≥1路HDMI视频输入接口、≥1路HDMI视频输出接口、≥1路DP视频输出接口，以及≥2路网口、≥1路光纤接口。</w:t>
            </w:r>
            <w:r>
              <w:rPr>
                <w:rFonts w:cs="宋体"/>
                <w:color w:val="000000"/>
                <w:kern w:val="0"/>
                <w:sz w:val="22"/>
              </w:rPr>
              <w:br w:type="textWrapping"/>
            </w:r>
            <w:r>
              <w:rPr>
                <w:rFonts w:cs="宋体"/>
                <w:color w:val="000000"/>
                <w:kern w:val="0"/>
                <w:sz w:val="22"/>
              </w:rPr>
              <w:t>5.视频信号经过采集、编码、传输、解码、显示后，与原始图像对比延迟≤30ms。</w:t>
            </w:r>
            <w:r>
              <w:rPr>
                <w:rFonts w:cs="宋体"/>
                <w:color w:val="000000"/>
                <w:kern w:val="0"/>
                <w:sz w:val="22"/>
              </w:rPr>
              <w:br w:type="textWrapping"/>
            </w:r>
            <w:r>
              <w:rPr>
                <w:rFonts w:cs="宋体"/>
                <w:color w:val="000000"/>
                <w:kern w:val="0"/>
                <w:sz w:val="22"/>
              </w:rPr>
              <w:t>6.具备中控功能，具备独立的RS-485口、RS-232口、弱继电器口、IO口输出接口，支持自定义编程。</w:t>
            </w:r>
            <w:r>
              <w:rPr>
                <w:rFonts w:cs="宋体"/>
                <w:color w:val="000000"/>
                <w:kern w:val="0"/>
                <w:sz w:val="22"/>
              </w:rPr>
              <w:br w:type="textWrapping"/>
            </w:r>
            <w:r>
              <w:rPr>
                <w:rFonts w:cs="宋体"/>
                <w:color w:val="000000"/>
                <w:kern w:val="0"/>
                <w:sz w:val="22"/>
              </w:rPr>
              <w:t>7.支持网络丢包时修复机制，20%网络丢包时，音视频清晰流畅，无卡顿、无马赛克。（投标人需提供第三方权威机构检测报告证明）</w:t>
            </w:r>
            <w:r>
              <w:rPr>
                <w:rFonts w:cs="宋体"/>
                <w:color w:val="000000"/>
                <w:kern w:val="0"/>
                <w:sz w:val="22"/>
              </w:rPr>
              <w:br w:type="textWrapping"/>
            </w:r>
            <w:r>
              <w:rPr>
                <w:rFonts w:cs="宋体"/>
                <w:color w:val="000000"/>
                <w:kern w:val="0"/>
                <w:sz w:val="22"/>
              </w:rPr>
              <w:t>8.支持节点与节点之间可用网线串联，实现设备间通信。</w:t>
            </w:r>
            <w:r>
              <w:rPr>
                <w:rFonts w:cs="宋体"/>
                <w:color w:val="000000"/>
                <w:kern w:val="0"/>
                <w:sz w:val="22"/>
              </w:rPr>
              <w:br w:type="textWrapping"/>
            </w:r>
            <w:r>
              <w:rPr>
                <w:rFonts w:cs="宋体"/>
                <w:color w:val="000000"/>
                <w:kern w:val="0"/>
                <w:sz w:val="22"/>
              </w:rPr>
              <w:t>9.支持信号双网口备份功能，可通过≥2路网口实现当主链路传输异常时，自动切换至备链路传输，显示图像不受影响；当主链路恢复时，自动切换回主链路传输，切换过程用户无操作、无黑场。</w:t>
            </w:r>
            <w:r>
              <w:rPr>
                <w:rFonts w:cs="宋体"/>
                <w:color w:val="000000"/>
                <w:kern w:val="0"/>
                <w:sz w:val="22"/>
              </w:rPr>
              <w:br w:type="textWrapping"/>
            </w:r>
            <w:r>
              <w:rPr>
                <w:rFonts w:cs="宋体"/>
                <w:color w:val="000000"/>
                <w:kern w:val="0"/>
                <w:sz w:val="22"/>
              </w:rPr>
              <w:t>10.支持信号光网备份功能，可通过≥1路光口和1路网口实现当网络链路传输异常时，自动切换至光链路传输，显示图像不受影响；当网络链路恢复时，自动切换回网络链路传输，切换过程用户无操作、无黑场。</w:t>
            </w:r>
          </w:p>
        </w:tc>
        <w:tc>
          <w:tcPr>
            <w:tcW w:w="216" w:type="pct"/>
            <w:tcBorders>
              <w:top w:val="nil"/>
              <w:left w:val="nil"/>
              <w:bottom w:val="single" w:color="auto" w:sz="4" w:space="0"/>
              <w:right w:val="single" w:color="auto" w:sz="4" w:space="0"/>
            </w:tcBorders>
            <w:noWrap/>
            <w:vAlign w:val="center"/>
          </w:tcPr>
          <w:p w14:paraId="6455D54C">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4BE4A5DE">
            <w:pPr>
              <w:widowControl/>
              <w:spacing w:line="240" w:lineRule="auto"/>
              <w:jc w:val="center"/>
              <w:rPr>
                <w:rFonts w:hint="eastAsia" w:cs="宋体"/>
                <w:color w:val="000000"/>
                <w:kern w:val="0"/>
                <w:sz w:val="22"/>
              </w:rPr>
            </w:pPr>
            <w:r>
              <w:rPr>
                <w:rFonts w:cs="宋体"/>
                <w:color w:val="000000"/>
                <w:kern w:val="0"/>
                <w:sz w:val="22"/>
              </w:rPr>
              <w:t>7</w:t>
            </w:r>
          </w:p>
        </w:tc>
      </w:tr>
      <w:tr w14:paraId="1C515E19">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157CF57">
            <w:pPr>
              <w:widowControl/>
              <w:spacing w:line="240" w:lineRule="auto"/>
              <w:jc w:val="center"/>
              <w:rPr>
                <w:rFonts w:hint="eastAsia" w:cs="宋体"/>
                <w:color w:val="000000"/>
                <w:kern w:val="0"/>
                <w:sz w:val="22"/>
              </w:rPr>
            </w:pPr>
            <w:r>
              <w:rPr>
                <w:rFonts w:cs="宋体"/>
                <w:color w:val="000000"/>
                <w:kern w:val="0"/>
                <w:sz w:val="22"/>
              </w:rPr>
              <w:t>146</w:t>
            </w:r>
          </w:p>
        </w:tc>
        <w:tc>
          <w:tcPr>
            <w:tcW w:w="152" w:type="pct"/>
            <w:vMerge w:val="continue"/>
            <w:tcBorders>
              <w:top w:val="nil"/>
              <w:left w:val="single" w:color="auto" w:sz="4" w:space="0"/>
              <w:bottom w:val="single" w:color="000000" w:sz="4" w:space="0"/>
              <w:right w:val="single" w:color="auto" w:sz="4" w:space="0"/>
            </w:tcBorders>
            <w:vAlign w:val="center"/>
          </w:tcPr>
          <w:p w14:paraId="30BA2FEC">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71CD391D">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914F934">
            <w:pPr>
              <w:widowControl/>
              <w:spacing w:line="240" w:lineRule="auto"/>
              <w:rPr>
                <w:rFonts w:hint="eastAsia" w:cs="宋体"/>
                <w:color w:val="000000"/>
                <w:kern w:val="0"/>
                <w:sz w:val="22"/>
              </w:rPr>
            </w:pPr>
            <w:r>
              <w:rPr>
                <w:rFonts w:cs="宋体"/>
                <w:color w:val="000000"/>
                <w:kern w:val="0"/>
                <w:sz w:val="22"/>
              </w:rPr>
              <w:t>8位散热机架</w:t>
            </w:r>
          </w:p>
        </w:tc>
        <w:tc>
          <w:tcPr>
            <w:tcW w:w="3643" w:type="pct"/>
            <w:tcBorders>
              <w:top w:val="nil"/>
              <w:left w:val="nil"/>
              <w:bottom w:val="single" w:color="auto" w:sz="4" w:space="0"/>
              <w:right w:val="single" w:color="auto" w:sz="4" w:space="0"/>
            </w:tcBorders>
            <w:vAlign w:val="center"/>
          </w:tcPr>
          <w:p w14:paraId="64A940D7">
            <w:pPr>
              <w:widowControl/>
              <w:spacing w:line="240" w:lineRule="auto"/>
              <w:rPr>
                <w:rFonts w:hint="eastAsia" w:cs="宋体"/>
                <w:color w:val="000000"/>
                <w:kern w:val="0"/>
                <w:sz w:val="22"/>
              </w:rPr>
            </w:pPr>
            <w:r>
              <w:rPr>
                <w:rFonts w:cs="宋体"/>
                <w:color w:val="000000"/>
                <w:kern w:val="0"/>
                <w:sz w:val="22"/>
              </w:rPr>
              <w:t>1.供电输入：110-240V 50-60Hz，具备8路DC12V@1.5A电源输出接口。</w:t>
            </w:r>
            <w:r>
              <w:rPr>
                <w:rFonts w:cs="宋体"/>
                <w:color w:val="000000"/>
                <w:kern w:val="0"/>
                <w:sz w:val="22"/>
              </w:rPr>
              <w:br w:type="textWrapping"/>
            </w:r>
            <w:r>
              <w:rPr>
                <w:rFonts w:cs="宋体"/>
                <w:color w:val="000000"/>
                <w:kern w:val="0"/>
                <w:sz w:val="22"/>
              </w:rPr>
              <w:t>2.具备8个终端安装卡位。</w:t>
            </w:r>
            <w:r>
              <w:rPr>
                <w:rFonts w:cs="宋体"/>
                <w:color w:val="000000"/>
                <w:kern w:val="0"/>
                <w:sz w:val="22"/>
              </w:rPr>
              <w:br w:type="textWrapping"/>
            </w:r>
            <w:r>
              <w:rPr>
                <w:rFonts w:cs="宋体"/>
                <w:color w:val="000000"/>
                <w:kern w:val="0"/>
                <w:sz w:val="22"/>
              </w:rPr>
              <w:t>3.多风扇设计，良好散热，终端锁扣式固定方式。</w:t>
            </w:r>
          </w:p>
        </w:tc>
        <w:tc>
          <w:tcPr>
            <w:tcW w:w="216" w:type="pct"/>
            <w:tcBorders>
              <w:top w:val="nil"/>
              <w:left w:val="nil"/>
              <w:bottom w:val="single" w:color="auto" w:sz="4" w:space="0"/>
              <w:right w:val="single" w:color="auto" w:sz="4" w:space="0"/>
            </w:tcBorders>
            <w:noWrap/>
            <w:vAlign w:val="center"/>
          </w:tcPr>
          <w:p w14:paraId="4C296919">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6BB1BA9F">
            <w:pPr>
              <w:widowControl/>
              <w:spacing w:line="240" w:lineRule="auto"/>
              <w:jc w:val="center"/>
              <w:rPr>
                <w:rFonts w:hint="eastAsia" w:cs="宋体"/>
                <w:color w:val="000000"/>
                <w:kern w:val="0"/>
                <w:sz w:val="22"/>
              </w:rPr>
            </w:pPr>
            <w:r>
              <w:rPr>
                <w:rFonts w:cs="宋体"/>
                <w:color w:val="000000"/>
                <w:kern w:val="0"/>
                <w:sz w:val="22"/>
              </w:rPr>
              <w:t>1</w:t>
            </w:r>
          </w:p>
        </w:tc>
      </w:tr>
      <w:tr w14:paraId="6FF4EBB9">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7893B421">
            <w:pPr>
              <w:widowControl/>
              <w:spacing w:line="240" w:lineRule="auto"/>
              <w:jc w:val="center"/>
              <w:rPr>
                <w:rFonts w:hint="eastAsia" w:cs="宋体"/>
                <w:color w:val="000000"/>
                <w:kern w:val="0"/>
                <w:sz w:val="22"/>
              </w:rPr>
            </w:pPr>
            <w:r>
              <w:rPr>
                <w:rFonts w:cs="宋体"/>
                <w:color w:val="000000"/>
                <w:kern w:val="0"/>
                <w:sz w:val="22"/>
              </w:rPr>
              <w:t>147</w:t>
            </w:r>
          </w:p>
        </w:tc>
        <w:tc>
          <w:tcPr>
            <w:tcW w:w="152" w:type="pct"/>
            <w:vMerge w:val="continue"/>
            <w:tcBorders>
              <w:top w:val="nil"/>
              <w:left w:val="single" w:color="auto" w:sz="4" w:space="0"/>
              <w:bottom w:val="single" w:color="000000" w:sz="4" w:space="0"/>
              <w:right w:val="single" w:color="auto" w:sz="4" w:space="0"/>
            </w:tcBorders>
            <w:vAlign w:val="center"/>
          </w:tcPr>
          <w:p w14:paraId="55724807">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C422011">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2FD4F8C1">
            <w:pPr>
              <w:widowControl/>
              <w:spacing w:line="240" w:lineRule="auto"/>
              <w:rPr>
                <w:rFonts w:hint="eastAsia" w:cs="宋体"/>
                <w:color w:val="000000"/>
                <w:kern w:val="0"/>
                <w:sz w:val="22"/>
              </w:rPr>
            </w:pPr>
            <w:r>
              <w:rPr>
                <w:rFonts w:cs="宋体"/>
                <w:color w:val="000000"/>
                <w:kern w:val="0"/>
                <w:sz w:val="22"/>
              </w:rPr>
              <w:t>交换机</w:t>
            </w:r>
          </w:p>
        </w:tc>
        <w:tc>
          <w:tcPr>
            <w:tcW w:w="3643" w:type="pct"/>
            <w:tcBorders>
              <w:top w:val="nil"/>
              <w:left w:val="nil"/>
              <w:bottom w:val="single" w:color="auto" w:sz="4" w:space="0"/>
              <w:right w:val="single" w:color="auto" w:sz="4" w:space="0"/>
            </w:tcBorders>
            <w:vAlign w:val="center"/>
          </w:tcPr>
          <w:p w14:paraId="1857D005">
            <w:pPr>
              <w:widowControl/>
              <w:spacing w:line="240" w:lineRule="auto"/>
              <w:rPr>
                <w:rFonts w:hint="eastAsia" w:cs="宋体"/>
                <w:color w:val="000000"/>
                <w:kern w:val="0"/>
                <w:sz w:val="22"/>
              </w:rPr>
            </w:pPr>
            <w:r>
              <w:rPr>
                <w:rFonts w:ascii="Times New Roman" w:hAnsi="Times New Roman" w:cs="Times New Roman"/>
                <w:color w:val="000000"/>
                <w:kern w:val="0"/>
                <w:sz w:val="22"/>
              </w:rPr>
              <w:t>‌</w:t>
            </w:r>
            <w:r>
              <w:rPr>
                <w:rFonts w:cs="宋体"/>
                <w:color w:val="000000"/>
                <w:kern w:val="0"/>
                <w:sz w:val="22"/>
              </w:rPr>
              <w:t>端口配置</w:t>
            </w:r>
            <w:r>
              <w:rPr>
                <w:rFonts w:ascii="Times New Roman" w:hAnsi="Times New Roman" w:cs="Times New Roman"/>
                <w:color w:val="000000"/>
                <w:kern w:val="0"/>
                <w:sz w:val="22"/>
              </w:rPr>
              <w:t>‌</w:t>
            </w:r>
            <w:r>
              <w:rPr>
                <w:rFonts w:cs="宋体"/>
                <w:color w:val="000000"/>
                <w:kern w:val="0"/>
                <w:sz w:val="22"/>
              </w:rPr>
              <w:t>：</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24个10/100/1000BASE-T电口</w:t>
            </w:r>
            <w:r>
              <w:rPr>
                <w:rFonts w:ascii="Times New Roman" w:hAnsi="Times New Roman" w:cs="Times New Roman"/>
                <w:color w:val="000000"/>
                <w:kern w:val="0"/>
                <w:sz w:val="22"/>
              </w:rPr>
              <w:t>‌</w:t>
            </w:r>
            <w:r>
              <w:rPr>
                <w:rFonts w:cs="宋体"/>
                <w:color w:val="000000"/>
                <w:kern w:val="0"/>
                <w:sz w:val="22"/>
              </w:rPr>
              <w:t>（RJ45）</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4个万兆SFP+光口</w:t>
            </w:r>
            <w:r>
              <w:rPr>
                <w:rFonts w:ascii="Times New Roman" w:hAnsi="Times New Roman" w:cs="Times New Roman"/>
                <w:color w:val="000000"/>
                <w:kern w:val="0"/>
                <w:sz w:val="22"/>
              </w:rPr>
              <w:t>‌</w:t>
            </w:r>
            <w:r>
              <w:rPr>
                <w:rFonts w:cs="宋体"/>
                <w:color w:val="000000"/>
                <w:kern w:val="0"/>
                <w:sz w:val="22"/>
              </w:rPr>
              <w:t>（10Gbps）</w:t>
            </w:r>
            <w:r>
              <w:rPr>
                <w:rFonts w:cs="宋体"/>
                <w:color w:val="000000"/>
                <w:kern w:val="0"/>
                <w:sz w:val="22"/>
              </w:rPr>
              <w:br w:type="textWrapping"/>
            </w:r>
            <w:r>
              <w:rPr>
                <w:rFonts w:cs="宋体"/>
                <w:color w:val="000000"/>
                <w:kern w:val="0"/>
                <w:sz w:val="22"/>
              </w:rPr>
              <w:t xml:space="preserve">总计 </w:t>
            </w:r>
            <w:r>
              <w:rPr>
                <w:rFonts w:ascii="Times New Roman" w:hAnsi="Times New Roman" w:cs="Times New Roman"/>
                <w:color w:val="000000"/>
                <w:kern w:val="0"/>
                <w:sz w:val="22"/>
              </w:rPr>
              <w:t>‌</w:t>
            </w:r>
            <w:r>
              <w:rPr>
                <w:rFonts w:cs="宋体"/>
                <w:color w:val="000000"/>
                <w:kern w:val="0"/>
                <w:sz w:val="22"/>
              </w:rPr>
              <w:t>28个业务端口</w:t>
            </w:r>
            <w:r>
              <w:rPr>
                <w:rFonts w:ascii="Times New Roman" w:hAnsi="Times New Roman" w:cs="Times New Roman"/>
                <w:color w:val="000000"/>
                <w:kern w:val="0"/>
                <w:sz w:val="22"/>
              </w:rPr>
              <w:t>‌</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传输速率</w:t>
            </w:r>
            <w:r>
              <w:rPr>
                <w:rFonts w:ascii="Times New Roman" w:hAnsi="Times New Roman" w:cs="Times New Roman"/>
                <w:color w:val="000000"/>
                <w:kern w:val="0"/>
                <w:sz w:val="22"/>
              </w:rPr>
              <w:t>‌</w:t>
            </w:r>
            <w:r>
              <w:rPr>
                <w:rFonts w:cs="宋体"/>
                <w:color w:val="000000"/>
                <w:kern w:val="0"/>
                <w:sz w:val="22"/>
              </w:rPr>
              <w:t>：电口支持10/100/1000Mbps，光口支持1/10Gbps</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交换容量</w:t>
            </w:r>
            <w:r>
              <w:rPr>
                <w:rFonts w:ascii="Times New Roman" w:hAnsi="Times New Roman" w:cs="Times New Roman"/>
                <w:color w:val="000000"/>
                <w:kern w:val="0"/>
                <w:sz w:val="22"/>
              </w:rPr>
              <w:t>‌</w:t>
            </w:r>
            <w:r>
              <w:rPr>
                <w:rFonts w:cs="宋体"/>
                <w:color w:val="000000"/>
                <w:kern w:val="0"/>
                <w:sz w:val="22"/>
              </w:rPr>
              <w:t>：</w:t>
            </w:r>
            <w:r>
              <w:rPr>
                <w:rFonts w:ascii="Times New Roman" w:hAnsi="Times New Roman" w:cs="Times New Roman"/>
                <w:color w:val="000000"/>
                <w:kern w:val="0"/>
                <w:sz w:val="22"/>
              </w:rPr>
              <w:t>‌</w:t>
            </w:r>
            <w:r>
              <w:rPr>
                <w:rFonts w:cs="宋体"/>
                <w:color w:val="000000"/>
                <w:kern w:val="0"/>
                <w:sz w:val="22"/>
              </w:rPr>
              <w:t>336Gbps / 3.36Tbps</w:t>
            </w:r>
            <w:r>
              <w:rPr>
                <w:rFonts w:ascii="Times New Roman" w:hAnsi="Times New Roman" w:cs="Times New Roman"/>
                <w:color w:val="000000"/>
                <w:kern w:val="0"/>
                <w:sz w:val="22"/>
              </w:rPr>
              <w:t>‌</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包转发率</w:t>
            </w:r>
            <w:r>
              <w:rPr>
                <w:rFonts w:ascii="Times New Roman" w:hAnsi="Times New Roman" w:cs="Times New Roman"/>
                <w:color w:val="000000"/>
                <w:kern w:val="0"/>
                <w:sz w:val="22"/>
              </w:rPr>
              <w:t>‌</w:t>
            </w:r>
            <w:r>
              <w:rPr>
                <w:rFonts w:cs="宋体"/>
                <w:color w:val="000000"/>
                <w:kern w:val="0"/>
                <w:sz w:val="22"/>
              </w:rPr>
              <w:t>：</w:t>
            </w:r>
            <w:r>
              <w:rPr>
                <w:rFonts w:ascii="Times New Roman" w:hAnsi="Times New Roman" w:cs="Times New Roman"/>
                <w:color w:val="000000"/>
                <w:kern w:val="0"/>
                <w:sz w:val="22"/>
              </w:rPr>
              <w:t>‌</w:t>
            </w:r>
            <w:r>
              <w:rPr>
                <w:rFonts w:cs="宋体"/>
                <w:color w:val="000000"/>
                <w:kern w:val="0"/>
                <w:sz w:val="22"/>
              </w:rPr>
              <w:t>108Mpps / 126Mpps</w:t>
            </w:r>
            <w:r>
              <w:rPr>
                <w:rFonts w:ascii="Times New Roman" w:hAnsi="Times New Roman" w:cs="Times New Roman"/>
                <w:color w:val="000000"/>
                <w:kern w:val="0"/>
                <w:sz w:val="22"/>
              </w:rPr>
              <w:t>‌</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堆叠功能</w:t>
            </w:r>
            <w:r>
              <w:rPr>
                <w:rFonts w:ascii="Times New Roman" w:hAnsi="Times New Roman" w:cs="Times New Roman"/>
                <w:color w:val="000000"/>
                <w:kern w:val="0"/>
                <w:sz w:val="22"/>
              </w:rPr>
              <w:t>‌</w:t>
            </w:r>
            <w:r>
              <w:rPr>
                <w:rFonts w:cs="宋体"/>
                <w:color w:val="000000"/>
                <w:kern w:val="0"/>
                <w:sz w:val="22"/>
              </w:rPr>
              <w:t>：支持智能堆叠（iStack），实现多台设备虚拟化统一管理</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VLAN支持</w:t>
            </w:r>
            <w:r>
              <w:rPr>
                <w:rFonts w:ascii="Times New Roman" w:hAnsi="Times New Roman" w:cs="Times New Roman"/>
                <w:color w:val="000000"/>
                <w:kern w:val="0"/>
                <w:sz w:val="22"/>
              </w:rPr>
              <w:t>‌</w:t>
            </w:r>
            <w:r>
              <w:rPr>
                <w:rFonts w:cs="宋体"/>
                <w:color w:val="000000"/>
                <w:kern w:val="0"/>
                <w:sz w:val="22"/>
              </w:rPr>
              <w:t>：支持4K VLAN、Guest VLAN、Voice VLAN、GVRP、MUX VLAN、VLAN Mapping</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QoS功能</w:t>
            </w:r>
            <w:r>
              <w:rPr>
                <w:rFonts w:ascii="Times New Roman" w:hAnsi="Times New Roman" w:cs="Times New Roman"/>
                <w:color w:val="000000"/>
                <w:kern w:val="0"/>
                <w:sz w:val="22"/>
              </w:rPr>
              <w:t>‌</w:t>
            </w:r>
            <w:r>
              <w:rPr>
                <w:rFonts w:cs="宋体"/>
                <w:color w:val="000000"/>
                <w:kern w:val="0"/>
                <w:sz w:val="22"/>
              </w:rPr>
              <w:t>：支持端口速率限制、双速三色CAR、8个队列调度（WRR/DRR/SP）、优先级重标记、L2-L4包过滤</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组播管理</w:t>
            </w:r>
            <w:r>
              <w:rPr>
                <w:rFonts w:ascii="Times New Roman" w:hAnsi="Times New Roman" w:cs="Times New Roman"/>
                <w:color w:val="000000"/>
                <w:kern w:val="0"/>
                <w:sz w:val="22"/>
              </w:rPr>
              <w:t>‌</w:t>
            </w:r>
            <w:r>
              <w:rPr>
                <w:rFonts w:cs="宋体"/>
                <w:color w:val="000000"/>
                <w:kern w:val="0"/>
                <w:sz w:val="22"/>
              </w:rPr>
              <w:t>：支持PIM DM/SM/SSM、IGMP v1/v2/v3 Snooping、MLD v1/v2 Snooping、可控组播</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网络管理</w:t>
            </w:r>
            <w:r>
              <w:rPr>
                <w:rFonts w:ascii="Times New Roman" w:hAnsi="Times New Roman" w:cs="Times New Roman"/>
                <w:color w:val="000000"/>
                <w:kern w:val="0"/>
                <w:sz w:val="22"/>
              </w:rPr>
              <w:t>‌</w:t>
            </w:r>
            <w:r>
              <w:rPr>
                <w:rFonts w:cs="宋体"/>
                <w:color w:val="000000"/>
                <w:kern w:val="0"/>
                <w:sz w:val="22"/>
              </w:rPr>
              <w:t>：</w:t>
            </w:r>
            <w:r>
              <w:rPr>
                <w:rFonts w:cs="宋体"/>
                <w:color w:val="000000"/>
                <w:kern w:val="0"/>
                <w:sz w:val="22"/>
              </w:rPr>
              <w:br w:type="textWrapping"/>
            </w:r>
            <w:r>
              <w:rPr>
                <w:rFonts w:cs="宋体"/>
                <w:color w:val="000000"/>
                <w:kern w:val="0"/>
                <w:sz w:val="22"/>
              </w:rPr>
              <w:t>支持Netconf/Yang、SNMPv1/v2/v3、RMON</w:t>
            </w:r>
            <w:r>
              <w:rPr>
                <w:rFonts w:cs="宋体"/>
                <w:color w:val="000000"/>
                <w:kern w:val="0"/>
                <w:sz w:val="22"/>
              </w:rPr>
              <w:br w:type="textWrapping"/>
            </w:r>
            <w:r>
              <w:rPr>
                <w:rFonts w:cs="宋体"/>
                <w:color w:val="000000"/>
                <w:kern w:val="0"/>
                <w:sz w:val="22"/>
              </w:rPr>
              <w:t>支持Telnet、Web网管、HTTPS</w:t>
            </w:r>
            <w:r>
              <w:rPr>
                <w:rFonts w:cs="宋体"/>
                <w:color w:val="000000"/>
                <w:kern w:val="0"/>
                <w:sz w:val="22"/>
              </w:rPr>
              <w:br w:type="textWrapping"/>
            </w:r>
            <w:r>
              <w:rPr>
                <w:rFonts w:cs="宋体"/>
                <w:color w:val="000000"/>
                <w:kern w:val="0"/>
                <w:sz w:val="22"/>
              </w:rPr>
              <w:t>支持LLDP/LLDP-MED、eSight网管系统</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安全管理</w:t>
            </w:r>
            <w:r>
              <w:rPr>
                <w:rFonts w:ascii="Times New Roman" w:hAnsi="Times New Roman" w:cs="Times New Roman"/>
                <w:color w:val="000000"/>
                <w:kern w:val="0"/>
                <w:sz w:val="22"/>
              </w:rPr>
              <w:t>‌</w:t>
            </w:r>
            <w:r>
              <w:rPr>
                <w:rFonts w:cs="宋体"/>
                <w:color w:val="000000"/>
                <w:kern w:val="0"/>
                <w:sz w:val="22"/>
              </w:rPr>
              <w:t>：</w:t>
            </w:r>
            <w:r>
              <w:rPr>
                <w:rFonts w:cs="宋体"/>
                <w:color w:val="000000"/>
                <w:kern w:val="0"/>
                <w:sz w:val="22"/>
              </w:rPr>
              <w:br w:type="textWrapping"/>
            </w:r>
            <w:r>
              <w:rPr>
                <w:rFonts w:cs="宋体"/>
                <w:color w:val="000000"/>
                <w:kern w:val="0"/>
                <w:sz w:val="22"/>
              </w:rPr>
              <w:t>支持IEEE 802.1X认证、Portal认证、AAA（Radius/HWTACACS/NAC）</w:t>
            </w:r>
            <w:r>
              <w:rPr>
                <w:rFonts w:cs="宋体"/>
                <w:color w:val="000000"/>
                <w:kern w:val="0"/>
                <w:sz w:val="22"/>
              </w:rPr>
              <w:br w:type="textWrapping"/>
            </w:r>
            <w:r>
              <w:rPr>
                <w:rFonts w:cs="宋体"/>
                <w:color w:val="000000"/>
                <w:kern w:val="0"/>
                <w:sz w:val="22"/>
              </w:rPr>
              <w:t>支持防DOS、ARP、ICMP攻击</w:t>
            </w:r>
            <w:r>
              <w:rPr>
                <w:rFonts w:cs="宋体"/>
                <w:color w:val="000000"/>
                <w:kern w:val="0"/>
                <w:sz w:val="22"/>
              </w:rPr>
              <w:br w:type="textWrapping"/>
            </w:r>
            <w:r>
              <w:rPr>
                <w:rFonts w:cs="宋体"/>
                <w:color w:val="000000"/>
                <w:kern w:val="0"/>
                <w:sz w:val="22"/>
              </w:rPr>
              <w:t>支持IP/MAC/端口/VLAN绑定、端口隔离、Sticky MAC、黑洞MAC</w:t>
            </w:r>
            <w:r>
              <w:rPr>
                <w:rFonts w:cs="宋体"/>
                <w:color w:val="000000"/>
                <w:kern w:val="0"/>
                <w:sz w:val="22"/>
              </w:rPr>
              <w:br w:type="textWrapping"/>
            </w:r>
            <w:r>
              <w:rPr>
                <w:rFonts w:cs="宋体"/>
                <w:color w:val="000000"/>
                <w:kern w:val="0"/>
                <w:sz w:val="22"/>
              </w:rPr>
              <w:t>支持SSH V2.0、HTTPS、CPU保护、黑白名单</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DHCP服务</w:t>
            </w:r>
            <w:r>
              <w:rPr>
                <w:rFonts w:ascii="Times New Roman" w:hAnsi="Times New Roman" w:cs="Times New Roman"/>
                <w:color w:val="000000"/>
                <w:kern w:val="0"/>
                <w:sz w:val="22"/>
              </w:rPr>
              <w:t>‌</w:t>
            </w:r>
            <w:r>
              <w:rPr>
                <w:rFonts w:cs="宋体"/>
                <w:color w:val="000000"/>
                <w:kern w:val="0"/>
                <w:sz w:val="22"/>
              </w:rPr>
              <w:t>：支持DHCP Relay/Server/Snooping（IPv4/IPv6）</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电源与散热</w:t>
            </w:r>
            <w:r>
              <w:rPr>
                <w:rFonts w:ascii="Times New Roman" w:hAnsi="Times New Roman" w:cs="Times New Roman"/>
                <w:color w:val="000000"/>
                <w:kern w:val="0"/>
                <w:sz w:val="22"/>
              </w:rPr>
              <w:t>‌</w:t>
            </w:r>
            <w:r>
              <w:rPr>
                <w:rFonts w:cs="宋体"/>
                <w:color w:val="000000"/>
                <w:kern w:val="0"/>
                <w:sz w:val="22"/>
              </w:rPr>
              <w:t>：</w:t>
            </w:r>
            <w:r>
              <w:rPr>
                <w:rFonts w:cs="宋体"/>
                <w:color w:val="000000"/>
                <w:kern w:val="0"/>
                <w:sz w:val="22"/>
              </w:rPr>
              <w:br w:type="textWrapping"/>
            </w:r>
            <w:r>
              <w:rPr>
                <w:rFonts w:cs="宋体"/>
                <w:color w:val="000000"/>
                <w:kern w:val="0"/>
                <w:sz w:val="22"/>
              </w:rPr>
              <w:t>电源类型：60W/150W 可拔插交流电源 或 180W 可插拔直流电源</w:t>
            </w:r>
            <w:r>
              <w:rPr>
                <w:rFonts w:cs="宋体"/>
                <w:color w:val="000000"/>
                <w:kern w:val="0"/>
                <w:sz w:val="22"/>
              </w:rPr>
              <w:br w:type="textWrapping"/>
            </w:r>
            <w:r>
              <w:rPr>
                <w:rFonts w:cs="宋体"/>
                <w:color w:val="000000"/>
                <w:kern w:val="0"/>
                <w:sz w:val="22"/>
              </w:rPr>
              <w:t>散热方式：风冷散热，智能调速</w:t>
            </w:r>
          </w:p>
        </w:tc>
        <w:tc>
          <w:tcPr>
            <w:tcW w:w="216" w:type="pct"/>
            <w:tcBorders>
              <w:top w:val="nil"/>
              <w:left w:val="nil"/>
              <w:bottom w:val="single" w:color="auto" w:sz="4" w:space="0"/>
              <w:right w:val="single" w:color="auto" w:sz="4" w:space="0"/>
            </w:tcBorders>
            <w:noWrap/>
            <w:vAlign w:val="center"/>
          </w:tcPr>
          <w:p w14:paraId="7BD4035D">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0F9205CB">
            <w:pPr>
              <w:widowControl/>
              <w:spacing w:line="240" w:lineRule="auto"/>
              <w:jc w:val="center"/>
              <w:rPr>
                <w:rFonts w:hint="eastAsia" w:cs="宋体"/>
                <w:color w:val="000000"/>
                <w:kern w:val="0"/>
                <w:sz w:val="22"/>
              </w:rPr>
            </w:pPr>
            <w:r>
              <w:rPr>
                <w:rFonts w:cs="宋体"/>
                <w:color w:val="000000"/>
                <w:kern w:val="0"/>
                <w:sz w:val="22"/>
              </w:rPr>
              <w:t>1</w:t>
            </w:r>
          </w:p>
        </w:tc>
      </w:tr>
      <w:tr w14:paraId="2CFA94B6">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2041424">
            <w:pPr>
              <w:widowControl/>
              <w:spacing w:line="240" w:lineRule="auto"/>
              <w:jc w:val="center"/>
              <w:rPr>
                <w:rFonts w:hint="eastAsia" w:cs="宋体"/>
                <w:color w:val="000000"/>
                <w:kern w:val="0"/>
                <w:sz w:val="22"/>
              </w:rPr>
            </w:pPr>
            <w:r>
              <w:rPr>
                <w:rFonts w:cs="宋体"/>
                <w:color w:val="000000"/>
                <w:kern w:val="0"/>
                <w:sz w:val="22"/>
              </w:rPr>
              <w:t>148</w:t>
            </w:r>
          </w:p>
        </w:tc>
        <w:tc>
          <w:tcPr>
            <w:tcW w:w="152" w:type="pct"/>
            <w:vMerge w:val="continue"/>
            <w:tcBorders>
              <w:top w:val="nil"/>
              <w:left w:val="single" w:color="auto" w:sz="4" w:space="0"/>
              <w:bottom w:val="single" w:color="000000" w:sz="4" w:space="0"/>
              <w:right w:val="single" w:color="auto" w:sz="4" w:space="0"/>
            </w:tcBorders>
            <w:vAlign w:val="center"/>
          </w:tcPr>
          <w:p w14:paraId="11856D57">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46C0684A">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5E6DB5DF">
            <w:pPr>
              <w:widowControl/>
              <w:spacing w:line="240" w:lineRule="auto"/>
              <w:rPr>
                <w:rFonts w:hint="eastAsia" w:cs="宋体"/>
                <w:color w:val="000000"/>
                <w:kern w:val="0"/>
                <w:sz w:val="22"/>
              </w:rPr>
            </w:pPr>
            <w:r>
              <w:rPr>
                <w:rFonts w:cs="宋体"/>
                <w:color w:val="000000"/>
                <w:kern w:val="0"/>
                <w:sz w:val="22"/>
              </w:rPr>
              <w:t>图形工作站</w:t>
            </w:r>
          </w:p>
        </w:tc>
        <w:tc>
          <w:tcPr>
            <w:tcW w:w="3643" w:type="pct"/>
            <w:tcBorders>
              <w:top w:val="nil"/>
              <w:left w:val="nil"/>
              <w:bottom w:val="nil"/>
              <w:right w:val="nil"/>
            </w:tcBorders>
            <w:vAlign w:val="center"/>
          </w:tcPr>
          <w:p w14:paraId="31E727CB">
            <w:pPr>
              <w:widowControl/>
              <w:spacing w:line="240" w:lineRule="auto"/>
              <w:rPr>
                <w:rFonts w:hint="eastAsia" w:cs="宋体"/>
                <w:color w:val="000000"/>
                <w:kern w:val="0"/>
                <w:sz w:val="22"/>
              </w:rPr>
            </w:pPr>
            <w:r>
              <w:rPr>
                <w:rFonts w:cs="宋体"/>
                <w:color w:val="000000"/>
                <w:kern w:val="0"/>
                <w:sz w:val="22"/>
              </w:rPr>
              <w:t>（一）主机</w:t>
            </w:r>
            <w:r>
              <w:rPr>
                <w:rFonts w:cs="宋体"/>
                <w:color w:val="000000"/>
                <w:kern w:val="0"/>
                <w:sz w:val="22"/>
              </w:rPr>
              <w:br w:type="textWrapping"/>
            </w:r>
            <w:r>
              <w:rPr>
                <w:rFonts w:cs="宋体"/>
                <w:color w:val="000000"/>
                <w:kern w:val="0"/>
                <w:sz w:val="22"/>
              </w:rPr>
              <w:t>1、CPU：≥16核24线程，频率≥2.2GHz，</w:t>
            </w:r>
            <w:r>
              <w:rPr>
                <w:rFonts w:cs="宋体"/>
                <w:color w:val="000000"/>
                <w:kern w:val="0"/>
                <w:sz w:val="22"/>
              </w:rPr>
              <w:br w:type="textWrapping"/>
            </w:r>
            <w:r>
              <w:rPr>
                <w:rFonts w:cs="宋体"/>
                <w:color w:val="000000"/>
                <w:kern w:val="0"/>
                <w:sz w:val="22"/>
              </w:rPr>
              <w:t>2、内存：不低于DDR5规格，32GB容量</w:t>
            </w:r>
            <w:r>
              <w:rPr>
                <w:rFonts w:cs="宋体"/>
                <w:color w:val="000000"/>
                <w:kern w:val="0"/>
                <w:sz w:val="22"/>
              </w:rPr>
              <w:br w:type="textWrapping"/>
            </w:r>
            <w:r>
              <w:rPr>
                <w:rFonts w:cs="宋体"/>
                <w:color w:val="000000"/>
                <w:kern w:val="0"/>
                <w:sz w:val="22"/>
              </w:rPr>
              <w:t>3、存储：不低于M.2 SSD 1TB</w:t>
            </w:r>
            <w:r>
              <w:rPr>
                <w:rFonts w:cs="宋体"/>
                <w:color w:val="000000"/>
                <w:kern w:val="0"/>
                <w:sz w:val="22"/>
              </w:rPr>
              <w:br w:type="textWrapping"/>
            </w:r>
            <w:r>
              <w:rPr>
                <w:rFonts w:cs="宋体"/>
                <w:color w:val="000000"/>
                <w:kern w:val="0"/>
                <w:sz w:val="22"/>
              </w:rPr>
              <w:t>4、电源：不低于1100W电源</w:t>
            </w:r>
            <w:r>
              <w:rPr>
                <w:rFonts w:cs="宋体"/>
                <w:color w:val="000000"/>
                <w:kern w:val="0"/>
                <w:sz w:val="22"/>
              </w:rPr>
              <w:br w:type="textWrapping"/>
            </w:r>
            <w:r>
              <w:rPr>
                <w:rFonts w:cs="宋体"/>
                <w:color w:val="000000"/>
                <w:kern w:val="0"/>
                <w:sz w:val="22"/>
              </w:rPr>
              <w:t>（二）显示器</w:t>
            </w:r>
            <w:r>
              <w:rPr>
                <w:rFonts w:cs="宋体"/>
                <w:color w:val="000000"/>
                <w:kern w:val="0"/>
                <w:sz w:val="22"/>
              </w:rPr>
              <w:br w:type="textWrapping"/>
            </w:r>
            <w:r>
              <w:rPr>
                <w:rFonts w:cs="宋体"/>
                <w:color w:val="000000"/>
                <w:kern w:val="0"/>
                <w:sz w:val="22"/>
              </w:rPr>
              <w:t>1、屏幕比例：16 : 9</w:t>
            </w:r>
            <w:r>
              <w:rPr>
                <w:rFonts w:cs="宋体"/>
                <w:color w:val="000000"/>
                <w:kern w:val="0"/>
                <w:sz w:val="22"/>
              </w:rPr>
              <w:br w:type="textWrapping"/>
            </w:r>
            <w:r>
              <w:rPr>
                <w:rFonts w:cs="宋体"/>
                <w:color w:val="000000"/>
                <w:kern w:val="0"/>
                <w:sz w:val="22"/>
              </w:rPr>
              <w:t>2、亮度：不低于350cd/㎡</w:t>
            </w:r>
            <w:r>
              <w:rPr>
                <w:rFonts w:cs="宋体"/>
                <w:color w:val="000000"/>
                <w:kern w:val="0"/>
                <w:sz w:val="22"/>
              </w:rPr>
              <w:br w:type="textWrapping"/>
            </w:r>
            <w:r>
              <w:rPr>
                <w:rFonts w:cs="宋体"/>
                <w:color w:val="000000"/>
                <w:kern w:val="0"/>
                <w:sz w:val="22"/>
              </w:rPr>
              <w:t>3、屏幕刷新率：不低于60Hz</w:t>
            </w:r>
            <w:r>
              <w:rPr>
                <w:rFonts w:cs="宋体"/>
                <w:color w:val="000000"/>
                <w:kern w:val="0"/>
                <w:sz w:val="22"/>
              </w:rPr>
              <w:br w:type="textWrapping"/>
            </w:r>
            <w:r>
              <w:rPr>
                <w:rFonts w:cs="宋体"/>
                <w:color w:val="000000"/>
                <w:kern w:val="0"/>
                <w:sz w:val="22"/>
              </w:rPr>
              <w:t>4、接口：HDMI，DP</w:t>
            </w:r>
            <w:r>
              <w:rPr>
                <w:rFonts w:cs="宋体"/>
                <w:color w:val="000000"/>
                <w:kern w:val="0"/>
                <w:sz w:val="22"/>
              </w:rPr>
              <w:br w:type="textWrapping"/>
            </w:r>
            <w:r>
              <w:rPr>
                <w:rFonts w:cs="宋体"/>
                <w:color w:val="000000"/>
                <w:kern w:val="0"/>
                <w:sz w:val="22"/>
              </w:rPr>
              <w:t>5、分辨率：不低于3840*2160</w:t>
            </w:r>
            <w:r>
              <w:rPr>
                <w:rFonts w:cs="宋体"/>
                <w:color w:val="000000"/>
                <w:kern w:val="0"/>
                <w:sz w:val="22"/>
              </w:rPr>
              <w:br w:type="textWrapping"/>
            </w:r>
            <w:r>
              <w:rPr>
                <w:rFonts w:cs="宋体"/>
                <w:color w:val="000000"/>
                <w:kern w:val="0"/>
                <w:sz w:val="22"/>
              </w:rPr>
              <w:t>6、曲率：平面</w:t>
            </w:r>
            <w:r>
              <w:rPr>
                <w:rFonts w:cs="宋体"/>
                <w:color w:val="000000"/>
                <w:kern w:val="0"/>
                <w:sz w:val="22"/>
              </w:rPr>
              <w:br w:type="textWrapping"/>
            </w:r>
            <w:r>
              <w:rPr>
                <w:rFonts w:cs="宋体"/>
                <w:color w:val="000000"/>
                <w:kern w:val="0"/>
                <w:sz w:val="22"/>
              </w:rPr>
              <w:t>7、屏幕尺寸：27英寸</w:t>
            </w:r>
            <w:r>
              <w:rPr>
                <w:rFonts w:cs="宋体"/>
                <w:color w:val="000000"/>
                <w:kern w:val="0"/>
                <w:sz w:val="22"/>
              </w:rPr>
              <w:br w:type="textWrapping"/>
            </w:r>
            <w:r>
              <w:rPr>
                <w:rFonts w:cs="宋体"/>
                <w:color w:val="000000"/>
                <w:kern w:val="0"/>
                <w:sz w:val="22"/>
              </w:rPr>
              <w:t>8、数量：4台</w:t>
            </w:r>
          </w:p>
        </w:tc>
        <w:tc>
          <w:tcPr>
            <w:tcW w:w="216" w:type="pct"/>
            <w:tcBorders>
              <w:top w:val="nil"/>
              <w:left w:val="single" w:color="auto" w:sz="4" w:space="0"/>
              <w:bottom w:val="single" w:color="auto" w:sz="4" w:space="0"/>
              <w:right w:val="single" w:color="auto" w:sz="4" w:space="0"/>
            </w:tcBorders>
            <w:noWrap/>
            <w:vAlign w:val="center"/>
          </w:tcPr>
          <w:p w14:paraId="0BEE7349">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55C97782">
            <w:pPr>
              <w:widowControl/>
              <w:spacing w:line="240" w:lineRule="auto"/>
              <w:jc w:val="center"/>
              <w:rPr>
                <w:rFonts w:hint="eastAsia" w:cs="宋体"/>
                <w:color w:val="000000"/>
                <w:kern w:val="0"/>
                <w:sz w:val="22"/>
              </w:rPr>
            </w:pPr>
            <w:r>
              <w:rPr>
                <w:rFonts w:cs="宋体"/>
                <w:color w:val="000000"/>
                <w:kern w:val="0"/>
                <w:sz w:val="22"/>
              </w:rPr>
              <w:t>1</w:t>
            </w:r>
          </w:p>
        </w:tc>
      </w:tr>
      <w:tr w14:paraId="2C965E95">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2427E5D5">
            <w:pPr>
              <w:widowControl/>
              <w:spacing w:line="240" w:lineRule="auto"/>
              <w:jc w:val="center"/>
              <w:rPr>
                <w:rFonts w:hint="eastAsia" w:cs="宋体"/>
                <w:color w:val="000000"/>
                <w:kern w:val="0"/>
                <w:sz w:val="22"/>
              </w:rPr>
            </w:pPr>
            <w:r>
              <w:rPr>
                <w:rFonts w:cs="宋体"/>
                <w:color w:val="000000"/>
                <w:kern w:val="0"/>
                <w:sz w:val="22"/>
              </w:rPr>
              <w:t>149</w:t>
            </w:r>
          </w:p>
        </w:tc>
        <w:tc>
          <w:tcPr>
            <w:tcW w:w="152" w:type="pct"/>
            <w:vMerge w:val="continue"/>
            <w:tcBorders>
              <w:top w:val="nil"/>
              <w:left w:val="single" w:color="auto" w:sz="4" w:space="0"/>
              <w:bottom w:val="single" w:color="000000" w:sz="4" w:space="0"/>
              <w:right w:val="single" w:color="auto" w:sz="4" w:space="0"/>
            </w:tcBorders>
            <w:vAlign w:val="center"/>
          </w:tcPr>
          <w:p w14:paraId="29A8DC72">
            <w:pPr>
              <w:widowControl/>
              <w:spacing w:line="240" w:lineRule="auto"/>
              <w:rPr>
                <w:rFonts w:hint="eastAsia" w:cs="宋体"/>
                <w:color w:val="000000"/>
                <w:kern w:val="0"/>
                <w:sz w:val="22"/>
              </w:rPr>
            </w:pPr>
          </w:p>
        </w:tc>
        <w:tc>
          <w:tcPr>
            <w:tcW w:w="331" w:type="pct"/>
            <w:vMerge w:val="restart"/>
            <w:tcBorders>
              <w:top w:val="nil"/>
              <w:left w:val="single" w:color="auto" w:sz="4" w:space="0"/>
              <w:bottom w:val="single" w:color="000000" w:sz="4" w:space="0"/>
              <w:right w:val="single" w:color="auto" w:sz="4" w:space="0"/>
            </w:tcBorders>
            <w:noWrap/>
            <w:vAlign w:val="center"/>
          </w:tcPr>
          <w:p w14:paraId="4E1DC081">
            <w:pPr>
              <w:widowControl/>
              <w:spacing w:line="240" w:lineRule="auto"/>
              <w:jc w:val="center"/>
              <w:rPr>
                <w:rFonts w:hint="eastAsia" w:cs="宋体"/>
                <w:color w:val="000000"/>
                <w:kern w:val="0"/>
                <w:sz w:val="22"/>
              </w:rPr>
            </w:pPr>
            <w:r>
              <w:rPr>
                <w:rFonts w:cs="宋体"/>
                <w:color w:val="000000"/>
                <w:kern w:val="0"/>
                <w:sz w:val="22"/>
              </w:rPr>
              <w:t>管护所</w:t>
            </w:r>
          </w:p>
        </w:tc>
        <w:tc>
          <w:tcPr>
            <w:tcW w:w="202" w:type="pct"/>
            <w:tcBorders>
              <w:top w:val="nil"/>
              <w:left w:val="nil"/>
              <w:bottom w:val="single" w:color="auto" w:sz="4" w:space="0"/>
              <w:right w:val="single" w:color="auto" w:sz="4" w:space="0"/>
            </w:tcBorders>
            <w:vAlign w:val="center"/>
          </w:tcPr>
          <w:p w14:paraId="666EEC74">
            <w:pPr>
              <w:widowControl/>
              <w:spacing w:line="240" w:lineRule="auto"/>
              <w:rPr>
                <w:rFonts w:hint="eastAsia" w:cs="宋体"/>
                <w:color w:val="000000"/>
                <w:kern w:val="0"/>
                <w:sz w:val="22"/>
              </w:rPr>
            </w:pPr>
            <w:r>
              <w:rPr>
                <w:rFonts w:cs="宋体"/>
                <w:color w:val="000000"/>
                <w:kern w:val="0"/>
                <w:sz w:val="22"/>
              </w:rPr>
              <w:t>视频会议终端</w:t>
            </w:r>
          </w:p>
        </w:tc>
        <w:tc>
          <w:tcPr>
            <w:tcW w:w="3643" w:type="pct"/>
            <w:tcBorders>
              <w:top w:val="nil"/>
              <w:left w:val="nil"/>
              <w:bottom w:val="nil"/>
              <w:right w:val="nil"/>
            </w:tcBorders>
            <w:vAlign w:val="center"/>
          </w:tcPr>
          <w:p w14:paraId="487204F1">
            <w:pPr>
              <w:widowControl/>
              <w:spacing w:line="240" w:lineRule="auto"/>
              <w:rPr>
                <w:rFonts w:hint="eastAsia" w:cs="宋体"/>
                <w:color w:val="000000"/>
                <w:kern w:val="0"/>
                <w:sz w:val="22"/>
              </w:rPr>
            </w:pPr>
            <w:r>
              <w:rPr>
                <w:rFonts w:cs="宋体"/>
                <w:color w:val="000000"/>
                <w:kern w:val="0"/>
                <w:sz w:val="22"/>
              </w:rPr>
              <w:t>1. 终端采用一体式设计，内置编解码器、PTZ摄像机、数字阵列麦克等</w:t>
            </w:r>
            <w:r>
              <w:rPr>
                <w:rFonts w:cs="宋体"/>
                <w:color w:val="000000"/>
                <w:kern w:val="0"/>
                <w:sz w:val="22"/>
              </w:rPr>
              <w:br w:type="textWrapping"/>
            </w:r>
            <w:r>
              <w:rPr>
                <w:rFonts w:cs="宋体"/>
                <w:color w:val="000000"/>
                <w:kern w:val="0"/>
                <w:sz w:val="22"/>
              </w:rPr>
              <w:t>2. 终端采用国产嵌入式操作系统。（投标人需提供第三方权威机构检测报告证明）</w:t>
            </w:r>
            <w:r>
              <w:rPr>
                <w:rFonts w:cs="宋体"/>
                <w:color w:val="000000"/>
                <w:kern w:val="0"/>
                <w:sz w:val="22"/>
              </w:rPr>
              <w:br w:type="textWrapping"/>
            </w:r>
            <w:r>
              <w:rPr>
                <w:rFonts w:cs="宋体"/>
                <w:color w:val="000000"/>
                <w:kern w:val="0"/>
                <w:sz w:val="22"/>
              </w:rPr>
              <w:t>3. 终端核心芯片采用国产化元器件。</w:t>
            </w:r>
            <w:r>
              <w:rPr>
                <w:rFonts w:cs="宋体"/>
                <w:color w:val="000000"/>
                <w:kern w:val="0"/>
                <w:sz w:val="22"/>
              </w:rPr>
              <w:br w:type="textWrapping"/>
            </w:r>
            <w:r>
              <w:rPr>
                <w:rFonts w:cs="宋体"/>
                <w:color w:val="000000"/>
                <w:kern w:val="0"/>
                <w:sz w:val="22"/>
              </w:rPr>
              <w:t>4. 支持ITU-T H.323和IETF SIP、RTC通信标准，会议速率支持128Kbps－8Mbps。</w:t>
            </w:r>
            <w:r>
              <w:rPr>
                <w:rFonts w:cs="宋体"/>
                <w:color w:val="000000"/>
                <w:kern w:val="0"/>
                <w:sz w:val="22"/>
              </w:rPr>
              <w:br w:type="textWrapping"/>
            </w:r>
            <w:r>
              <w:rPr>
                <w:rFonts w:cs="宋体"/>
                <w:color w:val="000000"/>
                <w:kern w:val="0"/>
                <w:sz w:val="22"/>
              </w:rPr>
              <w:t>5. 支持H.264 BP、H.264 HP、H.265视频编解码协议。</w:t>
            </w:r>
            <w:r>
              <w:rPr>
                <w:rFonts w:cs="宋体"/>
                <w:color w:val="000000"/>
                <w:kern w:val="0"/>
                <w:sz w:val="22"/>
              </w:rPr>
              <w:br w:type="textWrapping"/>
            </w:r>
            <w:r>
              <w:rPr>
                <w:rFonts w:cs="宋体"/>
                <w:color w:val="000000"/>
                <w:kern w:val="0"/>
                <w:sz w:val="22"/>
              </w:rPr>
              <w:t>6. 支持G.711A-law、G.711µ-law、G.722、G.729、G.719、G.728、G.722.1 C 、MPEG-4 AAC-LD、MPEG-4 AAC-LC、Opus等音频协议，可达到20KHz以上的宽频效果。</w:t>
            </w:r>
            <w:r>
              <w:rPr>
                <w:rFonts w:cs="宋体"/>
                <w:color w:val="000000"/>
                <w:kern w:val="0"/>
                <w:sz w:val="22"/>
              </w:rPr>
              <w:br w:type="textWrapping"/>
            </w:r>
            <w:r>
              <w:rPr>
                <w:rFonts w:cs="宋体"/>
                <w:color w:val="000000"/>
                <w:kern w:val="0"/>
                <w:sz w:val="22"/>
              </w:rPr>
              <w:t>7. 内置高清PTZ摄像机，采用不低于846万像素 1/2.8 英寸CMOS镜头，支持4K60视频图像采集，支持不少于5倍光学变焦，水平视角≥80°。</w:t>
            </w:r>
            <w:r>
              <w:rPr>
                <w:rFonts w:cs="宋体"/>
                <w:color w:val="000000"/>
                <w:kern w:val="0"/>
                <w:sz w:val="22"/>
              </w:rPr>
              <w:br w:type="textWrapping"/>
            </w:r>
            <w:r>
              <w:rPr>
                <w:rFonts w:cs="宋体"/>
                <w:color w:val="000000"/>
                <w:kern w:val="0"/>
                <w:sz w:val="22"/>
              </w:rPr>
              <w:t>8. 支持1080p60、1080p30、720p60、720p30高清分辨率，并向下兼容4CIF、CIF标清分辨率。</w:t>
            </w:r>
            <w:r>
              <w:rPr>
                <w:rFonts w:cs="宋体"/>
                <w:color w:val="000000"/>
                <w:kern w:val="0"/>
                <w:sz w:val="22"/>
              </w:rPr>
              <w:br w:type="textWrapping"/>
            </w:r>
            <w:r>
              <w:rPr>
                <w:rFonts w:cs="宋体"/>
                <w:color w:val="000000"/>
                <w:kern w:val="0"/>
                <w:sz w:val="22"/>
              </w:rPr>
              <w:t>9. 支持在较低的带宽下实现超高清视频效果，支持512Kbps呼叫带宽情况下可实现1080p60图像传输；支持384Kbps呼叫带宽情况下可实现1080p30fps图像传输。</w:t>
            </w:r>
            <w:r>
              <w:rPr>
                <w:rFonts w:cs="宋体"/>
                <w:color w:val="000000"/>
                <w:kern w:val="0"/>
                <w:sz w:val="22"/>
              </w:rPr>
              <w:br w:type="textWrapping"/>
            </w:r>
            <w:r>
              <w:rPr>
                <w:rFonts w:cs="宋体"/>
                <w:color w:val="000000"/>
                <w:kern w:val="0"/>
                <w:sz w:val="22"/>
              </w:rPr>
              <w:t>10. 支持智能视频编码（ROI），可对感兴趣的与会方增强编码，其他区域弱化编码，节省带宽的同时提高与会方图像的显示效果。</w:t>
            </w:r>
            <w:r>
              <w:rPr>
                <w:rFonts w:cs="宋体"/>
                <w:color w:val="000000"/>
                <w:kern w:val="0"/>
                <w:sz w:val="22"/>
              </w:rPr>
              <w:br w:type="textWrapping"/>
            </w:r>
            <w:r>
              <w:rPr>
                <w:rFonts w:cs="宋体"/>
                <w:color w:val="000000"/>
                <w:kern w:val="0"/>
                <w:sz w:val="22"/>
              </w:rPr>
              <w:t>11. 支持OLED屏显示设备运行状态，显示状态：启动、升级、休眠、网络异常、错误码、温度异常、风扇异常、IP地址以及号码</w:t>
            </w:r>
            <w:r>
              <w:rPr>
                <w:rFonts w:cs="宋体"/>
                <w:color w:val="000000"/>
                <w:kern w:val="0"/>
                <w:sz w:val="22"/>
              </w:rPr>
              <w:br w:type="textWrapping"/>
            </w:r>
            <w:r>
              <w:rPr>
                <w:rFonts w:cs="宋体"/>
                <w:color w:val="000000"/>
                <w:kern w:val="0"/>
                <w:sz w:val="22"/>
              </w:rPr>
              <w:t>12. 支持H.235协议的音视频加密，支持AES256加密算法</w:t>
            </w:r>
            <w:r>
              <w:rPr>
                <w:rFonts w:cs="宋体"/>
                <w:color w:val="000000"/>
                <w:kern w:val="0"/>
                <w:sz w:val="22"/>
              </w:rPr>
              <w:br w:type="textWrapping"/>
            </w:r>
            <w:r>
              <w:rPr>
                <w:rFonts w:cs="宋体"/>
                <w:color w:val="000000"/>
                <w:kern w:val="0"/>
                <w:sz w:val="22"/>
              </w:rPr>
              <w:t>13. 终端支持国家密码局认定的国产密码算法，保证信息安全自主可控。支持SM1、SM2、SM3、SM4等国密加密算法。</w:t>
            </w:r>
            <w:r>
              <w:rPr>
                <w:rFonts w:cs="宋体"/>
                <w:color w:val="000000"/>
                <w:kern w:val="0"/>
                <w:sz w:val="22"/>
              </w:rPr>
              <w:br w:type="textWrapping"/>
            </w:r>
            <w:r>
              <w:rPr>
                <w:rFonts w:cs="宋体"/>
                <w:color w:val="000000"/>
                <w:kern w:val="0"/>
                <w:sz w:val="22"/>
              </w:rPr>
              <w:t>14. 终端内置安全芯片，生产预置的设备证书及对应的私钥都存储在安全芯片内；支持一机一证，终端生产时向内置安全芯片烧写唯一的证书。</w:t>
            </w:r>
            <w:r>
              <w:rPr>
                <w:rFonts w:cs="宋体"/>
                <w:color w:val="000000"/>
                <w:kern w:val="0"/>
                <w:sz w:val="22"/>
              </w:rPr>
              <w:br w:type="textWrapping"/>
            </w:r>
            <w:r>
              <w:rPr>
                <w:rFonts w:cs="宋体"/>
                <w:color w:val="000000"/>
                <w:kern w:val="0"/>
                <w:sz w:val="22"/>
              </w:rPr>
              <w:t>15. 支持国密SSL控制信令加密，国密SSL协议实现满足《GB/T 38636-2020信息安全技术层密码协议(TLCP)》</w:t>
            </w:r>
            <w:r>
              <w:rPr>
                <w:rFonts w:cs="宋体"/>
                <w:color w:val="000000"/>
                <w:kern w:val="0"/>
                <w:sz w:val="22"/>
              </w:rPr>
              <w:br w:type="textWrapping"/>
            </w:r>
            <w:r>
              <w:rPr>
                <w:rFonts w:cs="宋体"/>
                <w:color w:val="000000"/>
                <w:kern w:val="0"/>
                <w:sz w:val="22"/>
              </w:rPr>
              <w:t>16. 支持SRTP码流加密，SRTP协议符合RFC3711规范，密钥协商遵循RFC4568规范。</w:t>
            </w:r>
            <w:r>
              <w:rPr>
                <w:rFonts w:cs="宋体"/>
                <w:color w:val="000000"/>
                <w:kern w:val="0"/>
                <w:sz w:val="22"/>
              </w:rPr>
              <w:br w:type="textWrapping"/>
            </w:r>
            <w:r>
              <w:rPr>
                <w:rFonts w:cs="宋体"/>
                <w:color w:val="000000"/>
                <w:kern w:val="0"/>
                <w:sz w:val="22"/>
              </w:rPr>
              <w:t>17. 支持防火墙和NAT穿越。</w:t>
            </w:r>
            <w:r>
              <w:rPr>
                <w:rFonts w:cs="宋体"/>
                <w:color w:val="000000"/>
                <w:kern w:val="0"/>
                <w:sz w:val="22"/>
              </w:rPr>
              <w:br w:type="textWrapping"/>
            </w:r>
            <w:r>
              <w:rPr>
                <w:rFonts w:cs="宋体"/>
                <w:color w:val="000000"/>
                <w:kern w:val="0"/>
                <w:sz w:val="22"/>
              </w:rPr>
              <w:t>18.具备较强的网络抗丢包能力，在IP网络达到55%丢包率情况下声音清晰连续、视频清晰流畅、无马赛克；80%的丢包率情况下声音清晰流畅、可准确理解。（投标人需提供第三方权威机构检测报告证明）</w:t>
            </w:r>
            <w:r>
              <w:rPr>
                <w:rFonts w:cs="宋体"/>
                <w:color w:val="000000"/>
                <w:kern w:val="0"/>
                <w:sz w:val="22"/>
              </w:rPr>
              <w:br w:type="textWrapping"/>
            </w:r>
            <w:r>
              <w:rPr>
                <w:rFonts w:cs="宋体"/>
                <w:color w:val="000000"/>
                <w:kern w:val="0"/>
                <w:sz w:val="22"/>
              </w:rPr>
              <w:t>19. 具备多种抗丢包策略，支持丢包重传、前向纠错、自适应丢包补偿技术、自适应抖动平滑技术。</w:t>
            </w:r>
            <w:r>
              <w:rPr>
                <w:rFonts w:cs="宋体"/>
                <w:color w:val="000000"/>
                <w:kern w:val="0"/>
                <w:sz w:val="22"/>
              </w:rPr>
              <w:br w:type="textWrapping"/>
            </w:r>
            <w:r>
              <w:rPr>
                <w:rFonts w:cs="宋体"/>
                <w:color w:val="000000"/>
                <w:kern w:val="0"/>
                <w:sz w:val="22"/>
              </w:rPr>
              <w:t>20. 具备电信设备入网证。</w:t>
            </w:r>
          </w:p>
        </w:tc>
        <w:tc>
          <w:tcPr>
            <w:tcW w:w="216" w:type="pct"/>
            <w:tcBorders>
              <w:top w:val="nil"/>
              <w:left w:val="single" w:color="auto" w:sz="4" w:space="0"/>
              <w:bottom w:val="single" w:color="auto" w:sz="4" w:space="0"/>
              <w:right w:val="single" w:color="auto" w:sz="4" w:space="0"/>
            </w:tcBorders>
            <w:noWrap/>
            <w:vAlign w:val="center"/>
          </w:tcPr>
          <w:p w14:paraId="5934737B">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4C3F1F08">
            <w:pPr>
              <w:widowControl/>
              <w:spacing w:line="240" w:lineRule="auto"/>
              <w:jc w:val="center"/>
              <w:rPr>
                <w:rFonts w:hint="eastAsia" w:cs="宋体"/>
                <w:color w:val="000000"/>
                <w:kern w:val="0"/>
                <w:sz w:val="22"/>
              </w:rPr>
            </w:pPr>
            <w:r>
              <w:rPr>
                <w:rFonts w:cs="宋体"/>
                <w:color w:val="000000"/>
                <w:kern w:val="0"/>
                <w:sz w:val="22"/>
              </w:rPr>
              <w:t>4</w:t>
            </w:r>
          </w:p>
        </w:tc>
      </w:tr>
      <w:tr w14:paraId="7E1CCFA9">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1FB74A74">
            <w:pPr>
              <w:widowControl/>
              <w:spacing w:line="240" w:lineRule="auto"/>
              <w:jc w:val="center"/>
              <w:rPr>
                <w:rFonts w:hint="eastAsia" w:cs="宋体"/>
                <w:color w:val="000000"/>
                <w:kern w:val="0"/>
                <w:sz w:val="22"/>
              </w:rPr>
            </w:pPr>
            <w:r>
              <w:rPr>
                <w:rFonts w:cs="宋体"/>
                <w:color w:val="000000"/>
                <w:kern w:val="0"/>
                <w:sz w:val="22"/>
              </w:rPr>
              <w:t>150</w:t>
            </w:r>
          </w:p>
        </w:tc>
        <w:tc>
          <w:tcPr>
            <w:tcW w:w="152" w:type="pct"/>
            <w:vMerge w:val="continue"/>
            <w:tcBorders>
              <w:top w:val="nil"/>
              <w:left w:val="single" w:color="auto" w:sz="4" w:space="0"/>
              <w:bottom w:val="single" w:color="000000" w:sz="4" w:space="0"/>
              <w:right w:val="single" w:color="auto" w:sz="4" w:space="0"/>
            </w:tcBorders>
            <w:vAlign w:val="center"/>
          </w:tcPr>
          <w:p w14:paraId="55B01330">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5EDD0A7A">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60E7D5B1">
            <w:pPr>
              <w:widowControl/>
              <w:spacing w:line="240" w:lineRule="auto"/>
              <w:rPr>
                <w:rFonts w:hint="eastAsia" w:cs="宋体"/>
                <w:color w:val="000000"/>
                <w:kern w:val="0"/>
                <w:sz w:val="22"/>
              </w:rPr>
            </w:pPr>
            <w:r>
              <w:rPr>
                <w:rFonts w:cs="宋体"/>
                <w:color w:val="000000"/>
                <w:kern w:val="0"/>
                <w:sz w:val="22"/>
              </w:rPr>
              <w:t>会议电视屏</w:t>
            </w:r>
          </w:p>
        </w:tc>
        <w:tc>
          <w:tcPr>
            <w:tcW w:w="3643" w:type="pct"/>
            <w:tcBorders>
              <w:top w:val="single" w:color="auto" w:sz="4" w:space="0"/>
              <w:left w:val="nil"/>
              <w:bottom w:val="single" w:color="auto" w:sz="4" w:space="0"/>
              <w:right w:val="single" w:color="auto" w:sz="4" w:space="0"/>
            </w:tcBorders>
            <w:vAlign w:val="center"/>
          </w:tcPr>
          <w:p w14:paraId="38FDCC4E">
            <w:pPr>
              <w:widowControl/>
              <w:spacing w:line="240" w:lineRule="auto"/>
              <w:rPr>
                <w:rFonts w:hint="eastAsia" w:cs="宋体"/>
                <w:color w:val="000000"/>
                <w:kern w:val="0"/>
                <w:sz w:val="22"/>
              </w:rPr>
            </w:pPr>
            <w:r>
              <w:rPr>
                <w:rFonts w:cs="宋体"/>
                <w:color w:val="000000"/>
                <w:kern w:val="0"/>
                <w:sz w:val="22"/>
              </w:rPr>
              <w:t>屏幕尺寸：55寸</w:t>
            </w:r>
            <w:r>
              <w:rPr>
                <w:rFonts w:cs="宋体"/>
                <w:color w:val="000000"/>
                <w:kern w:val="0"/>
                <w:sz w:val="22"/>
              </w:rPr>
              <w:br w:type="textWrapping"/>
            </w:r>
            <w:r>
              <w:rPr>
                <w:rFonts w:cs="宋体"/>
                <w:color w:val="000000"/>
                <w:kern w:val="0"/>
                <w:sz w:val="22"/>
              </w:rPr>
              <w:t>分辨率：3840*2160</w:t>
            </w:r>
            <w:r>
              <w:rPr>
                <w:rFonts w:cs="宋体"/>
                <w:color w:val="000000"/>
                <w:kern w:val="0"/>
                <w:sz w:val="22"/>
              </w:rPr>
              <w:br w:type="textWrapping"/>
            </w:r>
            <w:r>
              <w:rPr>
                <w:rFonts w:cs="宋体"/>
                <w:color w:val="000000"/>
                <w:kern w:val="0"/>
                <w:sz w:val="22"/>
              </w:rPr>
              <w:t>亮度：250cd/㎡</w:t>
            </w:r>
            <w:r>
              <w:rPr>
                <w:rFonts w:cs="宋体"/>
                <w:color w:val="000000"/>
                <w:kern w:val="0"/>
                <w:sz w:val="22"/>
              </w:rPr>
              <w:br w:type="textWrapping"/>
            </w:r>
            <w:r>
              <w:rPr>
                <w:rFonts w:cs="宋体"/>
                <w:color w:val="000000"/>
                <w:kern w:val="0"/>
                <w:sz w:val="22"/>
              </w:rPr>
              <w:t>对比度：4000：1</w:t>
            </w:r>
            <w:r>
              <w:rPr>
                <w:rFonts w:cs="宋体"/>
                <w:color w:val="000000"/>
                <w:kern w:val="0"/>
                <w:sz w:val="22"/>
              </w:rPr>
              <w:br w:type="textWrapping"/>
            </w:r>
            <w:r>
              <w:rPr>
                <w:rFonts w:cs="宋体"/>
                <w:color w:val="000000"/>
                <w:kern w:val="0"/>
                <w:sz w:val="22"/>
              </w:rPr>
              <w:t>灯管寿命：30000H</w:t>
            </w:r>
            <w:r>
              <w:rPr>
                <w:rFonts w:cs="宋体"/>
                <w:color w:val="000000"/>
                <w:kern w:val="0"/>
                <w:sz w:val="22"/>
              </w:rPr>
              <w:br w:type="textWrapping"/>
            </w:r>
            <w:r>
              <w:rPr>
                <w:rFonts w:cs="宋体"/>
                <w:color w:val="000000"/>
                <w:kern w:val="0"/>
                <w:sz w:val="22"/>
              </w:rPr>
              <w:t>端口：HDMI2.0*3，USB2.0*1，COAXIAL同轴*1，AV输入*1，YPbPr接口*1</w:t>
            </w:r>
            <w:r>
              <w:rPr>
                <w:rFonts w:cs="宋体"/>
                <w:color w:val="000000"/>
                <w:kern w:val="0"/>
                <w:sz w:val="22"/>
              </w:rPr>
              <w:br w:type="textWrapping"/>
            </w:r>
            <w:r>
              <w:rPr>
                <w:rFonts w:cs="宋体"/>
                <w:color w:val="000000"/>
                <w:kern w:val="0"/>
                <w:sz w:val="22"/>
              </w:rPr>
              <w:t>屏幕保护：航空级3mm钢化玻璃</w:t>
            </w:r>
            <w:r>
              <w:rPr>
                <w:rFonts w:cs="宋体"/>
                <w:color w:val="000000"/>
                <w:kern w:val="0"/>
                <w:sz w:val="22"/>
              </w:rPr>
              <w:br w:type="textWrapping"/>
            </w:r>
            <w:r>
              <w:rPr>
                <w:rFonts w:cs="宋体"/>
                <w:color w:val="000000"/>
                <w:kern w:val="0"/>
                <w:sz w:val="22"/>
              </w:rPr>
              <w:t>其他：壁挂支架*1，遥控器*1，电源线*1</w:t>
            </w:r>
          </w:p>
        </w:tc>
        <w:tc>
          <w:tcPr>
            <w:tcW w:w="216" w:type="pct"/>
            <w:tcBorders>
              <w:top w:val="nil"/>
              <w:left w:val="nil"/>
              <w:bottom w:val="single" w:color="auto" w:sz="4" w:space="0"/>
              <w:right w:val="single" w:color="auto" w:sz="4" w:space="0"/>
            </w:tcBorders>
            <w:noWrap/>
            <w:vAlign w:val="center"/>
          </w:tcPr>
          <w:p w14:paraId="7B93A07A">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698067D9">
            <w:pPr>
              <w:widowControl/>
              <w:spacing w:line="240" w:lineRule="auto"/>
              <w:jc w:val="center"/>
              <w:rPr>
                <w:rFonts w:hint="eastAsia" w:cs="宋体"/>
                <w:color w:val="000000"/>
                <w:kern w:val="0"/>
                <w:sz w:val="22"/>
              </w:rPr>
            </w:pPr>
            <w:r>
              <w:rPr>
                <w:rFonts w:cs="宋体"/>
                <w:color w:val="000000"/>
                <w:kern w:val="0"/>
                <w:sz w:val="22"/>
              </w:rPr>
              <w:t>8</w:t>
            </w:r>
          </w:p>
        </w:tc>
      </w:tr>
      <w:tr w14:paraId="0C4C09BC">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325792D0">
            <w:pPr>
              <w:widowControl/>
              <w:spacing w:line="240" w:lineRule="auto"/>
              <w:jc w:val="center"/>
              <w:rPr>
                <w:rFonts w:hint="eastAsia" w:cs="宋体"/>
                <w:color w:val="000000"/>
                <w:kern w:val="0"/>
                <w:sz w:val="22"/>
              </w:rPr>
            </w:pPr>
            <w:r>
              <w:rPr>
                <w:rFonts w:cs="宋体"/>
                <w:color w:val="000000"/>
                <w:kern w:val="0"/>
                <w:sz w:val="22"/>
              </w:rPr>
              <w:t>151</w:t>
            </w:r>
          </w:p>
        </w:tc>
        <w:tc>
          <w:tcPr>
            <w:tcW w:w="152" w:type="pct"/>
            <w:vMerge w:val="continue"/>
            <w:tcBorders>
              <w:top w:val="nil"/>
              <w:left w:val="single" w:color="auto" w:sz="4" w:space="0"/>
              <w:bottom w:val="single" w:color="000000" w:sz="4" w:space="0"/>
              <w:right w:val="single" w:color="auto" w:sz="4" w:space="0"/>
            </w:tcBorders>
            <w:vAlign w:val="center"/>
          </w:tcPr>
          <w:p w14:paraId="64A7F852">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1AEE5BED">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4549496C">
            <w:pPr>
              <w:widowControl/>
              <w:spacing w:line="240" w:lineRule="auto"/>
              <w:rPr>
                <w:rFonts w:hint="eastAsia" w:cs="宋体"/>
                <w:color w:val="000000"/>
                <w:kern w:val="0"/>
                <w:sz w:val="22"/>
              </w:rPr>
            </w:pPr>
            <w:r>
              <w:rPr>
                <w:rFonts w:cs="宋体"/>
                <w:color w:val="000000"/>
                <w:kern w:val="0"/>
                <w:sz w:val="22"/>
              </w:rPr>
              <w:t>分布式节点</w:t>
            </w:r>
          </w:p>
        </w:tc>
        <w:tc>
          <w:tcPr>
            <w:tcW w:w="3643" w:type="pct"/>
            <w:tcBorders>
              <w:top w:val="nil"/>
              <w:left w:val="nil"/>
              <w:bottom w:val="single" w:color="auto" w:sz="4" w:space="0"/>
              <w:right w:val="single" w:color="auto" w:sz="4" w:space="0"/>
            </w:tcBorders>
            <w:vAlign w:val="center"/>
          </w:tcPr>
          <w:p w14:paraId="27928229">
            <w:pPr>
              <w:widowControl/>
              <w:spacing w:line="240" w:lineRule="auto"/>
              <w:rPr>
                <w:rFonts w:hint="eastAsia" w:cs="宋体"/>
                <w:color w:val="000000"/>
                <w:kern w:val="0"/>
                <w:sz w:val="22"/>
              </w:rPr>
            </w:pPr>
            <w:r>
              <w:rPr>
                <w:rFonts w:cs="宋体"/>
                <w:color w:val="000000"/>
                <w:kern w:val="0"/>
                <w:sz w:val="22"/>
              </w:rPr>
              <w:t>1.终端采用国产芯片、采用输入输出一体化设计，根据需求可任意配置为输入终端、输出终端、KVM输入终端或KVM输出终端。</w:t>
            </w:r>
            <w:r>
              <w:rPr>
                <w:rFonts w:cs="宋体"/>
                <w:color w:val="000000"/>
                <w:kern w:val="0"/>
                <w:sz w:val="22"/>
              </w:rPr>
              <w:br w:type="textWrapping"/>
            </w:r>
            <w:r>
              <w:rPr>
                <w:rFonts w:cs="宋体"/>
                <w:color w:val="000000"/>
                <w:kern w:val="0"/>
                <w:sz w:val="22"/>
              </w:rPr>
              <w:t>2.支持国密算法SM2、SM3、SM4对信令和媒体流进行加密传输。</w:t>
            </w:r>
            <w:r>
              <w:rPr>
                <w:rFonts w:cs="宋体"/>
                <w:color w:val="000000"/>
                <w:kern w:val="0"/>
                <w:sz w:val="22"/>
              </w:rPr>
              <w:br w:type="textWrapping"/>
            </w:r>
            <w:r>
              <w:rPr>
                <w:rFonts w:cs="宋体"/>
                <w:color w:val="000000"/>
                <w:kern w:val="0"/>
                <w:sz w:val="22"/>
              </w:rPr>
              <w:t>3.作为输入节点时，支持≥4K@60fps高清视频信号输入并向下兼容，4K输入可同时兼容4K及2K输出终端；作为输出节点时，支持≥2路4K@60或≥8路1080P@60fps的H.264/H.265解码显示，具备画面平铺、缩放、叠加、分割功能。</w:t>
            </w:r>
            <w:r>
              <w:rPr>
                <w:rFonts w:cs="宋体"/>
                <w:color w:val="000000"/>
                <w:kern w:val="0"/>
                <w:sz w:val="22"/>
              </w:rPr>
              <w:br w:type="textWrapping"/>
            </w:r>
            <w:r>
              <w:rPr>
                <w:rFonts w:cs="宋体"/>
                <w:color w:val="000000"/>
                <w:kern w:val="0"/>
                <w:sz w:val="22"/>
              </w:rPr>
              <w:t>4.具有≥1路HDMI视频输入接口、≥1路HDMI视频输出接口、≥1路DP视频输出接口，以及≥2路网口、≥1路光纤接口。</w:t>
            </w:r>
            <w:r>
              <w:rPr>
                <w:rFonts w:cs="宋体"/>
                <w:color w:val="000000"/>
                <w:kern w:val="0"/>
                <w:sz w:val="22"/>
              </w:rPr>
              <w:br w:type="textWrapping"/>
            </w:r>
            <w:r>
              <w:rPr>
                <w:rFonts w:cs="宋体"/>
                <w:color w:val="000000"/>
                <w:kern w:val="0"/>
                <w:sz w:val="22"/>
              </w:rPr>
              <w:t>5.视频信号经过采集、编码、传输、解码、显示后，与原始图像对比延迟≤30ms。</w:t>
            </w:r>
            <w:r>
              <w:rPr>
                <w:rFonts w:cs="宋体"/>
                <w:color w:val="000000"/>
                <w:kern w:val="0"/>
                <w:sz w:val="22"/>
              </w:rPr>
              <w:br w:type="textWrapping"/>
            </w:r>
            <w:r>
              <w:rPr>
                <w:rFonts w:cs="宋体"/>
                <w:color w:val="000000"/>
                <w:kern w:val="0"/>
                <w:sz w:val="22"/>
              </w:rPr>
              <w:t>6.具备中控功能，具备独立的RS-485口、RS-232口、弱继电器口、IO口输出接口，支持自定义编程。</w:t>
            </w:r>
            <w:r>
              <w:rPr>
                <w:rFonts w:cs="宋体"/>
                <w:color w:val="000000"/>
                <w:kern w:val="0"/>
                <w:sz w:val="22"/>
              </w:rPr>
              <w:br w:type="textWrapping"/>
            </w:r>
            <w:r>
              <w:rPr>
                <w:rFonts w:cs="宋体"/>
                <w:color w:val="000000"/>
                <w:kern w:val="0"/>
                <w:sz w:val="22"/>
              </w:rPr>
              <w:t>7.支持网络丢包时修复机制，20%网络丢包时，音视频清晰流畅，无卡顿、无马赛克。（投标人需提供第三方权威机构检测报告证明）</w:t>
            </w:r>
            <w:r>
              <w:rPr>
                <w:rFonts w:cs="宋体"/>
                <w:color w:val="000000"/>
                <w:kern w:val="0"/>
                <w:sz w:val="22"/>
              </w:rPr>
              <w:br w:type="textWrapping"/>
            </w:r>
            <w:r>
              <w:rPr>
                <w:rFonts w:cs="宋体"/>
                <w:color w:val="000000"/>
                <w:kern w:val="0"/>
                <w:sz w:val="22"/>
              </w:rPr>
              <w:t>8.支持节点与节点之间可用网线串联，实现设备间通信。</w:t>
            </w:r>
            <w:r>
              <w:rPr>
                <w:rFonts w:cs="宋体"/>
                <w:color w:val="000000"/>
                <w:kern w:val="0"/>
                <w:sz w:val="22"/>
              </w:rPr>
              <w:br w:type="textWrapping"/>
            </w:r>
            <w:r>
              <w:rPr>
                <w:rFonts w:cs="宋体"/>
                <w:color w:val="000000"/>
                <w:kern w:val="0"/>
                <w:sz w:val="22"/>
              </w:rPr>
              <w:t>9.支持信号双网口备份功能，可通过≥2路网口实现当主链路传输异常时，自动切换至备链路传输，显示图像不受影响；当主链路恢复时，自动切换回主链路传输，切换过程用户无操作、无黑场。</w:t>
            </w:r>
            <w:r>
              <w:rPr>
                <w:rFonts w:cs="宋体"/>
                <w:color w:val="000000"/>
                <w:kern w:val="0"/>
                <w:sz w:val="22"/>
              </w:rPr>
              <w:br w:type="textWrapping"/>
            </w:r>
            <w:r>
              <w:rPr>
                <w:rFonts w:cs="宋体"/>
                <w:color w:val="000000"/>
                <w:kern w:val="0"/>
                <w:sz w:val="22"/>
              </w:rPr>
              <w:t>10.支持信号光网备份功能，可通过≥1路光口和1路网口实现当网络链路传输异常时，自动切换至光链路传输，显示图像不受影响；当网络链路恢复时，自动切换回网络链路传输，切换过程用户无操作、无黑场。</w:t>
            </w:r>
          </w:p>
        </w:tc>
        <w:tc>
          <w:tcPr>
            <w:tcW w:w="216" w:type="pct"/>
            <w:tcBorders>
              <w:top w:val="nil"/>
              <w:left w:val="nil"/>
              <w:bottom w:val="single" w:color="auto" w:sz="4" w:space="0"/>
              <w:right w:val="single" w:color="auto" w:sz="4" w:space="0"/>
            </w:tcBorders>
            <w:noWrap/>
            <w:vAlign w:val="center"/>
          </w:tcPr>
          <w:p w14:paraId="3A983523">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7C3B5C2C">
            <w:pPr>
              <w:widowControl/>
              <w:spacing w:line="240" w:lineRule="auto"/>
              <w:jc w:val="center"/>
              <w:rPr>
                <w:rFonts w:hint="eastAsia" w:cs="宋体"/>
                <w:color w:val="000000"/>
                <w:kern w:val="0"/>
                <w:sz w:val="22"/>
              </w:rPr>
            </w:pPr>
            <w:r>
              <w:rPr>
                <w:rFonts w:cs="宋体"/>
                <w:color w:val="000000"/>
                <w:kern w:val="0"/>
                <w:sz w:val="22"/>
              </w:rPr>
              <w:t>4</w:t>
            </w:r>
          </w:p>
        </w:tc>
      </w:tr>
      <w:tr w14:paraId="67FC00A6">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5C1E2D9D">
            <w:pPr>
              <w:widowControl/>
              <w:spacing w:line="240" w:lineRule="auto"/>
              <w:jc w:val="center"/>
              <w:rPr>
                <w:rFonts w:hint="eastAsia" w:cs="宋体"/>
                <w:color w:val="000000"/>
                <w:kern w:val="0"/>
                <w:sz w:val="22"/>
              </w:rPr>
            </w:pPr>
            <w:r>
              <w:rPr>
                <w:rFonts w:cs="宋体"/>
                <w:color w:val="000000"/>
                <w:kern w:val="0"/>
                <w:sz w:val="22"/>
              </w:rPr>
              <w:t>152</w:t>
            </w:r>
          </w:p>
        </w:tc>
        <w:tc>
          <w:tcPr>
            <w:tcW w:w="152" w:type="pct"/>
            <w:vMerge w:val="continue"/>
            <w:tcBorders>
              <w:top w:val="nil"/>
              <w:left w:val="single" w:color="auto" w:sz="4" w:space="0"/>
              <w:bottom w:val="single" w:color="000000" w:sz="4" w:space="0"/>
              <w:right w:val="single" w:color="auto" w:sz="4" w:space="0"/>
            </w:tcBorders>
            <w:vAlign w:val="center"/>
          </w:tcPr>
          <w:p w14:paraId="0CC8C258">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0CD46970">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4BDD9B65">
            <w:pPr>
              <w:widowControl/>
              <w:spacing w:line="240" w:lineRule="auto"/>
              <w:rPr>
                <w:rFonts w:hint="eastAsia" w:cs="宋体"/>
                <w:color w:val="000000"/>
                <w:kern w:val="0"/>
                <w:sz w:val="22"/>
              </w:rPr>
            </w:pPr>
            <w:r>
              <w:rPr>
                <w:rFonts w:cs="宋体"/>
                <w:color w:val="000000"/>
                <w:kern w:val="0"/>
                <w:sz w:val="22"/>
              </w:rPr>
              <w:t>1位散热机架</w:t>
            </w:r>
          </w:p>
        </w:tc>
        <w:tc>
          <w:tcPr>
            <w:tcW w:w="3643" w:type="pct"/>
            <w:tcBorders>
              <w:top w:val="nil"/>
              <w:left w:val="nil"/>
              <w:bottom w:val="single" w:color="auto" w:sz="4" w:space="0"/>
              <w:right w:val="single" w:color="auto" w:sz="4" w:space="0"/>
            </w:tcBorders>
            <w:vAlign w:val="center"/>
          </w:tcPr>
          <w:p w14:paraId="0F9F43E4">
            <w:pPr>
              <w:widowControl/>
              <w:spacing w:line="240" w:lineRule="auto"/>
              <w:rPr>
                <w:rFonts w:hint="eastAsia" w:cs="宋体"/>
                <w:color w:val="000000"/>
                <w:kern w:val="0"/>
                <w:sz w:val="22"/>
              </w:rPr>
            </w:pPr>
            <w:r>
              <w:rPr>
                <w:rFonts w:cs="宋体"/>
                <w:color w:val="000000"/>
                <w:kern w:val="0"/>
                <w:sz w:val="22"/>
              </w:rPr>
              <w:t>1.供电输入：110-240V 50-60Hz，具备1路DC12V@1.5A电源输出接口。</w:t>
            </w:r>
            <w:r>
              <w:rPr>
                <w:rFonts w:cs="宋体"/>
                <w:color w:val="000000"/>
                <w:kern w:val="0"/>
                <w:sz w:val="22"/>
              </w:rPr>
              <w:br w:type="textWrapping"/>
            </w:r>
            <w:r>
              <w:rPr>
                <w:rFonts w:cs="宋体"/>
                <w:color w:val="000000"/>
                <w:kern w:val="0"/>
                <w:sz w:val="22"/>
              </w:rPr>
              <w:t>2.1个终端安装卡位。</w:t>
            </w:r>
            <w:r>
              <w:rPr>
                <w:rFonts w:cs="宋体"/>
                <w:color w:val="000000"/>
                <w:kern w:val="0"/>
                <w:sz w:val="22"/>
              </w:rPr>
              <w:br w:type="textWrapping"/>
            </w:r>
            <w:r>
              <w:rPr>
                <w:rFonts w:cs="宋体"/>
                <w:color w:val="000000"/>
                <w:kern w:val="0"/>
                <w:sz w:val="22"/>
              </w:rPr>
              <w:t>3.风扇设计，良好散热，终端锁扣式固定方式。</w:t>
            </w:r>
          </w:p>
        </w:tc>
        <w:tc>
          <w:tcPr>
            <w:tcW w:w="216" w:type="pct"/>
            <w:tcBorders>
              <w:top w:val="nil"/>
              <w:left w:val="nil"/>
              <w:bottom w:val="single" w:color="auto" w:sz="4" w:space="0"/>
              <w:right w:val="single" w:color="auto" w:sz="4" w:space="0"/>
            </w:tcBorders>
            <w:noWrap/>
            <w:vAlign w:val="center"/>
          </w:tcPr>
          <w:p w14:paraId="6BFC3F44">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471411CF">
            <w:pPr>
              <w:widowControl/>
              <w:spacing w:line="240" w:lineRule="auto"/>
              <w:jc w:val="center"/>
              <w:rPr>
                <w:rFonts w:hint="eastAsia" w:cs="宋体"/>
                <w:color w:val="000000"/>
                <w:kern w:val="0"/>
                <w:sz w:val="22"/>
              </w:rPr>
            </w:pPr>
            <w:r>
              <w:rPr>
                <w:rFonts w:cs="宋体"/>
                <w:color w:val="000000"/>
                <w:kern w:val="0"/>
                <w:sz w:val="22"/>
              </w:rPr>
              <w:t>4</w:t>
            </w:r>
          </w:p>
        </w:tc>
      </w:tr>
      <w:tr w14:paraId="48980918">
        <w:tblPrEx>
          <w:tblCellMar>
            <w:top w:w="0" w:type="dxa"/>
            <w:left w:w="108" w:type="dxa"/>
            <w:bottom w:w="0" w:type="dxa"/>
            <w:right w:w="108" w:type="dxa"/>
          </w:tblCellMar>
        </w:tblPrEx>
        <w:trPr>
          <w:trHeight w:val="399" w:hRule="atLeast"/>
        </w:trPr>
        <w:tc>
          <w:tcPr>
            <w:tcW w:w="254" w:type="pct"/>
            <w:tcBorders>
              <w:top w:val="nil"/>
              <w:left w:val="single" w:color="auto" w:sz="4" w:space="0"/>
              <w:bottom w:val="single" w:color="auto" w:sz="4" w:space="0"/>
              <w:right w:val="single" w:color="auto" w:sz="4" w:space="0"/>
            </w:tcBorders>
            <w:noWrap/>
            <w:vAlign w:val="center"/>
          </w:tcPr>
          <w:p w14:paraId="49B1C0F6">
            <w:pPr>
              <w:widowControl/>
              <w:spacing w:line="240" w:lineRule="auto"/>
              <w:jc w:val="center"/>
              <w:rPr>
                <w:rFonts w:hint="eastAsia" w:cs="宋体"/>
                <w:color w:val="000000"/>
                <w:kern w:val="0"/>
                <w:sz w:val="22"/>
              </w:rPr>
            </w:pPr>
            <w:r>
              <w:rPr>
                <w:rFonts w:cs="宋体"/>
                <w:color w:val="000000"/>
                <w:kern w:val="0"/>
                <w:sz w:val="22"/>
              </w:rPr>
              <w:t>153</w:t>
            </w:r>
          </w:p>
        </w:tc>
        <w:tc>
          <w:tcPr>
            <w:tcW w:w="152" w:type="pct"/>
            <w:vMerge w:val="continue"/>
            <w:tcBorders>
              <w:top w:val="nil"/>
              <w:left w:val="single" w:color="auto" w:sz="4" w:space="0"/>
              <w:bottom w:val="single" w:color="000000" w:sz="4" w:space="0"/>
              <w:right w:val="single" w:color="auto" w:sz="4" w:space="0"/>
            </w:tcBorders>
            <w:vAlign w:val="center"/>
          </w:tcPr>
          <w:p w14:paraId="43448358">
            <w:pPr>
              <w:widowControl/>
              <w:spacing w:line="240" w:lineRule="auto"/>
              <w:rPr>
                <w:rFonts w:hint="eastAsia" w:cs="宋体"/>
                <w:color w:val="000000"/>
                <w:kern w:val="0"/>
                <w:sz w:val="22"/>
              </w:rPr>
            </w:pPr>
          </w:p>
        </w:tc>
        <w:tc>
          <w:tcPr>
            <w:tcW w:w="331" w:type="pct"/>
            <w:vMerge w:val="continue"/>
            <w:tcBorders>
              <w:top w:val="nil"/>
              <w:left w:val="single" w:color="auto" w:sz="4" w:space="0"/>
              <w:bottom w:val="single" w:color="000000" w:sz="4" w:space="0"/>
              <w:right w:val="single" w:color="auto" w:sz="4" w:space="0"/>
            </w:tcBorders>
            <w:vAlign w:val="center"/>
          </w:tcPr>
          <w:p w14:paraId="366FA8FA">
            <w:pPr>
              <w:widowControl/>
              <w:spacing w:line="240" w:lineRule="auto"/>
              <w:rPr>
                <w:rFonts w:hint="eastAsia" w:cs="宋体"/>
                <w:color w:val="000000"/>
                <w:kern w:val="0"/>
                <w:sz w:val="22"/>
              </w:rPr>
            </w:pPr>
          </w:p>
        </w:tc>
        <w:tc>
          <w:tcPr>
            <w:tcW w:w="202" w:type="pct"/>
            <w:tcBorders>
              <w:top w:val="nil"/>
              <w:left w:val="nil"/>
              <w:bottom w:val="single" w:color="auto" w:sz="4" w:space="0"/>
              <w:right w:val="single" w:color="auto" w:sz="4" w:space="0"/>
            </w:tcBorders>
            <w:vAlign w:val="center"/>
          </w:tcPr>
          <w:p w14:paraId="74B248C6">
            <w:pPr>
              <w:widowControl/>
              <w:spacing w:line="240" w:lineRule="auto"/>
              <w:rPr>
                <w:rFonts w:hint="eastAsia" w:cs="宋体"/>
                <w:color w:val="000000"/>
                <w:kern w:val="0"/>
                <w:sz w:val="22"/>
              </w:rPr>
            </w:pPr>
            <w:r>
              <w:rPr>
                <w:rFonts w:cs="宋体"/>
                <w:color w:val="000000"/>
                <w:kern w:val="0"/>
                <w:sz w:val="22"/>
              </w:rPr>
              <w:t>交换机</w:t>
            </w:r>
          </w:p>
        </w:tc>
        <w:tc>
          <w:tcPr>
            <w:tcW w:w="3643" w:type="pct"/>
            <w:tcBorders>
              <w:top w:val="nil"/>
              <w:left w:val="nil"/>
              <w:bottom w:val="single" w:color="auto" w:sz="4" w:space="0"/>
              <w:right w:val="single" w:color="auto" w:sz="4" w:space="0"/>
            </w:tcBorders>
            <w:vAlign w:val="center"/>
          </w:tcPr>
          <w:p w14:paraId="769EB87B">
            <w:pPr>
              <w:widowControl/>
              <w:spacing w:line="240" w:lineRule="auto"/>
              <w:rPr>
                <w:rFonts w:hint="eastAsia" w:cs="宋体"/>
                <w:color w:val="000000"/>
                <w:kern w:val="0"/>
                <w:sz w:val="22"/>
              </w:rPr>
            </w:pPr>
            <w:r>
              <w:rPr>
                <w:rFonts w:ascii="Times New Roman" w:hAnsi="Times New Roman" w:cs="Times New Roman"/>
                <w:color w:val="000000"/>
                <w:kern w:val="0"/>
                <w:sz w:val="22"/>
              </w:rPr>
              <w:t>‌</w:t>
            </w:r>
            <w:r>
              <w:rPr>
                <w:rFonts w:cs="宋体"/>
                <w:color w:val="000000"/>
                <w:kern w:val="0"/>
                <w:sz w:val="22"/>
              </w:rPr>
              <w:t>端口配置</w:t>
            </w:r>
            <w:r>
              <w:rPr>
                <w:rFonts w:ascii="Times New Roman" w:hAnsi="Times New Roman" w:cs="Times New Roman"/>
                <w:color w:val="000000"/>
                <w:kern w:val="0"/>
                <w:sz w:val="22"/>
              </w:rPr>
              <w:t>‌</w:t>
            </w:r>
            <w:r>
              <w:rPr>
                <w:rFonts w:cs="宋体"/>
                <w:color w:val="000000"/>
                <w:kern w:val="0"/>
                <w:sz w:val="22"/>
              </w:rPr>
              <w:t>：</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24个10/100/1000BASE-T电口</w:t>
            </w:r>
            <w:r>
              <w:rPr>
                <w:rFonts w:ascii="Times New Roman" w:hAnsi="Times New Roman" w:cs="Times New Roman"/>
                <w:color w:val="000000"/>
                <w:kern w:val="0"/>
                <w:sz w:val="22"/>
              </w:rPr>
              <w:t>‌</w:t>
            </w:r>
            <w:r>
              <w:rPr>
                <w:rFonts w:cs="宋体"/>
                <w:color w:val="000000"/>
                <w:kern w:val="0"/>
                <w:sz w:val="22"/>
              </w:rPr>
              <w:t>（RJ45）</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4个万兆SFP+光口</w:t>
            </w:r>
            <w:r>
              <w:rPr>
                <w:rFonts w:ascii="Times New Roman" w:hAnsi="Times New Roman" w:cs="Times New Roman"/>
                <w:color w:val="000000"/>
                <w:kern w:val="0"/>
                <w:sz w:val="22"/>
              </w:rPr>
              <w:t>‌</w:t>
            </w:r>
            <w:r>
              <w:rPr>
                <w:rFonts w:cs="宋体"/>
                <w:color w:val="000000"/>
                <w:kern w:val="0"/>
                <w:sz w:val="22"/>
              </w:rPr>
              <w:t>（10Gbps）</w:t>
            </w:r>
            <w:r>
              <w:rPr>
                <w:rFonts w:cs="宋体"/>
                <w:color w:val="000000"/>
                <w:kern w:val="0"/>
                <w:sz w:val="22"/>
              </w:rPr>
              <w:br w:type="textWrapping"/>
            </w:r>
            <w:r>
              <w:rPr>
                <w:rFonts w:cs="宋体"/>
                <w:color w:val="000000"/>
                <w:kern w:val="0"/>
                <w:sz w:val="22"/>
              </w:rPr>
              <w:t xml:space="preserve">总计 </w:t>
            </w:r>
            <w:r>
              <w:rPr>
                <w:rFonts w:ascii="Times New Roman" w:hAnsi="Times New Roman" w:cs="Times New Roman"/>
                <w:color w:val="000000"/>
                <w:kern w:val="0"/>
                <w:sz w:val="22"/>
              </w:rPr>
              <w:t>‌</w:t>
            </w:r>
            <w:r>
              <w:rPr>
                <w:rFonts w:cs="宋体"/>
                <w:color w:val="000000"/>
                <w:kern w:val="0"/>
                <w:sz w:val="22"/>
              </w:rPr>
              <w:t>28个业务端口</w:t>
            </w:r>
            <w:r>
              <w:rPr>
                <w:rFonts w:ascii="Times New Roman" w:hAnsi="Times New Roman" w:cs="Times New Roman"/>
                <w:color w:val="000000"/>
                <w:kern w:val="0"/>
                <w:sz w:val="22"/>
              </w:rPr>
              <w:t>‌</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传输速率</w:t>
            </w:r>
            <w:r>
              <w:rPr>
                <w:rFonts w:ascii="Times New Roman" w:hAnsi="Times New Roman" w:cs="Times New Roman"/>
                <w:color w:val="000000"/>
                <w:kern w:val="0"/>
                <w:sz w:val="22"/>
              </w:rPr>
              <w:t>‌</w:t>
            </w:r>
            <w:r>
              <w:rPr>
                <w:rFonts w:cs="宋体"/>
                <w:color w:val="000000"/>
                <w:kern w:val="0"/>
                <w:sz w:val="22"/>
              </w:rPr>
              <w:t>：电口支持10/100/1000Mbps，光口支持1/10Gbps</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交换容量</w:t>
            </w:r>
            <w:r>
              <w:rPr>
                <w:rFonts w:ascii="Times New Roman" w:hAnsi="Times New Roman" w:cs="Times New Roman"/>
                <w:color w:val="000000"/>
                <w:kern w:val="0"/>
                <w:sz w:val="22"/>
              </w:rPr>
              <w:t>‌</w:t>
            </w:r>
            <w:r>
              <w:rPr>
                <w:rFonts w:cs="宋体"/>
                <w:color w:val="000000"/>
                <w:kern w:val="0"/>
                <w:sz w:val="22"/>
              </w:rPr>
              <w:t>：</w:t>
            </w:r>
            <w:r>
              <w:rPr>
                <w:rFonts w:ascii="Times New Roman" w:hAnsi="Times New Roman" w:cs="Times New Roman"/>
                <w:color w:val="000000"/>
                <w:kern w:val="0"/>
                <w:sz w:val="22"/>
              </w:rPr>
              <w:t>‌</w:t>
            </w:r>
            <w:r>
              <w:rPr>
                <w:rFonts w:cs="宋体"/>
                <w:color w:val="000000"/>
                <w:kern w:val="0"/>
                <w:sz w:val="22"/>
              </w:rPr>
              <w:t>336Gbps / 3.36Tbps</w:t>
            </w:r>
            <w:r>
              <w:rPr>
                <w:rFonts w:ascii="Times New Roman" w:hAnsi="Times New Roman" w:cs="Times New Roman"/>
                <w:color w:val="000000"/>
                <w:kern w:val="0"/>
                <w:sz w:val="22"/>
              </w:rPr>
              <w:t>‌</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包转发率</w:t>
            </w:r>
            <w:r>
              <w:rPr>
                <w:rFonts w:ascii="Times New Roman" w:hAnsi="Times New Roman" w:cs="Times New Roman"/>
                <w:color w:val="000000"/>
                <w:kern w:val="0"/>
                <w:sz w:val="22"/>
              </w:rPr>
              <w:t>‌</w:t>
            </w:r>
            <w:r>
              <w:rPr>
                <w:rFonts w:cs="宋体"/>
                <w:color w:val="000000"/>
                <w:kern w:val="0"/>
                <w:sz w:val="22"/>
              </w:rPr>
              <w:t>：</w:t>
            </w:r>
            <w:r>
              <w:rPr>
                <w:rFonts w:ascii="Times New Roman" w:hAnsi="Times New Roman" w:cs="Times New Roman"/>
                <w:color w:val="000000"/>
                <w:kern w:val="0"/>
                <w:sz w:val="22"/>
              </w:rPr>
              <w:t>‌</w:t>
            </w:r>
            <w:r>
              <w:rPr>
                <w:rFonts w:cs="宋体"/>
                <w:color w:val="000000"/>
                <w:kern w:val="0"/>
                <w:sz w:val="22"/>
              </w:rPr>
              <w:t>108Mpps / 126Mpps</w:t>
            </w:r>
            <w:r>
              <w:rPr>
                <w:rFonts w:ascii="Times New Roman" w:hAnsi="Times New Roman" w:cs="Times New Roman"/>
                <w:color w:val="000000"/>
                <w:kern w:val="0"/>
                <w:sz w:val="22"/>
              </w:rPr>
              <w:t>‌</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堆叠功能</w:t>
            </w:r>
            <w:r>
              <w:rPr>
                <w:rFonts w:ascii="Times New Roman" w:hAnsi="Times New Roman" w:cs="Times New Roman"/>
                <w:color w:val="000000"/>
                <w:kern w:val="0"/>
                <w:sz w:val="22"/>
              </w:rPr>
              <w:t>‌</w:t>
            </w:r>
            <w:r>
              <w:rPr>
                <w:rFonts w:cs="宋体"/>
                <w:color w:val="000000"/>
                <w:kern w:val="0"/>
                <w:sz w:val="22"/>
              </w:rPr>
              <w:t>：支持智能堆叠（iStack），实现多台设备虚拟化统一管理</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VLAN支持</w:t>
            </w:r>
            <w:r>
              <w:rPr>
                <w:rFonts w:ascii="Times New Roman" w:hAnsi="Times New Roman" w:cs="Times New Roman"/>
                <w:color w:val="000000"/>
                <w:kern w:val="0"/>
                <w:sz w:val="22"/>
              </w:rPr>
              <w:t>‌</w:t>
            </w:r>
            <w:r>
              <w:rPr>
                <w:rFonts w:cs="宋体"/>
                <w:color w:val="000000"/>
                <w:kern w:val="0"/>
                <w:sz w:val="22"/>
              </w:rPr>
              <w:t>：支持4K VLAN、Guest VLAN、Voice VLAN、GVRP、MUX VLAN、VLAN Mapping</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QoS功能</w:t>
            </w:r>
            <w:r>
              <w:rPr>
                <w:rFonts w:ascii="Times New Roman" w:hAnsi="Times New Roman" w:cs="Times New Roman"/>
                <w:color w:val="000000"/>
                <w:kern w:val="0"/>
                <w:sz w:val="22"/>
              </w:rPr>
              <w:t>‌</w:t>
            </w:r>
            <w:r>
              <w:rPr>
                <w:rFonts w:cs="宋体"/>
                <w:color w:val="000000"/>
                <w:kern w:val="0"/>
                <w:sz w:val="22"/>
              </w:rPr>
              <w:t>：支持端口速率限制、双速三色CAR、8个队列调度（WRR/DRR/SP）、优先级重标记、L2-L4包过滤</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组播管理</w:t>
            </w:r>
            <w:r>
              <w:rPr>
                <w:rFonts w:ascii="Times New Roman" w:hAnsi="Times New Roman" w:cs="Times New Roman"/>
                <w:color w:val="000000"/>
                <w:kern w:val="0"/>
                <w:sz w:val="22"/>
              </w:rPr>
              <w:t>‌</w:t>
            </w:r>
            <w:r>
              <w:rPr>
                <w:rFonts w:cs="宋体"/>
                <w:color w:val="000000"/>
                <w:kern w:val="0"/>
                <w:sz w:val="22"/>
              </w:rPr>
              <w:t>：支持PIM DM/SM/SSM、IGMP v1/v2/v3 Snooping、MLD v1/v2 Snooping、可控组播</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网络管理</w:t>
            </w:r>
            <w:r>
              <w:rPr>
                <w:rFonts w:ascii="Times New Roman" w:hAnsi="Times New Roman" w:cs="Times New Roman"/>
                <w:color w:val="000000"/>
                <w:kern w:val="0"/>
                <w:sz w:val="22"/>
              </w:rPr>
              <w:t>‌</w:t>
            </w:r>
            <w:r>
              <w:rPr>
                <w:rFonts w:cs="宋体"/>
                <w:color w:val="000000"/>
                <w:kern w:val="0"/>
                <w:sz w:val="22"/>
              </w:rPr>
              <w:t>：</w:t>
            </w:r>
            <w:r>
              <w:rPr>
                <w:rFonts w:cs="宋体"/>
                <w:color w:val="000000"/>
                <w:kern w:val="0"/>
                <w:sz w:val="22"/>
              </w:rPr>
              <w:br w:type="textWrapping"/>
            </w:r>
            <w:r>
              <w:rPr>
                <w:rFonts w:cs="宋体"/>
                <w:color w:val="000000"/>
                <w:kern w:val="0"/>
                <w:sz w:val="22"/>
              </w:rPr>
              <w:t>支持Netconf/Yang、SNMPv1/v2/v3、RMON</w:t>
            </w:r>
            <w:r>
              <w:rPr>
                <w:rFonts w:cs="宋体"/>
                <w:color w:val="000000"/>
                <w:kern w:val="0"/>
                <w:sz w:val="22"/>
              </w:rPr>
              <w:br w:type="textWrapping"/>
            </w:r>
            <w:r>
              <w:rPr>
                <w:rFonts w:cs="宋体"/>
                <w:color w:val="000000"/>
                <w:kern w:val="0"/>
                <w:sz w:val="22"/>
              </w:rPr>
              <w:t>支持Telnet、Web网管、HTTPS</w:t>
            </w:r>
            <w:r>
              <w:rPr>
                <w:rFonts w:cs="宋体"/>
                <w:color w:val="000000"/>
                <w:kern w:val="0"/>
                <w:sz w:val="22"/>
              </w:rPr>
              <w:br w:type="textWrapping"/>
            </w:r>
            <w:r>
              <w:rPr>
                <w:rFonts w:cs="宋体"/>
                <w:color w:val="000000"/>
                <w:kern w:val="0"/>
                <w:sz w:val="22"/>
              </w:rPr>
              <w:t>支持LLDP/LLDP-MED、eSight网管系统</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安全管理</w:t>
            </w:r>
            <w:r>
              <w:rPr>
                <w:rFonts w:ascii="Times New Roman" w:hAnsi="Times New Roman" w:cs="Times New Roman"/>
                <w:color w:val="000000"/>
                <w:kern w:val="0"/>
                <w:sz w:val="22"/>
              </w:rPr>
              <w:t>‌</w:t>
            </w:r>
            <w:r>
              <w:rPr>
                <w:rFonts w:cs="宋体"/>
                <w:color w:val="000000"/>
                <w:kern w:val="0"/>
                <w:sz w:val="22"/>
              </w:rPr>
              <w:t>：</w:t>
            </w:r>
            <w:r>
              <w:rPr>
                <w:rFonts w:cs="宋体"/>
                <w:color w:val="000000"/>
                <w:kern w:val="0"/>
                <w:sz w:val="22"/>
              </w:rPr>
              <w:br w:type="textWrapping"/>
            </w:r>
            <w:r>
              <w:rPr>
                <w:rFonts w:cs="宋体"/>
                <w:color w:val="000000"/>
                <w:kern w:val="0"/>
                <w:sz w:val="22"/>
              </w:rPr>
              <w:t>支持IEEE 802.1X认证、Portal认证、AAA（Radius/HWTACACS/NAC）</w:t>
            </w:r>
            <w:r>
              <w:rPr>
                <w:rFonts w:cs="宋体"/>
                <w:color w:val="000000"/>
                <w:kern w:val="0"/>
                <w:sz w:val="22"/>
              </w:rPr>
              <w:br w:type="textWrapping"/>
            </w:r>
            <w:r>
              <w:rPr>
                <w:rFonts w:cs="宋体"/>
                <w:color w:val="000000"/>
                <w:kern w:val="0"/>
                <w:sz w:val="22"/>
              </w:rPr>
              <w:t>支持防DOS、ARP、ICMP攻击</w:t>
            </w:r>
            <w:r>
              <w:rPr>
                <w:rFonts w:cs="宋体"/>
                <w:color w:val="000000"/>
                <w:kern w:val="0"/>
                <w:sz w:val="22"/>
              </w:rPr>
              <w:br w:type="textWrapping"/>
            </w:r>
            <w:r>
              <w:rPr>
                <w:rFonts w:cs="宋体"/>
                <w:color w:val="000000"/>
                <w:kern w:val="0"/>
                <w:sz w:val="22"/>
              </w:rPr>
              <w:t>支持IP/MAC/端口/VLAN绑定、端口隔离、Sticky MAC、黑洞MAC</w:t>
            </w:r>
            <w:r>
              <w:rPr>
                <w:rFonts w:cs="宋体"/>
                <w:color w:val="000000"/>
                <w:kern w:val="0"/>
                <w:sz w:val="22"/>
              </w:rPr>
              <w:br w:type="textWrapping"/>
            </w:r>
            <w:r>
              <w:rPr>
                <w:rFonts w:cs="宋体"/>
                <w:color w:val="000000"/>
                <w:kern w:val="0"/>
                <w:sz w:val="22"/>
              </w:rPr>
              <w:t>支持SSH V2.0、HTTPS、CPU保护、黑白名单</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DHCP服务</w:t>
            </w:r>
            <w:r>
              <w:rPr>
                <w:rFonts w:ascii="Times New Roman" w:hAnsi="Times New Roman" w:cs="Times New Roman"/>
                <w:color w:val="000000"/>
                <w:kern w:val="0"/>
                <w:sz w:val="22"/>
              </w:rPr>
              <w:t>‌</w:t>
            </w:r>
            <w:r>
              <w:rPr>
                <w:rFonts w:cs="宋体"/>
                <w:color w:val="000000"/>
                <w:kern w:val="0"/>
                <w:sz w:val="22"/>
              </w:rPr>
              <w:t>：支持DHCP Relay/Server/Snooping（IPv4/IPv6）</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电源与散热</w:t>
            </w:r>
            <w:r>
              <w:rPr>
                <w:rFonts w:ascii="Times New Roman" w:hAnsi="Times New Roman" w:cs="Times New Roman"/>
                <w:color w:val="000000"/>
                <w:kern w:val="0"/>
                <w:sz w:val="22"/>
              </w:rPr>
              <w:t>‌</w:t>
            </w:r>
            <w:r>
              <w:rPr>
                <w:rFonts w:cs="宋体"/>
                <w:color w:val="000000"/>
                <w:kern w:val="0"/>
                <w:sz w:val="22"/>
              </w:rPr>
              <w:t>：</w:t>
            </w:r>
            <w:r>
              <w:rPr>
                <w:rFonts w:cs="宋体"/>
                <w:color w:val="000000"/>
                <w:kern w:val="0"/>
                <w:sz w:val="22"/>
              </w:rPr>
              <w:br w:type="textWrapping"/>
            </w:r>
            <w:r>
              <w:rPr>
                <w:rFonts w:cs="宋体"/>
                <w:color w:val="000000"/>
                <w:kern w:val="0"/>
                <w:sz w:val="22"/>
              </w:rPr>
              <w:t>电源类型：60W/150W 可拔插交流电源 或 180W 可插拔直流电源</w:t>
            </w:r>
            <w:r>
              <w:rPr>
                <w:rFonts w:cs="宋体"/>
                <w:color w:val="000000"/>
                <w:kern w:val="0"/>
                <w:sz w:val="22"/>
              </w:rPr>
              <w:br w:type="textWrapping"/>
            </w:r>
            <w:r>
              <w:rPr>
                <w:rFonts w:cs="宋体"/>
                <w:color w:val="000000"/>
                <w:kern w:val="0"/>
                <w:sz w:val="22"/>
              </w:rPr>
              <w:t>散热方式：风冷散热，智能调速</w:t>
            </w:r>
          </w:p>
        </w:tc>
        <w:tc>
          <w:tcPr>
            <w:tcW w:w="216" w:type="pct"/>
            <w:tcBorders>
              <w:top w:val="nil"/>
              <w:left w:val="nil"/>
              <w:bottom w:val="single" w:color="auto" w:sz="4" w:space="0"/>
              <w:right w:val="single" w:color="auto" w:sz="4" w:space="0"/>
            </w:tcBorders>
            <w:noWrap/>
            <w:vAlign w:val="center"/>
          </w:tcPr>
          <w:p w14:paraId="42183DE5">
            <w:pPr>
              <w:widowControl/>
              <w:spacing w:line="240" w:lineRule="auto"/>
              <w:jc w:val="center"/>
              <w:rPr>
                <w:rFonts w:hint="eastAsia" w:cs="宋体"/>
                <w:color w:val="000000"/>
                <w:kern w:val="0"/>
                <w:sz w:val="22"/>
              </w:rPr>
            </w:pPr>
            <w:r>
              <w:rPr>
                <w:rFonts w:cs="宋体"/>
                <w:color w:val="000000"/>
                <w:kern w:val="0"/>
                <w:sz w:val="22"/>
              </w:rPr>
              <w:t>台</w:t>
            </w:r>
          </w:p>
        </w:tc>
        <w:tc>
          <w:tcPr>
            <w:tcW w:w="202" w:type="pct"/>
            <w:tcBorders>
              <w:top w:val="nil"/>
              <w:left w:val="nil"/>
              <w:bottom w:val="single" w:color="auto" w:sz="4" w:space="0"/>
              <w:right w:val="single" w:color="auto" w:sz="4" w:space="0"/>
            </w:tcBorders>
            <w:vAlign w:val="center"/>
          </w:tcPr>
          <w:p w14:paraId="370B53BB">
            <w:pPr>
              <w:widowControl/>
              <w:spacing w:line="240" w:lineRule="auto"/>
              <w:jc w:val="center"/>
              <w:rPr>
                <w:rFonts w:hint="eastAsia" w:cs="宋体"/>
                <w:color w:val="000000"/>
                <w:kern w:val="0"/>
                <w:sz w:val="22"/>
              </w:rPr>
            </w:pPr>
            <w:r>
              <w:rPr>
                <w:rFonts w:cs="宋体"/>
                <w:color w:val="000000"/>
                <w:kern w:val="0"/>
                <w:sz w:val="22"/>
              </w:rPr>
              <w:t>4</w:t>
            </w:r>
          </w:p>
        </w:tc>
      </w:tr>
    </w:tbl>
    <w:p w14:paraId="045F0D9C">
      <w:pPr>
        <w:rPr>
          <w:rFonts w:hint="eastAsia"/>
        </w:rPr>
        <w:sectPr>
          <w:pgSz w:w="11906" w:h="16838"/>
          <w:pgMar w:top="1440" w:right="1800" w:bottom="1440" w:left="1800" w:header="851" w:footer="992" w:gutter="0"/>
          <w:pgNumType w:fmt="numberInDash"/>
          <w:cols w:space="425" w:num="1"/>
          <w:docGrid w:type="lines" w:linePitch="312" w:charSpace="0"/>
        </w:sectPr>
      </w:pPr>
    </w:p>
    <w:p w14:paraId="4D99C0C9">
      <w:pPr>
        <w:pStyle w:val="4"/>
        <w:spacing w:before="60" w:after="60" w:line="360" w:lineRule="auto"/>
        <w:ind w:left="420" w:hanging="420"/>
        <w:rPr>
          <w:rFonts w:hint="eastAsia" w:ascii="宋体" w:hAnsi="宋体" w:cs="宋体"/>
          <w:sz w:val="28"/>
          <w:szCs w:val="28"/>
        </w:rPr>
      </w:pPr>
      <w:bookmarkStart w:id="303" w:name="_Toc21930"/>
      <w:r>
        <w:rPr>
          <w:rFonts w:hint="eastAsia" w:ascii="宋体" w:hAnsi="宋体" w:cs="宋体"/>
          <w:sz w:val="28"/>
          <w:szCs w:val="28"/>
        </w:rPr>
        <w:t>二、项目要求</w:t>
      </w:r>
      <w:bookmarkEnd w:id="303"/>
    </w:p>
    <w:p w14:paraId="1E85B1D1">
      <w:pPr>
        <w:spacing w:line="440" w:lineRule="exact"/>
        <w:ind w:firstLine="480" w:firstLineChars="200"/>
        <w:rPr>
          <w:rFonts w:hint="eastAsia" w:ascii="仿宋" w:hAnsi="仿宋" w:eastAsia="仿宋" w:cs="仿宋"/>
        </w:rPr>
      </w:pPr>
      <w:r>
        <w:rPr>
          <w:rFonts w:hint="eastAsia" w:ascii="仿宋" w:hAnsi="仿宋" w:eastAsia="仿宋" w:cs="仿宋"/>
        </w:rPr>
        <w:t>1、本项目采购货物均为国产，所投产品需详细填写名称、品牌、制造商等，技术规格偏离表不允许把招标文件中的技术参数完全进行复制粘贴（定制产品除外），投标产品技术参数必须据实填写并详细对比阐述，技术参数完全进行复制粘贴的视为不响应招标文件，做废标处理。在评标过程直至签订合同前的任何时间，如经证实发现投标人提供虚假投标资料或信息骗取中标的，或者投标的产品不符合本招标文件要求的技术指标却故意隐瞒不做负偏离说明的，将取消其中标资格，没收其投标保证金，并报主管部门备案。</w:t>
      </w:r>
    </w:p>
    <w:p w14:paraId="0A036DC1">
      <w:pPr>
        <w:spacing w:line="440" w:lineRule="exact"/>
        <w:ind w:firstLine="482" w:firstLineChars="200"/>
        <w:rPr>
          <w:rFonts w:hint="eastAsia" w:ascii="仿宋" w:hAnsi="仿宋" w:eastAsia="仿宋" w:cs="仿宋"/>
        </w:rPr>
      </w:pPr>
      <w:r>
        <w:rPr>
          <w:rFonts w:hint="eastAsia" w:ascii="仿宋" w:hAnsi="仿宋" w:eastAsia="仿宋" w:cs="仿宋"/>
          <w:b/>
          <w:bCs/>
        </w:rPr>
        <w:t>2、报价要求：投标人的报价应包含为完成本招标文件提出的货物或服务等全部相关工作所有可能发生的费用，包括供货、包装、运输、装卸、税费以及开箱验收、安装、调试、售后服务、质保期服务等全部费用对在合同实施过程中可能发生的其他费用，采购人概不负责。对本文件未列明，而投标人认为必需的费用也需列入投标总报价。在合同实施时，采购人将不予支付中标人没有列入的项目费用，并认为此项目的费用已包含在投标总报价中。</w:t>
      </w:r>
    </w:p>
    <w:p w14:paraId="40963BE3">
      <w:pPr>
        <w:spacing w:line="440" w:lineRule="exact"/>
        <w:ind w:firstLine="480" w:firstLineChars="200"/>
        <w:rPr>
          <w:rFonts w:hint="eastAsia" w:ascii="仿宋" w:hAnsi="仿宋" w:eastAsia="仿宋" w:cs="仿宋"/>
        </w:rPr>
      </w:pPr>
      <w:r>
        <w:rPr>
          <w:rFonts w:hint="eastAsia" w:ascii="仿宋" w:hAnsi="仿宋" w:eastAsia="仿宋" w:cs="仿宋"/>
        </w:rPr>
        <w:t>3、投标人须提供详细可行的项目实施方案。供应商结合项目实际情况制定项目实施方案，同时，为保证项目能够保质保量按时完成，投标人需配备不少于3人的专业技术团队，专业技术团队至少一名项目负责人保障实施。</w:t>
      </w:r>
    </w:p>
    <w:p w14:paraId="5E8444D6">
      <w:pPr>
        <w:spacing w:line="440" w:lineRule="exact"/>
        <w:ind w:firstLine="480" w:firstLineChars="200"/>
        <w:rPr>
          <w:rFonts w:hint="eastAsia" w:ascii="仿宋" w:hAnsi="仿宋" w:eastAsia="仿宋" w:cs="仿宋"/>
        </w:rPr>
      </w:pPr>
      <w:r>
        <w:rPr>
          <w:rFonts w:hint="eastAsia" w:ascii="仿宋" w:hAnsi="仿宋" w:eastAsia="仿宋" w:cs="仿宋"/>
        </w:rPr>
        <w:t>4.包装要求</w:t>
      </w:r>
    </w:p>
    <w:p w14:paraId="1351A9A0">
      <w:pPr>
        <w:spacing w:line="440" w:lineRule="exact"/>
        <w:ind w:firstLine="480" w:firstLineChars="200"/>
        <w:rPr>
          <w:rFonts w:hint="eastAsia" w:ascii="仿宋" w:hAnsi="仿宋" w:eastAsia="仿宋" w:cs="仿宋"/>
        </w:rPr>
      </w:pPr>
      <w:r>
        <w:rPr>
          <w:rFonts w:hint="eastAsia" w:ascii="仿宋" w:hAnsi="仿宋" w:eastAsia="仿宋" w:cs="仿宋"/>
        </w:rPr>
        <w:t>供方应提供货物服务运至合同规定的最终目的地所需要的包装，以防止货物在转运中损坏。这类包装应采取防潮、防晒、防锈、防腐蚀、防震动及防止其它损坏的必要保护措施，从而保护货物能够经受多次搬运、装卸和内陆的长途运输。供方应承担由于其包装或其防护措施不妥而引起货物锈蚀、损坏和丢失的任何损失的责任或费用。</w:t>
      </w:r>
    </w:p>
    <w:p w14:paraId="3EE51779">
      <w:pPr>
        <w:spacing w:line="440" w:lineRule="exact"/>
        <w:ind w:firstLine="482" w:firstLineChars="200"/>
        <w:rPr>
          <w:rFonts w:hint="eastAsia" w:ascii="仿宋" w:hAnsi="仿宋" w:eastAsia="仿宋" w:cs="仿宋"/>
          <w:b/>
          <w:bCs/>
        </w:rPr>
      </w:pPr>
      <w:r>
        <w:rPr>
          <w:rFonts w:hint="eastAsia" w:ascii="仿宋" w:hAnsi="仿宋" w:eastAsia="仿宋" w:cs="仿宋"/>
          <w:b/>
          <w:bCs/>
        </w:rPr>
        <w:t>5.商务要求：</w:t>
      </w:r>
    </w:p>
    <w:p w14:paraId="75C24735">
      <w:pPr>
        <w:pStyle w:val="9"/>
        <w:spacing w:before="75" w:after="75" w:line="440" w:lineRule="exact"/>
        <w:ind w:firstLine="482" w:firstLineChars="200"/>
        <w:rPr>
          <w:rFonts w:hint="eastAsia" w:ascii="仿宋" w:hAnsi="仿宋" w:eastAsia="仿宋" w:cs="仿宋"/>
          <w:b/>
          <w:bCs/>
        </w:rPr>
      </w:pPr>
      <w:r>
        <w:rPr>
          <w:rFonts w:hint="eastAsia" w:ascii="仿宋" w:hAnsi="仿宋" w:eastAsia="仿宋" w:cs="仿宋"/>
          <w:b/>
          <w:bCs/>
        </w:rPr>
        <w:t>（1）实施（供货）期：</w:t>
      </w:r>
    </w:p>
    <w:p w14:paraId="3932BCAF">
      <w:pPr>
        <w:spacing w:line="440" w:lineRule="exact"/>
        <w:ind w:firstLine="480" w:firstLineChars="200"/>
        <w:rPr>
          <w:rFonts w:hint="eastAsia" w:ascii="仿宋" w:hAnsi="仿宋" w:eastAsia="仿宋" w:cs="仿宋"/>
        </w:rPr>
      </w:pPr>
      <w:r>
        <w:rPr>
          <w:rFonts w:hint="eastAsia" w:ascii="仿宋" w:hAnsi="仿宋" w:eastAsia="仿宋" w:cs="仿宋"/>
        </w:rPr>
        <w:t>签订合同后30天内供货，120天内安装、调试及验收。</w:t>
      </w:r>
    </w:p>
    <w:p w14:paraId="6A7D45EF">
      <w:pPr>
        <w:spacing w:line="440" w:lineRule="exact"/>
        <w:ind w:firstLine="482" w:firstLineChars="200"/>
        <w:rPr>
          <w:rFonts w:hint="eastAsia" w:ascii="仿宋" w:hAnsi="仿宋" w:eastAsia="仿宋" w:cs="仿宋"/>
          <w:b/>
          <w:bCs/>
          <w:kern w:val="0"/>
        </w:rPr>
      </w:pPr>
      <w:r>
        <w:rPr>
          <w:rFonts w:hint="eastAsia" w:ascii="仿宋" w:hAnsi="仿宋" w:eastAsia="仿宋" w:cs="仿宋"/>
          <w:b/>
          <w:bCs/>
          <w:kern w:val="0"/>
        </w:rPr>
        <w:t>（2）实施（交货）地点：</w:t>
      </w:r>
    </w:p>
    <w:p w14:paraId="62F0E326">
      <w:pPr>
        <w:spacing w:line="440" w:lineRule="exact"/>
        <w:ind w:firstLine="480" w:firstLineChars="200"/>
        <w:rPr>
          <w:rFonts w:hint="eastAsia" w:ascii="仿宋" w:hAnsi="仿宋" w:eastAsia="仿宋" w:cs="仿宋"/>
        </w:rPr>
      </w:pPr>
      <w:r>
        <w:rPr>
          <w:rFonts w:hint="eastAsia" w:ascii="仿宋" w:hAnsi="仿宋" w:eastAsia="仿宋" w:cs="仿宋"/>
        </w:rPr>
        <w:t>甲方指定地点（项目实施地点）。</w:t>
      </w:r>
    </w:p>
    <w:p w14:paraId="4E471646">
      <w:pPr>
        <w:spacing w:line="440" w:lineRule="exact"/>
        <w:ind w:left="480" w:leftChars="200"/>
        <w:rPr>
          <w:rFonts w:hint="eastAsia" w:ascii="仿宋" w:hAnsi="仿宋" w:eastAsia="仿宋" w:cs="仿宋"/>
          <w:b/>
          <w:bCs/>
          <w:kern w:val="0"/>
        </w:rPr>
      </w:pPr>
      <w:r>
        <w:rPr>
          <w:rFonts w:hint="eastAsia" w:ascii="仿宋" w:hAnsi="仿宋" w:eastAsia="仿宋" w:cs="仿宋"/>
          <w:b/>
          <w:bCs/>
          <w:kern w:val="0"/>
        </w:rPr>
        <w:t>（3）质保要求</w:t>
      </w:r>
    </w:p>
    <w:p w14:paraId="182E63BC">
      <w:pPr>
        <w:spacing w:line="440" w:lineRule="exact"/>
        <w:ind w:firstLine="480" w:firstLineChars="200"/>
        <w:rPr>
          <w:rFonts w:hint="eastAsia" w:ascii="仿宋" w:hAnsi="仿宋" w:eastAsia="仿宋" w:cs="仿宋"/>
        </w:rPr>
      </w:pPr>
      <w:r>
        <w:rPr>
          <w:rFonts w:ascii="Calibri" w:hAnsi="Calibri" w:eastAsia="仿宋" w:cs="Calibri"/>
          <w:color w:val="000000"/>
        </w:rPr>
        <w:t>①</w:t>
      </w:r>
      <w:r>
        <w:rPr>
          <w:rFonts w:hint="eastAsia" w:ascii="仿宋" w:hAnsi="仿宋" w:eastAsia="仿宋" w:cs="仿宋"/>
          <w:color w:val="000000"/>
        </w:rPr>
        <w:t>质保期：3年。</w:t>
      </w:r>
      <w:r>
        <w:rPr>
          <w:rFonts w:hint="eastAsia" w:ascii="仿宋" w:hAnsi="仿宋" w:eastAsia="仿宋" w:cs="仿宋"/>
          <w:b/>
          <w:bCs/>
          <w:color w:val="000000"/>
        </w:rPr>
        <w:t>（注：文件内所有产品在参数项未填写质保期的按三年计算，参数填写质保期的按照参数要求计算）</w:t>
      </w:r>
    </w:p>
    <w:p w14:paraId="46B4D0C7">
      <w:pPr>
        <w:spacing w:line="440" w:lineRule="exact"/>
        <w:ind w:firstLine="480" w:firstLineChars="200"/>
        <w:rPr>
          <w:rFonts w:hint="eastAsia" w:ascii="仿宋" w:hAnsi="仿宋" w:eastAsia="仿宋" w:cs="仿宋"/>
        </w:rPr>
      </w:pPr>
      <w:r>
        <w:rPr>
          <w:rFonts w:ascii="Calibri" w:hAnsi="Calibri" w:eastAsia="仿宋" w:cs="Calibri"/>
        </w:rPr>
        <w:t>②</w:t>
      </w:r>
      <w:r>
        <w:rPr>
          <w:rFonts w:hint="eastAsia" w:ascii="仿宋" w:hAnsi="仿宋" w:eastAsia="仿宋" w:cs="仿宋"/>
        </w:rPr>
        <w:t>采购人正常使用供应商所供产品而出现质量问题时，供应商负责。产品使用：采购人在使用供应商所供产品中出现问题需供应商解决时，供应商应无偿解决（退换货）。在规定的质量保证期内，供应商应对任何缺陷负责，若出现质量问题，免费负责更换新的产品，造成的损失采购人保留索赔的权利。</w:t>
      </w:r>
    </w:p>
    <w:p w14:paraId="21BA45F3">
      <w:pPr>
        <w:spacing w:line="440" w:lineRule="exact"/>
        <w:ind w:left="480" w:leftChars="200"/>
        <w:rPr>
          <w:rFonts w:hint="eastAsia" w:ascii="仿宋" w:hAnsi="仿宋" w:eastAsia="仿宋" w:cs="仿宋"/>
          <w:b/>
          <w:bCs/>
          <w:kern w:val="0"/>
        </w:rPr>
      </w:pPr>
      <w:r>
        <w:rPr>
          <w:rFonts w:hint="eastAsia" w:ascii="仿宋" w:hAnsi="仿宋" w:eastAsia="仿宋" w:cs="仿宋"/>
          <w:b/>
          <w:bCs/>
          <w:kern w:val="0"/>
        </w:rPr>
        <w:t>6.质保服务、理赔、质量技术及验收保证的承诺</w:t>
      </w:r>
    </w:p>
    <w:p w14:paraId="021A4516">
      <w:pPr>
        <w:spacing w:line="440" w:lineRule="exact"/>
        <w:ind w:firstLine="480" w:firstLineChars="200"/>
        <w:rPr>
          <w:rFonts w:hint="eastAsia" w:ascii="仿宋" w:hAnsi="仿宋" w:eastAsia="仿宋" w:cs="仿宋"/>
        </w:rPr>
      </w:pPr>
      <w:r>
        <w:rPr>
          <w:rFonts w:hint="eastAsia" w:ascii="仿宋" w:hAnsi="仿宋" w:eastAsia="仿宋" w:cs="仿宋"/>
        </w:rPr>
        <w:t>（1）质保服务</w:t>
      </w:r>
    </w:p>
    <w:p w14:paraId="44D90D3F">
      <w:pPr>
        <w:spacing w:line="440" w:lineRule="exact"/>
        <w:ind w:firstLine="480" w:firstLineChars="200"/>
        <w:rPr>
          <w:rFonts w:hint="eastAsia" w:ascii="仿宋" w:hAnsi="仿宋" w:eastAsia="仿宋" w:cs="仿宋"/>
        </w:rPr>
      </w:pPr>
      <w:r>
        <w:rPr>
          <w:rFonts w:hint="eastAsia" w:ascii="仿宋" w:hAnsi="仿宋" w:eastAsia="仿宋" w:cs="仿宋"/>
        </w:rPr>
        <w:t>1.1产品质量：在合同期内，甲方正常使用乙方所供产品而出现质量问题时，乙方负责。产品使用：甲方在使用乙方所供产品中出现问题需乙方解决时，乙方应无偿解决（退换货）。</w:t>
      </w:r>
    </w:p>
    <w:p w14:paraId="55DE02D4">
      <w:pPr>
        <w:spacing w:line="440" w:lineRule="exact"/>
        <w:ind w:firstLine="480" w:firstLineChars="200"/>
        <w:rPr>
          <w:rFonts w:hint="eastAsia" w:ascii="仿宋" w:hAnsi="仿宋" w:eastAsia="仿宋" w:cs="仿宋"/>
        </w:rPr>
      </w:pPr>
      <w:r>
        <w:rPr>
          <w:rFonts w:hint="eastAsia" w:ascii="仿宋" w:hAnsi="仿宋" w:eastAsia="仿宋" w:cs="仿宋"/>
        </w:rPr>
        <w:t>1.2</w:t>
      </w:r>
      <w:r>
        <w:rPr>
          <w:rFonts w:hint="eastAsia" w:ascii="仿宋" w:hAnsi="仿宋" w:eastAsia="仿宋" w:cs="仿宋"/>
          <w:b/>
          <w:bCs/>
        </w:rPr>
        <w:t>投标人需制定详细的售后服务实施方案。</w:t>
      </w:r>
      <w:r>
        <w:rPr>
          <w:rFonts w:hint="eastAsia" w:ascii="仿宋" w:hAnsi="仿宋" w:eastAsia="仿宋" w:cs="仿宋"/>
        </w:rPr>
        <w:t>质保期内，设备出现故障，提供7*24小时售后服务；出现使用故障必须保证，7*24小时随时响应，在12小时内远程响应解决，24小时内形成解决方案并委派工程师到设备使用地点进行处理。</w:t>
      </w:r>
    </w:p>
    <w:p w14:paraId="411F60CC">
      <w:pPr>
        <w:spacing w:line="44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b/>
          <w:bCs/>
        </w:rPr>
        <w:t>安装、现场培训：</w:t>
      </w:r>
      <w:r>
        <w:rPr>
          <w:rFonts w:hint="eastAsia" w:ascii="仿宋" w:hAnsi="仿宋" w:eastAsia="仿宋" w:cs="仿宋"/>
        </w:rPr>
        <w:t>供应商对其提供的产品应尽培训义务。供应商应提供对采购人免费培训，使采购人使用人员能够正常使用及基本维护。</w:t>
      </w:r>
    </w:p>
    <w:p w14:paraId="6BD14D85">
      <w:pPr>
        <w:spacing w:line="440" w:lineRule="exact"/>
        <w:ind w:firstLine="480" w:firstLineChars="200"/>
        <w:rPr>
          <w:rFonts w:hint="eastAsia" w:ascii="仿宋" w:hAnsi="仿宋" w:eastAsia="仿宋" w:cs="仿宋"/>
        </w:rPr>
      </w:pPr>
      <w:r>
        <w:rPr>
          <w:rFonts w:hint="eastAsia" w:ascii="仿宋" w:hAnsi="仿宋" w:eastAsia="仿宋" w:cs="仿宋"/>
        </w:rPr>
        <w:t>2.1设备到场后，供应商需至少派1名工程师现场安装调试。</w:t>
      </w:r>
    </w:p>
    <w:p w14:paraId="5797D83B">
      <w:pPr>
        <w:spacing w:line="440" w:lineRule="exact"/>
        <w:ind w:firstLine="480" w:firstLineChars="200"/>
        <w:rPr>
          <w:rFonts w:hint="eastAsia" w:ascii="仿宋" w:hAnsi="仿宋" w:eastAsia="仿宋" w:cs="仿宋"/>
        </w:rPr>
      </w:pPr>
      <w:r>
        <w:rPr>
          <w:rFonts w:hint="eastAsia" w:ascii="仿宋" w:hAnsi="仿宋" w:eastAsia="仿宋" w:cs="仿宋"/>
        </w:rPr>
        <w:t>（3）新购设备配备必要的维修工具，工具能满足甲方维护人员对设备的正常维护、维修。</w:t>
      </w:r>
    </w:p>
    <w:p w14:paraId="774F4571">
      <w:pPr>
        <w:spacing w:line="440" w:lineRule="exact"/>
        <w:ind w:firstLine="480" w:firstLineChars="200"/>
        <w:rPr>
          <w:rFonts w:hint="eastAsia" w:ascii="仿宋" w:hAnsi="仿宋" w:eastAsia="仿宋" w:cs="仿宋"/>
        </w:rPr>
      </w:pPr>
      <w:r>
        <w:rPr>
          <w:rFonts w:hint="eastAsia" w:ascii="仿宋" w:hAnsi="仿宋" w:eastAsia="仿宋" w:cs="仿宋"/>
        </w:rPr>
        <w:t>（4）在质保期内，如果供应商的产品技术升级，供应商应及时通知采购人，如采购人有相应要求，供应商应对采购人购买的产品进行升级服务。</w:t>
      </w:r>
    </w:p>
    <w:p w14:paraId="3728037A">
      <w:pPr>
        <w:spacing w:line="440" w:lineRule="exact"/>
        <w:ind w:firstLine="480" w:firstLineChars="200"/>
        <w:rPr>
          <w:rFonts w:hint="eastAsia" w:ascii="仿宋" w:hAnsi="仿宋" w:eastAsia="仿宋" w:cs="仿宋"/>
        </w:rPr>
      </w:pPr>
      <w:r>
        <w:rPr>
          <w:rFonts w:hint="eastAsia" w:ascii="仿宋" w:hAnsi="仿宋" w:eastAsia="仿宋" w:cs="仿宋"/>
        </w:rPr>
        <w:t>（5）设备和软件出现故障必须1个小时响应，2小时内到达故障现场，4小时内排除故障。（须做出承诺放入投标文件中）</w:t>
      </w:r>
    </w:p>
    <w:p w14:paraId="151A29E0">
      <w:pPr>
        <w:spacing w:line="440" w:lineRule="exact"/>
        <w:ind w:left="480" w:leftChars="200"/>
        <w:rPr>
          <w:rFonts w:hint="eastAsia" w:ascii="仿宋" w:hAnsi="仿宋" w:eastAsia="仿宋" w:cs="仿宋"/>
          <w:b/>
          <w:bCs/>
          <w:kern w:val="0"/>
        </w:rPr>
      </w:pPr>
      <w:r>
        <w:rPr>
          <w:rFonts w:hint="eastAsia" w:ascii="仿宋" w:hAnsi="仿宋" w:eastAsia="仿宋" w:cs="仿宋"/>
          <w:b/>
          <w:bCs/>
          <w:kern w:val="0"/>
        </w:rPr>
        <w:t>7、验收</w:t>
      </w:r>
    </w:p>
    <w:p w14:paraId="27C545F3">
      <w:pPr>
        <w:spacing w:line="440" w:lineRule="exact"/>
        <w:ind w:firstLine="480" w:firstLineChars="200"/>
        <w:rPr>
          <w:rFonts w:hint="eastAsia" w:ascii="仿宋" w:hAnsi="仿宋" w:eastAsia="仿宋" w:cs="仿宋"/>
        </w:rPr>
      </w:pPr>
      <w:r>
        <w:rPr>
          <w:rFonts w:hint="eastAsia" w:ascii="仿宋" w:hAnsi="仿宋" w:eastAsia="仿宋" w:cs="仿宋"/>
        </w:rPr>
        <w:t>1、供应商提供的产品为全新未使用且符合相关法律法规要求的合格产品；</w:t>
      </w:r>
    </w:p>
    <w:p w14:paraId="5619515E">
      <w:pPr>
        <w:spacing w:line="440" w:lineRule="exact"/>
        <w:ind w:firstLine="480" w:firstLineChars="200"/>
        <w:rPr>
          <w:rFonts w:hint="eastAsia" w:ascii="仿宋" w:hAnsi="仿宋" w:eastAsia="仿宋" w:cs="仿宋"/>
        </w:rPr>
      </w:pPr>
      <w:r>
        <w:rPr>
          <w:rFonts w:hint="eastAsia" w:ascii="仿宋" w:hAnsi="仿宋" w:eastAsia="仿宋" w:cs="仿宋"/>
        </w:rPr>
        <w:t>2、供应商提供的产品型号、规格等特性需与投标文件、合同规定内容完全一致，且满足采购方提出的采购需求。</w:t>
      </w:r>
    </w:p>
    <w:p w14:paraId="2453780A">
      <w:pPr>
        <w:spacing w:line="440" w:lineRule="exact"/>
        <w:ind w:firstLine="480" w:firstLineChars="200"/>
        <w:rPr>
          <w:rFonts w:hint="eastAsia" w:ascii="仿宋" w:hAnsi="仿宋" w:eastAsia="仿宋" w:cs="仿宋"/>
        </w:rPr>
      </w:pPr>
      <w:r>
        <w:rPr>
          <w:rFonts w:hint="eastAsia" w:ascii="仿宋" w:hAnsi="仿宋" w:eastAsia="仿宋" w:cs="仿宋"/>
        </w:rPr>
        <w:t>3、货物验收时，供应商向采购人提供生产厂家出具的验收报告、合格证、厂家资格证件等相关文件。</w:t>
      </w:r>
    </w:p>
    <w:p w14:paraId="3130D8E6">
      <w:pPr>
        <w:spacing w:line="440" w:lineRule="exact"/>
        <w:ind w:firstLine="480" w:firstLineChars="200"/>
        <w:rPr>
          <w:rFonts w:hint="eastAsia" w:ascii="仿宋" w:hAnsi="仿宋" w:eastAsia="仿宋" w:cs="仿宋"/>
        </w:rPr>
      </w:pPr>
      <w:r>
        <w:rPr>
          <w:rFonts w:hint="eastAsia" w:ascii="仿宋" w:hAnsi="仿宋" w:eastAsia="仿宋" w:cs="仿宋"/>
        </w:rPr>
        <w:t>4、供应商提供的产品需经采购人验收小组验收，进行试验检测，按照技术要求逐项进行测试，测试结果应满足相关要求，试验通过并满足要求为验收合格。</w:t>
      </w:r>
    </w:p>
    <w:p w14:paraId="39FDAB0C">
      <w:pPr>
        <w:spacing w:line="460" w:lineRule="exact"/>
        <w:ind w:firstLine="480" w:firstLineChars="200"/>
        <w:rPr>
          <w:rFonts w:hint="eastAsia" w:ascii="仿宋" w:hAnsi="仿宋" w:eastAsia="仿宋" w:cs="仿宋"/>
        </w:rPr>
      </w:pPr>
      <w:r>
        <w:rPr>
          <w:rFonts w:hint="eastAsia" w:ascii="仿宋" w:hAnsi="仿宋" w:eastAsia="仿宋" w:cs="仿宋"/>
        </w:rPr>
        <w:t>5.本项目须要组织相关专业专家进行验收，由甲、乙方及相关专业专家共同完成，费用由乙方承担。</w:t>
      </w:r>
    </w:p>
    <w:p w14:paraId="5397CDBD">
      <w:pPr>
        <w:spacing w:line="440" w:lineRule="exact"/>
        <w:ind w:left="480" w:leftChars="200"/>
        <w:rPr>
          <w:rFonts w:hint="eastAsia" w:ascii="仿宋" w:hAnsi="仿宋" w:eastAsia="仿宋" w:cs="仿宋"/>
          <w:b/>
          <w:bCs/>
          <w:kern w:val="0"/>
        </w:rPr>
      </w:pPr>
      <w:r>
        <w:rPr>
          <w:rFonts w:hint="eastAsia" w:ascii="仿宋" w:hAnsi="仿宋" w:eastAsia="仿宋" w:cs="仿宋"/>
          <w:b/>
          <w:bCs/>
          <w:kern w:val="0"/>
        </w:rPr>
        <w:t>8、知识产权</w:t>
      </w:r>
    </w:p>
    <w:p w14:paraId="01BCB876">
      <w:pPr>
        <w:spacing w:line="440" w:lineRule="exact"/>
        <w:ind w:firstLine="480" w:firstLineChars="200"/>
        <w:rPr>
          <w:rFonts w:hint="eastAsia" w:ascii="仿宋" w:hAnsi="仿宋" w:eastAsia="仿宋" w:cs="仿宋"/>
        </w:rPr>
      </w:pPr>
      <w:r>
        <w:rPr>
          <w:rFonts w:hint="eastAsia" w:ascii="仿宋" w:hAnsi="仿宋" w:eastAsia="仿宋" w:cs="仿宋"/>
        </w:rPr>
        <w:t>采购人在中华人民共和国境内使用供应商提供的货物及服务时免受第三方提出的侵犯其专利权或其它知识产权的起诉。如果第三方提出侵权指控，中标人应承担由此而引起的一切法律责任和费用。</w:t>
      </w:r>
    </w:p>
    <w:p w14:paraId="3FFD3074">
      <w:pPr>
        <w:spacing w:line="440" w:lineRule="exact"/>
        <w:ind w:left="480" w:leftChars="200"/>
        <w:rPr>
          <w:rFonts w:hint="eastAsia" w:ascii="仿宋" w:hAnsi="仿宋" w:eastAsia="仿宋" w:cs="仿宋"/>
          <w:b/>
          <w:bCs/>
          <w:kern w:val="0"/>
        </w:rPr>
      </w:pPr>
      <w:bookmarkStart w:id="304" w:name="_Toc7598"/>
      <w:bookmarkStart w:id="305" w:name="_Toc20832"/>
      <w:bookmarkStart w:id="306" w:name="_Toc12239"/>
      <w:bookmarkStart w:id="307" w:name="_Toc267320054"/>
      <w:bookmarkStart w:id="308" w:name="_Toc439255252"/>
      <w:bookmarkStart w:id="309" w:name="_Toc12840_WPSOffice_Level1"/>
      <w:r>
        <w:rPr>
          <w:rFonts w:hint="eastAsia" w:ascii="仿宋" w:hAnsi="仿宋" w:eastAsia="仿宋" w:cs="仿宋"/>
          <w:b/>
          <w:bCs/>
          <w:kern w:val="0"/>
        </w:rPr>
        <w:t>9、其他</w:t>
      </w:r>
      <w:bookmarkEnd w:id="304"/>
      <w:bookmarkEnd w:id="305"/>
      <w:bookmarkEnd w:id="306"/>
    </w:p>
    <w:bookmarkEnd w:id="307"/>
    <w:bookmarkEnd w:id="308"/>
    <w:bookmarkEnd w:id="309"/>
    <w:p w14:paraId="6F38A4B6">
      <w:pPr>
        <w:spacing w:line="440" w:lineRule="exact"/>
        <w:ind w:firstLine="482" w:firstLineChars="200"/>
        <w:rPr>
          <w:rFonts w:hint="eastAsia" w:ascii="仿宋" w:hAnsi="仿宋" w:eastAsia="仿宋" w:cs="仿宋"/>
        </w:rPr>
      </w:pPr>
      <w:r>
        <w:rPr>
          <w:rFonts w:hint="eastAsia" w:ascii="仿宋" w:hAnsi="仿宋" w:eastAsia="仿宋" w:cs="仿宋"/>
          <w:b/>
          <w:bCs/>
        </w:rPr>
        <w:t>（1）热成像双光谱云台安装后必须现场测验（中标后）。不达标投标人自行承担后果。须作出承诺否则投标无效。</w:t>
      </w:r>
    </w:p>
    <w:p w14:paraId="6B13D167">
      <w:pPr>
        <w:spacing w:line="440" w:lineRule="exact"/>
        <w:ind w:firstLine="480" w:firstLineChars="200"/>
        <w:rPr>
          <w:rFonts w:hint="eastAsia" w:ascii="仿宋" w:hAnsi="仿宋" w:eastAsia="仿宋" w:cs="仿宋"/>
        </w:rPr>
      </w:pPr>
      <w:r>
        <w:rPr>
          <w:rFonts w:hint="eastAsia" w:ascii="仿宋" w:hAnsi="仿宋" w:eastAsia="仿宋" w:cs="仿宋"/>
        </w:rPr>
        <w:t>（2）中标人与采购人签订《协议》后，须与用户方签订《货物采购供应合同》（包括供货范围、需求数量、单价等），明确具体供货数量、供货时间、送达地点等内容。</w:t>
      </w:r>
    </w:p>
    <w:p w14:paraId="72553CD9">
      <w:pPr>
        <w:spacing w:line="440" w:lineRule="exact"/>
        <w:ind w:firstLine="480" w:firstLineChars="200"/>
        <w:rPr>
          <w:rFonts w:hint="eastAsia" w:ascii="仿宋" w:hAnsi="仿宋" w:eastAsia="仿宋" w:cs="仿宋"/>
        </w:rPr>
      </w:pPr>
      <w:r>
        <w:rPr>
          <w:rFonts w:hint="eastAsia" w:ascii="仿宋" w:hAnsi="仿宋" w:eastAsia="仿宋" w:cs="仿宋"/>
        </w:rPr>
        <w:t>（3）其他未尽事宜由供需双方在采购合同中详细约定。</w:t>
      </w:r>
    </w:p>
    <w:p w14:paraId="4B0C4858">
      <w:pPr>
        <w:spacing w:line="440" w:lineRule="exact"/>
        <w:ind w:firstLine="480" w:firstLineChars="200"/>
        <w:rPr>
          <w:rFonts w:hint="eastAsia" w:ascii="仿宋" w:hAnsi="仿宋" w:eastAsia="仿宋" w:cs="仿宋"/>
        </w:rPr>
      </w:pPr>
      <w:r>
        <w:rPr>
          <w:rFonts w:hint="eastAsia" w:ascii="仿宋" w:hAnsi="仿宋" w:eastAsia="仿宋" w:cs="仿宋"/>
        </w:rPr>
        <w:t>（4）若供应商不能按招标文件规定的交货期正常交货，采购方有权终止采购合同，并将相关情况上报给采购计划主管部门，取消其中标资格。</w:t>
      </w:r>
    </w:p>
    <w:p w14:paraId="31402705">
      <w:pPr>
        <w:spacing w:line="440" w:lineRule="exact"/>
        <w:ind w:firstLine="480" w:firstLineChars="200"/>
        <w:rPr>
          <w:rFonts w:hint="eastAsia" w:ascii="仿宋" w:hAnsi="仿宋" w:eastAsia="仿宋" w:cs="仿宋"/>
        </w:rPr>
      </w:pPr>
      <w:r>
        <w:rPr>
          <w:rFonts w:hint="eastAsia" w:ascii="仿宋" w:hAnsi="仿宋" w:eastAsia="仿宋" w:cs="仿宋"/>
        </w:rPr>
        <w:t>（5）其他未尽事宜由供需双方在采购合同中详细约定。</w:t>
      </w:r>
    </w:p>
    <w:p w14:paraId="0525B67F">
      <w:pPr>
        <w:spacing w:line="440" w:lineRule="exact"/>
        <w:ind w:firstLine="480" w:firstLineChars="200"/>
        <w:rPr>
          <w:rFonts w:hint="eastAsia" w:ascii="仿宋" w:hAnsi="仿宋" w:eastAsia="仿宋" w:cs="仿宋"/>
        </w:rPr>
      </w:pPr>
      <w:r>
        <w:rPr>
          <w:rFonts w:hint="eastAsia" w:ascii="仿宋" w:hAnsi="仿宋" w:eastAsia="仿宋" w:cs="仿宋"/>
        </w:rPr>
        <w:t>（6）其余未设计或者方案未考虑支出的辅材及相关材料，由供应商自行解决。</w:t>
      </w:r>
    </w:p>
    <w:p w14:paraId="12D6EB26">
      <w:pPr>
        <w:spacing w:line="440" w:lineRule="exact"/>
        <w:ind w:firstLine="480" w:firstLineChars="200"/>
        <w:rPr>
          <w:rFonts w:hint="eastAsia" w:ascii="仿宋" w:hAnsi="仿宋" w:eastAsia="仿宋" w:cs="仿宋"/>
        </w:rPr>
      </w:pPr>
      <w:r>
        <w:rPr>
          <w:rFonts w:hint="eastAsia" w:ascii="仿宋" w:hAnsi="仿宋" w:eastAsia="仿宋" w:cs="仿宋"/>
        </w:rPr>
        <w:t>（7）供应商提供的软件必须与甲方原有系统匹配兼容，接口等相关费用须含在本次项目报价中。</w:t>
      </w:r>
    </w:p>
    <w:p w14:paraId="5A07CF72">
      <w:pPr>
        <w:pStyle w:val="39"/>
        <w:jc w:val="both"/>
        <w:rPr>
          <w:rFonts w:hint="eastAsia"/>
          <w:snapToGrid w:val="0"/>
          <w:szCs w:val="24"/>
          <w:lang w:val="en-US"/>
        </w:rPr>
      </w:pPr>
    </w:p>
    <w:p w14:paraId="78AE1C8E">
      <w:pPr>
        <w:rPr>
          <w:rFonts w:hint="eastAsia"/>
          <w:b/>
          <w:bCs/>
          <w:snapToGrid w:val="0"/>
          <w:szCs w:val="24"/>
        </w:rPr>
      </w:pPr>
      <w:r>
        <w:rPr>
          <w:rFonts w:hint="eastAsia"/>
          <w:b/>
          <w:bCs/>
          <w:snapToGrid w:val="0"/>
          <w:szCs w:val="24"/>
        </w:rPr>
        <w:br w:type="page"/>
      </w:r>
    </w:p>
    <w:bookmarkEnd w:id="294"/>
    <w:bookmarkEnd w:id="295"/>
    <w:bookmarkEnd w:id="296"/>
    <w:p w14:paraId="4A8A731D">
      <w:pPr>
        <w:pStyle w:val="3"/>
        <w:spacing w:before="100" w:after="100" w:line="480" w:lineRule="auto"/>
        <w:ind w:left="420" w:hanging="420"/>
        <w:rPr>
          <w:rFonts w:hint="eastAsia" w:eastAsia="宋体" w:cs="宋体"/>
          <w:sz w:val="36"/>
          <w:szCs w:val="36"/>
        </w:rPr>
      </w:pPr>
      <w:bookmarkStart w:id="310" w:name="_Toc163492892"/>
      <w:bookmarkStart w:id="311" w:name="_Toc155185895"/>
      <w:bookmarkStart w:id="312" w:name="_Toc12012"/>
      <w:r>
        <w:rPr>
          <w:rFonts w:hint="eastAsia" w:eastAsia="宋体" w:cs="宋体"/>
          <w:sz w:val="36"/>
          <w:szCs w:val="36"/>
        </w:rPr>
        <w:t>第四章 资格审查</w:t>
      </w:r>
      <w:bookmarkEnd w:id="310"/>
      <w:bookmarkEnd w:id="311"/>
      <w:bookmarkEnd w:id="312"/>
    </w:p>
    <w:p w14:paraId="3C6EFF5E">
      <w:pPr>
        <w:pStyle w:val="4"/>
        <w:spacing w:before="60" w:after="60" w:line="360" w:lineRule="auto"/>
        <w:ind w:left="420" w:hanging="420"/>
        <w:rPr>
          <w:rFonts w:hint="eastAsia" w:ascii="宋体" w:hAnsi="宋体" w:cs="宋体"/>
          <w:sz w:val="28"/>
          <w:szCs w:val="28"/>
          <w:lang w:val="zh-CN"/>
        </w:rPr>
      </w:pPr>
      <w:bookmarkStart w:id="313" w:name="_Toc14778"/>
      <w:bookmarkStart w:id="314" w:name="_Toc4412"/>
      <w:r>
        <w:rPr>
          <w:rFonts w:hint="eastAsia" w:ascii="宋体" w:hAnsi="宋体" w:cs="宋体"/>
          <w:sz w:val="28"/>
          <w:szCs w:val="28"/>
        </w:rPr>
        <w:t>一、资格审查程序</w:t>
      </w:r>
      <w:bookmarkEnd w:id="313"/>
      <w:bookmarkEnd w:id="314"/>
      <w:r>
        <w:rPr>
          <w:rFonts w:hint="eastAsia" w:ascii="宋体" w:hAnsi="宋体" w:cs="宋体"/>
          <w:sz w:val="28"/>
          <w:szCs w:val="28"/>
        </w:rPr>
        <w:t xml:space="preserve"> </w:t>
      </w:r>
    </w:p>
    <w:p w14:paraId="09479F34">
      <w:pPr>
        <w:pStyle w:val="39"/>
        <w:spacing w:line="400" w:lineRule="exact"/>
        <w:ind w:firstLine="482"/>
        <w:rPr>
          <w:rFonts w:hint="eastAsia" w:cs="宋体"/>
          <w:szCs w:val="24"/>
        </w:rPr>
      </w:pPr>
      <w:r>
        <w:rPr>
          <w:rFonts w:hint="eastAsia" w:cs="宋体"/>
          <w:szCs w:val="24"/>
          <w:lang w:val="en-US"/>
        </w:rPr>
        <w:t xml:space="preserve">1 开标结束后，采购人或采购代理机构将根据《资格审查要求》中的规定，对投标人进行资格审查，并形成资格审查结果。 </w:t>
      </w:r>
    </w:p>
    <w:p w14:paraId="1BB35081">
      <w:pPr>
        <w:pStyle w:val="39"/>
        <w:spacing w:line="400" w:lineRule="exact"/>
        <w:ind w:firstLine="482"/>
        <w:rPr>
          <w:rFonts w:hint="eastAsia" w:cs="宋体"/>
          <w:szCs w:val="24"/>
        </w:rPr>
      </w:pPr>
      <w:r>
        <w:rPr>
          <w:rFonts w:hint="eastAsia" w:cs="宋体"/>
          <w:szCs w:val="24"/>
          <w:lang w:val="en-US"/>
        </w:rPr>
        <w:t>2 投标人《资格证明文件》有任何一项不符合《资格审查要求》的，资格审查不合格，其</w:t>
      </w:r>
      <w:r>
        <w:rPr>
          <w:rFonts w:hint="eastAsia" w:cs="宋体"/>
          <w:b/>
          <w:bCs/>
          <w:szCs w:val="24"/>
          <w:lang w:val="en-US"/>
        </w:rPr>
        <w:t>投标无效</w:t>
      </w:r>
      <w:r>
        <w:rPr>
          <w:rFonts w:hint="eastAsia" w:cs="宋体"/>
          <w:szCs w:val="24"/>
          <w:lang w:val="en-US"/>
        </w:rPr>
        <w:t xml:space="preserve">。 </w:t>
      </w:r>
    </w:p>
    <w:p w14:paraId="49242AB2">
      <w:pPr>
        <w:pStyle w:val="39"/>
        <w:spacing w:line="400" w:lineRule="exact"/>
        <w:ind w:firstLine="482"/>
        <w:rPr>
          <w:rFonts w:hint="eastAsia" w:cs="宋体"/>
          <w:szCs w:val="24"/>
        </w:rPr>
      </w:pPr>
      <w:r>
        <w:rPr>
          <w:rFonts w:hint="eastAsia" w:cs="宋体"/>
          <w:szCs w:val="24"/>
          <w:lang w:val="en-US"/>
        </w:rPr>
        <w:t xml:space="preserve">3 资格审查合格的投标人不足 3 家的，不进行评标。 </w:t>
      </w:r>
    </w:p>
    <w:p w14:paraId="0B86D399">
      <w:pPr>
        <w:pStyle w:val="4"/>
        <w:spacing w:before="60" w:after="60" w:line="360" w:lineRule="auto"/>
        <w:ind w:left="420" w:hanging="420"/>
        <w:rPr>
          <w:rFonts w:hint="eastAsia" w:ascii="宋体" w:hAnsi="宋体" w:cs="宋体"/>
          <w:sz w:val="28"/>
          <w:szCs w:val="28"/>
        </w:rPr>
      </w:pPr>
      <w:bookmarkStart w:id="315" w:name="_Toc32303"/>
      <w:bookmarkStart w:id="316" w:name="_Toc8961"/>
      <w:r>
        <w:rPr>
          <w:rFonts w:hint="eastAsia" w:ascii="宋体" w:hAnsi="宋体" w:cs="宋体"/>
          <w:sz w:val="28"/>
          <w:szCs w:val="28"/>
        </w:rPr>
        <w:t>二、资格审查要求</w:t>
      </w:r>
      <w:bookmarkEnd w:id="315"/>
      <w:bookmarkEnd w:id="316"/>
      <w:r>
        <w:rPr>
          <w:rFonts w:hint="eastAsia" w:ascii="宋体" w:hAnsi="宋体" w:cs="宋体"/>
          <w:sz w:val="28"/>
          <w:szCs w:val="28"/>
        </w:rPr>
        <w:t xml:space="preserve"> </w:t>
      </w:r>
    </w:p>
    <w:tbl>
      <w:tblPr>
        <w:tblStyle w:val="30"/>
        <w:tblW w:w="54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22"/>
        <w:gridCol w:w="1872"/>
        <w:gridCol w:w="5165"/>
        <w:gridCol w:w="1500"/>
      </w:tblGrid>
      <w:tr w14:paraId="682E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D8D8D8" w:themeFill="background1" w:themeFillShade="D9"/>
            <w:vAlign w:val="center"/>
          </w:tcPr>
          <w:p w14:paraId="4E703B65">
            <w:pPr>
              <w:pStyle w:val="51"/>
              <w:jc w:val="center"/>
              <w:rPr>
                <w:rFonts w:hint="eastAsia" w:cs="宋体"/>
                <w:b/>
                <w:bCs/>
                <w:szCs w:val="24"/>
              </w:rPr>
            </w:pPr>
            <w:r>
              <w:rPr>
                <w:rFonts w:hint="eastAsia" w:cs="宋体"/>
                <w:b/>
                <w:bCs/>
                <w:szCs w:val="24"/>
              </w:rPr>
              <w:t>序号</w:t>
            </w:r>
          </w:p>
        </w:tc>
        <w:tc>
          <w:tcPr>
            <w:tcW w:w="1000" w:type="pct"/>
            <w:shd w:val="clear" w:color="auto" w:fill="D8D8D8" w:themeFill="background1" w:themeFillShade="D9"/>
            <w:vAlign w:val="center"/>
          </w:tcPr>
          <w:p w14:paraId="42A36EFA">
            <w:pPr>
              <w:pStyle w:val="51"/>
              <w:jc w:val="center"/>
              <w:rPr>
                <w:rFonts w:hint="eastAsia" w:cs="宋体"/>
                <w:b/>
                <w:bCs/>
                <w:szCs w:val="24"/>
              </w:rPr>
            </w:pPr>
            <w:r>
              <w:rPr>
                <w:rFonts w:hint="eastAsia" w:cs="宋体"/>
                <w:b/>
                <w:bCs/>
                <w:szCs w:val="24"/>
              </w:rPr>
              <w:t>审查因素</w:t>
            </w:r>
          </w:p>
        </w:tc>
        <w:tc>
          <w:tcPr>
            <w:tcW w:w="2759" w:type="pct"/>
            <w:shd w:val="clear" w:color="auto" w:fill="D8D8D8" w:themeFill="background1" w:themeFillShade="D9"/>
            <w:vAlign w:val="center"/>
          </w:tcPr>
          <w:p w14:paraId="12E54C22">
            <w:pPr>
              <w:pStyle w:val="51"/>
              <w:jc w:val="center"/>
              <w:rPr>
                <w:rFonts w:hint="eastAsia" w:cs="宋体"/>
                <w:b/>
                <w:bCs/>
                <w:szCs w:val="24"/>
              </w:rPr>
            </w:pPr>
            <w:r>
              <w:rPr>
                <w:rFonts w:hint="eastAsia" w:cs="宋体"/>
                <w:b/>
                <w:bCs/>
                <w:szCs w:val="24"/>
              </w:rPr>
              <w:t>审查内容</w:t>
            </w:r>
          </w:p>
        </w:tc>
        <w:tc>
          <w:tcPr>
            <w:tcW w:w="801" w:type="pct"/>
            <w:shd w:val="clear" w:color="auto" w:fill="D8D8D8" w:themeFill="background1" w:themeFillShade="D9"/>
            <w:vAlign w:val="center"/>
          </w:tcPr>
          <w:p w14:paraId="01A669A1">
            <w:pPr>
              <w:pStyle w:val="51"/>
              <w:jc w:val="center"/>
              <w:rPr>
                <w:rFonts w:hint="eastAsia" w:cs="宋体"/>
                <w:b/>
                <w:bCs/>
                <w:szCs w:val="24"/>
              </w:rPr>
            </w:pPr>
            <w:r>
              <w:rPr>
                <w:rFonts w:hint="eastAsia" w:cs="宋体"/>
                <w:b/>
                <w:bCs/>
                <w:szCs w:val="24"/>
              </w:rPr>
              <w:t>格式要求</w:t>
            </w:r>
          </w:p>
        </w:tc>
      </w:tr>
      <w:tr w14:paraId="3875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80" w:hRule="atLeast"/>
          <w:jc w:val="center"/>
        </w:trPr>
        <w:tc>
          <w:tcPr>
            <w:tcW w:w="439" w:type="pct"/>
            <w:shd w:val="clear" w:color="auto" w:fill="FFFFFF" w:themeFill="background1"/>
            <w:vAlign w:val="center"/>
          </w:tcPr>
          <w:p w14:paraId="6DE983B4">
            <w:pPr>
              <w:pStyle w:val="51"/>
              <w:jc w:val="center"/>
              <w:rPr>
                <w:rFonts w:hint="eastAsia" w:cs="宋体"/>
                <w:b/>
                <w:bCs/>
                <w:szCs w:val="24"/>
              </w:rPr>
            </w:pPr>
            <w:r>
              <w:rPr>
                <w:rFonts w:hint="eastAsia" w:cs="宋体"/>
                <w:b/>
                <w:bCs/>
                <w:szCs w:val="24"/>
              </w:rPr>
              <w:t>1</w:t>
            </w:r>
          </w:p>
        </w:tc>
        <w:tc>
          <w:tcPr>
            <w:tcW w:w="1000" w:type="pct"/>
            <w:shd w:val="clear" w:color="auto" w:fill="FFFFFF" w:themeFill="background1"/>
            <w:vAlign w:val="center"/>
          </w:tcPr>
          <w:p w14:paraId="326E7313">
            <w:pPr>
              <w:pStyle w:val="51"/>
              <w:spacing w:line="280" w:lineRule="exact"/>
              <w:jc w:val="both"/>
              <w:rPr>
                <w:rFonts w:hint="eastAsia" w:cs="宋体"/>
                <w:szCs w:val="24"/>
              </w:rPr>
            </w:pPr>
            <w:r>
              <w:rPr>
                <w:rFonts w:hint="eastAsia" w:cs="宋体"/>
                <w:szCs w:val="24"/>
              </w:rPr>
              <w:t xml:space="preserve">满足《政府采购 </w:t>
            </w:r>
          </w:p>
          <w:p w14:paraId="52415BEB">
            <w:pPr>
              <w:pStyle w:val="51"/>
              <w:spacing w:line="280" w:lineRule="exact"/>
              <w:jc w:val="both"/>
              <w:rPr>
                <w:rFonts w:hint="eastAsia" w:cs="宋体"/>
                <w:szCs w:val="24"/>
              </w:rPr>
            </w:pPr>
            <w:r>
              <w:rPr>
                <w:rFonts w:hint="eastAsia" w:cs="宋体"/>
                <w:szCs w:val="24"/>
              </w:rPr>
              <w:t xml:space="preserve">法》第二十二条 </w:t>
            </w:r>
          </w:p>
          <w:p w14:paraId="3070332B">
            <w:pPr>
              <w:pStyle w:val="51"/>
              <w:spacing w:line="280" w:lineRule="exact"/>
              <w:jc w:val="both"/>
              <w:rPr>
                <w:rFonts w:hint="eastAsia" w:cs="宋体"/>
                <w:szCs w:val="24"/>
              </w:rPr>
            </w:pPr>
            <w:r>
              <w:rPr>
                <w:rFonts w:hint="eastAsia" w:cs="宋体"/>
                <w:szCs w:val="24"/>
              </w:rPr>
              <w:t>规定</w:t>
            </w:r>
          </w:p>
        </w:tc>
        <w:tc>
          <w:tcPr>
            <w:tcW w:w="2759" w:type="pct"/>
            <w:shd w:val="clear" w:color="auto" w:fill="FFFFFF" w:themeFill="background1"/>
            <w:vAlign w:val="center"/>
          </w:tcPr>
          <w:p w14:paraId="5B67C891">
            <w:pPr>
              <w:pStyle w:val="51"/>
              <w:spacing w:line="280" w:lineRule="exact"/>
              <w:jc w:val="both"/>
              <w:rPr>
                <w:rFonts w:hint="eastAsia" w:cs="宋体"/>
                <w:szCs w:val="24"/>
              </w:rPr>
            </w:pPr>
            <w:r>
              <w:rPr>
                <w:rFonts w:hint="eastAsia" w:cs="宋体"/>
                <w:szCs w:val="24"/>
              </w:rPr>
              <w:t>具体规定见“第一章 招标公告”</w:t>
            </w:r>
          </w:p>
        </w:tc>
        <w:tc>
          <w:tcPr>
            <w:tcW w:w="801" w:type="pct"/>
            <w:shd w:val="clear" w:color="auto" w:fill="FFFFFF" w:themeFill="background1"/>
            <w:vAlign w:val="center"/>
          </w:tcPr>
          <w:p w14:paraId="37865B9C">
            <w:pPr>
              <w:pStyle w:val="51"/>
              <w:spacing w:line="280" w:lineRule="exact"/>
              <w:jc w:val="center"/>
              <w:rPr>
                <w:rFonts w:hint="eastAsia" w:cs="宋体"/>
                <w:b/>
                <w:bCs/>
                <w:szCs w:val="24"/>
              </w:rPr>
            </w:pPr>
          </w:p>
        </w:tc>
      </w:tr>
      <w:tr w14:paraId="5051B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FFFFFF" w:themeFill="background1"/>
            <w:vAlign w:val="center"/>
          </w:tcPr>
          <w:p w14:paraId="07892D25">
            <w:pPr>
              <w:pStyle w:val="51"/>
              <w:jc w:val="center"/>
              <w:rPr>
                <w:rFonts w:hint="eastAsia" w:cs="宋体"/>
                <w:b/>
                <w:bCs/>
                <w:szCs w:val="24"/>
              </w:rPr>
            </w:pPr>
            <w:r>
              <w:rPr>
                <w:rFonts w:hint="eastAsia" w:cs="宋体"/>
                <w:b/>
                <w:bCs/>
                <w:szCs w:val="24"/>
              </w:rPr>
              <w:t>1-1</w:t>
            </w:r>
          </w:p>
        </w:tc>
        <w:tc>
          <w:tcPr>
            <w:tcW w:w="1000" w:type="pct"/>
            <w:shd w:val="clear" w:color="auto" w:fill="FFFFFF" w:themeFill="background1"/>
            <w:vAlign w:val="center"/>
          </w:tcPr>
          <w:p w14:paraId="34958E54">
            <w:pPr>
              <w:pStyle w:val="51"/>
              <w:spacing w:line="280" w:lineRule="exact"/>
              <w:jc w:val="both"/>
              <w:rPr>
                <w:rFonts w:hint="eastAsia" w:cs="宋体"/>
                <w:szCs w:val="24"/>
              </w:rPr>
            </w:pPr>
            <w:r>
              <w:rPr>
                <w:rFonts w:hint="eastAsia" w:cs="宋体"/>
                <w:szCs w:val="24"/>
              </w:rPr>
              <w:t>营业执照等证明文件</w:t>
            </w:r>
          </w:p>
        </w:tc>
        <w:tc>
          <w:tcPr>
            <w:tcW w:w="2759" w:type="pct"/>
            <w:shd w:val="clear" w:color="auto" w:fill="FFFFFF" w:themeFill="background1"/>
            <w:vAlign w:val="center"/>
          </w:tcPr>
          <w:p w14:paraId="6881F498">
            <w:pPr>
              <w:widowControl/>
              <w:spacing w:line="280" w:lineRule="exact"/>
              <w:rPr>
                <w:rFonts w:hint="eastAsia" w:cs="宋体"/>
                <w:spacing w:val="-6"/>
                <w:szCs w:val="24"/>
              </w:rPr>
            </w:pPr>
            <w:bookmarkStart w:id="317" w:name="OLE_LINK1"/>
            <w:r>
              <w:rPr>
                <w:rFonts w:hint="eastAsia" w:cs="宋体"/>
                <w:spacing w:val="-6"/>
                <w:szCs w:val="24"/>
              </w:rPr>
              <w:t>供应商</w:t>
            </w:r>
            <w:bookmarkEnd w:id="317"/>
            <w:r>
              <w:rPr>
                <w:rFonts w:hint="eastAsia" w:cs="宋体"/>
                <w:spacing w:val="-6"/>
                <w:szCs w:val="24"/>
              </w:rPr>
              <w:t>为企业（包括合伙企业）的，应提供有效的“营业执照 ”；供应商为事业单位的，应提供有效的“事业单位法人证书”；供应商是非企业机构的，应提供有效的“执业许可证”、“登记证书”等证明文件；供应商是个体工商户的，应提供有效的“个体工商户营业执照”；供应商是自然人的，应提供有效的自然人身份证明。（分支机构参加投标的，应提供该分支机构所属法人/其他组织的相应授权书，授权书中应明确分公司在政府采购活动中所能代表总公司行使的权利、义务及相关资质的使用；对于银行、保险、石油石化、电力、电信等行业的分支机构，可以提供上述授权，也可以提供其所属法人/其他组织的有关文件或制度等能够证明授权其独立开展业务的证明材料。）</w:t>
            </w:r>
          </w:p>
        </w:tc>
        <w:tc>
          <w:tcPr>
            <w:tcW w:w="801" w:type="pct"/>
            <w:shd w:val="clear" w:color="auto" w:fill="FFFFFF" w:themeFill="background1"/>
            <w:vAlign w:val="center"/>
          </w:tcPr>
          <w:p w14:paraId="5C916161">
            <w:pPr>
              <w:widowControl/>
              <w:spacing w:line="280" w:lineRule="exact"/>
              <w:rPr>
                <w:rFonts w:hint="eastAsia" w:cs="宋体"/>
                <w:kern w:val="0"/>
                <w:szCs w:val="24"/>
                <w:lang w:bidi="ar"/>
              </w:rPr>
            </w:pPr>
            <w:r>
              <w:rPr>
                <w:rFonts w:hint="eastAsia" w:cs="宋体"/>
                <w:kern w:val="0"/>
                <w:szCs w:val="24"/>
                <w:lang w:bidi="ar"/>
              </w:rPr>
              <w:t>提供证明文件的电子件或电子证照</w:t>
            </w:r>
          </w:p>
        </w:tc>
      </w:tr>
      <w:tr w14:paraId="4F8D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FFFFFF" w:themeFill="background1"/>
            <w:vAlign w:val="center"/>
          </w:tcPr>
          <w:p w14:paraId="69093352">
            <w:pPr>
              <w:pStyle w:val="51"/>
              <w:jc w:val="center"/>
              <w:rPr>
                <w:rFonts w:hint="eastAsia" w:cs="宋体"/>
                <w:b/>
                <w:bCs/>
                <w:szCs w:val="24"/>
              </w:rPr>
            </w:pPr>
            <w:r>
              <w:rPr>
                <w:rFonts w:hint="eastAsia" w:cs="宋体"/>
                <w:b/>
                <w:bCs/>
                <w:szCs w:val="24"/>
              </w:rPr>
              <w:t>1-2</w:t>
            </w:r>
          </w:p>
        </w:tc>
        <w:tc>
          <w:tcPr>
            <w:tcW w:w="1000" w:type="pct"/>
            <w:shd w:val="clear" w:color="auto" w:fill="FFFFFF" w:themeFill="background1"/>
            <w:vAlign w:val="center"/>
          </w:tcPr>
          <w:p w14:paraId="2102B98B">
            <w:pPr>
              <w:pStyle w:val="51"/>
              <w:spacing w:line="280" w:lineRule="exact"/>
              <w:jc w:val="both"/>
              <w:rPr>
                <w:rFonts w:hint="eastAsia" w:cs="宋体"/>
                <w:szCs w:val="24"/>
              </w:rPr>
            </w:pPr>
            <w:r>
              <w:rPr>
                <w:rFonts w:hint="eastAsia" w:cs="宋体"/>
                <w:szCs w:val="24"/>
              </w:rPr>
              <w:t>投标人信用承诺</w:t>
            </w:r>
          </w:p>
        </w:tc>
        <w:tc>
          <w:tcPr>
            <w:tcW w:w="2759" w:type="pct"/>
            <w:shd w:val="clear" w:color="auto" w:fill="FFFFFF" w:themeFill="background1"/>
            <w:vAlign w:val="center"/>
          </w:tcPr>
          <w:p w14:paraId="0094BA6E">
            <w:pPr>
              <w:widowControl/>
              <w:spacing w:line="280" w:lineRule="exact"/>
              <w:rPr>
                <w:rFonts w:hint="eastAsia" w:cs="宋体"/>
                <w:spacing w:val="-11"/>
                <w:kern w:val="0"/>
                <w:szCs w:val="24"/>
                <w:lang w:bidi="ar"/>
              </w:rPr>
            </w:pPr>
            <w:r>
              <w:rPr>
                <w:rFonts w:hint="eastAsia" w:cs="宋体"/>
                <w:szCs w:val="24"/>
              </w:rPr>
              <w:t>具体要求见“第一章 招标公告”</w:t>
            </w:r>
          </w:p>
        </w:tc>
        <w:tc>
          <w:tcPr>
            <w:tcW w:w="801" w:type="pct"/>
            <w:shd w:val="clear" w:color="auto" w:fill="FFFFFF" w:themeFill="background1"/>
            <w:vAlign w:val="center"/>
          </w:tcPr>
          <w:p w14:paraId="64C0B286">
            <w:pPr>
              <w:widowControl/>
              <w:spacing w:line="280" w:lineRule="exact"/>
              <w:rPr>
                <w:rFonts w:hint="eastAsia" w:cs="宋体"/>
                <w:kern w:val="0"/>
                <w:szCs w:val="24"/>
                <w:lang w:bidi="ar"/>
              </w:rPr>
            </w:pPr>
          </w:p>
        </w:tc>
      </w:tr>
      <w:tr w14:paraId="2800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36" w:hRule="atLeast"/>
          <w:jc w:val="center"/>
        </w:trPr>
        <w:tc>
          <w:tcPr>
            <w:tcW w:w="439" w:type="pct"/>
            <w:shd w:val="clear" w:color="auto" w:fill="FFFFFF" w:themeFill="background1"/>
            <w:vAlign w:val="center"/>
          </w:tcPr>
          <w:p w14:paraId="09CFD909">
            <w:pPr>
              <w:pStyle w:val="51"/>
              <w:jc w:val="center"/>
              <w:rPr>
                <w:rFonts w:hint="eastAsia" w:cs="宋体"/>
                <w:b/>
                <w:bCs/>
                <w:szCs w:val="24"/>
              </w:rPr>
            </w:pPr>
            <w:r>
              <w:rPr>
                <w:rFonts w:hint="eastAsia" w:cs="宋体"/>
                <w:b/>
                <w:bCs/>
                <w:szCs w:val="24"/>
              </w:rPr>
              <w:t>1-2-1</w:t>
            </w:r>
          </w:p>
        </w:tc>
        <w:tc>
          <w:tcPr>
            <w:tcW w:w="1000" w:type="pct"/>
            <w:shd w:val="clear" w:color="auto" w:fill="FFFFFF" w:themeFill="background1"/>
            <w:vAlign w:val="center"/>
          </w:tcPr>
          <w:p w14:paraId="05C5F6A7">
            <w:pPr>
              <w:pStyle w:val="51"/>
              <w:spacing w:line="280" w:lineRule="exact"/>
              <w:jc w:val="both"/>
              <w:rPr>
                <w:rFonts w:hint="eastAsia" w:cs="宋体"/>
                <w:szCs w:val="24"/>
              </w:rPr>
            </w:pPr>
            <w:r>
              <w:rPr>
                <w:rFonts w:hint="eastAsia" w:cs="宋体"/>
                <w:szCs w:val="24"/>
              </w:rPr>
              <w:t>投标人信用承诺函</w:t>
            </w:r>
          </w:p>
        </w:tc>
        <w:tc>
          <w:tcPr>
            <w:tcW w:w="2759" w:type="pct"/>
            <w:shd w:val="clear" w:color="auto" w:fill="FFFFFF" w:themeFill="background1"/>
            <w:vAlign w:val="center"/>
          </w:tcPr>
          <w:p w14:paraId="169429FB">
            <w:pPr>
              <w:pStyle w:val="51"/>
              <w:spacing w:line="280" w:lineRule="exact"/>
              <w:jc w:val="both"/>
              <w:rPr>
                <w:rFonts w:hint="eastAsia" w:cs="宋体"/>
                <w:szCs w:val="24"/>
              </w:rPr>
            </w:pPr>
            <w:r>
              <w:rPr>
                <w:rFonts w:hint="eastAsia" w:cs="宋体"/>
                <w:szCs w:val="24"/>
              </w:rPr>
              <w:t>提供了符合招标文件要求的《政府采购供应商信用承诺函》。</w:t>
            </w:r>
          </w:p>
        </w:tc>
        <w:tc>
          <w:tcPr>
            <w:tcW w:w="801" w:type="pct"/>
            <w:shd w:val="clear" w:color="auto" w:fill="FFFFFF" w:themeFill="background1"/>
            <w:vAlign w:val="center"/>
          </w:tcPr>
          <w:p w14:paraId="4D1B3655">
            <w:pPr>
              <w:widowControl/>
              <w:spacing w:line="280" w:lineRule="exact"/>
              <w:rPr>
                <w:rFonts w:hint="eastAsia" w:cs="宋体"/>
                <w:kern w:val="0"/>
                <w:szCs w:val="24"/>
                <w:lang w:bidi="ar"/>
              </w:rPr>
            </w:pPr>
            <w:r>
              <w:rPr>
                <w:rFonts w:hint="eastAsia" w:cs="宋体"/>
                <w:kern w:val="0"/>
                <w:szCs w:val="24"/>
                <w:lang w:bidi="ar"/>
              </w:rPr>
              <w:t>格式见《第七章 投标文件格式》</w:t>
            </w:r>
          </w:p>
        </w:tc>
      </w:tr>
      <w:tr w14:paraId="5CE1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712" w:hRule="atLeast"/>
          <w:jc w:val="center"/>
        </w:trPr>
        <w:tc>
          <w:tcPr>
            <w:tcW w:w="439" w:type="pct"/>
            <w:shd w:val="clear" w:color="auto" w:fill="FFFFFF" w:themeFill="background1"/>
            <w:vAlign w:val="center"/>
          </w:tcPr>
          <w:p w14:paraId="2D602C95">
            <w:pPr>
              <w:pStyle w:val="51"/>
              <w:jc w:val="center"/>
              <w:rPr>
                <w:rFonts w:hint="eastAsia" w:cs="宋体"/>
                <w:b/>
                <w:bCs/>
                <w:szCs w:val="24"/>
              </w:rPr>
            </w:pPr>
            <w:r>
              <w:rPr>
                <w:rFonts w:hint="eastAsia" w:cs="宋体"/>
                <w:b/>
                <w:bCs/>
                <w:szCs w:val="24"/>
              </w:rPr>
              <w:t>1-2-2</w:t>
            </w:r>
          </w:p>
        </w:tc>
        <w:tc>
          <w:tcPr>
            <w:tcW w:w="1000" w:type="pct"/>
            <w:shd w:val="clear" w:color="auto" w:fill="FFFFFF" w:themeFill="background1"/>
            <w:vAlign w:val="center"/>
          </w:tcPr>
          <w:p w14:paraId="5D9B21B9">
            <w:pPr>
              <w:pStyle w:val="51"/>
              <w:jc w:val="both"/>
              <w:rPr>
                <w:rFonts w:hint="eastAsia" w:cs="宋体"/>
                <w:szCs w:val="24"/>
              </w:rPr>
            </w:pPr>
            <w:r>
              <w:rPr>
                <w:rFonts w:hint="eastAsia" w:cs="宋体"/>
                <w:szCs w:val="24"/>
              </w:rPr>
              <w:t>投标人信用记录</w:t>
            </w:r>
          </w:p>
        </w:tc>
        <w:tc>
          <w:tcPr>
            <w:tcW w:w="2759" w:type="pct"/>
            <w:shd w:val="clear" w:color="auto" w:fill="FFFFFF" w:themeFill="background1"/>
            <w:vAlign w:val="center"/>
          </w:tcPr>
          <w:p w14:paraId="2369AEFE">
            <w:pPr>
              <w:pStyle w:val="51"/>
              <w:jc w:val="both"/>
              <w:rPr>
                <w:rFonts w:hint="eastAsia" w:cs="宋体"/>
                <w:spacing w:val="-6"/>
                <w:szCs w:val="24"/>
              </w:rPr>
            </w:pPr>
            <w:r>
              <w:rPr>
                <w:rFonts w:hint="eastAsia" w:cs="宋体"/>
                <w:spacing w:val="-6"/>
                <w:szCs w:val="24"/>
              </w:rPr>
              <w:t xml:space="preserve">查询渠道：信用中国网站和中国政府采购网（ </w:t>
            </w:r>
          </w:p>
          <w:p w14:paraId="286B189F">
            <w:pPr>
              <w:pStyle w:val="51"/>
              <w:jc w:val="both"/>
              <w:rPr>
                <w:rFonts w:hint="eastAsia" w:cs="宋体"/>
                <w:szCs w:val="24"/>
              </w:rPr>
            </w:pPr>
            <w:r>
              <w:rPr>
                <w:rFonts w:hint="eastAsia" w:cs="宋体"/>
                <w:spacing w:val="-6"/>
                <w:szCs w:val="24"/>
              </w:rPr>
              <w:t>www.creditchina.gov.cn 、www.ccgp.gov.cn);</w:t>
            </w:r>
            <w:r>
              <w:rPr>
                <w:rFonts w:hint="eastAsia" w:cs="宋体"/>
                <w:szCs w:val="24"/>
              </w:rPr>
              <w:t xml:space="preserve"> </w:t>
            </w:r>
          </w:p>
          <w:p w14:paraId="2F9C5724">
            <w:pPr>
              <w:pStyle w:val="51"/>
              <w:jc w:val="both"/>
              <w:rPr>
                <w:rFonts w:hint="eastAsia" w:cs="宋体"/>
                <w:szCs w:val="24"/>
              </w:rPr>
            </w:pPr>
            <w:r>
              <w:rPr>
                <w:rFonts w:hint="eastAsia" w:cs="宋体"/>
                <w:szCs w:val="24"/>
              </w:rPr>
              <w:t xml:space="preserve">截止时点：投标截止时间以后、资格审查阶段采购人或采购代理机构的实际查询时间； </w:t>
            </w:r>
          </w:p>
          <w:p w14:paraId="1BC7CF94">
            <w:pPr>
              <w:pStyle w:val="51"/>
              <w:jc w:val="both"/>
              <w:rPr>
                <w:rFonts w:hint="eastAsia" w:cs="宋体"/>
                <w:szCs w:val="24"/>
              </w:rPr>
            </w:pPr>
            <w:r>
              <w:rPr>
                <w:rFonts w:hint="eastAsia" w:cs="宋体"/>
                <w:szCs w:val="24"/>
              </w:rPr>
              <w:t xml:space="preserve">信用信息查询记录和证据留存具体方式：查询结果网页打印页作为查询记录和证据，与其他采购文件一并保存； </w:t>
            </w:r>
          </w:p>
          <w:p w14:paraId="5B732FE3">
            <w:pPr>
              <w:pStyle w:val="51"/>
              <w:jc w:val="both"/>
              <w:rPr>
                <w:rFonts w:hint="eastAsia" w:cs="宋体"/>
                <w:szCs w:val="24"/>
              </w:rPr>
            </w:pPr>
            <w:r>
              <w:rPr>
                <w:rFonts w:hint="eastAsia" w:cs="宋体"/>
                <w:spacing w:val="-6"/>
                <w:szCs w:val="24"/>
              </w:rPr>
              <w:t>信用信息的使用原则：经认定的被列入失信被执行人、重大税收违法失信主体、政府采购严重违法失信行为记录名单的投标人，其</w:t>
            </w:r>
            <w:r>
              <w:rPr>
                <w:rFonts w:hint="eastAsia" w:cs="宋体"/>
                <w:b/>
                <w:bCs/>
                <w:spacing w:val="-6"/>
                <w:szCs w:val="24"/>
              </w:rPr>
              <w:t>投标无效</w:t>
            </w:r>
            <w:r>
              <w:rPr>
                <w:rFonts w:hint="eastAsia" w:cs="宋体"/>
                <w:spacing w:val="-6"/>
                <w:szCs w:val="24"/>
              </w:rPr>
              <w:t>。联合体形式投标的，联合体成员存在不良信用记录，视同联合体存在不良信用记录。</w:t>
            </w:r>
          </w:p>
        </w:tc>
        <w:tc>
          <w:tcPr>
            <w:tcW w:w="801" w:type="pct"/>
            <w:shd w:val="clear" w:color="auto" w:fill="FFFFFF" w:themeFill="background1"/>
            <w:vAlign w:val="center"/>
          </w:tcPr>
          <w:p w14:paraId="6D011079">
            <w:pPr>
              <w:widowControl/>
              <w:spacing w:line="240" w:lineRule="auto"/>
              <w:rPr>
                <w:rFonts w:hint="eastAsia" w:cs="宋体"/>
                <w:kern w:val="0"/>
                <w:szCs w:val="24"/>
                <w:lang w:bidi="ar"/>
              </w:rPr>
            </w:pPr>
            <w:r>
              <w:rPr>
                <w:rFonts w:hint="eastAsia" w:cs="宋体"/>
                <w:kern w:val="0"/>
                <w:szCs w:val="24"/>
                <w:lang w:bidi="ar"/>
              </w:rPr>
              <w:t>以递交截止时间点采购代理机构查询为准。</w:t>
            </w:r>
          </w:p>
        </w:tc>
      </w:tr>
      <w:tr w14:paraId="2979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6" w:hRule="atLeast"/>
          <w:jc w:val="center"/>
        </w:trPr>
        <w:tc>
          <w:tcPr>
            <w:tcW w:w="439" w:type="pct"/>
            <w:shd w:val="clear" w:color="auto" w:fill="FFFFFF" w:themeFill="background1"/>
            <w:vAlign w:val="center"/>
          </w:tcPr>
          <w:p w14:paraId="5F56ABC8">
            <w:pPr>
              <w:pStyle w:val="51"/>
              <w:jc w:val="center"/>
              <w:rPr>
                <w:rFonts w:hint="eastAsia" w:cs="宋体"/>
                <w:b/>
                <w:bCs/>
                <w:szCs w:val="24"/>
              </w:rPr>
            </w:pPr>
            <w:r>
              <w:rPr>
                <w:rFonts w:hint="eastAsia" w:cs="宋体"/>
                <w:b/>
                <w:bCs/>
                <w:szCs w:val="24"/>
              </w:rPr>
              <w:t>1-2-3</w:t>
            </w:r>
          </w:p>
        </w:tc>
        <w:tc>
          <w:tcPr>
            <w:tcW w:w="1000" w:type="pct"/>
            <w:shd w:val="clear" w:color="auto" w:fill="FFFFFF" w:themeFill="background1"/>
            <w:vAlign w:val="center"/>
          </w:tcPr>
          <w:p w14:paraId="1B08F638">
            <w:pPr>
              <w:pStyle w:val="51"/>
              <w:jc w:val="both"/>
              <w:rPr>
                <w:rFonts w:hint="eastAsia" w:cs="宋体"/>
                <w:szCs w:val="24"/>
              </w:rPr>
            </w:pPr>
            <w:r>
              <w:rPr>
                <w:rFonts w:hint="eastAsia" w:cs="宋体"/>
                <w:szCs w:val="24"/>
              </w:rPr>
              <w:t>信用要求</w:t>
            </w:r>
          </w:p>
        </w:tc>
        <w:tc>
          <w:tcPr>
            <w:tcW w:w="2759" w:type="pct"/>
            <w:shd w:val="clear" w:color="auto" w:fill="FFFFFF" w:themeFill="background1"/>
            <w:vAlign w:val="center"/>
          </w:tcPr>
          <w:p w14:paraId="41DA7EA9">
            <w:pPr>
              <w:pStyle w:val="51"/>
              <w:jc w:val="both"/>
              <w:rPr>
                <w:rFonts w:hint="eastAsia" w:cs="宋体"/>
                <w:spacing w:val="-6"/>
                <w:szCs w:val="24"/>
              </w:rPr>
            </w:pPr>
            <w:r>
              <w:rPr>
                <w:rFonts w:hint="eastAsia" w:cs="宋体"/>
                <w:spacing w:val="-6"/>
                <w:szCs w:val="24"/>
              </w:rPr>
              <w:t>参加投标活动前三年内，在经营活动中没有重大违法记录</w:t>
            </w:r>
          </w:p>
        </w:tc>
        <w:tc>
          <w:tcPr>
            <w:tcW w:w="801" w:type="pct"/>
            <w:shd w:val="clear" w:color="auto" w:fill="FFFFFF" w:themeFill="background1"/>
            <w:vAlign w:val="center"/>
          </w:tcPr>
          <w:p w14:paraId="7639FBB3">
            <w:pPr>
              <w:widowControl/>
              <w:spacing w:line="240" w:lineRule="auto"/>
              <w:rPr>
                <w:rFonts w:hint="eastAsia" w:cs="宋体"/>
                <w:kern w:val="0"/>
                <w:szCs w:val="24"/>
                <w:lang w:bidi="ar"/>
              </w:rPr>
            </w:pPr>
            <w:r>
              <w:rPr>
                <w:rFonts w:hint="eastAsia" w:cs="宋体"/>
                <w:kern w:val="0"/>
                <w:szCs w:val="24"/>
                <w:lang w:bidi="ar"/>
              </w:rPr>
              <w:t>提供承诺函（格式自拟）</w:t>
            </w:r>
          </w:p>
        </w:tc>
      </w:tr>
      <w:tr w14:paraId="5612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4" w:hRule="atLeast"/>
          <w:jc w:val="center"/>
        </w:trPr>
        <w:tc>
          <w:tcPr>
            <w:tcW w:w="439" w:type="pct"/>
            <w:shd w:val="clear" w:color="auto" w:fill="FFFFFF" w:themeFill="background1"/>
            <w:vAlign w:val="center"/>
          </w:tcPr>
          <w:p w14:paraId="44C090B4">
            <w:pPr>
              <w:pStyle w:val="51"/>
              <w:jc w:val="center"/>
              <w:rPr>
                <w:rFonts w:hint="eastAsia" w:cs="宋体"/>
                <w:b/>
                <w:bCs/>
                <w:szCs w:val="24"/>
              </w:rPr>
            </w:pPr>
            <w:r>
              <w:rPr>
                <w:rFonts w:hint="eastAsia" w:cs="宋体"/>
                <w:b/>
                <w:bCs/>
                <w:szCs w:val="24"/>
              </w:rPr>
              <w:t>1-3</w:t>
            </w:r>
          </w:p>
        </w:tc>
        <w:tc>
          <w:tcPr>
            <w:tcW w:w="1000" w:type="pct"/>
            <w:shd w:val="clear" w:color="auto" w:fill="FFFFFF" w:themeFill="background1"/>
            <w:vAlign w:val="center"/>
          </w:tcPr>
          <w:p w14:paraId="2A7C228F">
            <w:pPr>
              <w:pStyle w:val="51"/>
              <w:jc w:val="both"/>
              <w:rPr>
                <w:rFonts w:hint="eastAsia" w:cs="宋体"/>
                <w:szCs w:val="24"/>
              </w:rPr>
            </w:pPr>
            <w:r>
              <w:rPr>
                <w:rFonts w:hint="eastAsia" w:cs="宋体"/>
                <w:szCs w:val="24"/>
              </w:rPr>
              <w:t>法律、行政法规规定的其他条件</w:t>
            </w:r>
          </w:p>
        </w:tc>
        <w:tc>
          <w:tcPr>
            <w:tcW w:w="2759" w:type="pct"/>
            <w:shd w:val="clear" w:color="auto" w:fill="FFFFFF" w:themeFill="background1"/>
            <w:vAlign w:val="center"/>
          </w:tcPr>
          <w:p w14:paraId="77468144">
            <w:pPr>
              <w:pStyle w:val="51"/>
              <w:jc w:val="both"/>
              <w:rPr>
                <w:rFonts w:hint="eastAsia" w:cs="宋体"/>
                <w:szCs w:val="24"/>
              </w:rPr>
            </w:pPr>
            <w:r>
              <w:rPr>
                <w:rFonts w:hint="eastAsia" w:cs="宋体"/>
                <w:szCs w:val="24"/>
              </w:rPr>
              <w:t>法律、行政法规规定的其他条件</w:t>
            </w:r>
          </w:p>
        </w:tc>
        <w:tc>
          <w:tcPr>
            <w:tcW w:w="801" w:type="pct"/>
            <w:shd w:val="clear" w:color="auto" w:fill="FFFFFF" w:themeFill="background1"/>
            <w:vAlign w:val="center"/>
          </w:tcPr>
          <w:p w14:paraId="66DA0C2E">
            <w:pPr>
              <w:widowControl/>
              <w:spacing w:line="240" w:lineRule="auto"/>
              <w:rPr>
                <w:rFonts w:hint="eastAsia" w:cs="宋体"/>
                <w:b/>
                <w:bCs/>
                <w:szCs w:val="24"/>
              </w:rPr>
            </w:pPr>
            <w:r>
              <w:rPr>
                <w:rFonts w:hint="eastAsia" w:cs="宋体"/>
                <w:kern w:val="0"/>
                <w:szCs w:val="24"/>
                <w:lang w:bidi="ar"/>
              </w:rPr>
              <w:t>提供承诺函（格式自拟）</w:t>
            </w:r>
          </w:p>
        </w:tc>
      </w:tr>
      <w:tr w14:paraId="6D15A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4" w:hRule="atLeast"/>
          <w:jc w:val="center"/>
        </w:trPr>
        <w:tc>
          <w:tcPr>
            <w:tcW w:w="439" w:type="pct"/>
            <w:shd w:val="clear" w:color="auto" w:fill="FFFFFF" w:themeFill="background1"/>
            <w:vAlign w:val="center"/>
          </w:tcPr>
          <w:p w14:paraId="13123C8C">
            <w:pPr>
              <w:pStyle w:val="51"/>
              <w:jc w:val="center"/>
              <w:rPr>
                <w:rFonts w:hint="eastAsia" w:cs="宋体"/>
                <w:b/>
                <w:bCs/>
                <w:szCs w:val="24"/>
              </w:rPr>
            </w:pPr>
            <w:r>
              <w:rPr>
                <w:rFonts w:hint="eastAsia" w:cs="宋体"/>
                <w:b/>
                <w:bCs/>
                <w:szCs w:val="24"/>
              </w:rPr>
              <w:t>1-4</w:t>
            </w:r>
          </w:p>
        </w:tc>
        <w:tc>
          <w:tcPr>
            <w:tcW w:w="1000" w:type="pct"/>
            <w:shd w:val="clear" w:color="auto" w:fill="FFFFFF" w:themeFill="background1"/>
            <w:vAlign w:val="center"/>
          </w:tcPr>
          <w:p w14:paraId="3DA98C78">
            <w:pPr>
              <w:pStyle w:val="51"/>
              <w:jc w:val="both"/>
              <w:rPr>
                <w:rFonts w:hint="eastAsia" w:cs="宋体"/>
                <w:szCs w:val="24"/>
              </w:rPr>
            </w:pPr>
            <w:r>
              <w:rPr>
                <w:rFonts w:hint="eastAsia" w:cs="宋体"/>
                <w:szCs w:val="24"/>
              </w:rPr>
              <w:t>具有健全的财务会计制度</w:t>
            </w:r>
          </w:p>
        </w:tc>
        <w:tc>
          <w:tcPr>
            <w:tcW w:w="2759" w:type="pct"/>
            <w:shd w:val="clear" w:color="auto" w:fill="FFFFFF" w:themeFill="background1"/>
            <w:vAlign w:val="center"/>
          </w:tcPr>
          <w:p w14:paraId="2C7EA79E">
            <w:pPr>
              <w:pStyle w:val="51"/>
              <w:jc w:val="both"/>
              <w:rPr>
                <w:rFonts w:hint="eastAsia" w:cs="宋体"/>
                <w:szCs w:val="24"/>
              </w:rPr>
            </w:pPr>
            <w:r>
              <w:rPr>
                <w:rFonts w:hint="eastAsia" w:cs="宋体"/>
                <w:szCs w:val="24"/>
              </w:rPr>
              <w:t>提供近6个月内任意1个月银行资信证明或上一年度（2024年度）经审计的审计报告。新成立企业仅需提供近6个月内任意1个月银行资信证明。新成立企业是指：营业执照申领时间至投标截止时间未满一年的企业。分支组织投标的提供总公司财务审计报告及分公司财务报表。</w:t>
            </w:r>
          </w:p>
        </w:tc>
        <w:tc>
          <w:tcPr>
            <w:tcW w:w="801" w:type="pct"/>
            <w:shd w:val="clear" w:color="auto" w:fill="FFFFFF" w:themeFill="background1"/>
            <w:vAlign w:val="center"/>
          </w:tcPr>
          <w:p w14:paraId="11F131F1">
            <w:pPr>
              <w:widowControl/>
              <w:spacing w:line="240" w:lineRule="auto"/>
              <w:rPr>
                <w:rFonts w:hint="eastAsia" w:cs="宋体"/>
                <w:b/>
                <w:bCs/>
                <w:szCs w:val="24"/>
              </w:rPr>
            </w:pPr>
            <w:r>
              <w:rPr>
                <w:rFonts w:hint="eastAsia" w:cs="宋体"/>
                <w:kern w:val="0"/>
                <w:szCs w:val="24"/>
                <w:lang w:bidi="ar"/>
              </w:rPr>
              <w:t>提供有效的证明材料</w:t>
            </w:r>
          </w:p>
        </w:tc>
      </w:tr>
      <w:tr w14:paraId="2023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4" w:hRule="atLeast"/>
          <w:jc w:val="center"/>
        </w:trPr>
        <w:tc>
          <w:tcPr>
            <w:tcW w:w="439" w:type="pct"/>
            <w:shd w:val="clear" w:color="auto" w:fill="FFFFFF" w:themeFill="background1"/>
            <w:vAlign w:val="center"/>
          </w:tcPr>
          <w:p w14:paraId="71B56034">
            <w:pPr>
              <w:pStyle w:val="51"/>
              <w:jc w:val="center"/>
              <w:rPr>
                <w:rFonts w:hint="eastAsia" w:cs="宋体"/>
                <w:b/>
                <w:bCs/>
                <w:szCs w:val="24"/>
              </w:rPr>
            </w:pPr>
            <w:r>
              <w:rPr>
                <w:rFonts w:hint="eastAsia" w:cs="宋体"/>
                <w:b/>
                <w:bCs/>
                <w:szCs w:val="24"/>
              </w:rPr>
              <w:t>1-5</w:t>
            </w:r>
          </w:p>
        </w:tc>
        <w:tc>
          <w:tcPr>
            <w:tcW w:w="1000" w:type="pct"/>
            <w:shd w:val="clear" w:color="auto" w:fill="FFFFFF" w:themeFill="background1"/>
            <w:vAlign w:val="center"/>
          </w:tcPr>
          <w:p w14:paraId="56389E0E">
            <w:pPr>
              <w:pStyle w:val="51"/>
              <w:jc w:val="both"/>
              <w:rPr>
                <w:rFonts w:hint="eastAsia" w:cs="宋体"/>
                <w:szCs w:val="24"/>
              </w:rPr>
            </w:pPr>
            <w:r>
              <w:rPr>
                <w:rFonts w:hint="eastAsia" w:cs="宋体"/>
                <w:szCs w:val="24"/>
              </w:rPr>
              <w:t>具有依法缴纳税收和社会保障资金的良好记录</w:t>
            </w:r>
          </w:p>
        </w:tc>
        <w:tc>
          <w:tcPr>
            <w:tcW w:w="2759" w:type="pct"/>
            <w:shd w:val="clear" w:color="auto" w:fill="FFFFFF" w:themeFill="background1"/>
            <w:vAlign w:val="center"/>
          </w:tcPr>
          <w:p w14:paraId="55145FF8">
            <w:pPr>
              <w:pStyle w:val="51"/>
              <w:jc w:val="both"/>
              <w:rPr>
                <w:rFonts w:hint="eastAsia" w:cs="宋体"/>
                <w:szCs w:val="24"/>
              </w:rPr>
            </w:pPr>
            <w:r>
              <w:rPr>
                <w:rFonts w:hint="eastAsia" w:cs="宋体"/>
                <w:szCs w:val="24"/>
              </w:rPr>
              <w:t>提供：（1）近6个月内任意1个月已依法缴纳税收的凭据；（2）近6个月内任意1个月已依法缴纳社会保险的凭据。（依法免税的供应商，应提供相应证明文件，新成立企业无需提供）</w:t>
            </w:r>
          </w:p>
        </w:tc>
        <w:tc>
          <w:tcPr>
            <w:tcW w:w="801" w:type="pct"/>
            <w:shd w:val="clear" w:color="auto" w:fill="FFFFFF" w:themeFill="background1"/>
            <w:vAlign w:val="center"/>
          </w:tcPr>
          <w:p w14:paraId="09B2819E">
            <w:pPr>
              <w:widowControl/>
              <w:spacing w:line="240" w:lineRule="auto"/>
              <w:rPr>
                <w:rFonts w:hint="eastAsia" w:cs="宋体"/>
                <w:kern w:val="0"/>
                <w:szCs w:val="24"/>
                <w:lang w:bidi="ar"/>
              </w:rPr>
            </w:pPr>
            <w:r>
              <w:rPr>
                <w:rFonts w:hint="eastAsia" w:cs="宋体"/>
                <w:kern w:val="0"/>
                <w:szCs w:val="24"/>
                <w:lang w:bidi="ar"/>
              </w:rPr>
              <w:t>提供有效的证明材料</w:t>
            </w:r>
          </w:p>
        </w:tc>
      </w:tr>
      <w:tr w14:paraId="1AC05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4" w:hRule="atLeast"/>
          <w:jc w:val="center"/>
        </w:trPr>
        <w:tc>
          <w:tcPr>
            <w:tcW w:w="439" w:type="pct"/>
            <w:shd w:val="clear" w:color="auto" w:fill="FFFFFF" w:themeFill="background1"/>
            <w:vAlign w:val="center"/>
          </w:tcPr>
          <w:p w14:paraId="0268934B">
            <w:pPr>
              <w:pStyle w:val="51"/>
              <w:jc w:val="center"/>
              <w:rPr>
                <w:rFonts w:hint="eastAsia" w:cs="宋体"/>
                <w:b/>
                <w:bCs/>
                <w:szCs w:val="24"/>
              </w:rPr>
            </w:pPr>
            <w:r>
              <w:rPr>
                <w:rFonts w:hint="eastAsia" w:cs="宋体"/>
                <w:b/>
                <w:bCs/>
                <w:szCs w:val="24"/>
              </w:rPr>
              <w:t>2</w:t>
            </w:r>
          </w:p>
        </w:tc>
        <w:tc>
          <w:tcPr>
            <w:tcW w:w="1000" w:type="pct"/>
            <w:shd w:val="clear" w:color="auto" w:fill="FFFFFF" w:themeFill="background1"/>
            <w:vAlign w:val="center"/>
          </w:tcPr>
          <w:p w14:paraId="00E757E0">
            <w:pPr>
              <w:pStyle w:val="51"/>
              <w:jc w:val="both"/>
              <w:rPr>
                <w:rFonts w:hint="eastAsia" w:cs="宋体"/>
                <w:kern w:val="0"/>
                <w:szCs w:val="24"/>
                <w:lang w:bidi="ar"/>
              </w:rPr>
            </w:pPr>
            <w:r>
              <w:rPr>
                <w:rFonts w:hint="eastAsia" w:cs="宋体"/>
                <w:kern w:val="0"/>
                <w:szCs w:val="24"/>
                <w:lang w:bidi="ar"/>
              </w:rPr>
              <w:t>本项目的特定资格要求</w:t>
            </w:r>
          </w:p>
        </w:tc>
        <w:tc>
          <w:tcPr>
            <w:tcW w:w="2759" w:type="pct"/>
            <w:shd w:val="clear" w:color="auto" w:fill="FFFFFF" w:themeFill="background1"/>
            <w:vAlign w:val="center"/>
          </w:tcPr>
          <w:p w14:paraId="4622E59F">
            <w:pPr>
              <w:pStyle w:val="51"/>
              <w:jc w:val="both"/>
              <w:rPr>
                <w:rFonts w:hint="eastAsia" w:cs="宋体"/>
                <w:kern w:val="0"/>
                <w:szCs w:val="24"/>
                <w:lang w:bidi="ar"/>
              </w:rPr>
            </w:pPr>
            <w:r>
              <w:rPr>
                <w:rFonts w:hint="eastAsia" w:cs="宋体"/>
                <w:kern w:val="0"/>
                <w:szCs w:val="24"/>
                <w:lang w:bidi="ar"/>
              </w:rPr>
              <w:t>如有，见</w:t>
            </w:r>
            <w:r>
              <w:rPr>
                <w:rFonts w:hint="eastAsia" w:cs="宋体"/>
                <w:szCs w:val="24"/>
              </w:rPr>
              <w:t>“第一章 招标公告”</w:t>
            </w:r>
          </w:p>
        </w:tc>
        <w:tc>
          <w:tcPr>
            <w:tcW w:w="801" w:type="pct"/>
            <w:shd w:val="clear" w:color="auto" w:fill="FFFFFF" w:themeFill="background1"/>
            <w:vAlign w:val="center"/>
          </w:tcPr>
          <w:p w14:paraId="43CFECE8">
            <w:pPr>
              <w:pStyle w:val="51"/>
              <w:jc w:val="both"/>
              <w:rPr>
                <w:rFonts w:hint="eastAsia" w:cs="宋体"/>
                <w:kern w:val="0"/>
                <w:szCs w:val="24"/>
                <w:lang w:bidi="ar"/>
              </w:rPr>
            </w:pPr>
          </w:p>
        </w:tc>
      </w:tr>
      <w:tr w14:paraId="7817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FFFFFF" w:themeFill="background1"/>
            <w:vAlign w:val="center"/>
          </w:tcPr>
          <w:p w14:paraId="60344A19">
            <w:pPr>
              <w:pStyle w:val="51"/>
              <w:jc w:val="center"/>
              <w:rPr>
                <w:rFonts w:hint="eastAsia" w:cs="宋体"/>
                <w:b/>
                <w:bCs/>
                <w:szCs w:val="24"/>
              </w:rPr>
            </w:pPr>
            <w:r>
              <w:rPr>
                <w:rFonts w:hint="eastAsia" w:cs="宋体"/>
                <w:b/>
                <w:bCs/>
                <w:szCs w:val="24"/>
              </w:rPr>
              <w:t>2-1</w:t>
            </w:r>
          </w:p>
        </w:tc>
        <w:tc>
          <w:tcPr>
            <w:tcW w:w="1000" w:type="pct"/>
            <w:shd w:val="clear" w:color="auto" w:fill="FFFFFF" w:themeFill="background1"/>
            <w:vAlign w:val="center"/>
          </w:tcPr>
          <w:p w14:paraId="510B7932">
            <w:pPr>
              <w:pStyle w:val="51"/>
              <w:jc w:val="both"/>
              <w:rPr>
                <w:rFonts w:hint="eastAsia" w:cs="宋体"/>
                <w:kern w:val="0"/>
                <w:szCs w:val="24"/>
                <w:lang w:bidi="ar"/>
              </w:rPr>
            </w:pPr>
            <w:r>
              <w:rPr>
                <w:rFonts w:hint="eastAsia" w:cs="宋体"/>
                <w:kern w:val="0"/>
                <w:szCs w:val="24"/>
                <w:lang w:bidi="ar"/>
              </w:rPr>
              <w:t>特定资格要求</w:t>
            </w:r>
          </w:p>
        </w:tc>
        <w:tc>
          <w:tcPr>
            <w:tcW w:w="2759" w:type="pct"/>
            <w:shd w:val="clear" w:color="auto" w:fill="FFFFFF" w:themeFill="background1"/>
            <w:vAlign w:val="center"/>
          </w:tcPr>
          <w:p w14:paraId="40356462">
            <w:pPr>
              <w:pStyle w:val="51"/>
              <w:spacing w:line="380" w:lineRule="exact"/>
              <w:jc w:val="both"/>
              <w:rPr>
                <w:rFonts w:hint="eastAsia" w:cs="宋体"/>
                <w:kern w:val="0"/>
                <w:szCs w:val="24"/>
                <w:lang w:bidi="ar"/>
              </w:rPr>
            </w:pPr>
            <w:r>
              <w:rPr>
                <w:rFonts w:hint="eastAsia" w:cs="宋体"/>
                <w:kern w:val="0"/>
                <w:szCs w:val="24"/>
                <w:lang w:bidi="ar"/>
              </w:rPr>
              <w:t>供应商应具备通信工程施工总承包</w:t>
            </w:r>
            <w:r>
              <w:rPr>
                <w:rFonts w:hint="eastAsia" w:cs="宋体"/>
                <w:kern w:val="0"/>
                <w:szCs w:val="24"/>
                <w:lang w:val="en-US" w:eastAsia="zh-CN" w:bidi="ar"/>
              </w:rPr>
              <w:t>三</w:t>
            </w:r>
            <w:r>
              <w:rPr>
                <w:rFonts w:hint="eastAsia" w:cs="宋体"/>
                <w:kern w:val="0"/>
                <w:szCs w:val="24"/>
                <w:lang w:bidi="ar"/>
              </w:rPr>
              <w:t>级及以上资质，同时具备有效的安全生产许可证。（分支机构使用总公司资质应有总公司授权证明）</w:t>
            </w:r>
          </w:p>
        </w:tc>
        <w:tc>
          <w:tcPr>
            <w:tcW w:w="801" w:type="pct"/>
            <w:shd w:val="clear" w:color="auto" w:fill="FFFFFF" w:themeFill="background1"/>
            <w:vAlign w:val="center"/>
          </w:tcPr>
          <w:p w14:paraId="5B58C8AF">
            <w:pPr>
              <w:pStyle w:val="51"/>
              <w:rPr>
                <w:rFonts w:hint="eastAsia" w:cs="宋体"/>
                <w:kern w:val="0"/>
                <w:szCs w:val="24"/>
                <w:lang w:bidi="ar"/>
              </w:rPr>
            </w:pPr>
            <w:r>
              <w:rPr>
                <w:rFonts w:hint="eastAsia" w:cs="宋体"/>
                <w:kern w:val="0"/>
                <w:szCs w:val="24"/>
                <w:lang w:bidi="ar"/>
              </w:rPr>
              <w:t>提供有效的证明材料</w:t>
            </w:r>
          </w:p>
        </w:tc>
      </w:tr>
      <w:tr w14:paraId="35AD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80" w:hRule="atLeast"/>
          <w:jc w:val="center"/>
        </w:trPr>
        <w:tc>
          <w:tcPr>
            <w:tcW w:w="822" w:type="dxa"/>
            <w:shd w:val="clear" w:color="auto" w:fill="FFFFFF" w:themeFill="background1"/>
            <w:vAlign w:val="center"/>
          </w:tcPr>
          <w:p w14:paraId="443543E2">
            <w:pPr>
              <w:pStyle w:val="51"/>
              <w:jc w:val="center"/>
              <w:rPr>
                <w:rFonts w:hint="eastAsia" w:cs="宋体"/>
                <w:b/>
                <w:bCs/>
                <w:szCs w:val="24"/>
              </w:rPr>
            </w:pPr>
            <w:r>
              <w:rPr>
                <w:rFonts w:hint="eastAsia" w:cs="宋体"/>
                <w:b/>
                <w:bCs/>
                <w:szCs w:val="24"/>
              </w:rPr>
              <w:t>2-2</w:t>
            </w:r>
          </w:p>
        </w:tc>
        <w:tc>
          <w:tcPr>
            <w:tcW w:w="1872" w:type="dxa"/>
            <w:shd w:val="clear" w:color="auto" w:fill="FFFFFF" w:themeFill="background1"/>
            <w:vAlign w:val="center"/>
          </w:tcPr>
          <w:p w14:paraId="4A7A0EA4">
            <w:pPr>
              <w:pStyle w:val="51"/>
              <w:jc w:val="both"/>
              <w:rPr>
                <w:rFonts w:hint="eastAsia" w:cs="宋体"/>
                <w:kern w:val="0"/>
                <w:szCs w:val="24"/>
                <w:lang w:bidi="ar"/>
              </w:rPr>
            </w:pPr>
            <w:r>
              <w:rPr>
                <w:rFonts w:hint="eastAsia" w:cs="宋体"/>
                <w:kern w:val="0"/>
                <w:szCs w:val="24"/>
                <w:lang w:bidi="ar"/>
              </w:rPr>
              <w:t>控股管理关系</w:t>
            </w:r>
          </w:p>
        </w:tc>
        <w:tc>
          <w:tcPr>
            <w:tcW w:w="5165" w:type="dxa"/>
            <w:shd w:val="clear" w:color="auto" w:fill="FFFFFF" w:themeFill="background1"/>
            <w:vAlign w:val="center"/>
          </w:tcPr>
          <w:p w14:paraId="479085BD">
            <w:pPr>
              <w:pStyle w:val="51"/>
              <w:jc w:val="both"/>
              <w:rPr>
                <w:rFonts w:hint="eastAsia" w:cs="宋体"/>
                <w:kern w:val="0"/>
                <w:szCs w:val="24"/>
                <w:lang w:bidi="ar"/>
              </w:rPr>
            </w:pPr>
            <w:r>
              <w:rPr>
                <w:rFonts w:hint="eastAsia" w:cs="宋体"/>
                <w:kern w:val="0"/>
                <w:szCs w:val="24"/>
                <w:lang w:bidi="ar"/>
              </w:rPr>
              <w:t>单位负责人为同一人或者存在直接控股、管理关系的不同供应商，不得参加同一合同项下的采购活动。</w:t>
            </w:r>
          </w:p>
        </w:tc>
        <w:tc>
          <w:tcPr>
            <w:tcW w:w="1500" w:type="dxa"/>
            <w:shd w:val="clear" w:color="auto" w:fill="FFFFFF" w:themeFill="background1"/>
            <w:vAlign w:val="center"/>
          </w:tcPr>
          <w:p w14:paraId="0E678D8A">
            <w:pPr>
              <w:pStyle w:val="51"/>
              <w:rPr>
                <w:rFonts w:hint="eastAsia" w:cs="宋体"/>
                <w:kern w:val="0"/>
                <w:szCs w:val="24"/>
                <w:lang w:bidi="ar"/>
              </w:rPr>
            </w:pPr>
            <w:r>
              <w:rPr>
                <w:rFonts w:hint="eastAsia" w:cs="宋体"/>
                <w:kern w:val="0"/>
                <w:szCs w:val="24"/>
                <w:lang w:bidi="ar"/>
              </w:rPr>
              <w:t>提供承诺函（格式自拟）</w:t>
            </w:r>
          </w:p>
        </w:tc>
      </w:tr>
      <w:tr w14:paraId="40BE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80" w:hRule="atLeast"/>
          <w:jc w:val="center"/>
        </w:trPr>
        <w:tc>
          <w:tcPr>
            <w:tcW w:w="822" w:type="dxa"/>
            <w:shd w:val="clear" w:color="auto" w:fill="FFFFFF" w:themeFill="background1"/>
            <w:vAlign w:val="center"/>
          </w:tcPr>
          <w:p w14:paraId="5E1A1AF9">
            <w:pPr>
              <w:pStyle w:val="51"/>
              <w:jc w:val="center"/>
              <w:rPr>
                <w:rFonts w:hint="eastAsia" w:cs="宋体"/>
                <w:b/>
                <w:bCs/>
                <w:szCs w:val="24"/>
              </w:rPr>
            </w:pPr>
            <w:r>
              <w:rPr>
                <w:rFonts w:hint="eastAsia" w:cs="宋体"/>
                <w:b/>
                <w:bCs/>
                <w:szCs w:val="24"/>
              </w:rPr>
              <w:t>2-3</w:t>
            </w:r>
          </w:p>
        </w:tc>
        <w:tc>
          <w:tcPr>
            <w:tcW w:w="1872" w:type="dxa"/>
            <w:shd w:val="clear" w:color="auto" w:fill="FFFFFF" w:themeFill="background1"/>
            <w:vAlign w:val="center"/>
          </w:tcPr>
          <w:p w14:paraId="2A89BA7E">
            <w:pPr>
              <w:pStyle w:val="51"/>
              <w:jc w:val="both"/>
              <w:rPr>
                <w:rFonts w:hint="eastAsia" w:cs="宋体"/>
                <w:kern w:val="0"/>
                <w:szCs w:val="24"/>
                <w:lang w:bidi="ar"/>
              </w:rPr>
            </w:pPr>
            <w:r>
              <w:rPr>
                <w:rFonts w:hint="eastAsia" w:cs="宋体"/>
                <w:kern w:val="0"/>
                <w:szCs w:val="24"/>
                <w:lang w:bidi="ar"/>
              </w:rPr>
              <w:t>联合体</w:t>
            </w:r>
          </w:p>
        </w:tc>
        <w:tc>
          <w:tcPr>
            <w:tcW w:w="5165" w:type="dxa"/>
            <w:shd w:val="clear" w:color="auto" w:fill="FFFFFF" w:themeFill="background1"/>
            <w:vAlign w:val="center"/>
          </w:tcPr>
          <w:p w14:paraId="00C44D2B">
            <w:pPr>
              <w:pStyle w:val="51"/>
              <w:jc w:val="both"/>
              <w:rPr>
                <w:rFonts w:hint="eastAsia" w:cs="宋体"/>
                <w:kern w:val="0"/>
                <w:szCs w:val="24"/>
                <w:lang w:bidi="ar"/>
              </w:rPr>
            </w:pPr>
            <w:r>
              <w:rPr>
                <w:rFonts w:hint="eastAsia" w:cs="宋体"/>
                <w:kern w:val="0"/>
                <w:szCs w:val="24"/>
                <w:lang w:bidi="ar"/>
              </w:rPr>
              <w:t>本项目不接受联合体</w:t>
            </w:r>
          </w:p>
        </w:tc>
        <w:tc>
          <w:tcPr>
            <w:tcW w:w="1500" w:type="dxa"/>
            <w:shd w:val="clear" w:color="auto" w:fill="FFFFFF" w:themeFill="background1"/>
            <w:vAlign w:val="center"/>
          </w:tcPr>
          <w:p w14:paraId="05D1127D">
            <w:pPr>
              <w:pStyle w:val="51"/>
              <w:rPr>
                <w:rFonts w:hint="eastAsia" w:cs="宋体"/>
                <w:kern w:val="0"/>
                <w:szCs w:val="24"/>
                <w:lang w:bidi="ar"/>
              </w:rPr>
            </w:pPr>
            <w:r>
              <w:rPr>
                <w:rFonts w:hint="eastAsia" w:cs="宋体"/>
                <w:kern w:val="0"/>
                <w:szCs w:val="24"/>
                <w:lang w:bidi="ar"/>
              </w:rPr>
              <w:t>提供承诺函（格式自拟）</w:t>
            </w:r>
          </w:p>
        </w:tc>
      </w:tr>
      <w:tr w14:paraId="6F75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80" w:hRule="atLeast"/>
          <w:jc w:val="center"/>
        </w:trPr>
        <w:tc>
          <w:tcPr>
            <w:tcW w:w="822" w:type="dxa"/>
            <w:shd w:val="clear" w:color="auto" w:fill="FFFFFF" w:themeFill="background1"/>
            <w:vAlign w:val="center"/>
          </w:tcPr>
          <w:p w14:paraId="774291F2">
            <w:pPr>
              <w:pStyle w:val="51"/>
              <w:jc w:val="center"/>
              <w:rPr>
                <w:rFonts w:hint="eastAsia" w:cs="宋体"/>
                <w:b/>
                <w:bCs/>
                <w:szCs w:val="24"/>
              </w:rPr>
            </w:pPr>
            <w:r>
              <w:rPr>
                <w:rFonts w:hint="eastAsia" w:cs="宋体"/>
                <w:b/>
                <w:bCs/>
                <w:szCs w:val="24"/>
              </w:rPr>
              <w:t>2-4</w:t>
            </w:r>
          </w:p>
        </w:tc>
        <w:tc>
          <w:tcPr>
            <w:tcW w:w="1872" w:type="dxa"/>
            <w:shd w:val="clear" w:color="auto" w:fill="FFFFFF" w:themeFill="background1"/>
            <w:vAlign w:val="center"/>
          </w:tcPr>
          <w:p w14:paraId="4FE5D8D7">
            <w:pPr>
              <w:pStyle w:val="51"/>
              <w:jc w:val="both"/>
              <w:rPr>
                <w:rFonts w:hint="eastAsia" w:cs="宋体"/>
                <w:kern w:val="0"/>
                <w:szCs w:val="24"/>
                <w:lang w:bidi="ar"/>
              </w:rPr>
            </w:pPr>
            <w:r>
              <w:rPr>
                <w:rFonts w:hint="eastAsia" w:cs="宋体"/>
                <w:kern w:val="0"/>
                <w:szCs w:val="24"/>
                <w:lang w:bidi="ar"/>
              </w:rPr>
              <w:t>其他资格要求</w:t>
            </w:r>
          </w:p>
        </w:tc>
        <w:tc>
          <w:tcPr>
            <w:tcW w:w="5165" w:type="dxa"/>
            <w:shd w:val="clear" w:color="auto" w:fill="FFFFFF" w:themeFill="background1"/>
            <w:vAlign w:val="center"/>
          </w:tcPr>
          <w:p w14:paraId="3FBC878C">
            <w:pPr>
              <w:pStyle w:val="51"/>
              <w:jc w:val="both"/>
              <w:rPr>
                <w:rFonts w:hint="eastAsia" w:cs="宋体"/>
                <w:kern w:val="0"/>
                <w:szCs w:val="24"/>
                <w:lang w:bidi="ar"/>
              </w:rPr>
            </w:pPr>
            <w:r>
              <w:rPr>
                <w:rFonts w:hint="eastAsia" w:cs="宋体"/>
                <w:kern w:val="0"/>
                <w:szCs w:val="24"/>
                <w:lang w:bidi="ar"/>
              </w:rPr>
              <w:t>除单一来源采购项目外，为采购项目提供整体设计、规范编制或者项目管理、监理、检测等服务的供应商，不得再参加该采购项目的其他采购活动。</w:t>
            </w:r>
          </w:p>
        </w:tc>
        <w:tc>
          <w:tcPr>
            <w:tcW w:w="1500" w:type="dxa"/>
            <w:shd w:val="clear" w:color="auto" w:fill="FFFFFF" w:themeFill="background1"/>
            <w:vAlign w:val="center"/>
          </w:tcPr>
          <w:p w14:paraId="3EA8DEBA">
            <w:pPr>
              <w:pStyle w:val="51"/>
              <w:rPr>
                <w:rFonts w:hint="eastAsia" w:cs="宋体"/>
                <w:kern w:val="0"/>
                <w:szCs w:val="24"/>
                <w:lang w:bidi="ar"/>
              </w:rPr>
            </w:pPr>
            <w:r>
              <w:rPr>
                <w:rFonts w:hint="eastAsia" w:cs="宋体"/>
                <w:kern w:val="0"/>
                <w:szCs w:val="24"/>
                <w:lang w:bidi="ar"/>
              </w:rPr>
              <w:t>提供承诺函（格式自拟）</w:t>
            </w:r>
          </w:p>
        </w:tc>
      </w:tr>
    </w:tbl>
    <w:p w14:paraId="018CF6D8">
      <w:pPr>
        <w:widowControl/>
        <w:rPr>
          <w:rFonts w:hint="eastAsia"/>
        </w:rPr>
      </w:pPr>
      <w:r>
        <w:rPr>
          <w:rFonts w:hint="eastAsia" w:cs="宋体"/>
          <w:kern w:val="0"/>
          <w:szCs w:val="24"/>
          <w:lang w:bidi="ar"/>
        </w:rPr>
        <w:t xml:space="preserve"> </w:t>
      </w:r>
    </w:p>
    <w:p w14:paraId="17E65F77">
      <w:pPr>
        <w:widowControl/>
        <w:rPr>
          <w:rFonts w:hint="eastAsia"/>
        </w:rPr>
      </w:pPr>
      <w:r>
        <w:rPr>
          <w:rFonts w:hint="eastAsia" w:cs="宋体"/>
          <w:kern w:val="0"/>
          <w:szCs w:val="24"/>
          <w:lang w:bidi="ar"/>
        </w:rPr>
        <w:t xml:space="preserve"> </w:t>
      </w:r>
    </w:p>
    <w:p w14:paraId="7BE90509">
      <w:pPr>
        <w:widowControl/>
        <w:rPr>
          <w:rFonts w:hint="eastAsia" w:cs="宋体"/>
          <w:kern w:val="0"/>
          <w:szCs w:val="24"/>
          <w:lang w:bidi="ar"/>
        </w:rPr>
      </w:pPr>
      <w:r>
        <w:rPr>
          <w:rFonts w:hint="eastAsia" w:cs="宋体"/>
          <w:kern w:val="0"/>
          <w:szCs w:val="24"/>
          <w:lang w:bidi="ar"/>
        </w:rPr>
        <w:t xml:space="preserve"> </w:t>
      </w:r>
    </w:p>
    <w:p w14:paraId="35732770">
      <w:pPr>
        <w:widowControl/>
        <w:rPr>
          <w:rFonts w:hint="eastAsia" w:cs="宋体"/>
          <w:kern w:val="0"/>
          <w:szCs w:val="24"/>
          <w:lang w:bidi="ar"/>
        </w:rPr>
      </w:pPr>
    </w:p>
    <w:p w14:paraId="1DBCCAFB">
      <w:pPr>
        <w:widowControl/>
        <w:rPr>
          <w:rFonts w:hint="eastAsia" w:cs="宋体"/>
          <w:kern w:val="0"/>
          <w:szCs w:val="24"/>
          <w:lang w:bidi="ar"/>
        </w:rPr>
      </w:pPr>
    </w:p>
    <w:p w14:paraId="6EC3CA1C">
      <w:pPr>
        <w:rPr>
          <w:rFonts w:hint="eastAsia" w:cs="宋体"/>
          <w:b/>
          <w:bCs/>
          <w:kern w:val="44"/>
          <w:sz w:val="36"/>
          <w:szCs w:val="36"/>
        </w:rPr>
      </w:pPr>
      <w:bookmarkStart w:id="318" w:name="_Toc155185903"/>
      <w:bookmarkStart w:id="319" w:name="_Toc163492899"/>
      <w:r>
        <w:rPr>
          <w:rFonts w:hint="eastAsia" w:cs="宋体"/>
          <w:b/>
          <w:bCs/>
          <w:kern w:val="44"/>
          <w:sz w:val="36"/>
          <w:szCs w:val="36"/>
        </w:rPr>
        <w:br w:type="page"/>
      </w:r>
    </w:p>
    <w:p w14:paraId="682D8696">
      <w:pPr>
        <w:pStyle w:val="3"/>
        <w:spacing w:before="220" w:after="220" w:line="480" w:lineRule="auto"/>
        <w:ind w:left="420" w:hanging="420"/>
        <w:rPr>
          <w:rFonts w:hint="eastAsia" w:eastAsia="宋体" w:cs="宋体"/>
          <w:sz w:val="36"/>
          <w:szCs w:val="36"/>
        </w:rPr>
      </w:pPr>
      <w:bookmarkStart w:id="320" w:name="_Toc8647"/>
      <w:r>
        <w:rPr>
          <w:rFonts w:hint="eastAsia" w:eastAsia="宋体" w:cs="宋体"/>
          <w:sz w:val="36"/>
          <w:szCs w:val="36"/>
        </w:rPr>
        <w:t>第五章 评标方法</w:t>
      </w:r>
      <w:bookmarkEnd w:id="318"/>
      <w:r>
        <w:rPr>
          <w:rFonts w:hint="eastAsia" w:eastAsia="宋体" w:cs="宋体"/>
          <w:sz w:val="36"/>
          <w:szCs w:val="36"/>
        </w:rPr>
        <w:t>及标准</w:t>
      </w:r>
      <w:bookmarkEnd w:id="319"/>
      <w:r>
        <w:rPr>
          <w:rFonts w:hint="eastAsia" w:eastAsia="宋体" w:cs="宋体"/>
          <w:sz w:val="36"/>
          <w:szCs w:val="36"/>
        </w:rPr>
        <w:t>(综合评分法)</w:t>
      </w:r>
      <w:bookmarkEnd w:id="320"/>
    </w:p>
    <w:p w14:paraId="3591106B">
      <w:pPr>
        <w:pStyle w:val="39"/>
        <w:jc w:val="both"/>
        <w:rPr>
          <w:rFonts w:hint="eastAsia" w:cs="宋体"/>
          <w:szCs w:val="24"/>
        </w:rPr>
      </w:pPr>
      <w:r>
        <w:rPr>
          <w:rFonts w:hint="eastAsia" w:cs="宋体"/>
          <w:szCs w:val="24"/>
        </w:rPr>
        <w:t>根据《中华人民共和国政府采购法》及其实施条例、《政府采购货物和服务招标投标管理办法》</w:t>
      </w:r>
      <w:r>
        <w:rPr>
          <w:rFonts w:hint="eastAsia" w:cs="宋体"/>
          <w:szCs w:val="24"/>
          <w:lang w:val="en-US"/>
        </w:rPr>
        <w:t>及</w:t>
      </w:r>
      <w:r>
        <w:rPr>
          <w:rFonts w:hint="eastAsia" w:cs="宋体"/>
          <w:szCs w:val="24"/>
        </w:rPr>
        <w:t>相关法律法规确定以下评标</w:t>
      </w:r>
      <w:r>
        <w:rPr>
          <w:rFonts w:hint="eastAsia" w:cs="宋体"/>
          <w:szCs w:val="24"/>
          <w:lang w:val="en-US"/>
        </w:rPr>
        <w:t>方</w:t>
      </w:r>
      <w:r>
        <w:rPr>
          <w:rFonts w:hint="eastAsia" w:cs="宋体"/>
          <w:szCs w:val="24"/>
        </w:rPr>
        <w:t>法及标准。</w:t>
      </w:r>
    </w:p>
    <w:p w14:paraId="192FB03D">
      <w:pPr>
        <w:pStyle w:val="4"/>
        <w:spacing w:before="160" w:after="160" w:line="360" w:lineRule="auto"/>
        <w:ind w:left="420" w:hanging="420"/>
        <w:jc w:val="both"/>
        <w:rPr>
          <w:rFonts w:hint="eastAsia" w:ascii="宋体" w:hAnsi="宋体" w:cs="宋体"/>
          <w:sz w:val="28"/>
          <w:szCs w:val="28"/>
          <w:lang w:val="zh-CN"/>
        </w:rPr>
      </w:pPr>
      <w:bookmarkStart w:id="321" w:name="_Toc163492900"/>
      <w:bookmarkStart w:id="322" w:name="_Toc11928"/>
      <w:bookmarkStart w:id="323" w:name="_Toc272247709"/>
      <w:bookmarkStart w:id="324" w:name="_Toc140132826"/>
      <w:bookmarkStart w:id="325" w:name="_Toc278891606"/>
      <w:bookmarkStart w:id="326" w:name="_Toc109899903"/>
      <w:bookmarkStart w:id="327" w:name="_Toc109900322"/>
      <w:bookmarkStart w:id="328" w:name="_Toc494561962"/>
      <w:bookmarkStart w:id="329" w:name="_Toc61280402"/>
      <w:bookmarkStart w:id="330" w:name="_Toc511894518"/>
      <w:bookmarkStart w:id="331" w:name="_Toc109899484"/>
      <w:bookmarkStart w:id="332" w:name="_Toc155185905"/>
      <w:r>
        <w:rPr>
          <w:rFonts w:hint="eastAsia" w:ascii="宋体" w:hAnsi="宋体" w:cs="宋体"/>
          <w:sz w:val="28"/>
          <w:szCs w:val="28"/>
          <w:lang w:val="zh-CN"/>
        </w:rPr>
        <w:t>一、评标</w:t>
      </w:r>
      <w:r>
        <w:rPr>
          <w:rFonts w:hint="eastAsia" w:ascii="宋体" w:hAnsi="宋体" w:cs="宋体"/>
          <w:sz w:val="28"/>
          <w:szCs w:val="28"/>
        </w:rPr>
        <w:t>方</w:t>
      </w:r>
      <w:r>
        <w:rPr>
          <w:rFonts w:hint="eastAsia" w:ascii="宋体" w:hAnsi="宋体" w:cs="宋体"/>
          <w:sz w:val="28"/>
          <w:szCs w:val="28"/>
          <w:lang w:val="zh-CN"/>
        </w:rPr>
        <w:t>法</w:t>
      </w:r>
      <w:bookmarkEnd w:id="321"/>
      <w:bookmarkEnd w:id="322"/>
    </w:p>
    <w:p w14:paraId="5588E60E">
      <w:pPr>
        <w:pStyle w:val="39"/>
        <w:jc w:val="both"/>
        <w:rPr>
          <w:rFonts w:hint="eastAsia"/>
        </w:rPr>
      </w:pPr>
      <w:r>
        <w:rPr>
          <w:rFonts w:hint="eastAsia"/>
        </w:rPr>
        <w:t>1.</w:t>
      </w:r>
      <w:r>
        <w:rPr>
          <w:rFonts w:hint="eastAsia"/>
          <w:b/>
          <w:bCs/>
        </w:rPr>
        <w:t>本项目采用综合评分法</w:t>
      </w:r>
      <w:r>
        <w:rPr>
          <w:rFonts w:hint="eastAsia"/>
        </w:rPr>
        <w:t>。综合评分法，是指投标文件满足招标文件全部实质性要求，且按照评审因素的量化指标评审得分最高的投标人为中标候选人的评标方法。</w:t>
      </w:r>
    </w:p>
    <w:p w14:paraId="7FEE9560">
      <w:pPr>
        <w:pStyle w:val="4"/>
        <w:spacing w:before="160" w:after="160" w:line="360" w:lineRule="auto"/>
        <w:ind w:left="420" w:hanging="420"/>
        <w:jc w:val="both"/>
        <w:rPr>
          <w:rFonts w:hint="eastAsia" w:ascii="宋体" w:hAnsi="宋体" w:cs="宋体"/>
          <w:sz w:val="28"/>
          <w:szCs w:val="28"/>
          <w:lang w:val="zh-CN"/>
        </w:rPr>
      </w:pPr>
      <w:bookmarkStart w:id="333" w:name="_Toc489"/>
      <w:r>
        <w:rPr>
          <w:rFonts w:hint="eastAsia" w:ascii="宋体" w:hAnsi="宋体" w:cs="宋体"/>
          <w:sz w:val="28"/>
          <w:szCs w:val="28"/>
        </w:rPr>
        <w:t>二</w:t>
      </w:r>
      <w:r>
        <w:rPr>
          <w:rFonts w:hint="eastAsia" w:ascii="宋体" w:hAnsi="宋体" w:cs="宋体"/>
          <w:sz w:val="28"/>
          <w:szCs w:val="28"/>
          <w:lang w:val="zh-CN"/>
        </w:rPr>
        <w:t>、评标程序</w:t>
      </w:r>
      <w:bookmarkEnd w:id="333"/>
    </w:p>
    <w:p w14:paraId="7EE59276">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（一）符合性审查</w:t>
      </w:r>
    </w:p>
    <w:p w14:paraId="4830AC2F">
      <w:pPr>
        <w:pStyle w:val="39"/>
        <w:jc w:val="both"/>
        <w:rPr>
          <w:rFonts w:hint="eastAsia" w:cs="宋体"/>
          <w:szCs w:val="24"/>
        </w:rPr>
      </w:pPr>
      <w:r>
        <w:rPr>
          <w:rFonts w:hint="eastAsia" w:cs="宋体"/>
          <w:szCs w:val="24"/>
          <w:lang w:val="en-US"/>
        </w:rPr>
        <w:t>2.</w:t>
      </w:r>
      <w:r>
        <w:rPr>
          <w:rFonts w:hint="eastAsia" w:cs="宋体"/>
          <w:szCs w:val="24"/>
        </w:rPr>
        <w:t>评标委员会应当对</w:t>
      </w:r>
      <w:r>
        <w:rPr>
          <w:rFonts w:hint="eastAsia" w:cs="宋体"/>
          <w:szCs w:val="24"/>
          <w:lang w:val="en-US"/>
        </w:rPr>
        <w:t>通过</w:t>
      </w:r>
      <w:r>
        <w:rPr>
          <w:rFonts w:hint="eastAsia" w:cs="宋体"/>
          <w:szCs w:val="24"/>
        </w:rPr>
        <w:t>资格</w:t>
      </w:r>
      <w:r>
        <w:rPr>
          <w:rFonts w:hint="eastAsia" w:cs="宋体"/>
          <w:szCs w:val="24"/>
          <w:lang w:val="en-US"/>
        </w:rPr>
        <w:t>审查</w:t>
      </w:r>
      <w:r>
        <w:rPr>
          <w:rFonts w:hint="eastAsia" w:cs="宋体"/>
          <w:szCs w:val="24"/>
        </w:rPr>
        <w:t>的投标人的投标文件进行符合性审查，以确定其是否满足招标文件的实质性要求。投标人必须通过符合性审查的全部评审指标，不满足招标文件的实质性要求的，</w:t>
      </w:r>
      <w:r>
        <w:rPr>
          <w:rFonts w:hint="eastAsia" w:cs="宋体"/>
          <w:szCs w:val="24"/>
          <w:lang w:val="en-US"/>
        </w:rPr>
        <w:t>其</w:t>
      </w:r>
      <w:r>
        <w:rPr>
          <w:rFonts w:hint="eastAsia" w:cs="宋体"/>
          <w:b/>
          <w:bCs/>
          <w:szCs w:val="24"/>
        </w:rPr>
        <w:t>投标无效</w:t>
      </w:r>
      <w:r>
        <w:rPr>
          <w:rFonts w:hint="eastAsia" w:cs="宋体"/>
          <w:szCs w:val="24"/>
        </w:rPr>
        <w:t>。</w:t>
      </w:r>
      <w:r>
        <w:rPr>
          <w:rFonts w:hint="eastAsia" w:cs="宋体"/>
          <w:szCs w:val="24"/>
          <w:lang w:val="en-US"/>
        </w:rPr>
        <w:t>具体内容详见</w:t>
      </w:r>
      <w:r>
        <w:rPr>
          <w:rFonts w:hint="eastAsia" w:cs="宋体"/>
          <w:szCs w:val="24"/>
        </w:rPr>
        <w:t>本章“</w:t>
      </w:r>
      <w:r>
        <w:rPr>
          <w:rFonts w:hint="eastAsia" w:cs="宋体"/>
          <w:szCs w:val="24"/>
          <w:lang w:val="en-US"/>
        </w:rPr>
        <w:t>四</w:t>
      </w:r>
      <w:r>
        <w:rPr>
          <w:rFonts w:hint="eastAsia" w:cs="宋体"/>
          <w:szCs w:val="24"/>
        </w:rPr>
        <w:t>、评标标准”中</w:t>
      </w:r>
      <w:r>
        <w:rPr>
          <w:rFonts w:hint="eastAsia" w:cs="宋体"/>
          <w:szCs w:val="24"/>
          <w:lang w:val="en-US"/>
        </w:rPr>
        <w:t>的</w:t>
      </w:r>
      <w:r>
        <w:rPr>
          <w:rFonts w:hint="eastAsia" w:cs="宋体"/>
          <w:szCs w:val="24"/>
        </w:rPr>
        <w:t>“（一）符合性审查”。</w:t>
      </w:r>
    </w:p>
    <w:p w14:paraId="0E4A4F89">
      <w:pPr>
        <w:pStyle w:val="39"/>
        <w:jc w:val="both"/>
        <w:rPr>
          <w:rFonts w:hint="eastAsia" w:cs="宋体"/>
          <w:szCs w:val="24"/>
        </w:rPr>
      </w:pPr>
      <w:r>
        <w:rPr>
          <w:rFonts w:hint="eastAsia" w:cs="宋体"/>
          <w:szCs w:val="24"/>
          <w:lang w:val="en-US"/>
        </w:rPr>
        <w:t>通过</w:t>
      </w:r>
      <w:r>
        <w:rPr>
          <w:rFonts w:hint="eastAsia" w:cs="宋体"/>
          <w:szCs w:val="24"/>
        </w:rPr>
        <w:t>符合性审查</w:t>
      </w:r>
      <w:r>
        <w:rPr>
          <w:rFonts w:hint="eastAsia" w:cs="宋体"/>
          <w:szCs w:val="24"/>
          <w:lang w:val="en-US"/>
        </w:rPr>
        <w:t>的</w:t>
      </w:r>
      <w:r>
        <w:rPr>
          <w:rFonts w:hint="eastAsia" w:cs="宋体"/>
          <w:szCs w:val="24"/>
        </w:rPr>
        <w:t>有效供应商不足3家的应当终止采购活动，发布项目终止公告并说明原因，重新开展采购活动。</w:t>
      </w:r>
    </w:p>
    <w:p w14:paraId="53D9E0AF">
      <w:pPr>
        <w:pStyle w:val="5"/>
        <w:spacing w:before="160" w:after="160" w:line="360" w:lineRule="auto"/>
        <w:ind w:left="420" w:hanging="420"/>
        <w:jc w:val="both"/>
        <w:rPr>
          <w:rFonts w:hint="eastAsia" w:cs="宋体"/>
          <w:sz w:val="24"/>
          <w:szCs w:val="24"/>
          <w:lang w:val="zh-CN"/>
        </w:rPr>
      </w:pPr>
      <w:bookmarkStart w:id="334" w:name="_Toc102119879"/>
      <w:bookmarkStart w:id="335" w:name="_Toc102114946"/>
      <w:bookmarkStart w:id="336" w:name="_Toc102057744"/>
      <w:bookmarkStart w:id="337" w:name="_Toc155185907"/>
      <w:bookmarkStart w:id="338" w:name="_Toc102116178"/>
      <w:bookmarkStart w:id="339" w:name="_Toc102056244"/>
      <w:bookmarkStart w:id="340" w:name="_Toc102116048"/>
      <w:bookmarkStart w:id="341" w:name="_Toc163492903"/>
      <w:r>
        <w:rPr>
          <w:rFonts w:hint="eastAsia" w:cs="宋体"/>
          <w:sz w:val="24"/>
          <w:szCs w:val="24"/>
          <w:lang w:val="zh-CN"/>
        </w:rPr>
        <w:t>（</w:t>
      </w:r>
      <w:r>
        <w:rPr>
          <w:rFonts w:hint="eastAsia" w:cs="宋体"/>
          <w:sz w:val="24"/>
          <w:szCs w:val="24"/>
        </w:rPr>
        <w:t>二</w:t>
      </w:r>
      <w:r>
        <w:rPr>
          <w:rFonts w:hint="eastAsia" w:cs="宋体"/>
          <w:sz w:val="24"/>
          <w:szCs w:val="24"/>
          <w:lang w:val="zh-CN"/>
        </w:rPr>
        <w:t>）投标文件澄清</w:t>
      </w:r>
      <w:bookmarkEnd w:id="334"/>
      <w:bookmarkEnd w:id="335"/>
      <w:bookmarkEnd w:id="336"/>
      <w:bookmarkEnd w:id="337"/>
      <w:bookmarkEnd w:id="338"/>
      <w:bookmarkEnd w:id="339"/>
      <w:bookmarkEnd w:id="340"/>
      <w:r>
        <w:rPr>
          <w:rFonts w:hint="eastAsia" w:cs="宋体"/>
          <w:sz w:val="24"/>
          <w:szCs w:val="24"/>
          <w:lang w:val="zh-CN"/>
        </w:rPr>
        <w:t>及修正</w:t>
      </w:r>
      <w:bookmarkEnd w:id="341"/>
    </w:p>
    <w:p w14:paraId="688D6FF7">
      <w:pPr>
        <w:pStyle w:val="39"/>
        <w:jc w:val="both"/>
        <w:rPr>
          <w:rFonts w:hint="eastAsia" w:cs="宋体"/>
          <w:szCs w:val="24"/>
        </w:rPr>
      </w:pPr>
      <w:r>
        <w:rPr>
          <w:rFonts w:hint="eastAsia" w:cs="宋体"/>
          <w:szCs w:val="24"/>
          <w:lang w:val="en-US"/>
        </w:rPr>
        <w:t>3</w:t>
      </w:r>
      <w:r>
        <w:rPr>
          <w:rFonts w:hint="eastAsia" w:cs="宋体"/>
          <w:szCs w:val="24"/>
        </w:rPr>
        <w:t>.评标期间，对于投标文件中含义不明确、同类问题表述不一致或者有明显文字和计算错误的内容需要投标人作出必要的澄清、说明或者补正的，评标委员会应当在</w:t>
      </w:r>
      <w:r>
        <w:rPr>
          <w:rFonts w:hint="eastAsia" w:cs="宋体"/>
          <w:szCs w:val="24"/>
          <w:lang w:val="en-US"/>
        </w:rPr>
        <w:t>政采云平台评标</w:t>
      </w:r>
      <w:r>
        <w:rPr>
          <w:rFonts w:hint="eastAsia" w:cs="宋体"/>
          <w:szCs w:val="24"/>
        </w:rPr>
        <w:t>系统中以书面形式要求投标人作出必要的澄清、说明或者补正。</w:t>
      </w:r>
    </w:p>
    <w:p w14:paraId="150D4122">
      <w:pPr>
        <w:pStyle w:val="39"/>
        <w:jc w:val="both"/>
        <w:rPr>
          <w:rFonts w:hint="eastAsia" w:cs="宋体"/>
          <w:szCs w:val="24"/>
        </w:rPr>
      </w:pPr>
      <w:r>
        <w:rPr>
          <w:rFonts w:hint="eastAsia" w:cs="宋体"/>
          <w:szCs w:val="24"/>
          <w:lang w:val="en-US"/>
        </w:rPr>
        <w:t>4</w:t>
      </w:r>
      <w:r>
        <w:rPr>
          <w:rFonts w:hint="eastAsia" w:cs="宋体"/>
          <w:szCs w:val="24"/>
        </w:rPr>
        <w:t>.投标人应按照评标委员会要求在规定时间内作出澄清、说明或者补正，澄清、说明或者补正不得超出投标文件的范围或者改变投标文件的实质性内容。</w:t>
      </w:r>
    </w:p>
    <w:p w14:paraId="38886621">
      <w:pPr>
        <w:pStyle w:val="39"/>
        <w:jc w:val="both"/>
        <w:rPr>
          <w:rFonts w:hint="eastAsia" w:cs="宋体"/>
          <w:szCs w:val="24"/>
        </w:rPr>
      </w:pPr>
      <w:r>
        <w:rPr>
          <w:rFonts w:hint="eastAsia" w:cs="宋体"/>
          <w:szCs w:val="24"/>
          <w:lang w:val="en-US"/>
        </w:rPr>
        <w:t>5</w:t>
      </w:r>
      <w:r>
        <w:rPr>
          <w:rFonts w:hint="eastAsia" w:cs="宋体"/>
          <w:szCs w:val="24"/>
        </w:rPr>
        <w:t>.投标人的澄清、说明或者补正是其投标文件的有效组成部分，澄清、说明或者补正应当在</w:t>
      </w:r>
      <w:r>
        <w:rPr>
          <w:rFonts w:hint="eastAsia" w:cs="宋体"/>
          <w:szCs w:val="24"/>
          <w:lang w:val="en-US"/>
        </w:rPr>
        <w:t>政采云平台评标</w:t>
      </w:r>
      <w:r>
        <w:rPr>
          <w:rFonts w:hint="eastAsia" w:cs="宋体"/>
          <w:szCs w:val="24"/>
        </w:rPr>
        <w:t>系统中加盖电子印章后提交。</w:t>
      </w:r>
    </w:p>
    <w:p w14:paraId="63C2E357">
      <w:pPr>
        <w:pStyle w:val="39"/>
        <w:jc w:val="both"/>
        <w:rPr>
          <w:rFonts w:hint="eastAsia" w:cs="宋体"/>
          <w:szCs w:val="24"/>
        </w:rPr>
      </w:pPr>
      <w:r>
        <w:rPr>
          <w:rFonts w:hint="eastAsia" w:cs="宋体"/>
          <w:szCs w:val="24"/>
          <w:lang w:val="en-US"/>
        </w:rPr>
        <w:t>6</w:t>
      </w:r>
      <w:r>
        <w:rPr>
          <w:rFonts w:hint="eastAsia" w:cs="宋体"/>
          <w:szCs w:val="24"/>
        </w:rPr>
        <w:t>.报价合理性说明：评标委员会认为投标人的报价明显低于其他通过符合性审查投标人的报价，有可能影响</w:t>
      </w:r>
      <w:r>
        <w:rPr>
          <w:rFonts w:hint="eastAsia" w:cs="宋体"/>
          <w:szCs w:val="24"/>
          <w:lang w:val="en-US"/>
        </w:rPr>
        <w:t>货物</w:t>
      </w:r>
      <w:r>
        <w:rPr>
          <w:rFonts w:hint="eastAsia" w:cs="宋体"/>
          <w:szCs w:val="24"/>
        </w:rPr>
        <w:t>质量或者不能诚信履约的，</w:t>
      </w:r>
      <w:r>
        <w:rPr>
          <w:rFonts w:hint="eastAsia" w:cs="宋体"/>
          <w:szCs w:val="24"/>
          <w:lang w:val="en-US"/>
        </w:rPr>
        <w:t>应当</w:t>
      </w:r>
      <w:r>
        <w:rPr>
          <w:rFonts w:hint="eastAsia" w:cs="宋体"/>
          <w:szCs w:val="24"/>
        </w:rPr>
        <w:t>要求</w:t>
      </w:r>
      <w:r>
        <w:rPr>
          <w:rFonts w:hint="eastAsia" w:cs="宋体"/>
          <w:szCs w:val="24"/>
          <w:lang w:val="en-US"/>
        </w:rPr>
        <w:t>该投标人</w:t>
      </w:r>
      <w:r>
        <w:rPr>
          <w:rFonts w:hint="eastAsia" w:cs="宋体"/>
          <w:szCs w:val="24"/>
        </w:rPr>
        <w:t>在合理的时间内提供说明，必要时提交相关证明材料；</w:t>
      </w:r>
      <w:r>
        <w:rPr>
          <w:rFonts w:hint="eastAsia" w:cs="宋体"/>
          <w:szCs w:val="24"/>
          <w:lang w:val="en-US"/>
        </w:rPr>
        <w:t>若</w:t>
      </w:r>
      <w:r>
        <w:rPr>
          <w:rFonts w:hint="eastAsia" w:cs="宋体"/>
          <w:szCs w:val="24"/>
        </w:rPr>
        <w:t>投标人不能证明其报价合理性的，评标委员</w:t>
      </w:r>
      <w:r>
        <w:rPr>
          <w:rFonts w:hint="eastAsia" w:cs="宋体"/>
          <w:szCs w:val="24"/>
          <w:lang w:val="en-US"/>
        </w:rPr>
        <w:t>会应当</w:t>
      </w:r>
      <w:r>
        <w:rPr>
          <w:rFonts w:hint="eastAsia" w:cs="宋体"/>
          <w:szCs w:val="24"/>
        </w:rPr>
        <w:t>将其作</w:t>
      </w:r>
      <w:r>
        <w:rPr>
          <w:rFonts w:hint="eastAsia" w:cs="宋体"/>
          <w:b/>
          <w:bCs/>
          <w:szCs w:val="24"/>
        </w:rPr>
        <w:t>无效投标</w:t>
      </w:r>
      <w:r>
        <w:rPr>
          <w:rFonts w:hint="eastAsia" w:cs="宋体"/>
          <w:szCs w:val="24"/>
        </w:rPr>
        <w:t>处理。</w:t>
      </w:r>
    </w:p>
    <w:p w14:paraId="46987B43">
      <w:pPr>
        <w:pStyle w:val="39"/>
        <w:ind w:firstLineChars="200"/>
        <w:jc w:val="both"/>
        <w:rPr>
          <w:rFonts w:hint="eastAsia" w:cs="宋体"/>
          <w:szCs w:val="24"/>
          <w:lang w:val="en-US"/>
        </w:rPr>
      </w:pPr>
      <w:r>
        <w:rPr>
          <w:rFonts w:hint="eastAsia" w:cs="宋体"/>
          <w:szCs w:val="24"/>
          <w:lang w:val="en-US"/>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cs="宋体"/>
          <w:b/>
          <w:bCs/>
          <w:szCs w:val="24"/>
          <w:lang w:val="en-US"/>
        </w:rPr>
        <w:t>投标无效</w:t>
      </w:r>
      <w:r>
        <w:rPr>
          <w:rFonts w:hint="eastAsia" w:cs="宋体"/>
          <w:szCs w:val="24"/>
          <w:lang w:val="en-US"/>
        </w:rPr>
        <w:t>。</w:t>
      </w:r>
    </w:p>
    <w:p w14:paraId="62BDA070">
      <w:pPr>
        <w:pStyle w:val="39"/>
        <w:ind w:firstLineChars="200"/>
        <w:jc w:val="both"/>
        <w:rPr>
          <w:rFonts w:hint="eastAsia" w:cs="宋体"/>
          <w:szCs w:val="24"/>
          <w:lang w:val="en-US"/>
        </w:rPr>
      </w:pPr>
      <w:r>
        <w:rPr>
          <w:rFonts w:hint="eastAsia" w:cs="宋体"/>
          <w:szCs w:val="24"/>
          <w:lang w:val="en-US"/>
        </w:rPr>
        <w:t>8.投标文件报价出现前后不一致的，除招标文件另有规定外，按照下列规定修正：</w:t>
      </w:r>
    </w:p>
    <w:p w14:paraId="1FC0E67F">
      <w:pPr>
        <w:pStyle w:val="39"/>
        <w:ind w:firstLineChars="200"/>
        <w:jc w:val="both"/>
        <w:rPr>
          <w:rFonts w:hint="eastAsia" w:cs="宋体"/>
          <w:szCs w:val="24"/>
          <w:lang w:val="en-US"/>
        </w:rPr>
      </w:pPr>
      <w:r>
        <w:rPr>
          <w:rFonts w:hint="eastAsia" w:cs="宋体"/>
          <w:szCs w:val="24"/>
          <w:lang w:val="en-US"/>
        </w:rPr>
        <w:t>8.1投标文件中开标一览表（报价表）内容与投标文件中相应内容不一致的，以开标一览表（报价表）为准；</w:t>
      </w:r>
    </w:p>
    <w:p w14:paraId="465748A3">
      <w:pPr>
        <w:pStyle w:val="39"/>
        <w:ind w:firstLineChars="200"/>
        <w:jc w:val="both"/>
        <w:rPr>
          <w:rFonts w:hint="eastAsia" w:cs="宋体"/>
          <w:szCs w:val="24"/>
          <w:lang w:val="en-US"/>
        </w:rPr>
      </w:pPr>
      <w:r>
        <w:rPr>
          <w:rFonts w:hint="eastAsia" w:cs="宋体"/>
          <w:szCs w:val="24"/>
          <w:lang w:val="en-US"/>
        </w:rPr>
        <w:t>8.2大写金额和小写金额不一致的，以大写金额为准；</w:t>
      </w:r>
    </w:p>
    <w:p w14:paraId="1D8A7F64">
      <w:pPr>
        <w:pStyle w:val="39"/>
        <w:ind w:firstLineChars="200"/>
        <w:jc w:val="both"/>
        <w:rPr>
          <w:rFonts w:hint="eastAsia" w:cs="宋体"/>
          <w:szCs w:val="24"/>
          <w:lang w:val="en-US"/>
        </w:rPr>
      </w:pPr>
      <w:r>
        <w:rPr>
          <w:rFonts w:hint="eastAsia" w:cs="宋体"/>
          <w:szCs w:val="24"/>
          <w:lang w:val="en-US"/>
        </w:rPr>
        <w:t>8.3单价金额小数点或者百分比有明显错位的，以开标一览表的总价为准，并修改单价；</w:t>
      </w:r>
    </w:p>
    <w:p w14:paraId="6545E190">
      <w:pPr>
        <w:pStyle w:val="39"/>
        <w:ind w:firstLineChars="200"/>
        <w:jc w:val="both"/>
        <w:rPr>
          <w:rFonts w:hint="eastAsia" w:cs="宋体"/>
          <w:szCs w:val="24"/>
          <w:lang w:val="en-US"/>
        </w:rPr>
      </w:pPr>
      <w:r>
        <w:rPr>
          <w:rFonts w:hint="eastAsia" w:cs="宋体"/>
          <w:szCs w:val="24"/>
          <w:lang w:val="en-US"/>
        </w:rPr>
        <w:t>8.4总价金额与按单价汇总金额不一致的，以单价金额计算结果为准。</w:t>
      </w:r>
    </w:p>
    <w:p w14:paraId="44EB4108">
      <w:pPr>
        <w:pStyle w:val="39"/>
        <w:ind w:firstLineChars="200"/>
        <w:jc w:val="both"/>
        <w:rPr>
          <w:rFonts w:hint="eastAsia" w:cs="宋体"/>
          <w:szCs w:val="24"/>
          <w:lang w:val="en-US"/>
        </w:rPr>
      </w:pPr>
      <w:r>
        <w:rPr>
          <w:rFonts w:hint="eastAsia" w:cs="宋体"/>
          <w:szCs w:val="24"/>
          <w:lang w:val="en-US"/>
        </w:rPr>
        <w:t>同时出现两种以上不一致的，按照8.1—8.4的顺序修正。修正后的报价采用书面形式，并加盖公章，或者由法定代表人或其授权的代表签字，经投标人确认后产生约束力，投标人不确认的，其</w:t>
      </w:r>
      <w:r>
        <w:rPr>
          <w:rFonts w:hint="eastAsia" w:cs="宋体"/>
          <w:b/>
          <w:bCs/>
          <w:szCs w:val="24"/>
          <w:lang w:val="en-US"/>
        </w:rPr>
        <w:t>投标无效</w:t>
      </w:r>
      <w:r>
        <w:rPr>
          <w:rFonts w:hint="eastAsia" w:cs="宋体"/>
          <w:szCs w:val="24"/>
          <w:lang w:val="en-US"/>
        </w:rPr>
        <w:t>。</w:t>
      </w:r>
    </w:p>
    <w:p w14:paraId="102AA314">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三</w:t>
      </w:r>
      <w:r>
        <w:rPr>
          <w:rFonts w:hint="eastAsia" w:cs="宋体"/>
          <w:sz w:val="24"/>
          <w:szCs w:val="24"/>
          <w:lang w:val="zh-CN"/>
        </w:rPr>
        <w:t>）比较与评价</w:t>
      </w:r>
    </w:p>
    <w:p w14:paraId="4EBF0191">
      <w:pPr>
        <w:pStyle w:val="39"/>
        <w:jc w:val="both"/>
        <w:rPr>
          <w:rFonts w:hint="eastAsia" w:cs="宋体"/>
          <w:szCs w:val="24"/>
        </w:rPr>
      </w:pPr>
      <w:r>
        <w:rPr>
          <w:rFonts w:hint="eastAsia" w:cs="宋体"/>
          <w:szCs w:val="24"/>
          <w:lang w:val="en-US"/>
        </w:rPr>
        <w:t>9.</w:t>
      </w:r>
      <w:r>
        <w:rPr>
          <w:rFonts w:hint="eastAsia" w:cs="宋体"/>
          <w:szCs w:val="24"/>
        </w:rPr>
        <w:t>评标委员会应当按照招标文件中规定的评标方法和标准，对符合性审查合格的投标文件进行商务和技术评</w:t>
      </w:r>
      <w:r>
        <w:rPr>
          <w:rFonts w:hint="eastAsia" w:cs="宋体"/>
          <w:szCs w:val="24"/>
          <w:lang w:val="en-US"/>
        </w:rPr>
        <w:t>估</w:t>
      </w:r>
      <w:r>
        <w:rPr>
          <w:rFonts w:hint="eastAsia" w:cs="宋体"/>
          <w:szCs w:val="24"/>
        </w:rPr>
        <w:t>，综合比较与评价</w:t>
      </w:r>
      <w:r>
        <w:rPr>
          <w:rFonts w:hint="eastAsia" w:cs="宋体"/>
          <w:szCs w:val="24"/>
          <w:lang w:val="en-US"/>
        </w:rPr>
        <w:t>；未通过符合性审查的投标文件不得进入比较与评价</w:t>
      </w:r>
      <w:r>
        <w:rPr>
          <w:rFonts w:hint="eastAsia" w:cs="宋体"/>
          <w:szCs w:val="24"/>
        </w:rPr>
        <w:t>。评审因素包括投标报价、商务技术以及落实政府采购政策。评审因素及标准见本章“</w:t>
      </w:r>
      <w:r>
        <w:rPr>
          <w:rFonts w:hint="eastAsia" w:cs="宋体"/>
          <w:szCs w:val="24"/>
          <w:lang w:val="en-US"/>
        </w:rPr>
        <w:t>四、</w:t>
      </w:r>
      <w:r>
        <w:rPr>
          <w:rFonts w:hint="eastAsia" w:cs="宋体"/>
          <w:szCs w:val="24"/>
        </w:rPr>
        <w:t>评</w:t>
      </w:r>
      <w:r>
        <w:rPr>
          <w:rFonts w:hint="eastAsia" w:cs="宋体"/>
          <w:szCs w:val="24"/>
          <w:lang w:val="en-US"/>
        </w:rPr>
        <w:t>标</w:t>
      </w:r>
      <w:r>
        <w:rPr>
          <w:rFonts w:hint="eastAsia" w:cs="宋体"/>
          <w:szCs w:val="24"/>
        </w:rPr>
        <w:t>标准”。</w:t>
      </w:r>
    </w:p>
    <w:p w14:paraId="10AC0693">
      <w:pPr>
        <w:pStyle w:val="39"/>
        <w:jc w:val="both"/>
        <w:rPr>
          <w:rFonts w:hint="eastAsia" w:cs="宋体"/>
          <w:szCs w:val="24"/>
        </w:rPr>
      </w:pPr>
      <w:r>
        <w:rPr>
          <w:rFonts w:hint="eastAsia" w:cs="宋体"/>
          <w:szCs w:val="24"/>
          <w:lang w:val="en-US"/>
        </w:rPr>
        <w:t>10.相同品牌处理原则</w:t>
      </w:r>
    </w:p>
    <w:p w14:paraId="3284E249">
      <w:pPr>
        <w:pStyle w:val="39"/>
        <w:jc w:val="both"/>
        <w:rPr>
          <w:rFonts w:hint="eastAsia" w:cs="宋体"/>
          <w:szCs w:val="24"/>
        </w:rPr>
      </w:pPr>
      <w:r>
        <w:rPr>
          <w:rFonts w:hint="eastAsia" w:cs="宋体"/>
          <w:szCs w:val="24"/>
          <w:lang w:val="en-US"/>
        </w:rPr>
        <w:t>10</w:t>
      </w:r>
      <w:r>
        <w:rPr>
          <w:rFonts w:hint="eastAsia" w:cs="宋体"/>
          <w:szCs w:val="24"/>
        </w:rPr>
        <w:t>.1单一产品采购（或非单一产品采购中的核心产品），提供相同品牌产品且通过资格审查、符合性审查的不同投标人参加同一合同项下投标的，按一家投标人计算。</w:t>
      </w:r>
    </w:p>
    <w:p w14:paraId="2EE9DCCB">
      <w:pPr>
        <w:pStyle w:val="39"/>
        <w:jc w:val="both"/>
        <w:rPr>
          <w:rFonts w:hint="eastAsia" w:cs="宋体"/>
          <w:szCs w:val="24"/>
        </w:rPr>
      </w:pPr>
      <w:r>
        <w:rPr>
          <w:rFonts w:hint="eastAsia" w:cs="宋体"/>
          <w:szCs w:val="24"/>
          <w:lang w:val="en-US"/>
        </w:rPr>
        <w:t>10</w:t>
      </w:r>
      <w:r>
        <w:rPr>
          <w:rFonts w:hint="eastAsia" w:cs="宋体"/>
          <w:szCs w:val="24"/>
        </w:rPr>
        <w:t>.2非单一产品采购项目，采购人应当根据采购项目技术构成、产品价格比重等合理确定核心产品（采购清单中作“与核心产品相同〈或同一〉品牌”实质性要求的产品，视为核心产品），并以“核心产品”在“投标人须知前附表”中载明，评审时按前款规定处理。</w:t>
      </w:r>
    </w:p>
    <w:p w14:paraId="5CC81C27">
      <w:pPr>
        <w:pStyle w:val="39"/>
        <w:jc w:val="both"/>
        <w:rPr>
          <w:rFonts w:hint="eastAsia" w:cs="宋体"/>
          <w:szCs w:val="24"/>
        </w:rPr>
      </w:pPr>
      <w:r>
        <w:rPr>
          <w:rFonts w:hint="eastAsia" w:cs="宋体"/>
          <w:szCs w:val="24"/>
          <w:lang w:val="en-US"/>
        </w:rPr>
        <w:t>10</w:t>
      </w:r>
      <w:r>
        <w:rPr>
          <w:rFonts w:hint="eastAsia" w:cs="宋体"/>
          <w:szCs w:val="24"/>
        </w:rPr>
        <w:t>.3有效投标品牌不足3家的应按</w:t>
      </w:r>
      <w:r>
        <w:rPr>
          <w:rFonts w:hint="eastAsia" w:cs="宋体"/>
          <w:b/>
          <w:bCs/>
          <w:szCs w:val="24"/>
        </w:rPr>
        <w:t>废标</w:t>
      </w:r>
      <w:r>
        <w:rPr>
          <w:rFonts w:hint="eastAsia" w:cs="宋体"/>
          <w:szCs w:val="24"/>
        </w:rPr>
        <w:t>处理。</w:t>
      </w:r>
    </w:p>
    <w:p w14:paraId="03ECFE28">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四</w:t>
      </w:r>
      <w:r>
        <w:rPr>
          <w:rFonts w:hint="eastAsia" w:cs="宋体"/>
          <w:sz w:val="24"/>
          <w:szCs w:val="24"/>
          <w:lang w:val="zh-CN"/>
        </w:rPr>
        <w:t>）报价评审</w:t>
      </w:r>
    </w:p>
    <w:p w14:paraId="35DEECEB">
      <w:pPr>
        <w:pStyle w:val="39"/>
        <w:jc w:val="both"/>
        <w:rPr>
          <w:rFonts w:hint="eastAsia" w:cs="宋体"/>
          <w:b/>
          <w:bCs/>
          <w:szCs w:val="24"/>
        </w:rPr>
      </w:pPr>
      <w:r>
        <w:rPr>
          <w:rFonts w:hint="eastAsia" w:cs="宋体"/>
          <w:b/>
          <w:bCs/>
          <w:szCs w:val="24"/>
          <w:lang w:val="en-US"/>
        </w:rPr>
        <w:t>11.</w:t>
      </w:r>
      <w:r>
        <w:rPr>
          <w:rFonts w:hint="eastAsia" w:cs="宋体"/>
          <w:b/>
          <w:bCs/>
          <w:szCs w:val="24"/>
        </w:rPr>
        <w:t>投标报价评审</w:t>
      </w:r>
    </w:p>
    <w:p w14:paraId="4433C98A">
      <w:pPr>
        <w:pStyle w:val="39"/>
        <w:jc w:val="both"/>
        <w:rPr>
          <w:rFonts w:hint="eastAsia" w:cs="宋体"/>
          <w:szCs w:val="24"/>
        </w:rPr>
      </w:pPr>
      <w:r>
        <w:rPr>
          <w:rFonts w:hint="eastAsia" w:cs="宋体"/>
          <w:szCs w:val="24"/>
          <w:lang w:val="en-US"/>
        </w:rPr>
        <w:t>11.</w:t>
      </w:r>
      <w:r>
        <w:rPr>
          <w:rFonts w:hint="eastAsia" w:cs="宋体"/>
          <w:szCs w:val="24"/>
        </w:rPr>
        <w:t>1</w:t>
      </w:r>
      <w:r>
        <w:rPr>
          <w:rFonts w:hint="eastAsia" w:cs="宋体"/>
          <w:szCs w:val="24"/>
          <w:lang w:val="en-US"/>
        </w:rPr>
        <w:t>货物项目的价格分值占总分值的比重不得低于30%。执行国家统一定价标准和采用固定价格采购的项目，其价格不列为评审因素。</w:t>
      </w:r>
      <w:r>
        <w:rPr>
          <w:rFonts w:hint="eastAsia" w:cs="宋体"/>
          <w:szCs w:val="24"/>
        </w:rPr>
        <w:t>价格分应当采用低价优先法计算，即满足招标文件要求且投标价格最低的投标报价为评标基准价，其价格分为满分。其他投标人的价格分统一按照下列公式计算：</w:t>
      </w:r>
    </w:p>
    <w:p w14:paraId="11C788A1">
      <w:pPr>
        <w:pStyle w:val="39"/>
        <w:jc w:val="both"/>
        <w:rPr>
          <w:rFonts w:hint="eastAsia" w:cs="宋体"/>
          <w:szCs w:val="24"/>
        </w:rPr>
      </w:pPr>
      <w:r>
        <w:rPr>
          <w:rFonts w:hint="eastAsia" w:cs="宋体"/>
          <w:szCs w:val="24"/>
        </w:rPr>
        <w:t>投标报价得分=（评标基准价／投标报价)×价格分值</w:t>
      </w:r>
    </w:p>
    <w:p w14:paraId="2ED145A2">
      <w:pPr>
        <w:pStyle w:val="39"/>
        <w:jc w:val="both"/>
        <w:rPr>
          <w:rFonts w:hint="eastAsia" w:cs="宋体"/>
          <w:szCs w:val="24"/>
        </w:rPr>
      </w:pPr>
      <w:r>
        <w:rPr>
          <w:rFonts w:hint="eastAsia" w:cs="宋体"/>
          <w:szCs w:val="24"/>
        </w:rPr>
        <w:t>评标过程中，不得去掉报价中的最高报价和最低报价。</w:t>
      </w:r>
    </w:p>
    <w:p w14:paraId="2D6913B9">
      <w:pPr>
        <w:pStyle w:val="39"/>
        <w:jc w:val="both"/>
        <w:rPr>
          <w:rFonts w:hint="eastAsia" w:cs="宋体"/>
          <w:szCs w:val="24"/>
        </w:rPr>
      </w:pPr>
      <w:r>
        <w:rPr>
          <w:rFonts w:hint="eastAsia" w:cs="宋体"/>
          <w:szCs w:val="24"/>
          <w:lang w:val="en-US"/>
        </w:rPr>
        <w:t>11.</w:t>
      </w:r>
      <w:r>
        <w:rPr>
          <w:rFonts w:hint="eastAsia" w:cs="宋体"/>
          <w:szCs w:val="24"/>
        </w:rPr>
        <w:t>2</w:t>
      </w:r>
      <w:r>
        <w:rPr>
          <w:rFonts w:hint="eastAsia" w:cs="宋体"/>
          <w:spacing w:val="-6"/>
          <w:szCs w:val="24"/>
        </w:rPr>
        <w:t>除算术修正和落实政府采购政策的价格扣除外，不对投标报价进行调整；</w:t>
      </w:r>
    </w:p>
    <w:p w14:paraId="332658B4">
      <w:pPr>
        <w:pStyle w:val="39"/>
        <w:jc w:val="both"/>
        <w:rPr>
          <w:rFonts w:hint="eastAsia" w:cs="宋体"/>
          <w:szCs w:val="24"/>
        </w:rPr>
      </w:pPr>
      <w:r>
        <w:rPr>
          <w:rFonts w:hint="eastAsia" w:cs="宋体"/>
          <w:szCs w:val="24"/>
          <w:lang w:val="en-US"/>
        </w:rPr>
        <w:t>11.</w:t>
      </w:r>
      <w:r>
        <w:rPr>
          <w:rFonts w:hint="eastAsia" w:cs="宋体"/>
          <w:szCs w:val="24"/>
        </w:rPr>
        <w:t>3价格分值见本章“</w:t>
      </w:r>
      <w:r>
        <w:rPr>
          <w:rFonts w:hint="eastAsia" w:cs="宋体"/>
          <w:szCs w:val="24"/>
          <w:lang w:val="en-US"/>
        </w:rPr>
        <w:t>四、</w:t>
      </w:r>
      <w:r>
        <w:rPr>
          <w:rFonts w:hint="eastAsia" w:cs="宋体"/>
          <w:szCs w:val="24"/>
        </w:rPr>
        <w:t>评</w:t>
      </w:r>
      <w:r>
        <w:rPr>
          <w:rFonts w:hint="eastAsia" w:cs="宋体"/>
          <w:szCs w:val="24"/>
          <w:lang w:val="en-US"/>
        </w:rPr>
        <w:t>标</w:t>
      </w:r>
      <w:r>
        <w:rPr>
          <w:rFonts w:hint="eastAsia" w:cs="宋体"/>
          <w:szCs w:val="24"/>
        </w:rPr>
        <w:t>标准”。</w:t>
      </w:r>
    </w:p>
    <w:p w14:paraId="6125C994">
      <w:pPr>
        <w:pStyle w:val="39"/>
        <w:jc w:val="both"/>
        <w:rPr>
          <w:rFonts w:hint="eastAsia" w:cs="宋体"/>
          <w:b/>
          <w:bCs/>
          <w:szCs w:val="24"/>
          <w:lang w:val="en-US"/>
        </w:rPr>
      </w:pPr>
      <w:r>
        <w:rPr>
          <w:rFonts w:hint="eastAsia" w:cs="宋体"/>
          <w:b/>
          <w:bCs/>
          <w:szCs w:val="24"/>
          <w:lang w:val="en-US"/>
        </w:rPr>
        <w:t>12.</w:t>
      </w:r>
      <w:r>
        <w:rPr>
          <w:rFonts w:hint="eastAsia" w:cs="宋体"/>
          <w:b/>
          <w:bCs/>
          <w:szCs w:val="24"/>
        </w:rPr>
        <w:t>政府采购异常低价审查</w:t>
      </w:r>
    </w:p>
    <w:p w14:paraId="01B32AF4">
      <w:pPr>
        <w:ind w:firstLine="480" w:firstLineChars="200"/>
        <w:jc w:val="both"/>
        <w:rPr>
          <w:rFonts w:hint="eastAsia"/>
          <w:szCs w:val="24"/>
        </w:rPr>
      </w:pPr>
      <w:r>
        <w:rPr>
          <w:rFonts w:hint="eastAsia"/>
          <w:szCs w:val="24"/>
        </w:rPr>
        <w:t>12.1政府采购评审中出现下列情形之一的，评审委员会应当启动异常低价投标（响应）审查程序：</w:t>
      </w:r>
    </w:p>
    <w:p w14:paraId="5183939A">
      <w:pPr>
        <w:ind w:firstLine="480" w:firstLineChars="200"/>
        <w:jc w:val="both"/>
        <w:rPr>
          <w:rFonts w:hint="eastAsia"/>
          <w:szCs w:val="24"/>
        </w:rPr>
      </w:pPr>
      <w:r>
        <w:rPr>
          <w:rFonts w:hint="eastAsia"/>
          <w:szCs w:val="24"/>
        </w:rPr>
        <w:t>（1）投标（响应）报价低于全部通过符合性审查供应商投标（响应）报价平均值50%的，即投标（响应）报价&lt;全部通过符合性审查供应商投标（响应）报价平均值×50%；</w:t>
      </w:r>
    </w:p>
    <w:p w14:paraId="3FC2674B">
      <w:pPr>
        <w:ind w:firstLine="480" w:firstLineChars="200"/>
        <w:jc w:val="both"/>
        <w:rPr>
          <w:rFonts w:hint="eastAsia"/>
          <w:szCs w:val="24"/>
        </w:rPr>
      </w:pPr>
      <w:r>
        <w:rPr>
          <w:rFonts w:hint="eastAsia"/>
          <w:szCs w:val="24"/>
        </w:rPr>
        <w:t>（2）投标（响应）报价低于通过符合性审查的次低报价供应商投标（响应）报价50%的，即投标（响应）报价&lt;通过符合性审查的次低报价供应商投标（响应）报价×50%；</w:t>
      </w:r>
    </w:p>
    <w:p w14:paraId="20018BC1">
      <w:pPr>
        <w:ind w:firstLine="480" w:firstLineChars="200"/>
        <w:jc w:val="both"/>
        <w:rPr>
          <w:rFonts w:hint="eastAsia"/>
          <w:szCs w:val="24"/>
        </w:rPr>
      </w:pPr>
      <w:r>
        <w:rPr>
          <w:rFonts w:hint="eastAsia"/>
          <w:szCs w:val="24"/>
        </w:rPr>
        <w:t>（3）投标（响应）报价低于采购项目最高限价45%的，即投标（响应）报价&lt;采购项目最高限价×45%；</w:t>
      </w:r>
    </w:p>
    <w:p w14:paraId="765B26FA">
      <w:pPr>
        <w:ind w:firstLine="480" w:firstLineChars="200"/>
        <w:jc w:val="both"/>
        <w:rPr>
          <w:rFonts w:hint="eastAsia"/>
          <w:szCs w:val="24"/>
        </w:rPr>
      </w:pPr>
      <w:r>
        <w:rPr>
          <w:rFonts w:hint="eastAsia"/>
          <w:szCs w:val="24"/>
        </w:rPr>
        <w:t>（4）评审委员会基于专业判断，认为供应商报价过低，有可能影响产品质量或者不能诚信履约的其他情形。</w:t>
      </w:r>
    </w:p>
    <w:p w14:paraId="21F34A0C">
      <w:pPr>
        <w:ind w:firstLine="480" w:firstLineChars="200"/>
        <w:jc w:val="both"/>
        <w:rPr>
          <w:rFonts w:hint="eastAsia"/>
          <w:szCs w:val="24"/>
        </w:rPr>
      </w:pPr>
      <w:r>
        <w:rPr>
          <w:rFonts w:hint="eastAsia"/>
          <w:szCs w:val="24"/>
        </w:rPr>
        <w:t>12.2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D6C6057">
      <w:pPr>
        <w:ind w:firstLine="480" w:firstLineChars="200"/>
        <w:jc w:val="both"/>
        <w:rPr>
          <w:rFonts w:hint="eastAsia"/>
          <w:szCs w:val="24"/>
        </w:rPr>
      </w:pPr>
      <w:r>
        <w:rPr>
          <w:rFonts w:hint="eastAsia"/>
          <w:szCs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11B8A301">
      <w:pPr>
        <w:pStyle w:val="39"/>
        <w:jc w:val="both"/>
        <w:rPr>
          <w:rFonts w:hint="eastAsia" w:cs="宋体"/>
          <w:b/>
          <w:bCs/>
          <w:szCs w:val="24"/>
        </w:rPr>
      </w:pPr>
      <w:r>
        <w:rPr>
          <w:rFonts w:hint="eastAsia" w:cs="宋体"/>
          <w:b/>
          <w:bCs/>
          <w:szCs w:val="24"/>
        </w:rPr>
        <w:t>1</w:t>
      </w:r>
      <w:r>
        <w:rPr>
          <w:rFonts w:hint="eastAsia" w:cs="宋体"/>
          <w:b/>
          <w:bCs/>
          <w:szCs w:val="24"/>
          <w:lang w:val="en-US"/>
        </w:rPr>
        <w:t>3</w:t>
      </w:r>
      <w:r>
        <w:rPr>
          <w:rFonts w:hint="eastAsia" w:cs="宋体"/>
          <w:b/>
          <w:bCs/>
          <w:szCs w:val="24"/>
        </w:rPr>
        <w:t>.政府采购政策评审</w:t>
      </w:r>
    </w:p>
    <w:p w14:paraId="73521615">
      <w:pPr>
        <w:pStyle w:val="39"/>
        <w:ind w:firstLineChars="200"/>
        <w:jc w:val="both"/>
        <w:rPr>
          <w:rFonts w:hint="eastAsia" w:cs="宋体"/>
          <w:szCs w:val="24"/>
        </w:rPr>
      </w:pPr>
      <w:r>
        <w:rPr>
          <w:rFonts w:hint="eastAsia" w:cs="宋体"/>
          <w:szCs w:val="24"/>
        </w:rPr>
        <w:t>1</w:t>
      </w:r>
      <w:r>
        <w:rPr>
          <w:rFonts w:hint="eastAsia" w:cs="宋体"/>
          <w:szCs w:val="24"/>
          <w:lang w:val="en-US"/>
        </w:rPr>
        <w:t>3</w:t>
      </w:r>
      <w:r>
        <w:rPr>
          <w:rFonts w:hint="eastAsia" w:cs="宋体"/>
          <w:szCs w:val="24"/>
        </w:rPr>
        <w:t>.1非专门面向中小企业的采购项目或采购包，对符合规定的小微企业（</w:t>
      </w:r>
      <w:r>
        <w:rPr>
          <w:rFonts w:hint="eastAsia" w:cs="宋体"/>
          <w:szCs w:val="24"/>
          <w:lang w:val="en-US"/>
        </w:rPr>
        <w:t>含</w:t>
      </w:r>
      <w:r>
        <w:rPr>
          <w:rFonts w:hint="eastAsia" w:cs="宋体"/>
          <w:szCs w:val="24"/>
        </w:rPr>
        <w:t>监狱企业、残疾人福利性单位、联合体各方均为小微企业的联合体、符合小微企业划分标准的个体工商户视同小微企业）报价按照本招标文件“投标人须知前附表”中的规定扣除，对小微企业中的监狱企业、残疾人福利性单位的报价按照本</w:t>
      </w:r>
      <w:r>
        <w:rPr>
          <w:rFonts w:hint="eastAsia" w:cs="宋体"/>
          <w:szCs w:val="24"/>
          <w:lang w:val="en-US"/>
        </w:rPr>
        <w:t>招标</w:t>
      </w:r>
      <w:r>
        <w:rPr>
          <w:rFonts w:hint="eastAsia" w:cs="宋体"/>
          <w:szCs w:val="24"/>
        </w:rPr>
        <w:t>文件“</w:t>
      </w:r>
      <w:r>
        <w:rPr>
          <w:rFonts w:hint="eastAsia" w:cs="宋体"/>
          <w:szCs w:val="24"/>
          <w:lang w:val="en-US"/>
        </w:rPr>
        <w:t>投标人</w:t>
      </w:r>
      <w:r>
        <w:rPr>
          <w:rFonts w:hint="eastAsia" w:cs="宋体"/>
          <w:szCs w:val="24"/>
        </w:rPr>
        <w:t>须知前附表”中的规定扣除，用扣除后的价格</w:t>
      </w:r>
      <w:r>
        <w:rPr>
          <w:rFonts w:hint="eastAsia" w:cs="宋体"/>
          <w:szCs w:val="24"/>
          <w:lang w:val="en-US"/>
        </w:rPr>
        <w:t>参与</w:t>
      </w:r>
      <w:r>
        <w:rPr>
          <w:rFonts w:hint="eastAsia" w:cs="宋体"/>
          <w:szCs w:val="24"/>
        </w:rPr>
        <w:t>评审，采购产品纳入创新产品应用示范推荐目录内企业、采购产品获得节能产品或环境标志产品认证证书</w:t>
      </w:r>
      <w:r>
        <w:rPr>
          <w:rFonts w:hint="eastAsia" w:cs="宋体"/>
          <w:szCs w:val="24"/>
          <w:lang w:val="en-US"/>
        </w:rPr>
        <w:t>的投标人</w:t>
      </w:r>
      <w:r>
        <w:rPr>
          <w:rFonts w:hint="eastAsia" w:cs="宋体"/>
          <w:szCs w:val="24"/>
        </w:rPr>
        <w:t>按照本</w:t>
      </w:r>
      <w:r>
        <w:rPr>
          <w:rFonts w:hint="eastAsia" w:cs="宋体"/>
          <w:szCs w:val="24"/>
          <w:lang w:val="en-US"/>
        </w:rPr>
        <w:t>招标</w:t>
      </w:r>
      <w:r>
        <w:rPr>
          <w:rFonts w:hint="eastAsia" w:cs="宋体"/>
          <w:szCs w:val="24"/>
        </w:rPr>
        <w:t>文件“</w:t>
      </w:r>
      <w:r>
        <w:rPr>
          <w:rFonts w:hint="eastAsia" w:cs="宋体"/>
          <w:szCs w:val="24"/>
          <w:lang w:val="en-US"/>
        </w:rPr>
        <w:t>投标人</w:t>
      </w:r>
      <w:r>
        <w:rPr>
          <w:rFonts w:hint="eastAsia" w:cs="宋体"/>
          <w:szCs w:val="24"/>
        </w:rPr>
        <w:t>须知前附表”中的规定</w:t>
      </w:r>
      <w:r>
        <w:rPr>
          <w:rFonts w:hint="eastAsia" w:cs="宋体"/>
          <w:szCs w:val="24"/>
          <w:lang w:val="en-US"/>
        </w:rPr>
        <w:t>给予评审优惠</w:t>
      </w:r>
      <w:r>
        <w:rPr>
          <w:rFonts w:hint="eastAsia" w:cs="宋体"/>
          <w:szCs w:val="24"/>
        </w:rPr>
        <w:t>。</w:t>
      </w:r>
    </w:p>
    <w:p w14:paraId="2F2610BA">
      <w:pPr>
        <w:pStyle w:val="39"/>
        <w:ind w:firstLineChars="200"/>
        <w:jc w:val="both"/>
        <w:rPr>
          <w:rFonts w:hint="eastAsia" w:cs="宋体"/>
          <w:szCs w:val="24"/>
        </w:rPr>
      </w:pPr>
      <w:r>
        <w:rPr>
          <w:rFonts w:hint="eastAsia" w:cs="宋体"/>
          <w:szCs w:val="24"/>
          <w:lang w:val="en-US"/>
        </w:rPr>
        <w:t>13.</w:t>
      </w:r>
      <w:r>
        <w:rPr>
          <w:rFonts w:hint="eastAsia" w:cs="宋体"/>
          <w:szCs w:val="24"/>
        </w:rPr>
        <w:t>2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cs="宋体"/>
          <w:szCs w:val="24"/>
          <w:lang w:val="en-US"/>
        </w:rPr>
        <w:t>若供应商同时属于小型或微型企业、监狱企业、残疾人福利性单位 中的两种及以上，将不重复享受小微企业价格扣减的优惠政策。</w:t>
      </w:r>
    </w:p>
    <w:p w14:paraId="625C7507">
      <w:pPr>
        <w:pStyle w:val="39"/>
        <w:ind w:firstLineChars="200"/>
        <w:jc w:val="both"/>
        <w:rPr>
          <w:rFonts w:hint="eastAsia" w:cs="宋体"/>
          <w:szCs w:val="24"/>
          <w:lang w:val="en-US"/>
        </w:rPr>
      </w:pPr>
      <w:r>
        <w:rPr>
          <w:rFonts w:hint="eastAsia" w:cs="宋体"/>
          <w:szCs w:val="24"/>
          <w:lang w:val="en-US"/>
        </w:rPr>
        <w:t>组成联合体或者接受分包的小微企业与联合体内其他企业、分包企业之间存在直接控股、管理关系的，不享受价格扣除优惠政策。</w:t>
      </w:r>
    </w:p>
    <w:p w14:paraId="100275FF">
      <w:pPr>
        <w:pStyle w:val="39"/>
        <w:ind w:firstLineChars="200"/>
        <w:jc w:val="both"/>
        <w:rPr>
          <w:rFonts w:hint="eastAsia" w:cs="宋体"/>
          <w:szCs w:val="24"/>
        </w:rPr>
      </w:pPr>
      <w:r>
        <w:rPr>
          <w:rFonts w:hint="eastAsia" w:cs="宋体"/>
          <w:szCs w:val="24"/>
          <w:lang w:val="en-US"/>
        </w:rPr>
        <w:t>价格扣除比例对小型企业和微型企业同等对待，不作区分。</w:t>
      </w:r>
    </w:p>
    <w:p w14:paraId="4975730E">
      <w:pPr>
        <w:pStyle w:val="39"/>
        <w:jc w:val="both"/>
        <w:rPr>
          <w:rFonts w:hint="eastAsia" w:cs="宋体"/>
          <w:szCs w:val="24"/>
        </w:rPr>
      </w:pPr>
      <w:r>
        <w:rPr>
          <w:rFonts w:hint="eastAsia" w:cs="宋体"/>
          <w:szCs w:val="24"/>
          <w:lang w:val="en-US"/>
        </w:rPr>
        <w:t>13.</w:t>
      </w:r>
      <w:r>
        <w:rPr>
          <w:rFonts w:hint="eastAsia" w:cs="宋体"/>
          <w:szCs w:val="24"/>
        </w:rPr>
        <w:t>3专门面向中小企业、预留部分采购份额面向中小企业采购的项目或采购包，评审时不再进行价格扣除。</w:t>
      </w:r>
    </w:p>
    <w:p w14:paraId="39CBBB80">
      <w:pPr>
        <w:pStyle w:val="39"/>
        <w:jc w:val="both"/>
        <w:rPr>
          <w:rFonts w:hint="eastAsia" w:cs="宋体"/>
          <w:szCs w:val="24"/>
        </w:rPr>
      </w:pPr>
      <w:r>
        <w:rPr>
          <w:rFonts w:hint="eastAsia" w:cs="宋体"/>
          <w:szCs w:val="24"/>
          <w:lang w:val="en-US"/>
        </w:rPr>
        <w:t>13.4</w:t>
      </w:r>
      <w:r>
        <w:rPr>
          <w:rFonts w:hint="eastAsia" w:cs="宋体"/>
          <w:szCs w:val="24"/>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cs="宋体"/>
          <w:szCs w:val="24"/>
          <w:lang w:val="en-US"/>
        </w:rPr>
        <w:t>体</w:t>
      </w:r>
      <w:r>
        <w:rPr>
          <w:rFonts w:hint="eastAsia" w:cs="宋体"/>
          <w:szCs w:val="24"/>
        </w:rPr>
        <w:t>协议</w:t>
      </w:r>
      <w:r>
        <w:rPr>
          <w:rFonts w:hint="eastAsia" w:cs="宋体"/>
          <w:szCs w:val="24"/>
          <w:lang w:val="en-US"/>
        </w:rPr>
        <w:t>书</w:t>
      </w:r>
      <w:r>
        <w:rPr>
          <w:rFonts w:hint="eastAsia" w:cs="宋体"/>
          <w:szCs w:val="24"/>
        </w:rPr>
        <w:t>或者分包意向协议</w:t>
      </w:r>
      <w:r>
        <w:rPr>
          <w:rFonts w:hint="eastAsia" w:cs="宋体"/>
          <w:szCs w:val="24"/>
          <w:lang w:val="en-US"/>
        </w:rPr>
        <w:t>书</w:t>
      </w:r>
      <w:r>
        <w:rPr>
          <w:rFonts w:hint="eastAsia" w:cs="宋体"/>
          <w:szCs w:val="24"/>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57E4E80D">
      <w:pPr>
        <w:pStyle w:val="39"/>
        <w:jc w:val="both"/>
        <w:rPr>
          <w:rFonts w:hint="eastAsia" w:cs="宋体"/>
          <w:szCs w:val="24"/>
          <w:lang w:val="en-US"/>
        </w:rPr>
      </w:pPr>
      <w:r>
        <w:rPr>
          <w:rFonts w:hint="eastAsia" w:cs="宋体"/>
          <w:szCs w:val="24"/>
          <w:lang w:val="en-US"/>
        </w:rPr>
        <w:t>13.5供应商对其提供的产品出具《关于符合本国产品标准的声明函》（样式见附件1，以下简称《声明函》）或财政部会同有关部门规定的有关证明文件。出具符合要求的《声明函》或有关证明文件的，该产品视为本国产品。</w:t>
      </w:r>
    </w:p>
    <w:p w14:paraId="03A730AA">
      <w:pPr>
        <w:pStyle w:val="39"/>
        <w:jc w:val="both"/>
        <w:rPr>
          <w:rFonts w:hint="eastAsia" w:cs="宋体"/>
          <w:szCs w:val="24"/>
          <w:lang w:val="en-US"/>
        </w:rPr>
      </w:pPr>
      <w:r>
        <w:rPr>
          <w:rFonts w:hint="eastAsia" w:cs="宋体"/>
          <w:szCs w:val="24"/>
          <w:lang w:val="en-US"/>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002997D">
      <w:pPr>
        <w:pStyle w:val="39"/>
        <w:jc w:val="both"/>
        <w:rPr>
          <w:rFonts w:hint="eastAsia" w:cs="宋体"/>
          <w:szCs w:val="24"/>
          <w:lang w:val="en-US"/>
        </w:rPr>
      </w:pPr>
      <w:r>
        <w:rPr>
          <w:rFonts w:hint="eastAsia"/>
          <w:snapToGrid w:val="0"/>
          <w:lang w:val="en-US"/>
        </w:rPr>
        <w:t>13.6采购标的仅包含单一产品时，</w:t>
      </w:r>
      <w:r>
        <w:rPr>
          <w:rFonts w:hint="eastAsia" w:cs="宋体"/>
          <w:szCs w:val="24"/>
          <w:lang w:val="en-US"/>
        </w:rPr>
        <w:t>政府采购活动中既有本国产品又有非本国产品参与竞争的，</w:t>
      </w:r>
      <w:r>
        <w:rPr>
          <w:rFonts w:hint="eastAsia"/>
          <w:snapToGrid w:val="0"/>
          <w:lang w:val="en-US"/>
        </w:rPr>
        <w:t>供应商对其提供的产品出具《关于符合本国产品标准的声明函》，</w:t>
      </w:r>
      <w:r>
        <w:rPr>
          <w:rFonts w:hint="eastAsia" w:cs="宋体"/>
          <w:szCs w:val="24"/>
          <w:lang w:val="en-US"/>
        </w:rPr>
        <w:t>依法对本国产品给予价格评审优惠，对本国产品的报价给予20%的价格扣除，用扣除后的价格参与评审。</w:t>
      </w:r>
    </w:p>
    <w:p w14:paraId="3EC71EEF">
      <w:pPr>
        <w:pStyle w:val="39"/>
        <w:jc w:val="both"/>
        <w:rPr>
          <w:rFonts w:hint="eastAsia"/>
          <w:snapToGrid w:val="0"/>
          <w:lang w:val="en-US"/>
        </w:rPr>
      </w:pPr>
      <w:r>
        <w:rPr>
          <w:rFonts w:hint="eastAsia"/>
          <w:snapToGrid w:val="0"/>
          <w:lang w:val="en-US"/>
        </w:rPr>
        <w:t>13.7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77FA9E72">
      <w:pPr>
        <w:pStyle w:val="39"/>
        <w:jc w:val="both"/>
        <w:rPr>
          <w:rFonts w:hint="eastAsia"/>
          <w:snapToGrid w:val="0"/>
          <w:lang w:val="en-US"/>
        </w:rPr>
      </w:pPr>
      <w:r>
        <w:rPr>
          <w:rFonts w:hint="eastAsia"/>
          <w:snapToGrid w:val="0"/>
          <w:lang w:val="en-US"/>
        </w:rPr>
        <w:t>13.8对于仅有本国产品参与竞争的政府采购项目，本国产品不享受价格扣除评审优惠。</w:t>
      </w:r>
    </w:p>
    <w:p w14:paraId="649D83A2">
      <w:pPr>
        <w:pStyle w:val="39"/>
        <w:jc w:val="both"/>
        <w:rPr>
          <w:rFonts w:hint="eastAsia"/>
          <w:snapToGrid w:val="0"/>
          <w:lang w:val="en-US"/>
        </w:rPr>
      </w:pPr>
      <w:r>
        <w:rPr>
          <w:rFonts w:hint="eastAsia"/>
          <w:snapToGrid w:val="0"/>
          <w:lang w:val="en-US"/>
        </w:rPr>
        <w:t>13.9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09CFC063">
      <w:pPr>
        <w:pStyle w:val="39"/>
        <w:jc w:val="both"/>
        <w:rPr>
          <w:rFonts w:hint="eastAsia"/>
          <w:snapToGrid w:val="0"/>
          <w:lang w:val="en-US"/>
        </w:rPr>
      </w:pPr>
      <w:r>
        <w:rPr>
          <w:rFonts w:hint="eastAsia"/>
          <w:snapToGrid w:val="0"/>
          <w:lang w:val="en-US"/>
        </w:rPr>
        <w:t>对医疗器械产品，提供取得药品监督管理部门授予的准字号医疗器械注册证的，视为符合本国产品标准，无须填写《声明函》，</w:t>
      </w:r>
      <w:r>
        <w:rPr>
          <w:rFonts w:hint="eastAsia" w:cs="宋体"/>
          <w:szCs w:val="24"/>
          <w:lang w:val="en-US"/>
        </w:rPr>
        <w:t>报价给予20%的价格扣除，用扣除后的价格参与评审。</w:t>
      </w:r>
    </w:p>
    <w:p w14:paraId="021443FA">
      <w:pPr>
        <w:pStyle w:val="39"/>
        <w:jc w:val="both"/>
        <w:rPr>
          <w:rFonts w:hint="eastAsia"/>
          <w:snapToGrid w:val="0"/>
          <w:lang w:val="en-US"/>
        </w:rPr>
      </w:pPr>
      <w:r>
        <w:rPr>
          <w:rFonts w:hint="eastAsia"/>
          <w:snapToGrid w:val="0"/>
          <w:lang w:val="en-US"/>
        </w:rPr>
        <w:t>13.10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5E806F29">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五</w:t>
      </w:r>
      <w:r>
        <w:rPr>
          <w:rFonts w:hint="eastAsia" w:cs="宋体"/>
          <w:sz w:val="24"/>
          <w:szCs w:val="24"/>
          <w:lang w:val="zh-CN"/>
        </w:rPr>
        <w:t>）评标得分及复核</w:t>
      </w:r>
    </w:p>
    <w:p w14:paraId="00357196">
      <w:pPr>
        <w:pStyle w:val="39"/>
        <w:jc w:val="both"/>
        <w:rPr>
          <w:rFonts w:hint="eastAsia" w:cs="宋体"/>
          <w:szCs w:val="24"/>
        </w:rPr>
      </w:pPr>
      <w:r>
        <w:rPr>
          <w:rFonts w:hint="eastAsia" w:cs="宋体"/>
          <w:szCs w:val="24"/>
          <w:lang w:val="en-US"/>
        </w:rPr>
        <w:t>14.</w:t>
      </w:r>
      <w:r>
        <w:rPr>
          <w:rFonts w:hint="eastAsia" w:cs="宋体"/>
          <w:szCs w:val="24"/>
        </w:rPr>
        <w:t>评标过程中，各项分值一般精确到小数点后两位，评标得分应为商务评分、技术评分、报价评分之和。评标委员会各成员应汇总每个投标人的得分。</w:t>
      </w:r>
    </w:p>
    <w:p w14:paraId="1D532B03">
      <w:pPr>
        <w:pStyle w:val="39"/>
        <w:jc w:val="both"/>
        <w:rPr>
          <w:rFonts w:hint="eastAsia" w:cs="宋体"/>
          <w:szCs w:val="24"/>
        </w:rPr>
      </w:pPr>
      <w:r>
        <w:rPr>
          <w:rFonts w:hint="eastAsia" w:cs="宋体"/>
          <w:szCs w:val="24"/>
          <w:lang w:val="en-US"/>
        </w:rPr>
        <w:t>14.1</w:t>
      </w:r>
      <w:r>
        <w:rPr>
          <w:rFonts w:hint="eastAsia" w:cs="宋体"/>
          <w:spacing w:val="-6"/>
          <w:szCs w:val="24"/>
        </w:rPr>
        <w:t>评标结果汇总完成后，采购代理机构应对评标结果进行复核。经复核发现存在以下情形之一的，评标委员会应当当场修改评标结果，并在评标报告中记载：</w:t>
      </w:r>
    </w:p>
    <w:p w14:paraId="1AA5C951">
      <w:pPr>
        <w:pStyle w:val="39"/>
        <w:ind w:left="900" w:hanging="420"/>
        <w:jc w:val="both"/>
        <w:rPr>
          <w:rFonts w:hint="eastAsia" w:cs="宋体"/>
          <w:szCs w:val="24"/>
        </w:rPr>
      </w:pPr>
      <w:r>
        <w:rPr>
          <w:rFonts w:hint="eastAsia" w:cs="宋体"/>
          <w:szCs w:val="24"/>
          <w:lang w:val="en-US"/>
        </w:rPr>
        <w:t>（1）</w:t>
      </w:r>
      <w:r>
        <w:rPr>
          <w:rFonts w:hint="eastAsia" w:cs="宋体"/>
          <w:szCs w:val="24"/>
        </w:rPr>
        <w:t>分值汇总计算错误的；</w:t>
      </w:r>
    </w:p>
    <w:p w14:paraId="6528E544">
      <w:pPr>
        <w:pStyle w:val="39"/>
        <w:ind w:left="900" w:hanging="420"/>
        <w:jc w:val="both"/>
        <w:rPr>
          <w:rFonts w:hint="eastAsia" w:cs="宋体"/>
          <w:szCs w:val="24"/>
        </w:rPr>
      </w:pPr>
      <w:r>
        <w:rPr>
          <w:rFonts w:hint="eastAsia" w:cs="宋体"/>
          <w:szCs w:val="24"/>
          <w:lang w:val="en-US"/>
        </w:rPr>
        <w:t>（2）</w:t>
      </w:r>
      <w:r>
        <w:rPr>
          <w:rFonts w:hint="eastAsia" w:cs="宋体"/>
          <w:szCs w:val="24"/>
        </w:rPr>
        <w:t>分项评分超出评分标准范围的；</w:t>
      </w:r>
    </w:p>
    <w:p w14:paraId="6CF04E6C">
      <w:pPr>
        <w:pStyle w:val="39"/>
        <w:ind w:left="900" w:hanging="420"/>
        <w:jc w:val="both"/>
        <w:rPr>
          <w:rFonts w:hint="eastAsia" w:cs="宋体"/>
          <w:szCs w:val="24"/>
        </w:rPr>
      </w:pPr>
      <w:r>
        <w:rPr>
          <w:rFonts w:hint="eastAsia" w:cs="宋体"/>
          <w:szCs w:val="24"/>
          <w:lang w:val="en-US"/>
        </w:rPr>
        <w:t>（3）</w:t>
      </w:r>
      <w:r>
        <w:rPr>
          <w:rFonts w:hint="eastAsia" w:cs="宋体"/>
          <w:szCs w:val="24"/>
        </w:rPr>
        <w:t>评标委员会成员对客观评审因素评分不一致的；</w:t>
      </w:r>
    </w:p>
    <w:p w14:paraId="59FD7494">
      <w:pPr>
        <w:pStyle w:val="39"/>
        <w:ind w:left="900" w:hanging="420"/>
        <w:jc w:val="both"/>
        <w:rPr>
          <w:rFonts w:hint="eastAsia" w:cs="宋体"/>
          <w:szCs w:val="24"/>
        </w:rPr>
      </w:pPr>
      <w:r>
        <w:rPr>
          <w:rFonts w:hint="eastAsia" w:cs="宋体"/>
          <w:szCs w:val="24"/>
          <w:lang w:val="en-US"/>
        </w:rPr>
        <w:t>（4）</w:t>
      </w:r>
      <w:r>
        <w:rPr>
          <w:rFonts w:hint="eastAsia" w:cs="宋体"/>
          <w:szCs w:val="24"/>
        </w:rPr>
        <w:t>经评标委员会认定评分畸高、畸低的。</w:t>
      </w:r>
    </w:p>
    <w:p w14:paraId="6B6E289B">
      <w:pPr>
        <w:pStyle w:val="39"/>
        <w:jc w:val="both"/>
        <w:rPr>
          <w:rFonts w:hint="eastAsia" w:cs="宋体"/>
          <w:szCs w:val="24"/>
        </w:rPr>
      </w:pPr>
      <w:r>
        <w:rPr>
          <w:rFonts w:hint="eastAsia" w:cs="宋体"/>
          <w:szCs w:val="24"/>
          <w:lang w:val="en-US"/>
        </w:rPr>
        <w:t>15.</w:t>
      </w:r>
      <w:r>
        <w:rPr>
          <w:rFonts w:hint="eastAsia" w:cs="宋体"/>
          <w:szCs w:val="24"/>
        </w:rPr>
        <w:t>各投标人的最终得分为评标委员会所有成员对各投标人评标得分汇总后的算术平均值。</w:t>
      </w:r>
    </w:p>
    <w:p w14:paraId="7C18B026">
      <w:pPr>
        <w:pStyle w:val="39"/>
        <w:jc w:val="both"/>
        <w:rPr>
          <w:rFonts w:hint="eastAsia" w:cs="宋体"/>
          <w:szCs w:val="24"/>
          <w:lang w:val="en-US"/>
        </w:rPr>
      </w:pPr>
      <w:r>
        <w:rPr>
          <w:rFonts w:hint="eastAsia" w:cs="宋体"/>
          <w:szCs w:val="24"/>
          <w:lang w:val="en-US"/>
        </w:rPr>
        <w:t>15.1除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5A2AAD18">
      <w:pPr>
        <w:pStyle w:val="39"/>
        <w:jc w:val="both"/>
        <w:rPr>
          <w:rFonts w:hint="eastAsia" w:cs="宋体"/>
          <w:szCs w:val="24"/>
          <w:lang w:val="en-US"/>
        </w:rPr>
      </w:pPr>
      <w:r>
        <w:rPr>
          <w:rFonts w:hint="eastAsia" w:cs="宋体"/>
          <w:szCs w:val="24"/>
          <w:lang w:val="en-US"/>
        </w:rPr>
        <w:t>15.2采购人或者采购代理机构不得通过对样品进行检测、对投标人进行考察等方式改变评审结果。</w:t>
      </w:r>
    </w:p>
    <w:p w14:paraId="323F6556">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六</w:t>
      </w:r>
      <w:r>
        <w:rPr>
          <w:rFonts w:hint="eastAsia" w:cs="宋体"/>
          <w:sz w:val="24"/>
          <w:szCs w:val="24"/>
          <w:lang w:val="zh-CN"/>
        </w:rPr>
        <w:t>）排序与推荐</w:t>
      </w:r>
    </w:p>
    <w:p w14:paraId="451F5222">
      <w:pPr>
        <w:pStyle w:val="39"/>
        <w:jc w:val="both"/>
        <w:rPr>
          <w:rFonts w:hint="eastAsia" w:cs="宋体"/>
          <w:szCs w:val="24"/>
          <w:lang w:val="en-US"/>
        </w:rPr>
      </w:pPr>
      <w:r>
        <w:rPr>
          <w:rFonts w:hint="eastAsia" w:cs="宋体"/>
          <w:szCs w:val="24"/>
          <w:lang w:val="en-US"/>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5D9EBD8A">
      <w:pPr>
        <w:pStyle w:val="39"/>
        <w:jc w:val="both"/>
        <w:rPr>
          <w:rFonts w:hint="eastAsia" w:cs="宋体"/>
          <w:szCs w:val="24"/>
          <w:lang w:val="en-US"/>
        </w:rPr>
      </w:pPr>
      <w:r>
        <w:rPr>
          <w:rFonts w:hint="eastAsia" w:cs="宋体"/>
          <w:szCs w:val="24"/>
          <w:lang w:val="en-US"/>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2DDA3325">
      <w:pPr>
        <w:pStyle w:val="39"/>
        <w:jc w:val="both"/>
        <w:rPr>
          <w:rFonts w:hint="eastAsia" w:cs="宋体"/>
          <w:szCs w:val="24"/>
          <w:lang w:val="en-US"/>
        </w:rPr>
      </w:pPr>
      <w:r>
        <w:rPr>
          <w:rFonts w:hint="eastAsia" w:cs="宋体"/>
          <w:szCs w:val="24"/>
          <w:lang w:val="en-US"/>
        </w:rPr>
        <w:t>18.中标候选人推荐家数详见“投标人须知前附表”。</w:t>
      </w:r>
    </w:p>
    <w:p w14:paraId="26E8EE61">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七</w:t>
      </w:r>
      <w:r>
        <w:rPr>
          <w:rFonts w:hint="eastAsia" w:cs="宋体"/>
          <w:sz w:val="24"/>
          <w:szCs w:val="24"/>
          <w:lang w:val="zh-CN"/>
        </w:rPr>
        <w:t>）编写评标报告</w:t>
      </w:r>
    </w:p>
    <w:p w14:paraId="510DD435">
      <w:pPr>
        <w:pStyle w:val="39"/>
        <w:jc w:val="both"/>
        <w:rPr>
          <w:rFonts w:hint="eastAsia" w:cs="宋体"/>
          <w:szCs w:val="24"/>
        </w:rPr>
      </w:pPr>
      <w:r>
        <w:rPr>
          <w:rFonts w:hint="eastAsia" w:cs="宋体"/>
          <w:szCs w:val="24"/>
          <w:lang w:val="en-US"/>
        </w:rPr>
        <w:t>19.</w:t>
      </w:r>
      <w:r>
        <w:rPr>
          <w:rFonts w:hint="eastAsia" w:cs="宋体"/>
          <w:szCs w:val="24"/>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bookmarkStart w:id="342" w:name="_Toc102119852"/>
      <w:bookmarkStart w:id="343" w:name="_Toc102057717"/>
      <w:bookmarkStart w:id="344" w:name="_Toc102116151"/>
      <w:bookmarkStart w:id="345" w:name="_Toc102056217"/>
      <w:bookmarkStart w:id="346" w:name="_Toc102116021"/>
      <w:bookmarkStart w:id="347" w:name="_Toc155185913"/>
      <w:bookmarkStart w:id="348" w:name="_Toc163492906"/>
      <w:bookmarkStart w:id="349" w:name="_Toc102114919"/>
    </w:p>
    <w:p w14:paraId="1A92CE59">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八</w:t>
      </w:r>
      <w:r>
        <w:rPr>
          <w:rFonts w:hint="eastAsia" w:cs="宋体"/>
          <w:sz w:val="24"/>
          <w:szCs w:val="24"/>
          <w:lang w:val="zh-CN"/>
        </w:rPr>
        <w:t>）</w:t>
      </w:r>
      <w:r>
        <w:rPr>
          <w:rFonts w:hint="eastAsia" w:cs="宋体"/>
          <w:sz w:val="24"/>
          <w:szCs w:val="24"/>
        </w:rPr>
        <w:t>投标无效及</w:t>
      </w:r>
      <w:r>
        <w:rPr>
          <w:rFonts w:hint="eastAsia" w:cs="宋体"/>
          <w:sz w:val="24"/>
          <w:szCs w:val="24"/>
          <w:lang w:val="zh-CN"/>
        </w:rPr>
        <w:t>应予废标的情形</w:t>
      </w:r>
      <w:bookmarkEnd w:id="342"/>
      <w:bookmarkEnd w:id="343"/>
      <w:bookmarkEnd w:id="344"/>
      <w:bookmarkEnd w:id="345"/>
      <w:bookmarkEnd w:id="346"/>
      <w:bookmarkEnd w:id="347"/>
      <w:bookmarkEnd w:id="348"/>
      <w:bookmarkEnd w:id="349"/>
    </w:p>
    <w:p w14:paraId="0D02DEB0">
      <w:pPr>
        <w:pStyle w:val="39"/>
        <w:jc w:val="both"/>
        <w:rPr>
          <w:rFonts w:hint="eastAsia" w:cs="宋体"/>
          <w:szCs w:val="24"/>
          <w:lang w:val="en-US"/>
        </w:rPr>
      </w:pPr>
      <w:r>
        <w:rPr>
          <w:rFonts w:hint="eastAsia" w:cs="宋体"/>
          <w:szCs w:val="24"/>
          <w:lang w:val="en-US"/>
        </w:rPr>
        <w:t>20.投标人存在下列情形之一的，</w:t>
      </w:r>
      <w:r>
        <w:rPr>
          <w:rFonts w:hint="eastAsia" w:cs="宋体"/>
          <w:b/>
          <w:bCs/>
          <w:szCs w:val="24"/>
          <w:lang w:val="en-US"/>
        </w:rPr>
        <w:t>投标无效</w:t>
      </w:r>
      <w:r>
        <w:rPr>
          <w:rFonts w:hint="eastAsia" w:cs="宋体"/>
          <w:szCs w:val="24"/>
          <w:lang w:val="en-US"/>
        </w:rPr>
        <w:t>：</w:t>
      </w:r>
    </w:p>
    <w:p w14:paraId="4225BBD0">
      <w:pPr>
        <w:pStyle w:val="39"/>
        <w:jc w:val="both"/>
        <w:rPr>
          <w:rFonts w:hint="eastAsia" w:cs="宋体"/>
          <w:szCs w:val="24"/>
        </w:rPr>
      </w:pPr>
      <w:r>
        <w:rPr>
          <w:rFonts w:hint="eastAsia" w:cs="宋体"/>
          <w:szCs w:val="24"/>
          <w:lang w:val="en-US"/>
        </w:rPr>
        <w:t>20.</w:t>
      </w:r>
      <w:r>
        <w:rPr>
          <w:rFonts w:hint="eastAsia" w:cs="宋体"/>
          <w:szCs w:val="24"/>
        </w:rPr>
        <w:t>1</w:t>
      </w:r>
      <w:r>
        <w:rPr>
          <w:rFonts w:hint="eastAsia" w:cs="宋体"/>
          <w:szCs w:val="24"/>
          <w:lang w:val="en-US"/>
        </w:rPr>
        <w:t>投标人</w:t>
      </w:r>
      <w:r>
        <w:rPr>
          <w:rFonts w:hint="eastAsia" w:cs="宋体"/>
          <w:szCs w:val="24"/>
        </w:rPr>
        <w:t>不具备《中华人民共和国政府采购法》第二十二条规定条件</w:t>
      </w:r>
      <w:r>
        <w:rPr>
          <w:rFonts w:hint="eastAsia" w:cs="宋体"/>
          <w:szCs w:val="24"/>
          <w:lang w:val="en-US"/>
        </w:rPr>
        <w:t>；</w:t>
      </w:r>
    </w:p>
    <w:p w14:paraId="3CA2E50B">
      <w:pPr>
        <w:pStyle w:val="39"/>
        <w:jc w:val="both"/>
        <w:rPr>
          <w:rFonts w:hint="eastAsia" w:cs="宋体"/>
          <w:szCs w:val="24"/>
          <w:lang w:val="en-US"/>
        </w:rPr>
      </w:pPr>
      <w:r>
        <w:rPr>
          <w:rFonts w:hint="eastAsia" w:cs="宋体"/>
          <w:szCs w:val="24"/>
          <w:lang w:val="en-US"/>
        </w:rPr>
        <w:t>20.</w:t>
      </w:r>
      <w:r>
        <w:rPr>
          <w:rFonts w:hint="eastAsia" w:cs="宋体"/>
          <w:szCs w:val="24"/>
        </w:rPr>
        <w:t>2投标文件未按招标文件要求签署、盖章的</w:t>
      </w:r>
      <w:r>
        <w:rPr>
          <w:rFonts w:hint="eastAsia" w:cs="宋体"/>
          <w:szCs w:val="24"/>
          <w:lang w:val="en-US"/>
        </w:rPr>
        <w:t>；</w:t>
      </w:r>
    </w:p>
    <w:p w14:paraId="50399F9A">
      <w:pPr>
        <w:pStyle w:val="39"/>
        <w:jc w:val="both"/>
        <w:rPr>
          <w:rFonts w:hint="eastAsia" w:cs="宋体"/>
          <w:szCs w:val="24"/>
          <w:lang w:val="en-US"/>
        </w:rPr>
      </w:pPr>
      <w:r>
        <w:rPr>
          <w:rFonts w:hint="eastAsia" w:cs="宋体"/>
          <w:szCs w:val="24"/>
          <w:lang w:val="en-US"/>
        </w:rPr>
        <w:t>20.</w:t>
      </w:r>
      <w:r>
        <w:rPr>
          <w:rFonts w:hint="eastAsia" w:cs="宋体"/>
          <w:szCs w:val="24"/>
        </w:rPr>
        <w:t>3</w:t>
      </w:r>
      <w:r>
        <w:rPr>
          <w:rFonts w:hint="eastAsia" w:cs="宋体"/>
          <w:szCs w:val="24"/>
          <w:lang w:val="en-US"/>
        </w:rPr>
        <w:t>不具备招标文件中规定的资格要求的（投标人未提供有效资格文件的，视为投标人不具备招标文件中规定的资格要求）；</w:t>
      </w:r>
    </w:p>
    <w:p w14:paraId="4DACB129">
      <w:pPr>
        <w:pStyle w:val="39"/>
        <w:jc w:val="both"/>
        <w:rPr>
          <w:rFonts w:hint="eastAsia" w:cs="宋体"/>
          <w:szCs w:val="24"/>
        </w:rPr>
      </w:pPr>
      <w:r>
        <w:rPr>
          <w:rFonts w:hint="eastAsia" w:cs="宋体"/>
          <w:szCs w:val="24"/>
          <w:lang w:val="en-US"/>
        </w:rPr>
        <w:t>20.</w:t>
      </w:r>
      <w:r>
        <w:rPr>
          <w:rFonts w:hint="eastAsia" w:cs="宋体"/>
          <w:szCs w:val="24"/>
        </w:rPr>
        <w:t>4</w:t>
      </w:r>
      <w:r>
        <w:rPr>
          <w:rFonts w:hint="eastAsia" w:cs="宋体"/>
          <w:szCs w:val="24"/>
          <w:lang w:val="en-US"/>
        </w:rPr>
        <w:t>投标</w:t>
      </w:r>
      <w:r>
        <w:rPr>
          <w:rFonts w:hint="eastAsia" w:cs="宋体"/>
          <w:szCs w:val="24"/>
        </w:rPr>
        <w:t>文件提供虚假材料的</w:t>
      </w:r>
      <w:r>
        <w:rPr>
          <w:rFonts w:hint="eastAsia" w:cs="宋体"/>
          <w:szCs w:val="24"/>
          <w:lang w:val="en-US"/>
        </w:rPr>
        <w:t>；</w:t>
      </w:r>
    </w:p>
    <w:p w14:paraId="7515400B">
      <w:pPr>
        <w:pStyle w:val="39"/>
        <w:jc w:val="both"/>
        <w:rPr>
          <w:rFonts w:hint="eastAsia" w:cs="宋体"/>
          <w:szCs w:val="24"/>
        </w:rPr>
      </w:pPr>
      <w:r>
        <w:rPr>
          <w:rFonts w:hint="eastAsia" w:cs="宋体"/>
          <w:szCs w:val="24"/>
          <w:lang w:val="en-US"/>
        </w:rPr>
        <w:t>20.</w:t>
      </w:r>
      <w:r>
        <w:rPr>
          <w:rFonts w:hint="eastAsia" w:cs="宋体"/>
          <w:szCs w:val="24"/>
        </w:rPr>
        <w:t>5</w:t>
      </w:r>
      <w:r>
        <w:rPr>
          <w:rFonts w:hint="eastAsia" w:cs="宋体"/>
          <w:szCs w:val="24"/>
          <w:lang w:val="en-US"/>
        </w:rPr>
        <w:t>投标</w:t>
      </w:r>
      <w:r>
        <w:rPr>
          <w:rFonts w:hint="eastAsia" w:cs="宋体"/>
          <w:szCs w:val="24"/>
        </w:rPr>
        <w:t>文件不满足</w:t>
      </w:r>
      <w:r>
        <w:rPr>
          <w:rFonts w:hint="eastAsia" w:cs="宋体"/>
          <w:szCs w:val="24"/>
          <w:lang w:val="en-US"/>
        </w:rPr>
        <w:t>招标</w:t>
      </w:r>
      <w:r>
        <w:rPr>
          <w:rFonts w:hint="eastAsia" w:cs="宋体"/>
          <w:szCs w:val="24"/>
        </w:rPr>
        <w:t>文件中标注“★”号的实质性条款（或指标）要求的</w:t>
      </w:r>
      <w:r>
        <w:rPr>
          <w:rFonts w:hint="eastAsia" w:cs="宋体"/>
          <w:szCs w:val="24"/>
          <w:lang w:val="en-US"/>
        </w:rPr>
        <w:t>；</w:t>
      </w:r>
    </w:p>
    <w:p w14:paraId="4B46D125">
      <w:pPr>
        <w:pStyle w:val="39"/>
        <w:jc w:val="both"/>
        <w:rPr>
          <w:rFonts w:hint="eastAsia" w:cs="宋体"/>
          <w:szCs w:val="24"/>
          <w:lang w:val="en-US"/>
        </w:rPr>
      </w:pPr>
      <w:r>
        <w:rPr>
          <w:rFonts w:hint="eastAsia" w:cs="宋体"/>
          <w:szCs w:val="24"/>
          <w:lang w:val="en-US"/>
        </w:rPr>
        <w:t>20.</w:t>
      </w:r>
      <w:r>
        <w:rPr>
          <w:rFonts w:hint="eastAsia" w:cs="宋体"/>
          <w:szCs w:val="24"/>
        </w:rPr>
        <w:t>6</w:t>
      </w:r>
      <w:r>
        <w:rPr>
          <w:rFonts w:hint="eastAsia" w:cs="宋体"/>
          <w:szCs w:val="24"/>
          <w:lang w:val="en-US"/>
        </w:rPr>
        <w:t>投标人</w:t>
      </w:r>
      <w:r>
        <w:rPr>
          <w:rFonts w:hint="eastAsia" w:cs="宋体"/>
          <w:szCs w:val="24"/>
        </w:rPr>
        <w:t>报价超过招标文件中规定的最高限价或者预算金额的</w:t>
      </w:r>
      <w:r>
        <w:rPr>
          <w:rFonts w:hint="eastAsia" w:cs="宋体"/>
          <w:szCs w:val="24"/>
          <w:lang w:val="en-US"/>
        </w:rPr>
        <w:t>；</w:t>
      </w:r>
    </w:p>
    <w:p w14:paraId="76D248B0">
      <w:pPr>
        <w:pStyle w:val="39"/>
        <w:jc w:val="both"/>
        <w:rPr>
          <w:rFonts w:hint="eastAsia" w:cs="宋体"/>
          <w:szCs w:val="24"/>
        </w:rPr>
      </w:pPr>
      <w:r>
        <w:rPr>
          <w:rFonts w:hint="eastAsia" w:cs="宋体"/>
          <w:szCs w:val="24"/>
          <w:lang w:val="en-US"/>
        </w:rPr>
        <w:t>20.</w:t>
      </w:r>
      <w:r>
        <w:rPr>
          <w:rFonts w:hint="eastAsia" w:cs="宋体"/>
          <w:szCs w:val="24"/>
        </w:rPr>
        <w:t>7联合体的供应商未提交各方共同签署的</w:t>
      </w:r>
      <w:r>
        <w:rPr>
          <w:rFonts w:hint="eastAsia" w:cs="宋体"/>
          <w:szCs w:val="24"/>
          <w:lang w:val="en-US"/>
        </w:rPr>
        <w:t>联合体</w:t>
      </w:r>
      <w:r>
        <w:rPr>
          <w:rFonts w:hint="eastAsia" w:cs="宋体"/>
          <w:szCs w:val="24"/>
        </w:rPr>
        <w:t>协议</w:t>
      </w:r>
      <w:r>
        <w:rPr>
          <w:rFonts w:hint="eastAsia" w:cs="宋体"/>
          <w:szCs w:val="24"/>
          <w:lang w:val="en-US"/>
        </w:rPr>
        <w:t>的；</w:t>
      </w:r>
    </w:p>
    <w:p w14:paraId="7C3B7661">
      <w:pPr>
        <w:pStyle w:val="39"/>
        <w:jc w:val="both"/>
        <w:rPr>
          <w:rFonts w:hint="eastAsia" w:cs="宋体"/>
          <w:szCs w:val="24"/>
        </w:rPr>
      </w:pPr>
      <w:r>
        <w:rPr>
          <w:rFonts w:hint="eastAsia" w:cs="宋体"/>
          <w:szCs w:val="24"/>
          <w:lang w:val="en-US"/>
        </w:rPr>
        <w:t>20.</w:t>
      </w:r>
      <w:r>
        <w:rPr>
          <w:rFonts w:hint="eastAsia" w:cs="宋体"/>
          <w:szCs w:val="24"/>
        </w:rPr>
        <w:t>8</w:t>
      </w:r>
      <w:r>
        <w:rPr>
          <w:rFonts w:hint="eastAsia" w:cs="宋体"/>
          <w:szCs w:val="24"/>
          <w:lang w:val="en-US"/>
        </w:rPr>
        <w:t>投标人</w:t>
      </w:r>
      <w:r>
        <w:rPr>
          <w:rFonts w:hint="eastAsia" w:cs="宋体"/>
          <w:szCs w:val="24"/>
        </w:rPr>
        <w:t>未按</w:t>
      </w:r>
      <w:r>
        <w:rPr>
          <w:rFonts w:hint="eastAsia" w:cs="宋体"/>
          <w:szCs w:val="24"/>
          <w:lang w:val="en-US"/>
        </w:rPr>
        <w:t>招标</w:t>
      </w:r>
      <w:r>
        <w:rPr>
          <w:rFonts w:hint="eastAsia" w:cs="宋体"/>
          <w:szCs w:val="24"/>
        </w:rPr>
        <w:t>文件</w:t>
      </w:r>
      <w:r>
        <w:rPr>
          <w:rFonts w:hint="eastAsia" w:cs="宋体"/>
          <w:szCs w:val="24"/>
          <w:lang w:val="en-US"/>
        </w:rPr>
        <w:t>的规定</w:t>
      </w:r>
      <w:r>
        <w:rPr>
          <w:rFonts w:hint="eastAsia" w:cs="宋体"/>
          <w:szCs w:val="24"/>
        </w:rPr>
        <w:t>交纳投标保证金</w:t>
      </w:r>
      <w:r>
        <w:rPr>
          <w:rFonts w:hint="eastAsia" w:cs="宋体"/>
          <w:szCs w:val="24"/>
          <w:lang w:val="en-US"/>
        </w:rPr>
        <w:t>的；</w:t>
      </w:r>
    </w:p>
    <w:p w14:paraId="10395D8E">
      <w:pPr>
        <w:pStyle w:val="39"/>
        <w:jc w:val="both"/>
        <w:rPr>
          <w:rFonts w:hint="eastAsia" w:cs="宋体"/>
          <w:szCs w:val="24"/>
        </w:rPr>
      </w:pPr>
      <w:r>
        <w:rPr>
          <w:rFonts w:hint="eastAsia" w:cs="宋体"/>
          <w:szCs w:val="24"/>
          <w:lang w:val="en-US"/>
        </w:rPr>
        <w:t>20.</w:t>
      </w:r>
      <w:r>
        <w:rPr>
          <w:rFonts w:hint="eastAsia" w:cs="宋体"/>
          <w:szCs w:val="24"/>
        </w:rPr>
        <w:t>9评审期间，</w:t>
      </w:r>
      <w:r>
        <w:rPr>
          <w:rFonts w:hint="eastAsia" w:cs="宋体"/>
          <w:szCs w:val="24"/>
          <w:lang w:val="en-US"/>
        </w:rPr>
        <w:t>投标人</w:t>
      </w:r>
      <w:r>
        <w:rPr>
          <w:rFonts w:hint="eastAsia" w:cs="宋体"/>
          <w:szCs w:val="24"/>
        </w:rPr>
        <w:t>没有按评标委员会的要求提交经授权代表签字的澄清、说明、补正或改变了</w:t>
      </w:r>
      <w:r>
        <w:rPr>
          <w:rFonts w:hint="eastAsia" w:cs="宋体"/>
          <w:szCs w:val="24"/>
          <w:lang w:val="en-US"/>
        </w:rPr>
        <w:t>投标</w:t>
      </w:r>
      <w:r>
        <w:rPr>
          <w:rFonts w:hint="eastAsia" w:cs="宋体"/>
          <w:szCs w:val="24"/>
        </w:rPr>
        <w:t>文件的实质性内容</w:t>
      </w:r>
      <w:r>
        <w:rPr>
          <w:rFonts w:hint="eastAsia" w:cs="宋体"/>
          <w:szCs w:val="24"/>
          <w:lang w:val="en-US"/>
        </w:rPr>
        <w:t>的；</w:t>
      </w:r>
    </w:p>
    <w:p w14:paraId="03C6BCDF">
      <w:pPr>
        <w:pStyle w:val="39"/>
        <w:jc w:val="both"/>
        <w:rPr>
          <w:rFonts w:hint="eastAsia" w:cs="宋体"/>
          <w:szCs w:val="24"/>
          <w:lang w:val="en-US"/>
        </w:rPr>
      </w:pPr>
      <w:r>
        <w:rPr>
          <w:rFonts w:hint="eastAsia" w:cs="宋体"/>
          <w:szCs w:val="24"/>
          <w:lang w:val="en-US"/>
        </w:rPr>
        <w:t>20.</w:t>
      </w:r>
      <w:r>
        <w:rPr>
          <w:rFonts w:hint="eastAsia" w:cs="宋体"/>
          <w:szCs w:val="24"/>
        </w:rPr>
        <w:t>10</w:t>
      </w:r>
      <w:r>
        <w:rPr>
          <w:rFonts w:hint="eastAsia" w:cs="宋体"/>
          <w:szCs w:val="24"/>
          <w:lang w:val="en-US"/>
        </w:rPr>
        <w:t>投标人</w:t>
      </w:r>
      <w:r>
        <w:rPr>
          <w:rFonts w:hint="eastAsia" w:cs="宋体"/>
          <w:szCs w:val="24"/>
        </w:rPr>
        <w:t>对采购人、采购代理机构、评标委员会及其工作人员施加影响，有碍公平、公正</w:t>
      </w:r>
      <w:r>
        <w:rPr>
          <w:rFonts w:hint="eastAsia" w:cs="宋体"/>
          <w:szCs w:val="24"/>
          <w:lang w:val="en-US"/>
        </w:rPr>
        <w:t>的；</w:t>
      </w:r>
    </w:p>
    <w:p w14:paraId="7A4877E5">
      <w:pPr>
        <w:pStyle w:val="39"/>
        <w:jc w:val="both"/>
        <w:rPr>
          <w:rFonts w:hint="eastAsia" w:cs="宋体"/>
          <w:szCs w:val="24"/>
          <w:lang w:val="en-US"/>
        </w:rPr>
      </w:pPr>
      <w:r>
        <w:rPr>
          <w:rFonts w:hint="eastAsia" w:cs="宋体"/>
          <w:szCs w:val="24"/>
          <w:lang w:val="en-US"/>
        </w:rPr>
        <w:t>20.11投标文件含有采购人不能接受的附加条件的；</w:t>
      </w:r>
    </w:p>
    <w:p w14:paraId="492C97EF">
      <w:pPr>
        <w:pStyle w:val="39"/>
        <w:jc w:val="both"/>
        <w:rPr>
          <w:rFonts w:hint="eastAsia" w:cs="宋体"/>
          <w:szCs w:val="24"/>
          <w:lang w:val="en-US"/>
        </w:rPr>
      </w:pPr>
      <w:r>
        <w:rPr>
          <w:rFonts w:hint="eastAsia" w:cs="宋体"/>
          <w:szCs w:val="24"/>
          <w:lang w:val="en-US"/>
        </w:rPr>
        <w:t>20.</w:t>
      </w:r>
      <w:r>
        <w:rPr>
          <w:rFonts w:hint="eastAsia" w:cs="宋体"/>
          <w:szCs w:val="24"/>
        </w:rPr>
        <w:t>1</w:t>
      </w:r>
      <w:r>
        <w:rPr>
          <w:rFonts w:hint="eastAsia" w:cs="宋体"/>
          <w:szCs w:val="24"/>
          <w:lang w:val="en-US"/>
        </w:rPr>
        <w:t>2</w:t>
      </w:r>
      <w:r>
        <w:rPr>
          <w:rFonts w:hint="eastAsia" w:cs="宋体"/>
          <w:szCs w:val="24"/>
        </w:rPr>
        <w:t>法律、法规、规章规定属于</w:t>
      </w:r>
      <w:r>
        <w:rPr>
          <w:rFonts w:hint="eastAsia" w:cs="宋体"/>
          <w:szCs w:val="24"/>
          <w:lang w:val="en-US"/>
        </w:rPr>
        <w:t>投标</w:t>
      </w:r>
      <w:r>
        <w:rPr>
          <w:rFonts w:hint="eastAsia" w:cs="宋体"/>
          <w:szCs w:val="24"/>
        </w:rPr>
        <w:t>无效的其他情形。</w:t>
      </w:r>
    </w:p>
    <w:p w14:paraId="4ECD7C85">
      <w:pPr>
        <w:pStyle w:val="39"/>
        <w:jc w:val="both"/>
        <w:rPr>
          <w:rFonts w:hint="eastAsia" w:cs="宋体"/>
          <w:szCs w:val="24"/>
          <w:lang w:val="en-US"/>
        </w:rPr>
      </w:pPr>
      <w:r>
        <w:rPr>
          <w:rFonts w:hint="eastAsia" w:cs="宋体"/>
          <w:szCs w:val="24"/>
          <w:lang w:val="en-US"/>
        </w:rPr>
        <w:t>21.有下列情形之一的，视为投标人串通投标，其</w:t>
      </w:r>
      <w:r>
        <w:rPr>
          <w:rFonts w:hint="eastAsia" w:cs="宋体"/>
          <w:b/>
          <w:bCs/>
          <w:szCs w:val="24"/>
          <w:lang w:val="en-US"/>
        </w:rPr>
        <w:t>投标无效</w:t>
      </w:r>
      <w:r>
        <w:rPr>
          <w:rFonts w:hint="eastAsia" w:cs="宋体"/>
          <w:szCs w:val="24"/>
          <w:lang w:val="en-US"/>
        </w:rPr>
        <w:t>：</w:t>
      </w:r>
    </w:p>
    <w:p w14:paraId="3C2EEC35">
      <w:pPr>
        <w:pStyle w:val="39"/>
        <w:jc w:val="both"/>
        <w:rPr>
          <w:rFonts w:hint="eastAsia" w:cs="宋体"/>
          <w:szCs w:val="24"/>
          <w:lang w:val="en-US"/>
        </w:rPr>
      </w:pPr>
      <w:r>
        <w:rPr>
          <w:rFonts w:hint="eastAsia" w:cs="宋体"/>
          <w:szCs w:val="24"/>
          <w:lang w:val="en-US"/>
        </w:rPr>
        <w:t>21.1不同投标人的投标文件由同一单位或者个人编制；</w:t>
      </w:r>
    </w:p>
    <w:p w14:paraId="6F288AB0">
      <w:pPr>
        <w:pStyle w:val="39"/>
        <w:jc w:val="both"/>
        <w:rPr>
          <w:rFonts w:hint="eastAsia" w:cs="宋体"/>
          <w:szCs w:val="24"/>
          <w:lang w:val="en-US"/>
        </w:rPr>
      </w:pPr>
      <w:r>
        <w:rPr>
          <w:rFonts w:hint="eastAsia" w:cs="宋体"/>
          <w:szCs w:val="24"/>
          <w:lang w:val="en-US"/>
        </w:rPr>
        <w:t>21.2不同投标人委托同一单位或者个人办理投标事宜；</w:t>
      </w:r>
    </w:p>
    <w:p w14:paraId="015D6F30">
      <w:pPr>
        <w:pStyle w:val="39"/>
        <w:jc w:val="both"/>
        <w:rPr>
          <w:rFonts w:hint="eastAsia" w:cs="宋体"/>
          <w:szCs w:val="24"/>
          <w:lang w:val="en-US"/>
        </w:rPr>
      </w:pPr>
      <w:r>
        <w:rPr>
          <w:rFonts w:hint="eastAsia" w:cs="宋体"/>
          <w:szCs w:val="24"/>
          <w:lang w:val="en-US"/>
        </w:rPr>
        <w:t>21.3不同投标人的投标文件载明的项目管理成员或者联系人员为同一人；</w:t>
      </w:r>
    </w:p>
    <w:p w14:paraId="787F319E">
      <w:pPr>
        <w:pStyle w:val="39"/>
        <w:jc w:val="both"/>
        <w:rPr>
          <w:rFonts w:hint="eastAsia" w:cs="宋体"/>
          <w:szCs w:val="24"/>
          <w:lang w:val="en-US"/>
        </w:rPr>
      </w:pPr>
      <w:r>
        <w:rPr>
          <w:rFonts w:hint="eastAsia" w:cs="宋体"/>
          <w:szCs w:val="24"/>
          <w:lang w:val="en-US"/>
        </w:rPr>
        <w:t>21.4不同投标人的投标文件异常一致或者投标报价呈规律性差异；</w:t>
      </w:r>
    </w:p>
    <w:p w14:paraId="429F688B">
      <w:pPr>
        <w:pStyle w:val="39"/>
        <w:jc w:val="both"/>
        <w:rPr>
          <w:rFonts w:hint="eastAsia" w:cs="宋体"/>
          <w:szCs w:val="24"/>
          <w:lang w:val="en-US"/>
        </w:rPr>
      </w:pPr>
      <w:r>
        <w:rPr>
          <w:rFonts w:hint="eastAsia" w:cs="宋体"/>
          <w:szCs w:val="24"/>
          <w:lang w:val="en-US"/>
        </w:rPr>
        <w:t>21.5不同投标人的投标文件相互混装；</w:t>
      </w:r>
    </w:p>
    <w:p w14:paraId="787A8252">
      <w:pPr>
        <w:pStyle w:val="39"/>
        <w:jc w:val="both"/>
        <w:rPr>
          <w:rFonts w:hint="eastAsia" w:cs="宋体"/>
          <w:szCs w:val="24"/>
          <w:lang w:val="en-US"/>
        </w:rPr>
      </w:pPr>
      <w:r>
        <w:rPr>
          <w:rFonts w:hint="eastAsia" w:cs="宋体"/>
          <w:szCs w:val="24"/>
          <w:lang w:val="en-US"/>
        </w:rPr>
        <w:t>21.6不同投标人的投标保证金从同一单位或者个人的账户转出；</w:t>
      </w:r>
    </w:p>
    <w:p w14:paraId="0EE67E3A">
      <w:pPr>
        <w:pStyle w:val="39"/>
        <w:jc w:val="both"/>
        <w:rPr>
          <w:rFonts w:hint="eastAsia" w:cs="宋体"/>
          <w:szCs w:val="24"/>
          <w:lang w:val="en-US"/>
        </w:rPr>
      </w:pPr>
      <w:r>
        <w:rPr>
          <w:rFonts w:hint="eastAsia" w:cs="宋体"/>
          <w:szCs w:val="24"/>
          <w:lang w:val="en-US"/>
        </w:rPr>
        <w:t>21.7</w:t>
      </w:r>
      <w:r>
        <w:rPr>
          <w:rFonts w:hint="eastAsia" w:cs="宋体"/>
          <w:szCs w:val="24"/>
        </w:rPr>
        <w:t>不同投标人使用同一电脑（机器特征值一致：如MAC地址等）或使用同一电子密钥，编制或上传电子投标文件</w:t>
      </w:r>
      <w:r>
        <w:rPr>
          <w:rFonts w:hint="eastAsia" w:cs="宋体"/>
          <w:szCs w:val="24"/>
          <w:lang w:val="en-US"/>
        </w:rPr>
        <w:t>；</w:t>
      </w:r>
    </w:p>
    <w:p w14:paraId="3B85230E">
      <w:pPr>
        <w:pStyle w:val="39"/>
        <w:jc w:val="both"/>
        <w:rPr>
          <w:rFonts w:hint="eastAsia" w:cs="宋体"/>
          <w:szCs w:val="24"/>
          <w:lang w:val="en-US"/>
        </w:rPr>
      </w:pPr>
      <w:r>
        <w:rPr>
          <w:rFonts w:hint="eastAsia" w:cs="宋体"/>
          <w:szCs w:val="24"/>
          <w:lang w:val="en-US"/>
        </w:rPr>
        <w:t>21.8法律、法规、规章规定属于投标人串通投标的其他情形</w:t>
      </w:r>
      <w:r>
        <w:rPr>
          <w:rFonts w:hint="eastAsia" w:cs="宋体"/>
          <w:szCs w:val="24"/>
        </w:rPr>
        <w:t>。</w:t>
      </w:r>
    </w:p>
    <w:p w14:paraId="7D9E9B76">
      <w:pPr>
        <w:pStyle w:val="39"/>
        <w:jc w:val="both"/>
        <w:rPr>
          <w:rFonts w:hint="eastAsia" w:cs="宋体"/>
          <w:szCs w:val="24"/>
        </w:rPr>
      </w:pPr>
      <w:r>
        <w:rPr>
          <w:rFonts w:hint="eastAsia" w:cs="宋体"/>
          <w:szCs w:val="24"/>
          <w:lang w:val="en-US"/>
        </w:rPr>
        <w:t>22</w:t>
      </w:r>
      <w:r>
        <w:rPr>
          <w:rFonts w:hint="eastAsia" w:cs="宋体"/>
          <w:szCs w:val="24"/>
        </w:rPr>
        <w:t>.根据《中华人民共和国政府采购法》第三十六条之规定，在招标采购过程中，出现下列情形之一的，应予</w:t>
      </w:r>
      <w:r>
        <w:rPr>
          <w:rFonts w:hint="eastAsia" w:cs="宋体"/>
          <w:b/>
          <w:bCs/>
          <w:szCs w:val="24"/>
        </w:rPr>
        <w:t>废标</w:t>
      </w:r>
      <w:r>
        <w:rPr>
          <w:rFonts w:hint="eastAsia" w:cs="宋体"/>
          <w:szCs w:val="24"/>
        </w:rPr>
        <w:t>：</w:t>
      </w:r>
    </w:p>
    <w:p w14:paraId="48BEF3BB">
      <w:pPr>
        <w:pStyle w:val="39"/>
        <w:jc w:val="both"/>
        <w:rPr>
          <w:rFonts w:hint="eastAsia" w:cs="宋体"/>
          <w:szCs w:val="24"/>
        </w:rPr>
      </w:pPr>
      <w:r>
        <w:rPr>
          <w:rFonts w:hint="eastAsia" w:cs="宋体"/>
          <w:szCs w:val="24"/>
          <w:lang w:val="en-US"/>
        </w:rPr>
        <w:t>22</w:t>
      </w:r>
      <w:r>
        <w:rPr>
          <w:rFonts w:hint="eastAsia" w:cs="宋体"/>
          <w:szCs w:val="24"/>
        </w:rPr>
        <w:t>.1符合专业条件的供应商或者对招标文件作实质响应的供应商不足3家的；</w:t>
      </w:r>
    </w:p>
    <w:p w14:paraId="60991C22">
      <w:pPr>
        <w:pStyle w:val="39"/>
        <w:jc w:val="both"/>
        <w:rPr>
          <w:rFonts w:hint="eastAsia" w:cs="宋体"/>
          <w:szCs w:val="24"/>
        </w:rPr>
      </w:pPr>
      <w:r>
        <w:rPr>
          <w:rFonts w:hint="eastAsia" w:cs="宋体"/>
          <w:szCs w:val="24"/>
          <w:lang w:val="en-US"/>
        </w:rPr>
        <w:t>22</w:t>
      </w:r>
      <w:r>
        <w:rPr>
          <w:rFonts w:hint="eastAsia" w:cs="宋体"/>
          <w:szCs w:val="24"/>
        </w:rPr>
        <w:t>.2出现影响采购公正的违法、违规行为的；</w:t>
      </w:r>
    </w:p>
    <w:p w14:paraId="6CD91DF7">
      <w:pPr>
        <w:pStyle w:val="39"/>
        <w:jc w:val="both"/>
        <w:rPr>
          <w:rFonts w:hint="eastAsia" w:cs="宋体"/>
          <w:szCs w:val="24"/>
        </w:rPr>
      </w:pPr>
      <w:r>
        <w:rPr>
          <w:rFonts w:hint="eastAsia" w:cs="宋体"/>
          <w:szCs w:val="24"/>
          <w:lang w:val="en-US"/>
        </w:rPr>
        <w:t>22</w:t>
      </w:r>
      <w:r>
        <w:rPr>
          <w:rFonts w:hint="eastAsia" w:cs="宋体"/>
          <w:szCs w:val="24"/>
        </w:rPr>
        <w:t>.3投标人的报价均超过了采购预算，采购人不能支付的；</w:t>
      </w:r>
    </w:p>
    <w:p w14:paraId="605F6FDC">
      <w:pPr>
        <w:pStyle w:val="39"/>
        <w:jc w:val="both"/>
        <w:rPr>
          <w:rFonts w:hint="eastAsia" w:cs="宋体"/>
          <w:szCs w:val="24"/>
          <w:lang w:val="en-US"/>
        </w:rPr>
      </w:pPr>
      <w:r>
        <w:rPr>
          <w:rFonts w:hint="eastAsia" w:cs="宋体"/>
          <w:szCs w:val="24"/>
          <w:lang w:val="en-US"/>
        </w:rPr>
        <w:t>22</w:t>
      </w:r>
      <w:r>
        <w:rPr>
          <w:rFonts w:hint="eastAsia" w:cs="宋体"/>
          <w:szCs w:val="24"/>
        </w:rPr>
        <w:t>.4因重大变故，采购任务取消的</w:t>
      </w:r>
      <w:r>
        <w:rPr>
          <w:rFonts w:hint="eastAsia" w:cs="宋体"/>
          <w:szCs w:val="24"/>
          <w:lang w:val="en-US"/>
        </w:rPr>
        <w:t>；</w:t>
      </w:r>
    </w:p>
    <w:p w14:paraId="485330C0">
      <w:pPr>
        <w:pStyle w:val="39"/>
        <w:jc w:val="both"/>
        <w:rPr>
          <w:rFonts w:hint="eastAsia" w:cs="宋体"/>
          <w:szCs w:val="24"/>
        </w:rPr>
      </w:pPr>
      <w:r>
        <w:rPr>
          <w:rFonts w:hint="eastAsia" w:cs="宋体"/>
          <w:szCs w:val="24"/>
          <w:lang w:val="en-US"/>
        </w:rPr>
        <w:t xml:space="preserve">22.5 </w:t>
      </w:r>
      <w:r>
        <w:rPr>
          <w:rFonts w:hint="eastAsia" w:cs="宋体"/>
          <w:szCs w:val="24"/>
        </w:rPr>
        <w:t>法律、法规、规章规定属于</w:t>
      </w:r>
      <w:r>
        <w:rPr>
          <w:rFonts w:hint="eastAsia" w:cs="宋体"/>
          <w:szCs w:val="24"/>
          <w:lang w:val="en-US"/>
        </w:rPr>
        <w:t>废标</w:t>
      </w:r>
      <w:r>
        <w:rPr>
          <w:rFonts w:hint="eastAsia" w:cs="宋体"/>
          <w:szCs w:val="24"/>
        </w:rPr>
        <w:t>的其他情形。</w:t>
      </w:r>
    </w:p>
    <w:p w14:paraId="3A8209D2">
      <w:pPr>
        <w:pStyle w:val="39"/>
        <w:jc w:val="both"/>
        <w:rPr>
          <w:rFonts w:hint="eastAsia" w:cs="宋体"/>
          <w:szCs w:val="24"/>
        </w:rPr>
      </w:pPr>
      <w:r>
        <w:rPr>
          <w:rFonts w:hint="eastAsia" w:cs="宋体"/>
          <w:szCs w:val="24"/>
          <w:lang w:val="en-US"/>
        </w:rPr>
        <w:t>23.</w:t>
      </w:r>
      <w:r>
        <w:rPr>
          <w:rFonts w:hint="eastAsia" w:cs="宋体"/>
          <w:szCs w:val="24"/>
        </w:rPr>
        <w:t>废标后，采购人应当将废标理由通知所有投标人。</w:t>
      </w:r>
    </w:p>
    <w:p w14:paraId="29BF8F7D">
      <w:pPr>
        <w:pStyle w:val="5"/>
        <w:spacing w:before="160" w:after="160" w:line="360" w:lineRule="auto"/>
        <w:ind w:left="420" w:hanging="420"/>
        <w:jc w:val="both"/>
        <w:rPr>
          <w:rFonts w:hint="eastAsia" w:cs="宋体"/>
          <w:sz w:val="24"/>
          <w:szCs w:val="24"/>
          <w:lang w:val="zh-CN"/>
        </w:rPr>
      </w:pPr>
      <w:bookmarkStart w:id="350" w:name="_Toc102056218"/>
      <w:bookmarkStart w:id="351" w:name="_Toc102057718"/>
      <w:bookmarkStart w:id="352" w:name="_Toc155185914"/>
      <w:bookmarkStart w:id="353" w:name="_Toc163492907"/>
      <w:bookmarkStart w:id="354" w:name="_Toc102116152"/>
      <w:bookmarkStart w:id="355" w:name="_Toc102116022"/>
      <w:bookmarkStart w:id="356" w:name="_Toc102119853"/>
      <w:bookmarkStart w:id="357" w:name="_Toc102114920"/>
      <w:r>
        <w:rPr>
          <w:rFonts w:hint="eastAsia" w:cs="宋体"/>
          <w:sz w:val="24"/>
          <w:szCs w:val="24"/>
          <w:lang w:val="zh-CN"/>
        </w:rPr>
        <w:t>（</w:t>
      </w:r>
      <w:r>
        <w:rPr>
          <w:rFonts w:hint="eastAsia" w:cs="宋体"/>
          <w:sz w:val="24"/>
          <w:szCs w:val="24"/>
        </w:rPr>
        <w:t>九</w:t>
      </w:r>
      <w:r>
        <w:rPr>
          <w:rFonts w:hint="eastAsia" w:cs="宋体"/>
          <w:sz w:val="24"/>
          <w:szCs w:val="24"/>
          <w:lang w:val="zh-CN"/>
        </w:rPr>
        <w:t>）停止评标的情形</w:t>
      </w:r>
      <w:bookmarkEnd w:id="350"/>
      <w:bookmarkEnd w:id="351"/>
      <w:bookmarkEnd w:id="352"/>
      <w:bookmarkEnd w:id="353"/>
      <w:bookmarkEnd w:id="354"/>
      <w:bookmarkEnd w:id="355"/>
      <w:bookmarkEnd w:id="356"/>
      <w:bookmarkEnd w:id="357"/>
    </w:p>
    <w:p w14:paraId="34F06BDA">
      <w:pPr>
        <w:pStyle w:val="39"/>
        <w:jc w:val="both"/>
        <w:rPr>
          <w:rFonts w:hint="eastAsia" w:cs="宋体"/>
          <w:szCs w:val="24"/>
        </w:rPr>
      </w:pPr>
      <w:r>
        <w:rPr>
          <w:rFonts w:hint="eastAsia" w:cs="宋体"/>
          <w:szCs w:val="24"/>
          <w:lang w:val="en-US"/>
        </w:rPr>
        <w:t>24</w:t>
      </w:r>
      <w:r>
        <w:rPr>
          <w:rFonts w:hint="eastAsia" w:cs="宋体"/>
          <w:szCs w:val="24"/>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066661F1">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十</w:t>
      </w:r>
      <w:r>
        <w:rPr>
          <w:rFonts w:hint="eastAsia" w:cs="宋体"/>
          <w:sz w:val="24"/>
          <w:szCs w:val="24"/>
          <w:lang w:val="zh-CN"/>
        </w:rPr>
        <w:t>）重新开展采购</w:t>
      </w:r>
    </w:p>
    <w:p w14:paraId="20C80291">
      <w:pPr>
        <w:pStyle w:val="39"/>
        <w:jc w:val="both"/>
        <w:rPr>
          <w:rFonts w:hint="eastAsia" w:cs="宋体"/>
          <w:szCs w:val="24"/>
        </w:rPr>
      </w:pPr>
      <w:r>
        <w:rPr>
          <w:rFonts w:hint="eastAsia" w:cs="宋体"/>
          <w:szCs w:val="24"/>
          <w:lang w:val="en-US"/>
        </w:rPr>
        <w:t>25.</w:t>
      </w:r>
      <w:r>
        <w:rPr>
          <w:rFonts w:hint="eastAsia" w:cs="宋体"/>
          <w:szCs w:val="24"/>
        </w:rPr>
        <w:t>有《中华人民共和国政府采购法》第七十一条、第七十二条规定的违法行为之一，影响或者可能影响中标结果的，依照下列规定处理：</w:t>
      </w:r>
    </w:p>
    <w:p w14:paraId="34172801">
      <w:pPr>
        <w:pStyle w:val="39"/>
        <w:jc w:val="both"/>
        <w:rPr>
          <w:rFonts w:hint="eastAsia" w:cs="宋体"/>
          <w:spacing w:val="-6"/>
          <w:szCs w:val="24"/>
        </w:rPr>
      </w:pPr>
      <w:r>
        <w:rPr>
          <w:rFonts w:hint="eastAsia" w:cs="宋体"/>
          <w:szCs w:val="24"/>
          <w:lang w:val="en-US"/>
        </w:rPr>
        <w:t>25</w:t>
      </w:r>
      <w:r>
        <w:rPr>
          <w:rFonts w:hint="eastAsia" w:cs="宋体"/>
          <w:szCs w:val="24"/>
        </w:rPr>
        <w:t>.1</w:t>
      </w:r>
      <w:r>
        <w:rPr>
          <w:rFonts w:hint="eastAsia" w:cs="宋体"/>
          <w:spacing w:val="-6"/>
          <w:szCs w:val="24"/>
        </w:rPr>
        <w:t>未确定中标供应商的，终止本次政府采购活动，重新开展政府采购活动。</w:t>
      </w:r>
    </w:p>
    <w:p w14:paraId="77667218">
      <w:pPr>
        <w:pStyle w:val="39"/>
        <w:jc w:val="both"/>
        <w:rPr>
          <w:rFonts w:hint="eastAsia" w:cs="宋体"/>
          <w:szCs w:val="24"/>
        </w:rPr>
      </w:pPr>
      <w:r>
        <w:rPr>
          <w:rFonts w:hint="eastAsia" w:cs="宋体"/>
          <w:szCs w:val="24"/>
          <w:lang w:val="en-US"/>
        </w:rPr>
        <w:t>25</w:t>
      </w:r>
      <w:r>
        <w:rPr>
          <w:rFonts w:hint="eastAsia" w:cs="宋体"/>
          <w:szCs w:val="24"/>
        </w:rPr>
        <w:t>.2已确定中标供应商但尚未签订政府采购合同的，中标结果无效，从合格的中标候选人中另行确定中标供应商；没有合格的中标候选人的，重新开展政府采购活动。</w:t>
      </w:r>
    </w:p>
    <w:p w14:paraId="30340AB7">
      <w:pPr>
        <w:pStyle w:val="39"/>
        <w:jc w:val="both"/>
        <w:rPr>
          <w:rFonts w:hint="eastAsia" w:cs="宋体"/>
          <w:szCs w:val="24"/>
        </w:rPr>
      </w:pPr>
      <w:r>
        <w:rPr>
          <w:rFonts w:hint="eastAsia" w:cs="宋体"/>
          <w:szCs w:val="24"/>
          <w:lang w:val="en-US"/>
        </w:rPr>
        <w:t>25</w:t>
      </w:r>
      <w:r>
        <w:rPr>
          <w:rFonts w:hint="eastAsia" w:cs="宋体"/>
          <w:szCs w:val="24"/>
        </w:rPr>
        <w:t>.3政府采购合同已签订但尚未履行的，撤销合同，从合格的中标候选人中另行确定中标供应商；没有合格的中标候选人的，重新开展政府采购活动。</w:t>
      </w:r>
    </w:p>
    <w:p w14:paraId="578BDC08">
      <w:pPr>
        <w:pStyle w:val="39"/>
        <w:jc w:val="both"/>
        <w:rPr>
          <w:rFonts w:hint="eastAsia" w:cs="宋体"/>
          <w:szCs w:val="24"/>
        </w:rPr>
      </w:pPr>
      <w:r>
        <w:rPr>
          <w:rFonts w:hint="eastAsia" w:cs="宋体"/>
          <w:szCs w:val="24"/>
          <w:lang w:val="en-US"/>
        </w:rPr>
        <w:t>25</w:t>
      </w:r>
      <w:r>
        <w:rPr>
          <w:rFonts w:hint="eastAsia" w:cs="宋体"/>
          <w:szCs w:val="24"/>
        </w:rPr>
        <w:t>.4政府采购合同已经履行，给采购人、供应商造成损失的，由责任人承担赔偿责任。</w:t>
      </w:r>
    </w:p>
    <w:p w14:paraId="2B84F8AC">
      <w:pPr>
        <w:pStyle w:val="39"/>
        <w:jc w:val="both"/>
        <w:rPr>
          <w:rFonts w:hint="eastAsia" w:cs="宋体"/>
          <w:szCs w:val="24"/>
        </w:rPr>
      </w:pPr>
      <w:r>
        <w:rPr>
          <w:rFonts w:hint="eastAsia" w:cs="宋体"/>
          <w:szCs w:val="24"/>
          <w:lang w:val="en-US"/>
        </w:rPr>
        <w:t>25</w:t>
      </w:r>
      <w:r>
        <w:rPr>
          <w:rFonts w:hint="eastAsia" w:cs="宋体"/>
          <w:szCs w:val="24"/>
        </w:rPr>
        <w:t>.5政府采购当事人有其他违反《中华人民共和国政府采购法》或者《中华人民共和国政府采购法实施条例》等法律法规规定的行为，经改正后仍然影响或者可能影响中标结果或者依法被认定为中标无效的，依照</w:t>
      </w:r>
      <w:r>
        <w:rPr>
          <w:rFonts w:hint="eastAsia" w:cs="宋体"/>
          <w:szCs w:val="24"/>
          <w:lang w:val="en-US"/>
        </w:rPr>
        <w:t>25</w:t>
      </w:r>
      <w:r>
        <w:rPr>
          <w:rFonts w:hint="eastAsia" w:cs="宋体"/>
          <w:szCs w:val="24"/>
        </w:rPr>
        <w:t>.1—</w:t>
      </w:r>
      <w:r>
        <w:rPr>
          <w:rFonts w:hint="eastAsia" w:cs="宋体"/>
          <w:szCs w:val="24"/>
          <w:lang w:val="en-US"/>
        </w:rPr>
        <w:t>25</w:t>
      </w:r>
      <w:r>
        <w:rPr>
          <w:rFonts w:hint="eastAsia" w:cs="宋体"/>
          <w:szCs w:val="24"/>
        </w:rPr>
        <w:t>.4规定处理。</w:t>
      </w:r>
    </w:p>
    <w:bookmarkEnd w:id="323"/>
    <w:bookmarkEnd w:id="324"/>
    <w:bookmarkEnd w:id="325"/>
    <w:bookmarkEnd w:id="326"/>
    <w:bookmarkEnd w:id="327"/>
    <w:bookmarkEnd w:id="328"/>
    <w:bookmarkEnd w:id="329"/>
    <w:bookmarkEnd w:id="330"/>
    <w:bookmarkEnd w:id="331"/>
    <w:bookmarkEnd w:id="332"/>
    <w:p w14:paraId="2744A931">
      <w:pPr>
        <w:pStyle w:val="4"/>
        <w:spacing w:before="160" w:after="160" w:line="360" w:lineRule="auto"/>
        <w:ind w:left="420" w:hanging="420"/>
        <w:jc w:val="both"/>
        <w:rPr>
          <w:rFonts w:hint="eastAsia" w:ascii="宋体" w:hAnsi="宋体" w:cs="宋体"/>
          <w:sz w:val="28"/>
          <w:szCs w:val="28"/>
        </w:rPr>
      </w:pPr>
      <w:bookmarkStart w:id="358" w:name="_Toc6935"/>
      <w:r>
        <w:rPr>
          <w:rFonts w:hint="eastAsia" w:ascii="宋体" w:hAnsi="宋体" w:cs="宋体"/>
          <w:sz w:val="28"/>
          <w:szCs w:val="28"/>
          <w:lang w:val="zh-CN"/>
        </w:rPr>
        <w:t>三、评标</w:t>
      </w:r>
      <w:r>
        <w:rPr>
          <w:rFonts w:hint="eastAsia" w:ascii="宋体" w:hAnsi="宋体" w:cs="宋体"/>
          <w:sz w:val="28"/>
          <w:szCs w:val="28"/>
        </w:rPr>
        <w:t>其他要求</w:t>
      </w:r>
      <w:bookmarkEnd w:id="358"/>
    </w:p>
    <w:p w14:paraId="101B73F4">
      <w:pPr>
        <w:pStyle w:val="39"/>
        <w:jc w:val="both"/>
        <w:rPr>
          <w:rFonts w:hint="eastAsia"/>
        </w:rPr>
      </w:pPr>
      <w:r>
        <w:rPr>
          <w:rFonts w:hint="eastAsia"/>
        </w:rPr>
        <w:t>【</w:t>
      </w:r>
      <w:r>
        <w:rPr>
          <w:rFonts w:hint="eastAsia"/>
          <w:lang w:val="en-US" w:eastAsia="zh-CN"/>
        </w:rPr>
        <w:t>无</w:t>
      </w:r>
      <w:r>
        <w:rPr>
          <w:rFonts w:hint="eastAsia"/>
        </w:rPr>
        <w:t>】</w:t>
      </w:r>
    </w:p>
    <w:p w14:paraId="083BFF22">
      <w:pPr>
        <w:pStyle w:val="4"/>
        <w:keepNext w:val="0"/>
        <w:keepLines w:val="0"/>
        <w:spacing w:before="160" w:after="160" w:line="360" w:lineRule="auto"/>
        <w:ind w:left="420" w:hanging="420"/>
        <w:rPr>
          <w:rFonts w:hint="eastAsia" w:ascii="宋体" w:hAnsi="宋体" w:cs="宋体"/>
          <w:sz w:val="28"/>
          <w:szCs w:val="28"/>
          <w:lang w:val="zh-CN"/>
        </w:rPr>
      </w:pPr>
      <w:bookmarkStart w:id="359" w:name="_Toc163492908"/>
      <w:bookmarkStart w:id="360" w:name="_Toc21725"/>
      <w:bookmarkStart w:id="361" w:name="_Toc155185915"/>
      <w:r>
        <w:rPr>
          <w:rFonts w:hint="eastAsia" w:ascii="宋体" w:hAnsi="宋体" w:cs="宋体"/>
          <w:sz w:val="28"/>
          <w:szCs w:val="28"/>
        </w:rPr>
        <w:t>四</w:t>
      </w:r>
      <w:r>
        <w:rPr>
          <w:rFonts w:hint="eastAsia" w:ascii="宋体" w:hAnsi="宋体" w:cs="宋体"/>
          <w:sz w:val="28"/>
          <w:szCs w:val="28"/>
          <w:lang w:val="zh-CN"/>
        </w:rPr>
        <w:t>、评标标准</w:t>
      </w:r>
      <w:bookmarkEnd w:id="359"/>
      <w:bookmarkEnd w:id="360"/>
      <w:bookmarkEnd w:id="361"/>
    </w:p>
    <w:p w14:paraId="5ECB7A59">
      <w:pPr>
        <w:pStyle w:val="5"/>
        <w:keepNext w:val="0"/>
        <w:keepLines w:val="0"/>
        <w:spacing w:before="160" w:after="160" w:line="360" w:lineRule="auto"/>
        <w:ind w:left="420" w:hanging="420"/>
        <w:rPr>
          <w:rFonts w:hint="eastAsia" w:cs="宋体"/>
          <w:sz w:val="24"/>
          <w:szCs w:val="24"/>
          <w:lang w:val="zh-CN"/>
        </w:rPr>
      </w:pPr>
      <w:bookmarkStart w:id="362" w:name="_Toc163492909"/>
    </w:p>
    <w:p w14:paraId="01859468">
      <w:pPr>
        <w:pStyle w:val="5"/>
        <w:keepNext w:val="0"/>
        <w:keepLines w:val="0"/>
        <w:spacing w:before="160" w:after="160" w:line="360" w:lineRule="auto"/>
        <w:ind w:left="420" w:hanging="420"/>
        <w:rPr>
          <w:rFonts w:hint="eastAsia" w:cs="宋体"/>
          <w:sz w:val="24"/>
          <w:szCs w:val="24"/>
          <w:lang w:val="zh-CN"/>
        </w:rPr>
      </w:pPr>
    </w:p>
    <w:p w14:paraId="18F024AF">
      <w:pPr>
        <w:pStyle w:val="5"/>
        <w:keepNext w:val="0"/>
        <w:keepLines w:val="0"/>
        <w:spacing w:before="160" w:after="160" w:line="360" w:lineRule="auto"/>
        <w:ind w:left="420" w:hanging="420"/>
        <w:rPr>
          <w:rFonts w:hint="eastAsia" w:cs="宋体"/>
          <w:sz w:val="24"/>
          <w:szCs w:val="24"/>
          <w:lang w:val="zh-CN"/>
        </w:rPr>
      </w:pPr>
    </w:p>
    <w:p w14:paraId="00B76444">
      <w:pPr>
        <w:pStyle w:val="5"/>
        <w:keepNext w:val="0"/>
        <w:keepLines w:val="0"/>
        <w:spacing w:before="160" w:after="160" w:line="360" w:lineRule="auto"/>
        <w:ind w:left="420" w:hanging="420"/>
        <w:rPr>
          <w:rFonts w:hint="eastAsia" w:cs="宋体"/>
          <w:sz w:val="24"/>
          <w:szCs w:val="24"/>
          <w:lang w:val="zh-CN"/>
        </w:rPr>
      </w:pPr>
      <w:r>
        <w:rPr>
          <w:rFonts w:hint="eastAsia" w:cs="宋体"/>
          <w:sz w:val="24"/>
          <w:szCs w:val="24"/>
          <w:lang w:val="zh-CN"/>
        </w:rPr>
        <w:t>（一）符合性审查表</w:t>
      </w:r>
      <w:bookmarkEnd w:id="362"/>
    </w:p>
    <w:tbl>
      <w:tblPr>
        <w:tblStyle w:val="30"/>
        <w:tblW w:w="5512"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7"/>
        <w:gridCol w:w="1577"/>
        <w:gridCol w:w="5739"/>
        <w:gridCol w:w="675"/>
        <w:gridCol w:w="917"/>
      </w:tblGrid>
      <w:tr w14:paraId="23905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59" w:type="pct"/>
            <w:vMerge w:val="restart"/>
            <w:shd w:val="clear" w:color="auto" w:fill="D8D8D8" w:themeFill="background1" w:themeFillShade="D9"/>
            <w:vAlign w:val="center"/>
          </w:tcPr>
          <w:p w14:paraId="168E3EED">
            <w:pPr>
              <w:pStyle w:val="51"/>
              <w:jc w:val="center"/>
              <w:rPr>
                <w:rFonts w:hint="eastAsia" w:cs="宋体"/>
                <w:b/>
                <w:bCs/>
                <w:sz w:val="21"/>
                <w:szCs w:val="21"/>
                <w:lang w:val="zh-CN"/>
              </w:rPr>
            </w:pPr>
            <w:r>
              <w:rPr>
                <w:rFonts w:hint="eastAsia" w:cs="宋体"/>
                <w:b/>
                <w:bCs/>
                <w:sz w:val="21"/>
                <w:szCs w:val="21"/>
                <w:lang w:val="zh-CN"/>
              </w:rPr>
              <w:t>序号</w:t>
            </w:r>
          </w:p>
        </w:tc>
        <w:tc>
          <w:tcPr>
            <w:tcW w:w="839" w:type="pct"/>
            <w:vMerge w:val="restart"/>
            <w:shd w:val="clear" w:color="auto" w:fill="D8D8D8" w:themeFill="background1" w:themeFillShade="D9"/>
            <w:vAlign w:val="center"/>
          </w:tcPr>
          <w:p w14:paraId="6A10C2BE">
            <w:pPr>
              <w:pStyle w:val="51"/>
              <w:jc w:val="center"/>
              <w:rPr>
                <w:rFonts w:hint="eastAsia" w:cs="宋体"/>
                <w:b/>
                <w:bCs/>
                <w:sz w:val="21"/>
                <w:szCs w:val="21"/>
                <w:lang w:val="zh-CN"/>
              </w:rPr>
            </w:pPr>
            <w:r>
              <w:rPr>
                <w:rFonts w:hint="eastAsia" w:cs="宋体"/>
                <w:b/>
                <w:bCs/>
                <w:sz w:val="21"/>
                <w:szCs w:val="21"/>
                <w:lang w:val="zh-CN"/>
              </w:rPr>
              <w:t>审查项名称</w:t>
            </w:r>
          </w:p>
        </w:tc>
        <w:tc>
          <w:tcPr>
            <w:tcW w:w="3053" w:type="pct"/>
            <w:vMerge w:val="restart"/>
            <w:shd w:val="clear" w:color="auto" w:fill="D8D8D8" w:themeFill="background1" w:themeFillShade="D9"/>
            <w:vAlign w:val="center"/>
          </w:tcPr>
          <w:p w14:paraId="200BE4A8">
            <w:pPr>
              <w:pStyle w:val="51"/>
              <w:jc w:val="center"/>
              <w:rPr>
                <w:rFonts w:hint="eastAsia" w:cs="宋体"/>
                <w:b/>
                <w:bCs/>
                <w:sz w:val="21"/>
                <w:szCs w:val="21"/>
                <w:lang w:val="zh-CN"/>
              </w:rPr>
            </w:pPr>
            <w:r>
              <w:rPr>
                <w:rFonts w:hint="eastAsia" w:cs="宋体"/>
                <w:b/>
                <w:bCs/>
                <w:sz w:val="21"/>
                <w:szCs w:val="21"/>
                <w:lang w:val="zh-CN"/>
              </w:rPr>
              <w:t>审查内容</w:t>
            </w:r>
          </w:p>
        </w:tc>
        <w:tc>
          <w:tcPr>
            <w:tcW w:w="847" w:type="pct"/>
            <w:gridSpan w:val="2"/>
            <w:shd w:val="clear" w:color="auto" w:fill="D8D8D8" w:themeFill="background1" w:themeFillShade="D9"/>
            <w:vAlign w:val="center"/>
          </w:tcPr>
          <w:p w14:paraId="034FB2F0">
            <w:pPr>
              <w:pStyle w:val="51"/>
              <w:jc w:val="center"/>
              <w:rPr>
                <w:rFonts w:hint="eastAsia" w:cs="宋体"/>
                <w:b/>
                <w:bCs/>
                <w:sz w:val="21"/>
                <w:szCs w:val="21"/>
              </w:rPr>
            </w:pPr>
            <w:r>
              <w:rPr>
                <w:rFonts w:hint="eastAsia" w:cs="宋体"/>
                <w:b/>
                <w:bCs/>
                <w:sz w:val="21"/>
                <w:szCs w:val="21"/>
              </w:rPr>
              <w:t>审查结果</w:t>
            </w:r>
          </w:p>
        </w:tc>
      </w:tr>
      <w:tr w14:paraId="1C5FD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59" w:type="pct"/>
            <w:vMerge w:val="continue"/>
            <w:shd w:val="clear" w:color="auto" w:fill="D8D8D8" w:themeFill="background1" w:themeFillShade="D9"/>
            <w:vAlign w:val="center"/>
          </w:tcPr>
          <w:p w14:paraId="72E4913D">
            <w:pPr>
              <w:pStyle w:val="51"/>
              <w:jc w:val="center"/>
              <w:rPr>
                <w:rFonts w:hint="eastAsia" w:cs="宋体"/>
                <w:b/>
                <w:bCs/>
                <w:sz w:val="21"/>
                <w:szCs w:val="21"/>
                <w:lang w:val="zh-CN"/>
              </w:rPr>
            </w:pPr>
          </w:p>
        </w:tc>
        <w:tc>
          <w:tcPr>
            <w:tcW w:w="839" w:type="pct"/>
            <w:vMerge w:val="continue"/>
            <w:shd w:val="clear" w:color="auto" w:fill="D8D8D8" w:themeFill="background1" w:themeFillShade="D9"/>
            <w:vAlign w:val="center"/>
          </w:tcPr>
          <w:p w14:paraId="45A4D4E2">
            <w:pPr>
              <w:pStyle w:val="51"/>
              <w:jc w:val="center"/>
              <w:rPr>
                <w:rFonts w:hint="eastAsia" w:cs="宋体"/>
                <w:b/>
                <w:bCs/>
                <w:sz w:val="21"/>
                <w:szCs w:val="21"/>
                <w:lang w:val="zh-CN"/>
              </w:rPr>
            </w:pPr>
          </w:p>
        </w:tc>
        <w:tc>
          <w:tcPr>
            <w:tcW w:w="3053" w:type="pct"/>
            <w:vMerge w:val="continue"/>
            <w:shd w:val="clear" w:color="auto" w:fill="D8D8D8" w:themeFill="background1" w:themeFillShade="D9"/>
            <w:vAlign w:val="center"/>
          </w:tcPr>
          <w:p w14:paraId="5F87C887">
            <w:pPr>
              <w:pStyle w:val="51"/>
              <w:jc w:val="center"/>
              <w:rPr>
                <w:rFonts w:hint="eastAsia" w:cs="宋体"/>
                <w:b/>
                <w:bCs/>
                <w:sz w:val="21"/>
                <w:szCs w:val="21"/>
                <w:lang w:val="zh-CN"/>
              </w:rPr>
            </w:pPr>
          </w:p>
        </w:tc>
        <w:tc>
          <w:tcPr>
            <w:tcW w:w="359" w:type="pct"/>
            <w:shd w:val="clear" w:color="auto" w:fill="D8D8D8" w:themeFill="background1" w:themeFillShade="D9"/>
            <w:vAlign w:val="center"/>
          </w:tcPr>
          <w:p w14:paraId="7724C87E">
            <w:pPr>
              <w:pStyle w:val="51"/>
              <w:jc w:val="center"/>
              <w:rPr>
                <w:rFonts w:hint="eastAsia" w:cs="宋体"/>
                <w:b/>
                <w:bCs/>
                <w:sz w:val="21"/>
                <w:szCs w:val="21"/>
              </w:rPr>
            </w:pPr>
            <w:r>
              <w:rPr>
                <w:rFonts w:hint="eastAsia" w:cs="宋体"/>
                <w:b/>
                <w:bCs/>
                <w:sz w:val="21"/>
                <w:szCs w:val="21"/>
              </w:rPr>
              <w:t>符合</w:t>
            </w:r>
          </w:p>
        </w:tc>
        <w:tc>
          <w:tcPr>
            <w:tcW w:w="487" w:type="pct"/>
            <w:shd w:val="clear" w:color="auto" w:fill="D8D8D8" w:themeFill="background1" w:themeFillShade="D9"/>
            <w:vAlign w:val="center"/>
          </w:tcPr>
          <w:p w14:paraId="592C87BA">
            <w:pPr>
              <w:pStyle w:val="51"/>
              <w:jc w:val="center"/>
              <w:rPr>
                <w:rFonts w:hint="eastAsia" w:cs="宋体"/>
                <w:b/>
                <w:bCs/>
                <w:sz w:val="21"/>
                <w:szCs w:val="21"/>
              </w:rPr>
            </w:pPr>
            <w:r>
              <w:rPr>
                <w:rFonts w:hint="eastAsia" w:cs="宋体"/>
                <w:b/>
                <w:bCs/>
                <w:sz w:val="21"/>
                <w:szCs w:val="21"/>
              </w:rPr>
              <w:t>不符合</w:t>
            </w:r>
          </w:p>
        </w:tc>
      </w:tr>
      <w:tr w14:paraId="1F6A2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259" w:type="pct"/>
            <w:vAlign w:val="center"/>
          </w:tcPr>
          <w:p w14:paraId="22F2EB51">
            <w:pPr>
              <w:pStyle w:val="51"/>
              <w:ind w:left="420" w:hanging="420"/>
              <w:jc w:val="center"/>
              <w:rPr>
                <w:rFonts w:hint="eastAsia" w:cs="宋体"/>
                <w:sz w:val="21"/>
                <w:szCs w:val="21"/>
                <w:lang w:val="zh-CN"/>
              </w:rPr>
            </w:pPr>
            <w:r>
              <w:rPr>
                <w:rFonts w:hint="eastAsia" w:cs="宋体"/>
                <w:sz w:val="21"/>
                <w:szCs w:val="21"/>
                <w:lang w:val="zh-CN"/>
              </w:rPr>
              <w:t>1</w:t>
            </w:r>
          </w:p>
        </w:tc>
        <w:tc>
          <w:tcPr>
            <w:tcW w:w="839" w:type="pct"/>
            <w:vAlign w:val="center"/>
          </w:tcPr>
          <w:p w14:paraId="5C3A414A">
            <w:pPr>
              <w:pStyle w:val="51"/>
              <w:rPr>
                <w:rFonts w:hint="eastAsia" w:cs="宋体"/>
                <w:sz w:val="21"/>
                <w:szCs w:val="21"/>
                <w:lang w:val="zh-CN"/>
              </w:rPr>
            </w:pPr>
            <w:r>
              <w:rPr>
                <w:rFonts w:hint="eastAsia" w:cs="宋体"/>
                <w:sz w:val="21"/>
                <w:szCs w:val="21"/>
                <w:lang w:val="zh-CN"/>
              </w:rPr>
              <w:t>投标文件</w:t>
            </w:r>
            <w:r>
              <w:rPr>
                <w:rFonts w:hint="eastAsia" w:cs="宋体"/>
                <w:sz w:val="21"/>
                <w:szCs w:val="21"/>
              </w:rPr>
              <w:t>签署</w:t>
            </w:r>
          </w:p>
        </w:tc>
        <w:tc>
          <w:tcPr>
            <w:tcW w:w="3053" w:type="pct"/>
            <w:vAlign w:val="center"/>
          </w:tcPr>
          <w:p w14:paraId="41E79CEF">
            <w:pPr>
              <w:pStyle w:val="51"/>
              <w:rPr>
                <w:rFonts w:hint="eastAsia" w:cs="宋体"/>
                <w:sz w:val="21"/>
                <w:szCs w:val="21"/>
                <w:lang w:val="zh-CN"/>
              </w:rPr>
            </w:pPr>
            <w:r>
              <w:rPr>
                <w:rFonts w:hint="eastAsia" w:cs="宋体"/>
                <w:sz w:val="21"/>
                <w:szCs w:val="21"/>
              </w:rPr>
              <w:t>投标文件按招标文件要求签署、盖章的</w:t>
            </w:r>
          </w:p>
        </w:tc>
        <w:tc>
          <w:tcPr>
            <w:tcW w:w="359" w:type="pct"/>
            <w:vAlign w:val="center"/>
          </w:tcPr>
          <w:p w14:paraId="6D7C49A0">
            <w:pPr>
              <w:pStyle w:val="51"/>
              <w:rPr>
                <w:rFonts w:hint="eastAsia" w:cs="宋体"/>
                <w:sz w:val="21"/>
                <w:szCs w:val="21"/>
                <w:lang w:val="zh-CN"/>
              </w:rPr>
            </w:pPr>
          </w:p>
        </w:tc>
        <w:tc>
          <w:tcPr>
            <w:tcW w:w="487" w:type="pct"/>
            <w:vAlign w:val="center"/>
          </w:tcPr>
          <w:p w14:paraId="54215FEE">
            <w:pPr>
              <w:pStyle w:val="51"/>
              <w:rPr>
                <w:rFonts w:hint="eastAsia" w:cs="宋体"/>
                <w:sz w:val="21"/>
                <w:szCs w:val="21"/>
                <w:lang w:val="zh-CN"/>
              </w:rPr>
            </w:pPr>
          </w:p>
        </w:tc>
      </w:tr>
      <w:tr w14:paraId="5A528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259" w:type="pct"/>
            <w:vAlign w:val="center"/>
          </w:tcPr>
          <w:p w14:paraId="458F39A4">
            <w:pPr>
              <w:pStyle w:val="51"/>
              <w:ind w:left="420" w:hanging="420"/>
              <w:jc w:val="center"/>
              <w:rPr>
                <w:rFonts w:hint="eastAsia" w:cs="宋体"/>
                <w:sz w:val="21"/>
                <w:szCs w:val="21"/>
                <w:lang w:val="zh-CN"/>
              </w:rPr>
            </w:pPr>
            <w:r>
              <w:rPr>
                <w:rFonts w:hint="eastAsia" w:cs="宋体"/>
                <w:sz w:val="21"/>
                <w:szCs w:val="21"/>
                <w:lang w:val="zh-CN"/>
              </w:rPr>
              <w:t>2</w:t>
            </w:r>
          </w:p>
        </w:tc>
        <w:tc>
          <w:tcPr>
            <w:tcW w:w="839" w:type="pct"/>
            <w:vAlign w:val="center"/>
          </w:tcPr>
          <w:p w14:paraId="22A31349">
            <w:pPr>
              <w:pStyle w:val="51"/>
              <w:rPr>
                <w:rFonts w:hint="eastAsia" w:cs="宋体"/>
                <w:sz w:val="21"/>
                <w:szCs w:val="21"/>
                <w:lang w:val="zh-CN"/>
              </w:rPr>
            </w:pPr>
            <w:r>
              <w:rPr>
                <w:rFonts w:hint="eastAsia" w:cs="宋体"/>
                <w:sz w:val="21"/>
                <w:szCs w:val="21"/>
                <w:lang w:val="zh-CN"/>
              </w:rPr>
              <w:t>实质性要求</w:t>
            </w:r>
          </w:p>
        </w:tc>
        <w:tc>
          <w:tcPr>
            <w:tcW w:w="3053" w:type="pct"/>
            <w:vAlign w:val="center"/>
          </w:tcPr>
          <w:p w14:paraId="65278EAA">
            <w:pPr>
              <w:pStyle w:val="51"/>
              <w:rPr>
                <w:rFonts w:hint="eastAsia" w:eastAsia="宋体" w:cs="宋体"/>
                <w:sz w:val="21"/>
                <w:szCs w:val="21"/>
                <w:lang w:val="zh-CN" w:eastAsia="zh-CN"/>
              </w:rPr>
            </w:pPr>
            <w:r>
              <w:rPr>
                <w:rFonts w:hint="eastAsia" w:cs="宋体"/>
                <w:sz w:val="21"/>
                <w:szCs w:val="21"/>
              </w:rPr>
              <w:t>投标</w:t>
            </w:r>
            <w:r>
              <w:rPr>
                <w:rFonts w:hint="eastAsia" w:cs="宋体"/>
                <w:sz w:val="21"/>
                <w:szCs w:val="21"/>
                <w:lang w:val="zh-CN"/>
              </w:rPr>
              <w:t>文件满足</w:t>
            </w:r>
            <w:r>
              <w:rPr>
                <w:rFonts w:hint="eastAsia" w:cs="宋体"/>
                <w:sz w:val="21"/>
                <w:szCs w:val="21"/>
              </w:rPr>
              <w:t>招标</w:t>
            </w:r>
            <w:r>
              <w:rPr>
                <w:rFonts w:hint="eastAsia" w:cs="宋体"/>
                <w:sz w:val="21"/>
                <w:szCs w:val="21"/>
                <w:lang w:val="zh-CN"/>
              </w:rPr>
              <w:t>文件中标注“★”号的实质性条款（或指标）要求的</w:t>
            </w:r>
            <w:r>
              <w:rPr>
                <w:rFonts w:hint="eastAsia" w:cs="宋体"/>
                <w:sz w:val="21"/>
                <w:szCs w:val="21"/>
                <w:lang w:eastAsia="zh-CN"/>
              </w:rPr>
              <w:t>。</w:t>
            </w:r>
          </w:p>
        </w:tc>
        <w:tc>
          <w:tcPr>
            <w:tcW w:w="359" w:type="pct"/>
            <w:vAlign w:val="center"/>
          </w:tcPr>
          <w:p w14:paraId="399903F9">
            <w:pPr>
              <w:pStyle w:val="51"/>
              <w:rPr>
                <w:rFonts w:hint="eastAsia" w:cs="宋体"/>
                <w:sz w:val="21"/>
                <w:szCs w:val="21"/>
                <w:lang w:val="zh-CN"/>
              </w:rPr>
            </w:pPr>
          </w:p>
        </w:tc>
        <w:tc>
          <w:tcPr>
            <w:tcW w:w="487" w:type="pct"/>
            <w:vAlign w:val="center"/>
          </w:tcPr>
          <w:p w14:paraId="3E3A36BB">
            <w:pPr>
              <w:pStyle w:val="51"/>
              <w:rPr>
                <w:rFonts w:hint="eastAsia" w:cs="宋体"/>
                <w:sz w:val="21"/>
                <w:szCs w:val="21"/>
                <w:lang w:val="zh-CN"/>
              </w:rPr>
            </w:pPr>
          </w:p>
        </w:tc>
      </w:tr>
      <w:tr w14:paraId="693BB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259" w:type="pct"/>
            <w:vAlign w:val="center"/>
          </w:tcPr>
          <w:p w14:paraId="2AB29AF7">
            <w:pPr>
              <w:pStyle w:val="51"/>
              <w:ind w:left="420" w:hanging="420"/>
              <w:jc w:val="center"/>
              <w:rPr>
                <w:rFonts w:hint="eastAsia" w:cs="宋体"/>
                <w:sz w:val="21"/>
                <w:szCs w:val="21"/>
                <w:lang w:val="zh-CN"/>
              </w:rPr>
            </w:pPr>
            <w:r>
              <w:rPr>
                <w:rFonts w:hint="eastAsia" w:cs="宋体"/>
                <w:sz w:val="21"/>
                <w:szCs w:val="21"/>
                <w:lang w:val="zh-CN"/>
              </w:rPr>
              <w:t>3</w:t>
            </w:r>
          </w:p>
        </w:tc>
        <w:tc>
          <w:tcPr>
            <w:tcW w:w="839" w:type="pct"/>
            <w:vAlign w:val="center"/>
          </w:tcPr>
          <w:p w14:paraId="20EFB57F">
            <w:pPr>
              <w:pStyle w:val="51"/>
              <w:rPr>
                <w:rFonts w:hint="eastAsia" w:cs="宋体"/>
                <w:sz w:val="21"/>
                <w:szCs w:val="21"/>
                <w:lang w:val="zh-CN"/>
              </w:rPr>
            </w:pPr>
            <w:r>
              <w:rPr>
                <w:rFonts w:hint="eastAsia" w:cs="宋体"/>
                <w:sz w:val="21"/>
                <w:szCs w:val="21"/>
                <w:lang w:val="zh-CN"/>
              </w:rPr>
              <w:t>投标报价</w:t>
            </w:r>
          </w:p>
        </w:tc>
        <w:tc>
          <w:tcPr>
            <w:tcW w:w="3053" w:type="pct"/>
            <w:vAlign w:val="center"/>
          </w:tcPr>
          <w:p w14:paraId="271292B8">
            <w:pPr>
              <w:pStyle w:val="51"/>
              <w:rPr>
                <w:rFonts w:hint="eastAsia" w:cs="宋体"/>
                <w:sz w:val="21"/>
                <w:szCs w:val="21"/>
              </w:rPr>
            </w:pPr>
            <w:r>
              <w:rPr>
                <w:rFonts w:hint="eastAsia" w:cs="宋体"/>
                <w:sz w:val="21"/>
                <w:szCs w:val="21"/>
              </w:rPr>
              <w:t>投标人报价未超过招标文件中规定的最高限价或者预算金额的</w:t>
            </w:r>
          </w:p>
        </w:tc>
        <w:tc>
          <w:tcPr>
            <w:tcW w:w="359" w:type="pct"/>
            <w:vAlign w:val="center"/>
          </w:tcPr>
          <w:p w14:paraId="0E935E8F">
            <w:pPr>
              <w:pStyle w:val="51"/>
              <w:rPr>
                <w:rFonts w:hint="eastAsia" w:cs="宋体"/>
                <w:sz w:val="21"/>
                <w:szCs w:val="21"/>
                <w:lang w:val="zh-CN"/>
              </w:rPr>
            </w:pPr>
          </w:p>
        </w:tc>
        <w:tc>
          <w:tcPr>
            <w:tcW w:w="487" w:type="pct"/>
            <w:vAlign w:val="center"/>
          </w:tcPr>
          <w:p w14:paraId="469F52E4">
            <w:pPr>
              <w:pStyle w:val="51"/>
              <w:rPr>
                <w:rFonts w:hint="eastAsia" w:cs="宋体"/>
                <w:sz w:val="21"/>
                <w:szCs w:val="21"/>
                <w:lang w:val="zh-CN"/>
              </w:rPr>
            </w:pPr>
          </w:p>
        </w:tc>
      </w:tr>
      <w:tr w14:paraId="53EA0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259" w:type="pct"/>
            <w:vAlign w:val="center"/>
          </w:tcPr>
          <w:p w14:paraId="340763BA">
            <w:pPr>
              <w:pStyle w:val="51"/>
              <w:rPr>
                <w:rFonts w:hint="eastAsia" w:cs="宋体"/>
                <w:sz w:val="21"/>
                <w:szCs w:val="21"/>
                <w:lang w:val="zh-CN"/>
              </w:rPr>
            </w:pPr>
            <w:r>
              <w:rPr>
                <w:rFonts w:hint="eastAsia" w:cs="宋体"/>
                <w:sz w:val="21"/>
                <w:szCs w:val="21"/>
              </w:rPr>
              <w:t>4</w:t>
            </w:r>
          </w:p>
        </w:tc>
        <w:tc>
          <w:tcPr>
            <w:tcW w:w="839" w:type="pct"/>
            <w:vAlign w:val="center"/>
          </w:tcPr>
          <w:p w14:paraId="1A89B7C1">
            <w:pPr>
              <w:pStyle w:val="51"/>
              <w:rPr>
                <w:rFonts w:hint="eastAsia" w:cs="宋体"/>
                <w:sz w:val="21"/>
                <w:szCs w:val="21"/>
                <w:lang w:val="zh-CN"/>
              </w:rPr>
            </w:pPr>
            <w:r>
              <w:rPr>
                <w:rFonts w:hint="eastAsia" w:cs="宋体"/>
                <w:sz w:val="21"/>
                <w:szCs w:val="21"/>
              </w:rPr>
              <w:t>采购清单</w:t>
            </w:r>
          </w:p>
        </w:tc>
        <w:tc>
          <w:tcPr>
            <w:tcW w:w="3053" w:type="pct"/>
            <w:vAlign w:val="center"/>
          </w:tcPr>
          <w:p w14:paraId="305B3125">
            <w:pPr>
              <w:pStyle w:val="51"/>
              <w:rPr>
                <w:rFonts w:hint="eastAsia" w:cs="宋体"/>
                <w:sz w:val="21"/>
                <w:szCs w:val="21"/>
              </w:rPr>
            </w:pPr>
            <w:r>
              <w:rPr>
                <w:rFonts w:hint="eastAsia" w:cs="宋体"/>
                <w:sz w:val="21"/>
                <w:szCs w:val="21"/>
              </w:rPr>
              <w:t>未改变招标文件提供的采购标的清单数量的</w:t>
            </w:r>
          </w:p>
        </w:tc>
        <w:tc>
          <w:tcPr>
            <w:tcW w:w="359" w:type="pct"/>
            <w:vAlign w:val="center"/>
          </w:tcPr>
          <w:p w14:paraId="35791D9A">
            <w:pPr>
              <w:pStyle w:val="51"/>
              <w:rPr>
                <w:rFonts w:hint="eastAsia" w:cs="宋体"/>
                <w:sz w:val="21"/>
                <w:szCs w:val="21"/>
                <w:lang w:val="zh-CN"/>
              </w:rPr>
            </w:pPr>
          </w:p>
        </w:tc>
        <w:tc>
          <w:tcPr>
            <w:tcW w:w="487" w:type="pct"/>
            <w:vAlign w:val="center"/>
          </w:tcPr>
          <w:p w14:paraId="02716987">
            <w:pPr>
              <w:pStyle w:val="51"/>
              <w:rPr>
                <w:rFonts w:hint="eastAsia" w:cs="宋体"/>
                <w:sz w:val="21"/>
                <w:szCs w:val="21"/>
                <w:lang w:val="zh-CN"/>
              </w:rPr>
            </w:pPr>
          </w:p>
        </w:tc>
      </w:tr>
      <w:tr w14:paraId="3372A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259" w:type="pct"/>
            <w:vAlign w:val="center"/>
          </w:tcPr>
          <w:p w14:paraId="53E4FF0B">
            <w:pPr>
              <w:pStyle w:val="51"/>
              <w:ind w:left="420" w:hanging="420"/>
              <w:jc w:val="center"/>
              <w:rPr>
                <w:rFonts w:hint="eastAsia" w:cs="宋体"/>
                <w:sz w:val="21"/>
                <w:szCs w:val="21"/>
                <w:lang w:val="zh-CN"/>
              </w:rPr>
            </w:pPr>
            <w:r>
              <w:rPr>
                <w:rFonts w:hint="eastAsia" w:cs="宋体"/>
                <w:sz w:val="21"/>
                <w:szCs w:val="21"/>
                <w:lang w:val="zh-CN"/>
              </w:rPr>
              <w:t>5</w:t>
            </w:r>
          </w:p>
        </w:tc>
        <w:tc>
          <w:tcPr>
            <w:tcW w:w="839" w:type="pct"/>
            <w:vAlign w:val="center"/>
          </w:tcPr>
          <w:p w14:paraId="131938A4">
            <w:pPr>
              <w:pStyle w:val="51"/>
              <w:rPr>
                <w:rFonts w:hint="eastAsia" w:cs="宋体"/>
                <w:sz w:val="21"/>
                <w:szCs w:val="21"/>
              </w:rPr>
            </w:pPr>
            <w:r>
              <w:rPr>
                <w:rFonts w:hint="eastAsia" w:cs="宋体"/>
                <w:sz w:val="21"/>
                <w:szCs w:val="21"/>
              </w:rPr>
              <w:t>虚假材料</w:t>
            </w:r>
          </w:p>
        </w:tc>
        <w:tc>
          <w:tcPr>
            <w:tcW w:w="3053" w:type="pct"/>
            <w:vAlign w:val="center"/>
          </w:tcPr>
          <w:p w14:paraId="499EB7C8">
            <w:pPr>
              <w:pStyle w:val="51"/>
              <w:rPr>
                <w:rFonts w:hint="eastAsia" w:cs="宋体"/>
                <w:sz w:val="21"/>
                <w:szCs w:val="21"/>
                <w:lang w:val="zh-CN"/>
              </w:rPr>
            </w:pPr>
            <w:r>
              <w:rPr>
                <w:rFonts w:hint="eastAsia" w:cs="宋体"/>
                <w:sz w:val="21"/>
                <w:szCs w:val="21"/>
              </w:rPr>
              <w:t>投标</w:t>
            </w:r>
            <w:r>
              <w:rPr>
                <w:rFonts w:hint="eastAsia" w:cs="宋体"/>
                <w:sz w:val="21"/>
                <w:szCs w:val="21"/>
                <w:lang w:val="zh-CN"/>
              </w:rPr>
              <w:t>文件</w:t>
            </w:r>
            <w:r>
              <w:rPr>
                <w:rFonts w:hint="eastAsia" w:cs="宋体"/>
                <w:sz w:val="21"/>
                <w:szCs w:val="21"/>
              </w:rPr>
              <w:t>未</w:t>
            </w:r>
            <w:r>
              <w:rPr>
                <w:rFonts w:hint="eastAsia" w:cs="宋体"/>
                <w:sz w:val="21"/>
                <w:szCs w:val="21"/>
                <w:lang w:val="zh-CN"/>
              </w:rPr>
              <w:t>提供虚假材料的</w:t>
            </w:r>
          </w:p>
        </w:tc>
        <w:tc>
          <w:tcPr>
            <w:tcW w:w="359" w:type="pct"/>
            <w:vAlign w:val="center"/>
          </w:tcPr>
          <w:p w14:paraId="68FD4314">
            <w:pPr>
              <w:pStyle w:val="51"/>
              <w:rPr>
                <w:rFonts w:hint="eastAsia" w:cs="宋体"/>
                <w:sz w:val="21"/>
                <w:szCs w:val="21"/>
                <w:lang w:val="zh-CN"/>
              </w:rPr>
            </w:pPr>
          </w:p>
        </w:tc>
        <w:tc>
          <w:tcPr>
            <w:tcW w:w="487" w:type="pct"/>
            <w:vAlign w:val="center"/>
          </w:tcPr>
          <w:p w14:paraId="570344C9">
            <w:pPr>
              <w:pStyle w:val="51"/>
              <w:rPr>
                <w:rFonts w:hint="eastAsia" w:cs="宋体"/>
                <w:sz w:val="21"/>
                <w:szCs w:val="21"/>
                <w:lang w:val="zh-CN"/>
              </w:rPr>
            </w:pPr>
          </w:p>
        </w:tc>
      </w:tr>
      <w:tr w14:paraId="547DE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259" w:type="pct"/>
            <w:vAlign w:val="center"/>
          </w:tcPr>
          <w:p w14:paraId="1D79DDE3">
            <w:pPr>
              <w:pStyle w:val="51"/>
              <w:jc w:val="center"/>
              <w:rPr>
                <w:rFonts w:hint="eastAsia" w:eastAsia="宋体" w:cs="宋体"/>
                <w:sz w:val="21"/>
                <w:szCs w:val="21"/>
                <w:lang w:val="zh-CN" w:eastAsia="zh-CN"/>
              </w:rPr>
            </w:pPr>
            <w:r>
              <w:rPr>
                <w:rFonts w:hint="eastAsia" w:cs="宋体"/>
                <w:sz w:val="21"/>
                <w:szCs w:val="21"/>
                <w:lang w:val="en-US" w:eastAsia="zh-CN"/>
              </w:rPr>
              <w:t>6</w:t>
            </w:r>
          </w:p>
        </w:tc>
        <w:tc>
          <w:tcPr>
            <w:tcW w:w="839" w:type="pct"/>
            <w:vAlign w:val="center"/>
          </w:tcPr>
          <w:p w14:paraId="6742044F">
            <w:pPr>
              <w:pStyle w:val="51"/>
              <w:rPr>
                <w:rFonts w:hint="eastAsia" w:cs="宋体"/>
                <w:sz w:val="21"/>
                <w:szCs w:val="21"/>
              </w:rPr>
            </w:pPr>
            <w:r>
              <w:rPr>
                <w:rFonts w:hint="eastAsia" w:cs="宋体"/>
                <w:sz w:val="21"/>
                <w:szCs w:val="21"/>
              </w:rPr>
              <w:t>投标保证金</w:t>
            </w:r>
          </w:p>
        </w:tc>
        <w:tc>
          <w:tcPr>
            <w:tcW w:w="3053" w:type="pct"/>
            <w:vAlign w:val="center"/>
          </w:tcPr>
          <w:p w14:paraId="6AAC4967">
            <w:pPr>
              <w:pStyle w:val="51"/>
              <w:rPr>
                <w:rFonts w:hint="eastAsia" w:cs="宋体"/>
                <w:sz w:val="21"/>
                <w:szCs w:val="21"/>
                <w:lang w:val="zh-CN"/>
              </w:rPr>
            </w:pPr>
            <w:r>
              <w:rPr>
                <w:rFonts w:hint="eastAsia" w:cs="宋体"/>
                <w:sz w:val="21"/>
                <w:szCs w:val="21"/>
              </w:rPr>
              <w:t>投标人按招标文件的规定交纳投标保证金的</w:t>
            </w:r>
          </w:p>
        </w:tc>
        <w:tc>
          <w:tcPr>
            <w:tcW w:w="359" w:type="pct"/>
            <w:vAlign w:val="center"/>
          </w:tcPr>
          <w:p w14:paraId="6E88D42C">
            <w:pPr>
              <w:pStyle w:val="51"/>
              <w:rPr>
                <w:rFonts w:hint="eastAsia" w:cs="宋体"/>
                <w:sz w:val="21"/>
                <w:szCs w:val="21"/>
                <w:lang w:val="zh-CN"/>
              </w:rPr>
            </w:pPr>
          </w:p>
        </w:tc>
        <w:tc>
          <w:tcPr>
            <w:tcW w:w="487" w:type="pct"/>
            <w:vAlign w:val="center"/>
          </w:tcPr>
          <w:p w14:paraId="1240A16F">
            <w:pPr>
              <w:pStyle w:val="51"/>
              <w:rPr>
                <w:rFonts w:hint="eastAsia" w:cs="宋体"/>
                <w:sz w:val="21"/>
                <w:szCs w:val="21"/>
                <w:lang w:val="zh-CN"/>
              </w:rPr>
            </w:pPr>
          </w:p>
        </w:tc>
      </w:tr>
      <w:tr w14:paraId="04637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259" w:type="pct"/>
            <w:vAlign w:val="center"/>
          </w:tcPr>
          <w:p w14:paraId="7CF272C6">
            <w:pPr>
              <w:pStyle w:val="51"/>
              <w:ind w:left="420" w:hanging="420"/>
              <w:jc w:val="center"/>
              <w:rPr>
                <w:rFonts w:hint="eastAsia" w:eastAsia="宋体" w:cs="宋体"/>
                <w:sz w:val="21"/>
                <w:szCs w:val="21"/>
                <w:lang w:val="zh-CN" w:eastAsia="zh-CN"/>
              </w:rPr>
            </w:pPr>
            <w:r>
              <w:rPr>
                <w:rFonts w:hint="eastAsia" w:cs="宋体"/>
                <w:sz w:val="21"/>
                <w:szCs w:val="21"/>
                <w:lang w:val="en-US" w:eastAsia="zh-CN"/>
              </w:rPr>
              <w:t>7</w:t>
            </w:r>
          </w:p>
        </w:tc>
        <w:tc>
          <w:tcPr>
            <w:tcW w:w="839" w:type="pct"/>
            <w:vAlign w:val="center"/>
          </w:tcPr>
          <w:p w14:paraId="7C2A209E">
            <w:pPr>
              <w:pStyle w:val="51"/>
              <w:rPr>
                <w:rFonts w:hint="eastAsia" w:cs="宋体"/>
                <w:sz w:val="21"/>
                <w:szCs w:val="21"/>
              </w:rPr>
            </w:pPr>
            <w:r>
              <w:rPr>
                <w:rFonts w:hint="eastAsia" w:cs="宋体"/>
                <w:sz w:val="21"/>
                <w:szCs w:val="21"/>
              </w:rPr>
              <w:t>投标文件的澄清、说明、补正</w:t>
            </w:r>
          </w:p>
        </w:tc>
        <w:tc>
          <w:tcPr>
            <w:tcW w:w="3053" w:type="pct"/>
            <w:vAlign w:val="center"/>
          </w:tcPr>
          <w:p w14:paraId="773255FD">
            <w:pPr>
              <w:pStyle w:val="51"/>
              <w:rPr>
                <w:rFonts w:hint="eastAsia" w:cs="宋体"/>
                <w:sz w:val="21"/>
                <w:szCs w:val="21"/>
                <w:lang w:val="zh-CN"/>
              </w:rPr>
            </w:pPr>
            <w:r>
              <w:rPr>
                <w:rFonts w:hint="eastAsia" w:cs="宋体"/>
                <w:sz w:val="21"/>
                <w:szCs w:val="21"/>
                <w:lang w:val="zh-CN"/>
              </w:rPr>
              <w:t>评审期间，</w:t>
            </w:r>
            <w:r>
              <w:rPr>
                <w:rFonts w:hint="eastAsia" w:cs="宋体"/>
                <w:sz w:val="21"/>
                <w:szCs w:val="21"/>
              </w:rPr>
              <w:t>投标人</w:t>
            </w:r>
            <w:r>
              <w:rPr>
                <w:rFonts w:hint="eastAsia" w:cs="宋体"/>
                <w:sz w:val="21"/>
                <w:szCs w:val="21"/>
                <w:lang w:val="zh-CN"/>
              </w:rPr>
              <w:t>按评标委员会的要求提交经授权代表签字的澄清、说明、补正或</w:t>
            </w:r>
            <w:r>
              <w:rPr>
                <w:rFonts w:hint="eastAsia" w:cs="宋体"/>
                <w:sz w:val="21"/>
                <w:szCs w:val="21"/>
              </w:rPr>
              <w:t>未</w:t>
            </w:r>
            <w:r>
              <w:rPr>
                <w:rFonts w:hint="eastAsia" w:cs="宋体"/>
                <w:sz w:val="21"/>
                <w:szCs w:val="21"/>
                <w:lang w:val="zh-CN"/>
              </w:rPr>
              <w:t>改变</w:t>
            </w:r>
            <w:r>
              <w:rPr>
                <w:rFonts w:hint="eastAsia" w:cs="宋体"/>
                <w:sz w:val="21"/>
                <w:szCs w:val="21"/>
              </w:rPr>
              <w:t>投标</w:t>
            </w:r>
            <w:r>
              <w:rPr>
                <w:rFonts w:hint="eastAsia" w:cs="宋体"/>
                <w:sz w:val="21"/>
                <w:szCs w:val="21"/>
                <w:lang w:val="zh-CN"/>
              </w:rPr>
              <w:t>文件的实质性内容</w:t>
            </w:r>
          </w:p>
        </w:tc>
        <w:tc>
          <w:tcPr>
            <w:tcW w:w="359" w:type="pct"/>
            <w:vAlign w:val="center"/>
          </w:tcPr>
          <w:p w14:paraId="6119D035">
            <w:pPr>
              <w:pStyle w:val="51"/>
              <w:rPr>
                <w:rFonts w:hint="eastAsia" w:cs="宋体"/>
                <w:sz w:val="21"/>
                <w:szCs w:val="21"/>
                <w:lang w:val="zh-CN"/>
              </w:rPr>
            </w:pPr>
          </w:p>
        </w:tc>
        <w:tc>
          <w:tcPr>
            <w:tcW w:w="487" w:type="pct"/>
            <w:vAlign w:val="center"/>
          </w:tcPr>
          <w:p w14:paraId="3655607D">
            <w:pPr>
              <w:pStyle w:val="51"/>
              <w:rPr>
                <w:rFonts w:hint="eastAsia" w:cs="宋体"/>
                <w:sz w:val="21"/>
                <w:szCs w:val="21"/>
                <w:lang w:val="zh-CN"/>
              </w:rPr>
            </w:pPr>
          </w:p>
        </w:tc>
      </w:tr>
      <w:tr w14:paraId="2675B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59" w:type="pct"/>
            <w:vAlign w:val="center"/>
          </w:tcPr>
          <w:p w14:paraId="75CF92D8">
            <w:pPr>
              <w:pStyle w:val="51"/>
              <w:ind w:left="420" w:hanging="420"/>
              <w:jc w:val="center"/>
              <w:rPr>
                <w:rFonts w:hint="eastAsia" w:eastAsia="宋体" w:cs="宋体"/>
                <w:sz w:val="21"/>
                <w:szCs w:val="21"/>
                <w:lang w:val="zh-CN" w:eastAsia="zh-CN"/>
              </w:rPr>
            </w:pPr>
            <w:r>
              <w:rPr>
                <w:rFonts w:hint="eastAsia" w:cs="宋体"/>
                <w:sz w:val="21"/>
                <w:szCs w:val="21"/>
                <w:lang w:val="en-US" w:eastAsia="zh-CN"/>
              </w:rPr>
              <w:t>8</w:t>
            </w:r>
          </w:p>
        </w:tc>
        <w:tc>
          <w:tcPr>
            <w:tcW w:w="839" w:type="pct"/>
            <w:vAlign w:val="center"/>
          </w:tcPr>
          <w:p w14:paraId="374151AB">
            <w:pPr>
              <w:pStyle w:val="51"/>
              <w:rPr>
                <w:rFonts w:hint="eastAsia" w:cs="宋体"/>
                <w:sz w:val="21"/>
                <w:szCs w:val="21"/>
              </w:rPr>
            </w:pPr>
            <w:r>
              <w:rPr>
                <w:rFonts w:hint="eastAsia" w:cs="宋体"/>
                <w:sz w:val="21"/>
                <w:szCs w:val="21"/>
              </w:rPr>
              <w:t>投标人影响评标</w:t>
            </w:r>
          </w:p>
        </w:tc>
        <w:tc>
          <w:tcPr>
            <w:tcW w:w="3053" w:type="pct"/>
            <w:vAlign w:val="center"/>
          </w:tcPr>
          <w:p w14:paraId="5FE6E7DC">
            <w:pPr>
              <w:pStyle w:val="51"/>
              <w:rPr>
                <w:rFonts w:hint="eastAsia" w:cs="宋体"/>
                <w:sz w:val="21"/>
                <w:szCs w:val="21"/>
              </w:rPr>
            </w:pPr>
            <w:r>
              <w:rPr>
                <w:rFonts w:hint="eastAsia" w:cs="宋体"/>
                <w:sz w:val="21"/>
                <w:szCs w:val="21"/>
              </w:rPr>
              <w:t>投标人</w:t>
            </w:r>
            <w:r>
              <w:rPr>
                <w:rFonts w:hint="eastAsia" w:cs="宋体"/>
                <w:sz w:val="21"/>
                <w:szCs w:val="21"/>
                <w:lang w:val="zh-CN"/>
              </w:rPr>
              <w:t>对采购人、采购代理机构、评标委员会及其工作人员</w:t>
            </w:r>
            <w:r>
              <w:rPr>
                <w:rFonts w:hint="eastAsia" w:cs="宋体"/>
                <w:sz w:val="21"/>
                <w:szCs w:val="21"/>
              </w:rPr>
              <w:t>未</w:t>
            </w:r>
            <w:r>
              <w:rPr>
                <w:rFonts w:hint="eastAsia" w:cs="宋体"/>
                <w:sz w:val="21"/>
                <w:szCs w:val="21"/>
                <w:lang w:val="zh-CN"/>
              </w:rPr>
              <w:t>施加影响，</w:t>
            </w:r>
            <w:r>
              <w:rPr>
                <w:rFonts w:hint="eastAsia" w:cs="宋体"/>
                <w:sz w:val="21"/>
                <w:szCs w:val="21"/>
              </w:rPr>
              <w:t>无</w:t>
            </w:r>
            <w:r>
              <w:rPr>
                <w:rFonts w:hint="eastAsia" w:cs="宋体"/>
                <w:sz w:val="21"/>
                <w:szCs w:val="21"/>
                <w:lang w:val="zh-CN"/>
              </w:rPr>
              <w:t>有碍公平、公正</w:t>
            </w:r>
            <w:r>
              <w:rPr>
                <w:rFonts w:hint="eastAsia" w:cs="宋体"/>
                <w:sz w:val="21"/>
                <w:szCs w:val="21"/>
              </w:rPr>
              <w:t>的</w:t>
            </w:r>
          </w:p>
        </w:tc>
        <w:tc>
          <w:tcPr>
            <w:tcW w:w="359" w:type="pct"/>
            <w:vAlign w:val="center"/>
          </w:tcPr>
          <w:p w14:paraId="3859BB7D">
            <w:pPr>
              <w:pStyle w:val="51"/>
              <w:rPr>
                <w:rFonts w:hint="eastAsia" w:cs="宋体"/>
                <w:sz w:val="21"/>
                <w:szCs w:val="21"/>
                <w:lang w:val="zh-CN"/>
              </w:rPr>
            </w:pPr>
          </w:p>
        </w:tc>
        <w:tc>
          <w:tcPr>
            <w:tcW w:w="487" w:type="pct"/>
            <w:vAlign w:val="center"/>
          </w:tcPr>
          <w:p w14:paraId="657A78B5">
            <w:pPr>
              <w:pStyle w:val="51"/>
              <w:rPr>
                <w:rFonts w:hint="eastAsia" w:cs="宋体"/>
                <w:sz w:val="21"/>
                <w:szCs w:val="21"/>
                <w:lang w:val="zh-CN"/>
              </w:rPr>
            </w:pPr>
          </w:p>
        </w:tc>
      </w:tr>
      <w:tr w14:paraId="345EC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259" w:type="pct"/>
            <w:vAlign w:val="center"/>
          </w:tcPr>
          <w:p w14:paraId="0C0DEFF7">
            <w:pPr>
              <w:pStyle w:val="51"/>
              <w:ind w:left="420" w:hanging="420"/>
              <w:jc w:val="center"/>
              <w:rPr>
                <w:rFonts w:hint="eastAsia" w:eastAsia="宋体" w:cs="宋体"/>
                <w:sz w:val="21"/>
                <w:szCs w:val="21"/>
                <w:lang w:eastAsia="zh-CN"/>
              </w:rPr>
            </w:pPr>
            <w:r>
              <w:rPr>
                <w:rFonts w:hint="eastAsia" w:cs="宋体"/>
                <w:sz w:val="21"/>
                <w:szCs w:val="21"/>
                <w:lang w:val="en-US" w:eastAsia="zh-CN"/>
              </w:rPr>
              <w:t>9</w:t>
            </w:r>
          </w:p>
        </w:tc>
        <w:tc>
          <w:tcPr>
            <w:tcW w:w="839" w:type="pct"/>
            <w:vAlign w:val="center"/>
          </w:tcPr>
          <w:p w14:paraId="0DBB91A1">
            <w:pPr>
              <w:pStyle w:val="51"/>
              <w:rPr>
                <w:rFonts w:hint="eastAsia" w:cs="宋体"/>
                <w:sz w:val="21"/>
                <w:szCs w:val="21"/>
                <w:lang w:val="zh-CN"/>
              </w:rPr>
            </w:pPr>
            <w:r>
              <w:rPr>
                <w:rFonts w:hint="eastAsia" w:cs="宋体"/>
                <w:sz w:val="21"/>
                <w:szCs w:val="21"/>
              </w:rPr>
              <w:t>围标串标情形</w:t>
            </w:r>
          </w:p>
        </w:tc>
        <w:tc>
          <w:tcPr>
            <w:tcW w:w="3053" w:type="pct"/>
            <w:vAlign w:val="center"/>
          </w:tcPr>
          <w:p w14:paraId="6FCE781F">
            <w:pPr>
              <w:pStyle w:val="51"/>
              <w:rPr>
                <w:rFonts w:hint="eastAsia" w:cs="宋体"/>
                <w:sz w:val="21"/>
                <w:szCs w:val="21"/>
              </w:rPr>
            </w:pPr>
            <w:r>
              <w:rPr>
                <w:rFonts w:hint="eastAsia" w:cs="宋体"/>
                <w:sz w:val="21"/>
                <w:szCs w:val="21"/>
              </w:rPr>
              <w:t>没有</w:t>
            </w:r>
            <w:r>
              <w:rPr>
                <w:rFonts w:hint="eastAsia" w:cs="宋体"/>
                <w:sz w:val="21"/>
                <w:szCs w:val="21"/>
                <w:lang w:val="zh-CN"/>
              </w:rPr>
              <w:t>“第五章 评标方法及标准”</w:t>
            </w:r>
            <w:r>
              <w:rPr>
                <w:rFonts w:hint="eastAsia" w:cs="宋体"/>
                <w:sz w:val="21"/>
                <w:szCs w:val="21"/>
              </w:rPr>
              <w:t>第21条情形之一的</w:t>
            </w:r>
          </w:p>
        </w:tc>
        <w:tc>
          <w:tcPr>
            <w:tcW w:w="359" w:type="pct"/>
            <w:vAlign w:val="center"/>
          </w:tcPr>
          <w:p w14:paraId="5EE324A9">
            <w:pPr>
              <w:pStyle w:val="51"/>
              <w:rPr>
                <w:rFonts w:hint="eastAsia" w:cs="宋体"/>
                <w:sz w:val="21"/>
                <w:szCs w:val="21"/>
                <w:lang w:val="zh-CN"/>
              </w:rPr>
            </w:pPr>
          </w:p>
        </w:tc>
        <w:tc>
          <w:tcPr>
            <w:tcW w:w="487" w:type="pct"/>
            <w:vAlign w:val="center"/>
          </w:tcPr>
          <w:p w14:paraId="4B025AB5">
            <w:pPr>
              <w:pStyle w:val="51"/>
              <w:rPr>
                <w:rFonts w:hint="eastAsia" w:cs="宋体"/>
                <w:sz w:val="21"/>
                <w:szCs w:val="21"/>
                <w:lang w:val="zh-CN"/>
              </w:rPr>
            </w:pPr>
          </w:p>
        </w:tc>
      </w:tr>
      <w:tr w14:paraId="1E187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259" w:type="pct"/>
            <w:vAlign w:val="center"/>
          </w:tcPr>
          <w:p w14:paraId="320BB3CF">
            <w:pPr>
              <w:pStyle w:val="51"/>
              <w:ind w:left="420" w:hanging="420"/>
              <w:jc w:val="center"/>
              <w:rPr>
                <w:rFonts w:hint="eastAsia" w:eastAsia="宋体" w:cs="宋体"/>
                <w:sz w:val="21"/>
                <w:szCs w:val="21"/>
                <w:lang w:eastAsia="zh-CN"/>
              </w:rPr>
            </w:pPr>
            <w:r>
              <w:rPr>
                <w:rFonts w:hint="eastAsia" w:cs="宋体"/>
                <w:sz w:val="21"/>
                <w:szCs w:val="21"/>
              </w:rPr>
              <w:t>1</w:t>
            </w:r>
            <w:r>
              <w:rPr>
                <w:rFonts w:hint="eastAsia" w:cs="宋体"/>
                <w:sz w:val="21"/>
                <w:szCs w:val="21"/>
                <w:lang w:val="en-US" w:eastAsia="zh-CN"/>
              </w:rPr>
              <w:t>0</w:t>
            </w:r>
          </w:p>
        </w:tc>
        <w:tc>
          <w:tcPr>
            <w:tcW w:w="839" w:type="pct"/>
            <w:vAlign w:val="center"/>
          </w:tcPr>
          <w:p w14:paraId="05FDE6B7">
            <w:pPr>
              <w:pStyle w:val="51"/>
              <w:rPr>
                <w:rFonts w:hint="eastAsia" w:cs="宋体"/>
                <w:sz w:val="21"/>
                <w:szCs w:val="21"/>
              </w:rPr>
            </w:pPr>
            <w:r>
              <w:rPr>
                <w:rFonts w:hint="eastAsia" w:cs="宋体"/>
                <w:sz w:val="21"/>
                <w:szCs w:val="21"/>
              </w:rPr>
              <w:t>附加条件</w:t>
            </w:r>
          </w:p>
        </w:tc>
        <w:tc>
          <w:tcPr>
            <w:tcW w:w="3053" w:type="pct"/>
            <w:vAlign w:val="center"/>
          </w:tcPr>
          <w:p w14:paraId="7888BE23">
            <w:pPr>
              <w:pStyle w:val="51"/>
              <w:rPr>
                <w:rFonts w:hint="eastAsia" w:cs="宋体"/>
                <w:sz w:val="21"/>
                <w:szCs w:val="21"/>
              </w:rPr>
            </w:pPr>
            <w:r>
              <w:rPr>
                <w:rFonts w:hint="eastAsia" w:cs="宋体"/>
                <w:sz w:val="21"/>
                <w:szCs w:val="21"/>
              </w:rPr>
              <w:t>投标文件没有采购人不能接受的附加条件的</w:t>
            </w:r>
          </w:p>
        </w:tc>
        <w:tc>
          <w:tcPr>
            <w:tcW w:w="359" w:type="pct"/>
            <w:vAlign w:val="center"/>
          </w:tcPr>
          <w:p w14:paraId="30F345BE">
            <w:pPr>
              <w:pStyle w:val="51"/>
              <w:rPr>
                <w:rFonts w:hint="eastAsia" w:cs="宋体"/>
                <w:sz w:val="21"/>
                <w:szCs w:val="21"/>
                <w:lang w:val="zh-CN"/>
              </w:rPr>
            </w:pPr>
          </w:p>
        </w:tc>
        <w:tc>
          <w:tcPr>
            <w:tcW w:w="487" w:type="pct"/>
            <w:vAlign w:val="center"/>
          </w:tcPr>
          <w:p w14:paraId="7FC75BC4">
            <w:pPr>
              <w:pStyle w:val="51"/>
              <w:rPr>
                <w:rFonts w:hint="eastAsia" w:cs="宋体"/>
                <w:sz w:val="21"/>
                <w:szCs w:val="21"/>
                <w:lang w:val="zh-CN"/>
              </w:rPr>
            </w:pPr>
          </w:p>
        </w:tc>
      </w:tr>
    </w:tbl>
    <w:p w14:paraId="2B4A725A">
      <w:pPr>
        <w:shd w:val="clear" w:color="auto" w:fill="FFFFFF"/>
        <w:tabs>
          <w:tab w:val="left" w:pos="3045"/>
        </w:tabs>
        <w:autoSpaceDE w:val="0"/>
        <w:autoSpaceDN w:val="0"/>
        <w:adjustRightInd w:val="0"/>
        <w:snapToGrid w:val="0"/>
        <w:spacing w:line="360" w:lineRule="exact"/>
        <w:rPr>
          <w:rFonts w:hint="eastAsia" w:cs="宋体"/>
          <w:b/>
          <w:szCs w:val="24"/>
        </w:rPr>
      </w:pPr>
    </w:p>
    <w:p w14:paraId="6A2382CA">
      <w:pPr>
        <w:rPr>
          <w:rFonts w:hint="eastAsia"/>
          <w:sz w:val="28"/>
          <w:szCs w:val="28"/>
          <w:lang w:val="zh-CN"/>
        </w:rPr>
      </w:pPr>
      <w:r>
        <w:rPr>
          <w:rFonts w:hint="eastAsia"/>
          <w:sz w:val="28"/>
          <w:szCs w:val="28"/>
          <w:lang w:val="zh-CN"/>
        </w:rPr>
        <w:br w:type="page"/>
      </w:r>
    </w:p>
    <w:p w14:paraId="0EF41B1E">
      <w:pPr>
        <w:pStyle w:val="5"/>
        <w:spacing w:before="80" w:after="80" w:line="240" w:lineRule="auto"/>
        <w:ind w:left="420" w:hanging="420"/>
        <w:jc w:val="center"/>
        <w:rPr>
          <w:rFonts w:hint="eastAsia"/>
          <w:sz w:val="28"/>
          <w:szCs w:val="28"/>
          <w:lang w:val="zh-CN"/>
        </w:rPr>
      </w:pPr>
      <w:r>
        <w:rPr>
          <w:rFonts w:hint="eastAsia"/>
          <w:sz w:val="28"/>
          <w:szCs w:val="28"/>
          <w:lang w:val="zh-CN"/>
        </w:rPr>
        <w:t>实质性响应一览表</w:t>
      </w:r>
    </w:p>
    <w:p w14:paraId="45C0F6E2">
      <w:pPr>
        <w:shd w:val="clear" w:color="auto" w:fill="FFFFFF"/>
        <w:tabs>
          <w:tab w:val="left" w:pos="3045"/>
        </w:tabs>
        <w:autoSpaceDE w:val="0"/>
        <w:autoSpaceDN w:val="0"/>
        <w:adjustRightInd w:val="0"/>
        <w:snapToGrid w:val="0"/>
        <w:spacing w:line="360" w:lineRule="exact"/>
        <w:jc w:val="center"/>
        <w:rPr>
          <w:rFonts w:hint="eastAsia" w:cs="宋体"/>
          <w:bCs/>
          <w:szCs w:val="24"/>
        </w:rPr>
      </w:pPr>
      <w:r>
        <w:rPr>
          <w:rFonts w:hint="eastAsia" w:cs="宋体"/>
          <w:bCs/>
          <w:szCs w:val="24"/>
        </w:rPr>
        <w:t>（投标人须对本附表所有内容逐条响应且无负偏离，否则其</w:t>
      </w:r>
      <w:r>
        <w:rPr>
          <w:rFonts w:hint="eastAsia" w:cs="宋体"/>
          <w:b/>
          <w:szCs w:val="24"/>
        </w:rPr>
        <w:t>投标无效</w:t>
      </w:r>
      <w:r>
        <w:rPr>
          <w:rFonts w:hint="eastAsia" w:cs="宋体"/>
          <w:bCs/>
          <w:szCs w:val="24"/>
        </w:rPr>
        <w:t>）</w:t>
      </w:r>
    </w:p>
    <w:p w14:paraId="16CC23A8">
      <w:pPr>
        <w:pStyle w:val="24"/>
        <w:rPr>
          <w:rFonts w:hint="eastAsia" w:cs="宋体"/>
          <w:sz w:val="24"/>
          <w:szCs w:val="24"/>
        </w:rPr>
      </w:pPr>
    </w:p>
    <w:tbl>
      <w:tblPr>
        <w:tblStyle w:val="30"/>
        <w:tblpPr w:leftFromText="180" w:rightFromText="180" w:vertAnchor="text" w:horzAnchor="page" w:tblpX="1553" w:tblpY="471"/>
        <w:tblOverlap w:val="never"/>
        <w:tblW w:w="52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923"/>
        <w:gridCol w:w="4111"/>
        <w:gridCol w:w="1807"/>
        <w:gridCol w:w="705"/>
      </w:tblGrid>
      <w:tr w14:paraId="7BEB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9" w:type="pct"/>
            <w:vMerge w:val="restart"/>
            <w:vAlign w:val="center"/>
          </w:tcPr>
          <w:p w14:paraId="592FFCAD">
            <w:pPr>
              <w:spacing w:line="360" w:lineRule="exact"/>
              <w:jc w:val="center"/>
              <w:rPr>
                <w:rFonts w:hint="eastAsia" w:cs="宋体"/>
                <w:sz w:val="21"/>
                <w:szCs w:val="21"/>
              </w:rPr>
            </w:pPr>
            <w:bookmarkStart w:id="363" w:name="_Toc155185917"/>
            <w:bookmarkStart w:id="364" w:name="_Toc163492910"/>
            <w:r>
              <w:rPr>
                <w:rFonts w:hint="eastAsia" w:cs="宋体"/>
                <w:sz w:val="21"/>
                <w:szCs w:val="21"/>
              </w:rPr>
              <w:t>序号</w:t>
            </w:r>
          </w:p>
        </w:tc>
        <w:tc>
          <w:tcPr>
            <w:tcW w:w="3375" w:type="pct"/>
            <w:gridSpan w:val="2"/>
            <w:vAlign w:val="center"/>
          </w:tcPr>
          <w:p w14:paraId="20FD70E3">
            <w:pPr>
              <w:spacing w:line="360" w:lineRule="exact"/>
              <w:jc w:val="center"/>
              <w:rPr>
                <w:rFonts w:hint="eastAsia" w:cs="宋体"/>
                <w:sz w:val="21"/>
                <w:szCs w:val="21"/>
              </w:rPr>
            </w:pPr>
            <w:r>
              <w:rPr>
                <w:rFonts w:hint="eastAsia" w:cs="宋体"/>
                <w:sz w:val="21"/>
                <w:szCs w:val="21"/>
              </w:rPr>
              <w:t>招标文件要求的实质性响应内容</w:t>
            </w:r>
          </w:p>
        </w:tc>
        <w:tc>
          <w:tcPr>
            <w:tcW w:w="1010" w:type="pct"/>
            <w:vMerge w:val="restart"/>
            <w:vAlign w:val="center"/>
          </w:tcPr>
          <w:p w14:paraId="35E0677E">
            <w:pPr>
              <w:spacing w:line="360" w:lineRule="exact"/>
              <w:jc w:val="center"/>
              <w:rPr>
                <w:rFonts w:hint="eastAsia" w:cs="宋体"/>
                <w:sz w:val="21"/>
                <w:szCs w:val="21"/>
              </w:rPr>
            </w:pPr>
            <w:r>
              <w:rPr>
                <w:rFonts w:hint="eastAsia" w:cs="宋体"/>
                <w:sz w:val="21"/>
                <w:szCs w:val="21"/>
              </w:rPr>
              <w:t>投标文件响应的具体内容</w:t>
            </w:r>
          </w:p>
        </w:tc>
        <w:tc>
          <w:tcPr>
            <w:tcW w:w="394" w:type="pct"/>
            <w:vMerge w:val="restart"/>
            <w:vAlign w:val="center"/>
          </w:tcPr>
          <w:p w14:paraId="7CEF1AFF">
            <w:pPr>
              <w:spacing w:line="360" w:lineRule="exact"/>
              <w:jc w:val="center"/>
              <w:rPr>
                <w:rFonts w:hint="eastAsia" w:cs="宋体"/>
                <w:sz w:val="21"/>
                <w:szCs w:val="21"/>
              </w:rPr>
            </w:pPr>
            <w:r>
              <w:rPr>
                <w:rFonts w:hint="eastAsia" w:cs="宋体"/>
                <w:sz w:val="21"/>
                <w:szCs w:val="21"/>
              </w:rPr>
              <w:t>备注</w:t>
            </w:r>
          </w:p>
        </w:tc>
      </w:tr>
      <w:tr w14:paraId="3682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9" w:type="pct"/>
            <w:vMerge w:val="continue"/>
            <w:vAlign w:val="center"/>
          </w:tcPr>
          <w:p w14:paraId="189CAA2B">
            <w:pPr>
              <w:spacing w:line="360" w:lineRule="exact"/>
              <w:jc w:val="center"/>
              <w:rPr>
                <w:rFonts w:hint="eastAsia" w:cs="宋体"/>
                <w:sz w:val="21"/>
                <w:szCs w:val="21"/>
              </w:rPr>
            </w:pPr>
          </w:p>
        </w:tc>
        <w:tc>
          <w:tcPr>
            <w:tcW w:w="1075" w:type="pct"/>
            <w:vAlign w:val="center"/>
          </w:tcPr>
          <w:p w14:paraId="4D38F52F">
            <w:pPr>
              <w:spacing w:line="360" w:lineRule="exact"/>
              <w:jc w:val="center"/>
              <w:rPr>
                <w:rFonts w:hint="eastAsia" w:cs="宋体"/>
                <w:sz w:val="21"/>
                <w:szCs w:val="21"/>
              </w:rPr>
            </w:pPr>
            <w:r>
              <w:rPr>
                <w:rFonts w:hint="eastAsia" w:cs="宋体"/>
                <w:sz w:val="21"/>
                <w:szCs w:val="21"/>
              </w:rPr>
              <w:t>实质性要求</w:t>
            </w:r>
          </w:p>
        </w:tc>
        <w:tc>
          <w:tcPr>
            <w:tcW w:w="2299" w:type="pct"/>
            <w:vAlign w:val="center"/>
          </w:tcPr>
          <w:p w14:paraId="1D22E371">
            <w:pPr>
              <w:spacing w:line="360" w:lineRule="exact"/>
              <w:jc w:val="center"/>
              <w:rPr>
                <w:rFonts w:hint="eastAsia" w:cs="宋体"/>
                <w:sz w:val="21"/>
                <w:szCs w:val="21"/>
              </w:rPr>
            </w:pPr>
            <w:r>
              <w:rPr>
                <w:rFonts w:hint="eastAsia" w:cs="宋体"/>
                <w:sz w:val="21"/>
                <w:szCs w:val="21"/>
              </w:rPr>
              <w:t>招标文件中的规定</w:t>
            </w:r>
          </w:p>
        </w:tc>
        <w:tc>
          <w:tcPr>
            <w:tcW w:w="1010" w:type="pct"/>
            <w:vMerge w:val="continue"/>
            <w:vAlign w:val="center"/>
          </w:tcPr>
          <w:p w14:paraId="5E7C37F2">
            <w:pPr>
              <w:spacing w:line="360" w:lineRule="exact"/>
              <w:jc w:val="center"/>
              <w:rPr>
                <w:rFonts w:hint="eastAsia" w:cs="宋体"/>
                <w:sz w:val="21"/>
                <w:szCs w:val="21"/>
              </w:rPr>
            </w:pPr>
          </w:p>
        </w:tc>
        <w:tc>
          <w:tcPr>
            <w:tcW w:w="394" w:type="pct"/>
            <w:vMerge w:val="continue"/>
            <w:vAlign w:val="center"/>
          </w:tcPr>
          <w:p w14:paraId="5E7B2D35">
            <w:pPr>
              <w:spacing w:line="360" w:lineRule="exact"/>
              <w:jc w:val="center"/>
              <w:rPr>
                <w:rFonts w:hint="eastAsia" w:cs="宋体"/>
                <w:sz w:val="21"/>
                <w:szCs w:val="21"/>
              </w:rPr>
            </w:pPr>
          </w:p>
        </w:tc>
      </w:tr>
      <w:tr w14:paraId="6BE7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19" w:type="pct"/>
            <w:vAlign w:val="center"/>
          </w:tcPr>
          <w:p w14:paraId="3BD76590">
            <w:pPr>
              <w:spacing w:line="360" w:lineRule="exact"/>
              <w:jc w:val="center"/>
              <w:rPr>
                <w:rFonts w:hint="eastAsia" w:cs="宋体"/>
                <w:sz w:val="21"/>
                <w:szCs w:val="21"/>
              </w:rPr>
            </w:pPr>
            <w:r>
              <w:rPr>
                <w:rFonts w:hint="eastAsia" w:cs="宋体"/>
                <w:sz w:val="21"/>
                <w:szCs w:val="21"/>
              </w:rPr>
              <w:t>1</w:t>
            </w:r>
          </w:p>
        </w:tc>
        <w:tc>
          <w:tcPr>
            <w:tcW w:w="1075" w:type="pct"/>
            <w:vAlign w:val="center"/>
          </w:tcPr>
          <w:p w14:paraId="516006B9">
            <w:pPr>
              <w:spacing w:line="360" w:lineRule="exact"/>
              <w:rPr>
                <w:rFonts w:hint="eastAsia" w:cs="宋体"/>
                <w:sz w:val="21"/>
                <w:szCs w:val="21"/>
              </w:rPr>
            </w:pPr>
            <w:r>
              <w:rPr>
                <w:rFonts w:hint="eastAsia" w:cs="宋体"/>
                <w:sz w:val="21"/>
                <w:szCs w:val="21"/>
              </w:rPr>
              <w:t>投标有效期</w:t>
            </w:r>
          </w:p>
        </w:tc>
        <w:tc>
          <w:tcPr>
            <w:tcW w:w="2299" w:type="pct"/>
            <w:vAlign w:val="center"/>
          </w:tcPr>
          <w:p w14:paraId="6BEED6FF">
            <w:pPr>
              <w:shd w:val="clear" w:color="auto" w:fill="FFFFFF"/>
              <w:autoSpaceDE w:val="0"/>
              <w:autoSpaceDN w:val="0"/>
              <w:spacing w:line="360" w:lineRule="exact"/>
              <w:rPr>
                <w:rFonts w:hint="eastAsia" w:cs="宋体"/>
                <w:sz w:val="21"/>
                <w:szCs w:val="21"/>
              </w:rPr>
            </w:pPr>
            <w:r>
              <w:rPr>
                <w:rFonts w:hint="eastAsia" w:cs="宋体"/>
                <w:sz w:val="21"/>
                <w:szCs w:val="21"/>
              </w:rPr>
              <w:t>招标文件“第二章投标须知”关于投标有效期的规定</w:t>
            </w:r>
          </w:p>
        </w:tc>
        <w:tc>
          <w:tcPr>
            <w:tcW w:w="1010" w:type="pct"/>
            <w:vAlign w:val="center"/>
          </w:tcPr>
          <w:p w14:paraId="44BAF524">
            <w:pPr>
              <w:spacing w:line="360" w:lineRule="exact"/>
              <w:rPr>
                <w:rFonts w:hint="eastAsia" w:cs="宋体"/>
                <w:sz w:val="21"/>
                <w:szCs w:val="21"/>
              </w:rPr>
            </w:pPr>
            <w:r>
              <w:rPr>
                <w:rFonts w:hint="eastAsia" w:cs="宋体"/>
                <w:sz w:val="21"/>
                <w:szCs w:val="21"/>
              </w:rPr>
              <w:t>【投标人在此处填写投标文件的相关内容】</w:t>
            </w:r>
          </w:p>
        </w:tc>
        <w:tc>
          <w:tcPr>
            <w:tcW w:w="394" w:type="pct"/>
            <w:vAlign w:val="center"/>
          </w:tcPr>
          <w:p w14:paraId="535B2D56">
            <w:pPr>
              <w:spacing w:line="360" w:lineRule="exact"/>
              <w:rPr>
                <w:rFonts w:hint="eastAsia" w:cs="宋体"/>
                <w:sz w:val="21"/>
                <w:szCs w:val="21"/>
              </w:rPr>
            </w:pPr>
          </w:p>
        </w:tc>
      </w:tr>
      <w:tr w14:paraId="411A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19" w:type="pct"/>
            <w:vAlign w:val="center"/>
          </w:tcPr>
          <w:p w14:paraId="19C8A681">
            <w:pPr>
              <w:spacing w:line="360" w:lineRule="exact"/>
              <w:jc w:val="center"/>
              <w:rPr>
                <w:rFonts w:hint="eastAsia" w:cs="宋体"/>
                <w:sz w:val="21"/>
                <w:szCs w:val="21"/>
              </w:rPr>
            </w:pPr>
            <w:r>
              <w:rPr>
                <w:rFonts w:hint="eastAsia" w:cs="宋体"/>
                <w:sz w:val="21"/>
                <w:szCs w:val="21"/>
              </w:rPr>
              <w:t>2</w:t>
            </w:r>
          </w:p>
        </w:tc>
        <w:tc>
          <w:tcPr>
            <w:tcW w:w="1075" w:type="pct"/>
            <w:vAlign w:val="center"/>
          </w:tcPr>
          <w:p w14:paraId="41A860FB">
            <w:pPr>
              <w:spacing w:line="360" w:lineRule="exact"/>
              <w:rPr>
                <w:rFonts w:hint="default" w:eastAsia="宋体" w:cs="宋体"/>
                <w:sz w:val="21"/>
                <w:szCs w:val="21"/>
                <w:lang w:val="en-US" w:eastAsia="zh-CN"/>
              </w:rPr>
            </w:pPr>
            <w:r>
              <w:rPr>
                <w:rFonts w:hint="eastAsia" w:cs="宋体"/>
                <w:sz w:val="21"/>
                <w:szCs w:val="21"/>
                <w:lang w:val="en-US" w:eastAsia="zh-CN"/>
              </w:rPr>
              <w:t>合同履行期限</w:t>
            </w:r>
          </w:p>
        </w:tc>
        <w:tc>
          <w:tcPr>
            <w:tcW w:w="2299" w:type="pct"/>
            <w:vAlign w:val="center"/>
          </w:tcPr>
          <w:p w14:paraId="739D46E9">
            <w:pPr>
              <w:shd w:val="clear" w:color="auto" w:fill="FFFFFF"/>
              <w:autoSpaceDE w:val="0"/>
              <w:autoSpaceDN w:val="0"/>
              <w:spacing w:line="360" w:lineRule="exact"/>
              <w:rPr>
                <w:rFonts w:hint="eastAsia" w:cs="宋体"/>
                <w:sz w:val="21"/>
                <w:szCs w:val="21"/>
              </w:rPr>
            </w:pPr>
            <w:r>
              <w:rPr>
                <w:rFonts w:hint="eastAsia" w:cs="宋体"/>
                <w:sz w:val="21"/>
                <w:szCs w:val="21"/>
              </w:rPr>
              <w:t>招标文件“第二章投标须知”关于</w:t>
            </w:r>
            <w:r>
              <w:rPr>
                <w:rFonts w:hint="eastAsia" w:cs="宋体"/>
                <w:sz w:val="21"/>
                <w:szCs w:val="21"/>
                <w:lang w:val="en-US" w:eastAsia="zh-CN"/>
              </w:rPr>
              <w:t>合同履行期限</w:t>
            </w:r>
            <w:r>
              <w:rPr>
                <w:rFonts w:hint="eastAsia" w:cs="宋体"/>
                <w:sz w:val="21"/>
                <w:szCs w:val="21"/>
              </w:rPr>
              <w:t>的规定</w:t>
            </w:r>
          </w:p>
        </w:tc>
        <w:tc>
          <w:tcPr>
            <w:tcW w:w="1010" w:type="pct"/>
            <w:vAlign w:val="center"/>
          </w:tcPr>
          <w:p w14:paraId="73B64EA7">
            <w:pPr>
              <w:spacing w:line="360" w:lineRule="exact"/>
              <w:rPr>
                <w:rFonts w:hint="eastAsia" w:cs="宋体"/>
                <w:sz w:val="21"/>
                <w:szCs w:val="21"/>
              </w:rPr>
            </w:pPr>
            <w:r>
              <w:rPr>
                <w:rFonts w:hint="eastAsia" w:cs="宋体"/>
                <w:sz w:val="21"/>
                <w:szCs w:val="21"/>
              </w:rPr>
              <w:t>【投标人在此处填写投标文件的相关内容】</w:t>
            </w:r>
          </w:p>
        </w:tc>
        <w:tc>
          <w:tcPr>
            <w:tcW w:w="394" w:type="pct"/>
            <w:vAlign w:val="center"/>
          </w:tcPr>
          <w:p w14:paraId="33F4602B">
            <w:pPr>
              <w:spacing w:line="360" w:lineRule="exact"/>
              <w:rPr>
                <w:rFonts w:hint="eastAsia" w:cs="宋体"/>
                <w:sz w:val="21"/>
                <w:szCs w:val="21"/>
              </w:rPr>
            </w:pPr>
          </w:p>
        </w:tc>
      </w:tr>
      <w:tr w14:paraId="0DED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19" w:type="pct"/>
            <w:vAlign w:val="center"/>
          </w:tcPr>
          <w:p w14:paraId="22C02E07">
            <w:pPr>
              <w:spacing w:line="360" w:lineRule="exact"/>
              <w:jc w:val="center"/>
              <w:rPr>
                <w:rFonts w:hint="eastAsia" w:cs="宋体"/>
                <w:sz w:val="21"/>
                <w:szCs w:val="21"/>
              </w:rPr>
            </w:pPr>
            <w:r>
              <w:rPr>
                <w:rFonts w:hint="eastAsia" w:cs="宋体"/>
                <w:sz w:val="21"/>
                <w:szCs w:val="21"/>
              </w:rPr>
              <w:t>3</w:t>
            </w:r>
          </w:p>
        </w:tc>
        <w:tc>
          <w:tcPr>
            <w:tcW w:w="1075" w:type="pct"/>
            <w:vAlign w:val="center"/>
          </w:tcPr>
          <w:p w14:paraId="41B276C5">
            <w:pPr>
              <w:spacing w:line="360" w:lineRule="exact"/>
              <w:rPr>
                <w:rFonts w:hint="eastAsia" w:cs="宋体"/>
                <w:sz w:val="21"/>
                <w:szCs w:val="21"/>
              </w:rPr>
            </w:pPr>
            <w:r>
              <w:rPr>
                <w:rFonts w:hint="eastAsia" w:cs="宋体"/>
                <w:sz w:val="21"/>
                <w:szCs w:val="21"/>
              </w:rPr>
              <w:t>投标保证金</w:t>
            </w:r>
          </w:p>
        </w:tc>
        <w:tc>
          <w:tcPr>
            <w:tcW w:w="2299" w:type="pct"/>
            <w:vAlign w:val="center"/>
          </w:tcPr>
          <w:p w14:paraId="76832E31">
            <w:pPr>
              <w:shd w:val="clear" w:color="auto" w:fill="FFFFFF"/>
              <w:autoSpaceDE w:val="0"/>
              <w:autoSpaceDN w:val="0"/>
              <w:spacing w:line="360" w:lineRule="exact"/>
              <w:rPr>
                <w:rFonts w:hint="eastAsia" w:cs="宋体"/>
                <w:sz w:val="21"/>
                <w:szCs w:val="21"/>
              </w:rPr>
            </w:pPr>
            <w:r>
              <w:rPr>
                <w:rFonts w:hint="eastAsia" w:cs="宋体"/>
                <w:sz w:val="21"/>
                <w:szCs w:val="21"/>
              </w:rPr>
              <w:t>招标文件“第二章投标须知”关于投标保证金的规定</w:t>
            </w:r>
          </w:p>
        </w:tc>
        <w:tc>
          <w:tcPr>
            <w:tcW w:w="1010" w:type="pct"/>
            <w:vAlign w:val="center"/>
          </w:tcPr>
          <w:p w14:paraId="21900AB5">
            <w:pPr>
              <w:spacing w:line="360" w:lineRule="exact"/>
              <w:rPr>
                <w:rFonts w:hint="eastAsia" w:cs="宋体"/>
                <w:sz w:val="21"/>
                <w:szCs w:val="21"/>
              </w:rPr>
            </w:pPr>
            <w:r>
              <w:rPr>
                <w:rFonts w:hint="eastAsia" w:cs="宋体"/>
                <w:sz w:val="21"/>
                <w:szCs w:val="21"/>
              </w:rPr>
              <w:t>【投标人在此处填写投标文件的相关内容】</w:t>
            </w:r>
          </w:p>
        </w:tc>
        <w:tc>
          <w:tcPr>
            <w:tcW w:w="394" w:type="pct"/>
            <w:vAlign w:val="center"/>
          </w:tcPr>
          <w:p w14:paraId="2DF793CD">
            <w:pPr>
              <w:spacing w:line="360" w:lineRule="exact"/>
              <w:rPr>
                <w:rFonts w:hint="eastAsia" w:cs="宋体"/>
                <w:sz w:val="21"/>
                <w:szCs w:val="21"/>
              </w:rPr>
            </w:pPr>
          </w:p>
        </w:tc>
      </w:tr>
      <w:tr w14:paraId="2DE5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vAlign w:val="center"/>
          </w:tcPr>
          <w:p w14:paraId="7CE9EA96">
            <w:pPr>
              <w:spacing w:line="360" w:lineRule="exact"/>
              <w:jc w:val="center"/>
              <w:rPr>
                <w:rFonts w:hint="eastAsia" w:cs="宋体"/>
                <w:sz w:val="21"/>
                <w:szCs w:val="21"/>
              </w:rPr>
            </w:pPr>
            <w:r>
              <w:rPr>
                <w:rFonts w:hint="eastAsia" w:cs="宋体"/>
                <w:sz w:val="21"/>
                <w:szCs w:val="21"/>
              </w:rPr>
              <w:t>4</w:t>
            </w:r>
          </w:p>
        </w:tc>
        <w:tc>
          <w:tcPr>
            <w:tcW w:w="1075" w:type="pct"/>
            <w:vAlign w:val="center"/>
          </w:tcPr>
          <w:p w14:paraId="34D9707B">
            <w:pPr>
              <w:spacing w:line="360" w:lineRule="exact"/>
              <w:rPr>
                <w:rFonts w:hint="eastAsia" w:cs="宋体"/>
                <w:sz w:val="21"/>
                <w:szCs w:val="21"/>
              </w:rPr>
            </w:pPr>
            <w:r>
              <w:rPr>
                <w:rFonts w:hint="eastAsia" w:cs="宋体"/>
                <w:sz w:val="21"/>
                <w:szCs w:val="21"/>
              </w:rPr>
              <w:t>履约保证金</w:t>
            </w:r>
          </w:p>
        </w:tc>
        <w:tc>
          <w:tcPr>
            <w:tcW w:w="2299" w:type="pct"/>
            <w:vAlign w:val="center"/>
          </w:tcPr>
          <w:p w14:paraId="14BCFF6B">
            <w:pPr>
              <w:shd w:val="clear" w:color="auto" w:fill="FFFFFF"/>
              <w:autoSpaceDE w:val="0"/>
              <w:autoSpaceDN w:val="0"/>
              <w:spacing w:line="360" w:lineRule="exact"/>
              <w:rPr>
                <w:rFonts w:hint="eastAsia" w:cs="宋体"/>
                <w:sz w:val="21"/>
                <w:szCs w:val="21"/>
              </w:rPr>
            </w:pPr>
            <w:r>
              <w:rPr>
                <w:rFonts w:hint="eastAsia" w:cs="宋体"/>
                <w:sz w:val="21"/>
                <w:szCs w:val="21"/>
              </w:rPr>
              <w:t>招标文件“第二章投标须知”关于履约保证金的规定</w:t>
            </w:r>
          </w:p>
        </w:tc>
        <w:tc>
          <w:tcPr>
            <w:tcW w:w="1010" w:type="pct"/>
            <w:vAlign w:val="center"/>
          </w:tcPr>
          <w:p w14:paraId="319F7274">
            <w:pPr>
              <w:spacing w:line="360" w:lineRule="exact"/>
              <w:rPr>
                <w:rFonts w:hint="eastAsia" w:cs="宋体"/>
                <w:sz w:val="21"/>
                <w:szCs w:val="21"/>
              </w:rPr>
            </w:pPr>
            <w:r>
              <w:rPr>
                <w:rFonts w:hint="eastAsia" w:cs="宋体"/>
                <w:sz w:val="21"/>
                <w:szCs w:val="21"/>
              </w:rPr>
              <w:t>【投标人在此处填写投标文件的相关内容】</w:t>
            </w:r>
          </w:p>
        </w:tc>
        <w:tc>
          <w:tcPr>
            <w:tcW w:w="394" w:type="pct"/>
            <w:vAlign w:val="center"/>
          </w:tcPr>
          <w:p w14:paraId="4CF6AA06">
            <w:pPr>
              <w:spacing w:line="360" w:lineRule="exact"/>
              <w:rPr>
                <w:rFonts w:hint="eastAsia" w:cs="宋体"/>
                <w:sz w:val="21"/>
                <w:szCs w:val="21"/>
              </w:rPr>
            </w:pPr>
          </w:p>
        </w:tc>
      </w:tr>
    </w:tbl>
    <w:p w14:paraId="57D30E4B">
      <w:pPr>
        <w:rPr>
          <w:rFonts w:hint="eastAsia" w:cs="宋体"/>
          <w:sz w:val="24"/>
          <w:szCs w:val="24"/>
          <w:lang w:val="zh-CN"/>
        </w:rPr>
      </w:pPr>
      <w:r>
        <w:rPr>
          <w:rFonts w:hint="eastAsia" w:cs="宋体"/>
          <w:sz w:val="24"/>
          <w:szCs w:val="24"/>
          <w:lang w:val="zh-CN"/>
        </w:rPr>
        <w:br w:type="page"/>
      </w:r>
    </w:p>
    <w:p w14:paraId="52BE06F6">
      <w:pPr>
        <w:pStyle w:val="5"/>
        <w:keepNext w:val="0"/>
        <w:keepLines w:val="0"/>
        <w:spacing w:before="160" w:after="160" w:line="360" w:lineRule="auto"/>
        <w:ind w:left="420" w:hanging="420"/>
        <w:rPr>
          <w:rFonts w:hint="eastAsia" w:cs="宋体"/>
          <w:sz w:val="24"/>
          <w:szCs w:val="24"/>
          <w:lang w:val="zh-CN"/>
        </w:rPr>
      </w:pPr>
      <w:r>
        <w:rPr>
          <w:rFonts w:hint="eastAsia" w:cs="宋体"/>
          <w:sz w:val="24"/>
          <w:szCs w:val="24"/>
          <w:lang w:val="zh-CN"/>
        </w:rPr>
        <w:t>（二）评分标准</w:t>
      </w:r>
      <w:bookmarkEnd w:id="363"/>
      <w:bookmarkEnd w:id="364"/>
    </w:p>
    <w:tbl>
      <w:tblPr>
        <w:tblStyle w:val="77"/>
        <w:tblW w:w="861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3"/>
        <w:gridCol w:w="1091"/>
        <w:gridCol w:w="6641"/>
      </w:tblGrid>
      <w:tr w14:paraId="01D51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Align w:val="center"/>
          </w:tcPr>
          <w:p w14:paraId="5E9FFBBF">
            <w:pPr>
              <w:spacing w:before="136" w:line="228" w:lineRule="auto"/>
              <w:jc w:val="center"/>
              <w:rPr>
                <w:rFonts w:hint="eastAsia" w:cs="仿宋"/>
                <w:b/>
                <w:bCs/>
                <w:szCs w:val="21"/>
              </w:rPr>
            </w:pPr>
            <w:r>
              <w:rPr>
                <w:rFonts w:hint="eastAsia" w:cs="仿宋"/>
                <w:b/>
                <w:bCs/>
                <w:spacing w:val="-8"/>
                <w:szCs w:val="21"/>
              </w:rPr>
              <w:t>内容</w:t>
            </w:r>
          </w:p>
        </w:tc>
        <w:tc>
          <w:tcPr>
            <w:tcW w:w="1091" w:type="dxa"/>
            <w:vAlign w:val="center"/>
          </w:tcPr>
          <w:p w14:paraId="3A89C839">
            <w:pPr>
              <w:spacing w:before="137" w:line="228" w:lineRule="auto"/>
              <w:jc w:val="center"/>
              <w:rPr>
                <w:rFonts w:hint="eastAsia" w:cs="仿宋"/>
                <w:b/>
                <w:bCs/>
                <w:szCs w:val="21"/>
              </w:rPr>
            </w:pPr>
            <w:r>
              <w:rPr>
                <w:rFonts w:hint="eastAsia" w:cs="仿宋"/>
                <w:b/>
                <w:bCs/>
                <w:spacing w:val="7"/>
                <w:szCs w:val="21"/>
              </w:rPr>
              <w:t>评分项目</w:t>
            </w:r>
          </w:p>
        </w:tc>
        <w:tc>
          <w:tcPr>
            <w:tcW w:w="6641" w:type="dxa"/>
            <w:vAlign w:val="center"/>
          </w:tcPr>
          <w:p w14:paraId="52D2F385">
            <w:pPr>
              <w:spacing w:before="136" w:line="228" w:lineRule="auto"/>
              <w:jc w:val="center"/>
              <w:rPr>
                <w:rFonts w:hint="eastAsia" w:cs="仿宋"/>
                <w:b/>
                <w:bCs/>
                <w:szCs w:val="21"/>
              </w:rPr>
            </w:pPr>
            <w:r>
              <w:rPr>
                <w:rFonts w:hint="eastAsia" w:cs="仿宋"/>
                <w:b/>
                <w:bCs/>
                <w:spacing w:val="7"/>
                <w:szCs w:val="21"/>
              </w:rPr>
              <w:t>子项及分值</w:t>
            </w:r>
          </w:p>
        </w:tc>
      </w:tr>
      <w:tr w14:paraId="7FFCA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Align w:val="center"/>
          </w:tcPr>
          <w:p w14:paraId="66629B50">
            <w:pPr>
              <w:spacing w:before="65" w:line="226" w:lineRule="auto"/>
              <w:jc w:val="center"/>
              <w:rPr>
                <w:rFonts w:hint="eastAsia" w:cs="仿宋"/>
                <w:spacing w:val="7"/>
                <w:szCs w:val="21"/>
              </w:rPr>
            </w:pPr>
            <w:r>
              <w:rPr>
                <w:rFonts w:hint="eastAsia" w:cs="仿宋"/>
                <w:spacing w:val="7"/>
                <w:szCs w:val="21"/>
              </w:rPr>
              <w:t>价格</w:t>
            </w:r>
          </w:p>
          <w:p w14:paraId="6FED369C">
            <w:pPr>
              <w:spacing w:before="65" w:line="226" w:lineRule="auto"/>
              <w:jc w:val="center"/>
              <w:rPr>
                <w:rFonts w:hint="eastAsia" w:cs="仿宋"/>
                <w:spacing w:val="7"/>
                <w:szCs w:val="21"/>
              </w:rPr>
            </w:pPr>
            <w:r>
              <w:rPr>
                <w:rFonts w:hint="eastAsia" w:cs="仿宋"/>
                <w:spacing w:val="7"/>
                <w:szCs w:val="21"/>
              </w:rPr>
              <w:t>部分</w:t>
            </w:r>
          </w:p>
          <w:p w14:paraId="7A54FAC0">
            <w:pPr>
              <w:spacing w:before="65" w:line="226" w:lineRule="auto"/>
              <w:jc w:val="center"/>
              <w:rPr>
                <w:rFonts w:hint="eastAsia" w:cs="仿宋"/>
                <w:szCs w:val="21"/>
              </w:rPr>
            </w:pPr>
            <w:r>
              <w:rPr>
                <w:rFonts w:hint="eastAsia" w:cs="仿宋"/>
                <w:spacing w:val="7"/>
                <w:szCs w:val="21"/>
              </w:rPr>
              <w:t>（30分）</w:t>
            </w:r>
          </w:p>
        </w:tc>
        <w:tc>
          <w:tcPr>
            <w:tcW w:w="1091" w:type="dxa"/>
            <w:vAlign w:val="center"/>
          </w:tcPr>
          <w:p w14:paraId="29249029">
            <w:pPr>
              <w:spacing w:before="65" w:line="226" w:lineRule="auto"/>
              <w:jc w:val="center"/>
              <w:rPr>
                <w:rFonts w:hint="eastAsia" w:cs="仿宋"/>
                <w:szCs w:val="21"/>
              </w:rPr>
            </w:pPr>
            <w:r>
              <w:rPr>
                <w:rFonts w:hint="eastAsia" w:cs="仿宋"/>
                <w:spacing w:val="7"/>
                <w:szCs w:val="21"/>
              </w:rPr>
              <w:t>投标总价</w:t>
            </w:r>
          </w:p>
        </w:tc>
        <w:tc>
          <w:tcPr>
            <w:tcW w:w="6641" w:type="dxa"/>
            <w:vAlign w:val="center"/>
          </w:tcPr>
          <w:p w14:paraId="7ABB4AD6">
            <w:pPr>
              <w:pStyle w:val="51"/>
              <w:spacing w:line="360" w:lineRule="auto"/>
              <w:rPr>
                <w:rFonts w:hint="eastAsia" w:cs="宋体"/>
                <w:sz w:val="21"/>
                <w:szCs w:val="21"/>
              </w:rPr>
            </w:pPr>
            <w:r>
              <w:rPr>
                <w:rFonts w:hint="eastAsia" w:cs="宋体"/>
                <w:sz w:val="21"/>
                <w:szCs w:val="21"/>
              </w:rPr>
              <w:t>满足招标文件要求且投标价格最低的投标报价为评标基准价，其价格分为满分。其他投标人的价格分统一按照下列公式计算：</w:t>
            </w:r>
          </w:p>
          <w:p w14:paraId="7E32DAB1">
            <w:pPr>
              <w:pStyle w:val="51"/>
              <w:spacing w:line="360" w:lineRule="auto"/>
              <w:rPr>
                <w:rFonts w:hint="eastAsia" w:cs="仿宋"/>
                <w:szCs w:val="21"/>
                <w14:ligatures w14:val="standardContextual"/>
              </w:rPr>
            </w:pPr>
            <w:r>
              <w:rPr>
                <w:rFonts w:hint="eastAsia" w:cs="宋体"/>
                <w:sz w:val="21"/>
                <w:szCs w:val="21"/>
              </w:rPr>
              <w:t>投标报价得分=（评标基准价／投标报价）×30</w:t>
            </w:r>
          </w:p>
        </w:tc>
      </w:tr>
      <w:tr w14:paraId="14F98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restart"/>
            <w:vAlign w:val="center"/>
          </w:tcPr>
          <w:p w14:paraId="1AD21A8C">
            <w:pPr>
              <w:pStyle w:val="78"/>
              <w:jc w:val="center"/>
              <w:rPr>
                <w:rFonts w:hint="eastAsia" w:ascii="宋体" w:hAnsi="宋体" w:eastAsia="宋体" w:cs="仿宋"/>
                <w:sz w:val="21"/>
                <w:szCs w:val="21"/>
              </w:rPr>
            </w:pPr>
            <w:r>
              <w:rPr>
                <w:rFonts w:hint="eastAsia" w:ascii="宋体" w:hAnsi="宋体" w:eastAsia="宋体" w:cs="仿宋"/>
                <w:sz w:val="21"/>
                <w:szCs w:val="21"/>
              </w:rPr>
              <w:t>商务</w:t>
            </w:r>
          </w:p>
          <w:p w14:paraId="09512EBA">
            <w:pPr>
              <w:pStyle w:val="78"/>
              <w:jc w:val="center"/>
              <w:rPr>
                <w:rFonts w:hint="eastAsia" w:ascii="宋体" w:hAnsi="宋体" w:eastAsia="宋体" w:cs="仿宋"/>
                <w:sz w:val="21"/>
                <w:szCs w:val="21"/>
              </w:rPr>
            </w:pPr>
            <w:r>
              <w:rPr>
                <w:rFonts w:hint="eastAsia" w:ascii="宋体" w:hAnsi="宋体" w:eastAsia="宋体" w:cs="仿宋"/>
                <w:sz w:val="21"/>
                <w:szCs w:val="21"/>
              </w:rPr>
              <w:t>部分</w:t>
            </w:r>
          </w:p>
          <w:p w14:paraId="0A7A3C16">
            <w:pPr>
              <w:spacing w:before="65" w:line="226" w:lineRule="auto"/>
              <w:jc w:val="center"/>
              <w:rPr>
                <w:rFonts w:hint="eastAsia" w:cs="仿宋"/>
                <w:spacing w:val="7"/>
                <w:szCs w:val="21"/>
              </w:rPr>
            </w:pPr>
            <w:r>
              <w:rPr>
                <w:rFonts w:hint="eastAsia" w:cs="仿宋"/>
                <w:szCs w:val="21"/>
              </w:rPr>
              <w:t>（10分）</w:t>
            </w:r>
          </w:p>
        </w:tc>
        <w:tc>
          <w:tcPr>
            <w:tcW w:w="1091" w:type="dxa"/>
            <w:vAlign w:val="center"/>
          </w:tcPr>
          <w:p w14:paraId="0E5FD968">
            <w:pPr>
              <w:spacing w:before="65" w:line="226" w:lineRule="auto"/>
              <w:jc w:val="center"/>
              <w:rPr>
                <w:rFonts w:hint="eastAsia" w:cs="仿宋"/>
                <w:spacing w:val="7"/>
                <w:szCs w:val="21"/>
              </w:rPr>
            </w:pPr>
            <w:r>
              <w:rPr>
                <w:rFonts w:hint="eastAsia" w:cs="仿宋"/>
                <w:spacing w:val="7"/>
                <w:szCs w:val="21"/>
              </w:rPr>
              <w:t>企业实力（5分）</w:t>
            </w:r>
          </w:p>
        </w:tc>
        <w:tc>
          <w:tcPr>
            <w:tcW w:w="6641" w:type="dxa"/>
            <w:vAlign w:val="center"/>
          </w:tcPr>
          <w:p w14:paraId="0E243437">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信息安全服务资质认证证书（信息系统安全集成）</w:t>
            </w:r>
          </w:p>
          <w:p w14:paraId="1DF3D5C2">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信息安全服务资质认证证书（信息系统安全运维）</w:t>
            </w:r>
          </w:p>
          <w:p w14:paraId="2E5C3AA9">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信息技术服务标准符合性证书ITSS（运行维护二级及以上）</w:t>
            </w:r>
          </w:p>
          <w:p w14:paraId="23432E4D">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信息系统建设和服务能力（CS2及以上）</w:t>
            </w:r>
          </w:p>
          <w:p w14:paraId="63540FB2">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安防工程企业设计施工维护能力证书（壹级）</w:t>
            </w:r>
          </w:p>
          <w:p w14:paraId="2AEB03B2">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注：提供以上任意一项证书得1分，最多得5分。</w:t>
            </w:r>
          </w:p>
        </w:tc>
      </w:tr>
      <w:tr w14:paraId="16894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442DF14A">
            <w:pPr>
              <w:spacing w:before="65" w:line="226" w:lineRule="auto"/>
              <w:jc w:val="center"/>
              <w:rPr>
                <w:rFonts w:hint="eastAsia" w:cs="仿宋"/>
                <w:spacing w:val="7"/>
                <w:szCs w:val="21"/>
              </w:rPr>
            </w:pPr>
          </w:p>
        </w:tc>
        <w:tc>
          <w:tcPr>
            <w:tcW w:w="1091" w:type="dxa"/>
            <w:vAlign w:val="center"/>
          </w:tcPr>
          <w:p w14:paraId="318E7EB2">
            <w:pPr>
              <w:spacing w:before="65" w:line="226" w:lineRule="auto"/>
              <w:jc w:val="center"/>
              <w:rPr>
                <w:rFonts w:hint="eastAsia" w:cs="仿宋"/>
                <w:spacing w:val="7"/>
                <w:szCs w:val="21"/>
              </w:rPr>
            </w:pPr>
            <w:r>
              <w:rPr>
                <w:rFonts w:hint="eastAsia" w:cs="仿宋"/>
                <w:spacing w:val="7"/>
                <w:szCs w:val="21"/>
              </w:rPr>
              <w:t>类似业绩（3分）</w:t>
            </w:r>
          </w:p>
        </w:tc>
        <w:tc>
          <w:tcPr>
            <w:tcW w:w="6641" w:type="dxa"/>
            <w:vAlign w:val="center"/>
          </w:tcPr>
          <w:p w14:paraId="429F5233">
            <w:pPr>
              <w:pStyle w:val="78"/>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提供类似业绩（2023年1月1日至投标截止时间前，以合同签订时间为准），每提供1项类似业绩得1分，最多得3分。（类似业绩指林业或草原同类业绩合同）</w:t>
            </w:r>
          </w:p>
          <w:p w14:paraId="752138B4">
            <w:pPr>
              <w:pStyle w:val="78"/>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证明材料：需提供中标通知书或合同复印件（包括合同首页、合同项目内容页，合同金额页、签字盖章页等关键页。</w:t>
            </w:r>
          </w:p>
        </w:tc>
      </w:tr>
      <w:tr w14:paraId="32685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2C09519B">
            <w:pPr>
              <w:spacing w:before="65" w:line="226" w:lineRule="auto"/>
              <w:jc w:val="center"/>
              <w:rPr>
                <w:rFonts w:hint="eastAsia" w:cs="仿宋"/>
                <w:spacing w:val="7"/>
                <w:szCs w:val="21"/>
              </w:rPr>
            </w:pPr>
          </w:p>
        </w:tc>
        <w:tc>
          <w:tcPr>
            <w:tcW w:w="1091" w:type="dxa"/>
            <w:vAlign w:val="center"/>
          </w:tcPr>
          <w:p w14:paraId="7C8C7AED">
            <w:pPr>
              <w:spacing w:before="65" w:line="226" w:lineRule="auto"/>
              <w:jc w:val="center"/>
              <w:rPr>
                <w:rFonts w:hint="eastAsia" w:cs="仿宋"/>
                <w:spacing w:val="7"/>
                <w:szCs w:val="21"/>
              </w:rPr>
            </w:pPr>
            <w:r>
              <w:rPr>
                <w:rFonts w:cs="仿宋"/>
                <w:spacing w:val="7"/>
                <w:szCs w:val="21"/>
              </w:rPr>
              <w:t>项目负责人</w:t>
            </w:r>
            <w:r>
              <w:rPr>
                <w:rFonts w:hint="eastAsia" w:cs="仿宋"/>
                <w:spacing w:val="7"/>
                <w:szCs w:val="21"/>
              </w:rPr>
              <w:t>（2分）</w:t>
            </w:r>
          </w:p>
        </w:tc>
        <w:tc>
          <w:tcPr>
            <w:tcW w:w="6641" w:type="dxa"/>
            <w:vAlign w:val="center"/>
          </w:tcPr>
          <w:p w14:paraId="3454CB36">
            <w:pPr>
              <w:pStyle w:val="78"/>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项目负责人需具备中级及以上职称，提供项目负责人身份证明扫描件，职称证书扫描件，响应截止时间前近半年任意1个月社保证明，材料必须清晰可见。</w:t>
            </w:r>
          </w:p>
          <w:p w14:paraId="3404ACDC">
            <w:pPr>
              <w:pStyle w:val="78"/>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满足得2分，不满足不得分。</w:t>
            </w:r>
          </w:p>
        </w:tc>
      </w:tr>
      <w:tr w14:paraId="70CE0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restart"/>
            <w:vAlign w:val="center"/>
          </w:tcPr>
          <w:p w14:paraId="66E09EFC">
            <w:pPr>
              <w:spacing w:before="65" w:line="226" w:lineRule="auto"/>
              <w:jc w:val="center"/>
              <w:rPr>
                <w:rFonts w:hint="eastAsia" w:cs="仿宋"/>
                <w:spacing w:val="7"/>
                <w:szCs w:val="21"/>
              </w:rPr>
            </w:pPr>
            <w:r>
              <w:rPr>
                <w:rFonts w:hint="eastAsia" w:cs="仿宋"/>
                <w:spacing w:val="7"/>
                <w:szCs w:val="21"/>
              </w:rPr>
              <w:t>技术</w:t>
            </w:r>
          </w:p>
          <w:p w14:paraId="52400C27">
            <w:pPr>
              <w:spacing w:before="65" w:line="226" w:lineRule="auto"/>
              <w:jc w:val="center"/>
              <w:rPr>
                <w:rFonts w:hint="eastAsia" w:cs="仿宋"/>
                <w:spacing w:val="7"/>
                <w:szCs w:val="21"/>
              </w:rPr>
            </w:pPr>
            <w:r>
              <w:rPr>
                <w:rFonts w:hint="eastAsia" w:cs="仿宋"/>
                <w:spacing w:val="7"/>
                <w:szCs w:val="21"/>
              </w:rPr>
              <w:t>部分</w:t>
            </w:r>
          </w:p>
          <w:p w14:paraId="7E1F0F81">
            <w:pPr>
              <w:spacing w:before="65" w:line="226" w:lineRule="auto"/>
              <w:jc w:val="center"/>
              <w:rPr>
                <w:rFonts w:hint="eastAsia" w:cs="仿宋"/>
                <w:spacing w:val="7"/>
                <w:szCs w:val="21"/>
              </w:rPr>
            </w:pPr>
            <w:r>
              <w:rPr>
                <w:rFonts w:hint="eastAsia" w:cs="仿宋"/>
                <w:spacing w:val="7"/>
                <w:szCs w:val="21"/>
              </w:rPr>
              <w:t>（60分）</w:t>
            </w:r>
          </w:p>
        </w:tc>
        <w:tc>
          <w:tcPr>
            <w:tcW w:w="1091" w:type="dxa"/>
            <w:vAlign w:val="center"/>
          </w:tcPr>
          <w:p w14:paraId="08A2B1D1">
            <w:pPr>
              <w:spacing w:before="65" w:line="226" w:lineRule="auto"/>
              <w:jc w:val="center"/>
              <w:rPr>
                <w:rFonts w:hint="eastAsia" w:cs="仿宋"/>
                <w:spacing w:val="7"/>
                <w:szCs w:val="21"/>
              </w:rPr>
            </w:pPr>
            <w:r>
              <w:rPr>
                <w:rFonts w:hint="eastAsia" w:cs="仿宋"/>
                <w:spacing w:val="7"/>
                <w:szCs w:val="21"/>
              </w:rPr>
              <w:t>产品的技术性能指标、技术参数（20分）</w:t>
            </w:r>
          </w:p>
        </w:tc>
        <w:tc>
          <w:tcPr>
            <w:tcW w:w="6641" w:type="dxa"/>
            <w:vAlign w:val="center"/>
          </w:tcPr>
          <w:p w14:paraId="648C4C68">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以招标文件中对设备技术要求和功能需求描述为基准，此项满分为20分。</w:t>
            </w:r>
          </w:p>
          <w:p w14:paraId="755C156F">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具体要求如下：</w:t>
            </w:r>
          </w:p>
          <w:p w14:paraId="68AF337D">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1.采购需求清单标注“★”的设备为核心产品，技术参数不允许存在负偏离。</w:t>
            </w:r>
          </w:p>
          <w:p w14:paraId="24573F78">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2.全部满足标记“▲”的指标是重要参数得15分，一项不满足或出现负偏离扣1分，扣完为止。</w:t>
            </w:r>
          </w:p>
          <w:p w14:paraId="422A9824">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全部满足一般参数（未标注“▲”条款）的得5分，每有一项出现不满足或负偏离的扣0.5分，最低得0分</w:t>
            </w:r>
          </w:p>
          <w:p w14:paraId="771B63BC">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注：技术参数需逐条响应，负偏离评审依据：①所提供产品技术参数低于招标文件要求的，视为负偏离；②技术参数响应条款（以投标文件内技术偏离表为准）与招标文件对比有缺项、漏项的，视为负偏离；③投标文件内技术偏离表完全复制招标文件技术参数的（不涉及具体参数指标的描述性技术要求除外），视为负偏离；④投标人提供的投标文件中产技术偏离表与产品技术规格书、实物照片、截图、彩页或产品检测报告等内容描述的同一产品技术参数响应值不一致的，视为负偏离</w:t>
            </w:r>
          </w:p>
        </w:tc>
      </w:tr>
      <w:tr w14:paraId="225C8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2B1B8687">
            <w:pPr>
              <w:spacing w:before="65" w:line="226" w:lineRule="auto"/>
              <w:jc w:val="center"/>
              <w:rPr>
                <w:rFonts w:hint="eastAsia" w:cs="仿宋"/>
                <w:spacing w:val="7"/>
                <w:szCs w:val="21"/>
              </w:rPr>
            </w:pPr>
          </w:p>
        </w:tc>
        <w:tc>
          <w:tcPr>
            <w:tcW w:w="1091" w:type="dxa"/>
            <w:vAlign w:val="center"/>
          </w:tcPr>
          <w:p w14:paraId="5A04B219">
            <w:pPr>
              <w:spacing w:before="65" w:line="226" w:lineRule="auto"/>
              <w:jc w:val="center"/>
              <w:rPr>
                <w:rFonts w:hint="eastAsia" w:cs="仿宋"/>
                <w:spacing w:val="5"/>
                <w:szCs w:val="21"/>
                <w:highlight w:val="yellow"/>
              </w:rPr>
            </w:pPr>
            <w:r>
              <w:rPr>
                <w:rFonts w:hint="eastAsia" w:cs="仿宋"/>
                <w:spacing w:val="5"/>
                <w:szCs w:val="21"/>
                <w:highlight w:val="none"/>
              </w:rPr>
              <w:t>业务需求分析（15分）</w:t>
            </w:r>
          </w:p>
        </w:tc>
        <w:tc>
          <w:tcPr>
            <w:tcW w:w="6641" w:type="dxa"/>
            <w:vAlign w:val="center"/>
          </w:tcPr>
          <w:p w14:paraId="013146BF">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投标人应对林草管护实际场景有充分的理解，应提供业务现状与痛点分析、智能管护需求定位、技术与数据需求分析。</w:t>
            </w:r>
          </w:p>
          <w:p w14:paraId="5A73C2CF">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1、全面覆盖林草管护核心业务场景，对各场景的描述详细准确，包含关键流程、人员配置、现有技术手段等信息的得3分；仅覆盖部分核心业务场景，描述基本清晰，但不够全面深入的得1分；场景覆盖严重不足，描述模糊不清，无法体现对业务的基本理解的不得分。</w:t>
            </w:r>
          </w:p>
          <w:p w14:paraId="26056C99">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2、精准提炼各业务场景的痛点问题，结合实际案例或数据支撑，问题分析深入透彻，能准确反映业务实际需求的得3分，能识别部分痛点问题，但分析不够深入，缺乏足够的支撑依据的得1分；痛点识别不准确，分析片面或无依据，无法体现对业务问题的正确认知的不得分。</w:t>
            </w:r>
          </w:p>
          <w:p w14:paraId="3923F004">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3、核心业务目标清晰明确、可量化，与痛点问题高度匹配，具有较强的可实现性的得3分；目标较为清晰，可量化，基本符合行业标准，与痛点问题有一定的匹配度的得1分；目标模糊不清，无法量化，与痛点问题脱节，不具备可实现性的不得分。</w:t>
            </w:r>
          </w:p>
          <w:p w14:paraId="32BB9967">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4、技术选型合理，与业务需求高度匹配，各技术的应用场景及预期效果描述清晰，具备较强的可行性和先进性的得3分；技术选型有一定合理性，但与业务需求的匹配度一般，对技术应用场景及效果的描述不够清晰的得1分；技术选型不合理，与业务需求脱节，无法支撑智能管护目标的实现的不得分。</w:t>
            </w:r>
          </w:p>
          <w:p w14:paraId="61F8D6FD">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5、数据类型梳理全面，来源明确，能满足智能管护系统的运行需求，数据规划具有前瞻性的得3分；数据类型梳理不够全面，部分数据来源不明确，质量要求不够具体，对系统运行需求的满足度一般的得1分；数据类型缺失严重，来源模糊，质量要求不合理，无法满足系统运行需求的不得分。</w:t>
            </w:r>
          </w:p>
        </w:tc>
      </w:tr>
      <w:tr w14:paraId="0ED52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52E1A94D">
            <w:pPr>
              <w:spacing w:before="65" w:line="226" w:lineRule="auto"/>
              <w:jc w:val="center"/>
              <w:rPr>
                <w:rFonts w:hint="eastAsia" w:cs="仿宋"/>
                <w:spacing w:val="7"/>
                <w:szCs w:val="21"/>
              </w:rPr>
            </w:pPr>
          </w:p>
        </w:tc>
        <w:tc>
          <w:tcPr>
            <w:tcW w:w="1091" w:type="dxa"/>
            <w:vAlign w:val="center"/>
          </w:tcPr>
          <w:p w14:paraId="3628BF39">
            <w:pPr>
              <w:spacing w:before="65" w:line="226" w:lineRule="auto"/>
              <w:jc w:val="center"/>
              <w:rPr>
                <w:rFonts w:hint="eastAsia" w:cs="仿宋"/>
                <w:spacing w:val="7"/>
                <w:szCs w:val="21"/>
                <w:highlight w:val="none"/>
              </w:rPr>
            </w:pPr>
            <w:r>
              <w:rPr>
                <w:rFonts w:cs="仿宋"/>
                <w:spacing w:val="5"/>
                <w:sz w:val="21"/>
                <w:szCs w:val="21"/>
                <w:highlight w:val="none"/>
              </w:rPr>
              <w:t>项目选址与要素保障</w:t>
            </w:r>
            <w:r>
              <w:rPr>
                <w:rFonts w:hint="eastAsia" w:cs="仿宋"/>
                <w:spacing w:val="5"/>
                <w:sz w:val="21"/>
                <w:szCs w:val="21"/>
                <w:highlight w:val="none"/>
              </w:rPr>
              <w:t>方案</w:t>
            </w:r>
            <w:bookmarkStart w:id="365" w:name="OLE_LINK4"/>
            <w:r>
              <w:rPr>
                <w:rFonts w:hint="eastAsia" w:cs="仿宋"/>
                <w:spacing w:val="5"/>
                <w:sz w:val="21"/>
                <w:szCs w:val="21"/>
                <w:highlight w:val="none"/>
              </w:rPr>
              <w:t>（8分）</w:t>
            </w:r>
            <w:bookmarkEnd w:id="365"/>
          </w:p>
        </w:tc>
        <w:tc>
          <w:tcPr>
            <w:tcW w:w="6641" w:type="dxa"/>
            <w:vAlign w:val="center"/>
          </w:tcPr>
          <w:p w14:paraId="543CB5CA">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根据投标人提供的技术服务方案和技术规范书要求进行评审，包括但不限于（</w:t>
            </w:r>
            <w:r>
              <w:rPr>
                <w:rFonts w:ascii="宋体" w:hAnsi="宋体" w:eastAsia="宋体" w:cs="仿宋"/>
                <w:sz w:val="21"/>
                <w:szCs w:val="21"/>
                <w:highlight w:val="none"/>
                <w:lang w:eastAsia="zh-CN"/>
                <w14:ligatures w14:val="standardContextual"/>
              </w:rPr>
              <w:t>选址方案</w:t>
            </w:r>
            <w:r>
              <w:rPr>
                <w:rFonts w:hint="eastAsia" w:ascii="宋体" w:hAnsi="宋体" w:eastAsia="宋体" w:cs="仿宋"/>
                <w:sz w:val="21"/>
                <w:szCs w:val="21"/>
                <w:highlight w:val="none"/>
                <w:lang w:eastAsia="zh-CN"/>
                <w14:ligatures w14:val="standardContextual"/>
              </w:rPr>
              <w:t>、</w:t>
            </w:r>
            <w:r>
              <w:rPr>
                <w:rFonts w:ascii="宋体" w:hAnsi="宋体" w:eastAsia="宋体" w:cs="仿宋"/>
                <w:sz w:val="21"/>
                <w:szCs w:val="21"/>
                <w:highlight w:val="none"/>
                <w:lang w:eastAsia="zh-CN"/>
                <w14:ligatures w14:val="standardContextual"/>
              </w:rPr>
              <w:t>项目建设条件</w:t>
            </w:r>
            <w:r>
              <w:rPr>
                <w:rFonts w:hint="eastAsia" w:ascii="宋体" w:hAnsi="宋体" w:eastAsia="宋体" w:cs="仿宋"/>
                <w:sz w:val="21"/>
                <w:szCs w:val="21"/>
                <w:highlight w:val="none"/>
                <w:lang w:eastAsia="zh-CN"/>
                <w14:ligatures w14:val="standardContextual"/>
              </w:rPr>
              <w:t>、</w:t>
            </w:r>
            <w:r>
              <w:rPr>
                <w:rFonts w:ascii="宋体" w:hAnsi="宋体" w:eastAsia="宋体" w:cs="仿宋"/>
                <w:sz w:val="21"/>
                <w:szCs w:val="21"/>
                <w:highlight w:val="none"/>
                <w:lang w:eastAsia="zh-CN"/>
                <w14:ligatures w14:val="standardContextual"/>
              </w:rPr>
              <w:t>要素保障分析</w:t>
            </w:r>
            <w:r>
              <w:rPr>
                <w:rFonts w:hint="eastAsia" w:ascii="宋体" w:hAnsi="宋体" w:eastAsia="宋体" w:cs="仿宋"/>
                <w:sz w:val="21"/>
                <w:szCs w:val="21"/>
                <w:highlight w:val="none"/>
                <w:lang w:eastAsia="zh-CN"/>
                <w14:ligatures w14:val="standardContextual"/>
              </w:rPr>
              <w:t>）等进行综合对比打分：</w:t>
            </w:r>
          </w:p>
          <w:p w14:paraId="3816D62F">
            <w:pPr>
              <w:pStyle w:val="78"/>
              <w:numPr>
                <w:ilvl w:val="0"/>
                <w:numId w:val="5"/>
              </w:numPr>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投标人在选址方案中分析本项目高山云台可能遇到的监测覆盖不加问题，提出针对性解决措施，提供本项目实施范围的点位地球实景图模拟、可视域分析图及说明等能说明优化选址的全面分析。</w:t>
            </w:r>
            <w:r>
              <w:rPr>
                <w:rFonts w:ascii="宋体" w:hAnsi="宋体" w:eastAsia="宋体" w:cs="仿宋"/>
                <w:sz w:val="21"/>
                <w:szCs w:val="21"/>
                <w:highlight w:val="none"/>
                <w:lang w:eastAsia="zh-CN"/>
                <w14:ligatures w14:val="standardContextual"/>
              </w:rPr>
              <w:t>提供3种以上选址方案对比分析，每种方案均包含实景图、可视域分析图</w:t>
            </w:r>
            <w:r>
              <w:rPr>
                <w:rFonts w:hint="eastAsia" w:ascii="宋体" w:hAnsi="宋体" w:eastAsia="宋体" w:cs="仿宋"/>
                <w:sz w:val="21"/>
                <w:szCs w:val="21"/>
                <w:highlight w:val="none"/>
                <w:lang w:eastAsia="zh-CN"/>
                <w14:ligatures w14:val="standardContextual"/>
              </w:rPr>
              <w:t>及分析清晰全面</w:t>
            </w:r>
            <w:r>
              <w:rPr>
                <w:rFonts w:ascii="宋体" w:hAnsi="宋体" w:eastAsia="宋体" w:cs="仿宋"/>
                <w:sz w:val="21"/>
                <w:szCs w:val="21"/>
                <w:highlight w:val="none"/>
                <w:lang w:eastAsia="zh-CN"/>
                <w14:ligatures w14:val="standardContextual"/>
              </w:rPr>
              <w:t>的得</w:t>
            </w:r>
            <w:r>
              <w:rPr>
                <w:rFonts w:hint="eastAsia" w:ascii="宋体" w:hAnsi="宋体" w:eastAsia="宋体" w:cs="仿宋"/>
                <w:sz w:val="21"/>
                <w:szCs w:val="21"/>
                <w:highlight w:val="none"/>
                <w:lang w:eastAsia="zh-CN"/>
                <w14:ligatures w14:val="standardContextual"/>
              </w:rPr>
              <w:t>4</w:t>
            </w:r>
            <w:r>
              <w:rPr>
                <w:rFonts w:ascii="宋体" w:hAnsi="宋体" w:eastAsia="宋体" w:cs="仿宋"/>
                <w:sz w:val="21"/>
                <w:szCs w:val="21"/>
                <w:highlight w:val="none"/>
                <w:lang w:eastAsia="zh-CN"/>
                <w14:ligatures w14:val="standardContextual"/>
              </w:rPr>
              <w:t>分；提供</w:t>
            </w:r>
            <w:r>
              <w:rPr>
                <w:rFonts w:hint="eastAsia" w:ascii="宋体" w:hAnsi="宋体" w:eastAsia="宋体" w:cs="仿宋"/>
                <w:sz w:val="21"/>
                <w:szCs w:val="21"/>
                <w:highlight w:val="none"/>
                <w:lang w:eastAsia="zh-CN"/>
                <w14:ligatures w14:val="standardContextual"/>
              </w:rPr>
              <w:t>2</w:t>
            </w:r>
            <w:r>
              <w:rPr>
                <w:rFonts w:ascii="宋体" w:hAnsi="宋体" w:eastAsia="宋体" w:cs="仿宋"/>
                <w:sz w:val="21"/>
                <w:szCs w:val="21"/>
                <w:highlight w:val="none"/>
                <w:lang w:eastAsia="zh-CN"/>
                <w14:ligatures w14:val="standardContextual"/>
              </w:rPr>
              <w:t>种方案且分析不全面的得</w:t>
            </w:r>
            <w:r>
              <w:rPr>
                <w:rFonts w:hint="eastAsia" w:ascii="宋体" w:hAnsi="宋体" w:eastAsia="宋体" w:cs="仿宋"/>
                <w:sz w:val="21"/>
                <w:szCs w:val="21"/>
                <w:highlight w:val="none"/>
                <w:lang w:eastAsia="zh-CN"/>
                <w14:ligatures w14:val="standardContextual"/>
              </w:rPr>
              <w:t>2</w:t>
            </w:r>
            <w:r>
              <w:rPr>
                <w:rFonts w:ascii="宋体" w:hAnsi="宋体" w:eastAsia="宋体" w:cs="仿宋"/>
                <w:sz w:val="21"/>
                <w:szCs w:val="21"/>
                <w:highlight w:val="none"/>
                <w:lang w:eastAsia="zh-CN"/>
                <w14:ligatures w14:val="standardContextual"/>
              </w:rPr>
              <w:t>分</w:t>
            </w:r>
            <w:r>
              <w:rPr>
                <w:rFonts w:hint="eastAsia" w:ascii="宋体" w:hAnsi="宋体" w:eastAsia="宋体" w:cs="仿宋"/>
                <w:sz w:val="21"/>
                <w:szCs w:val="21"/>
                <w:highlight w:val="none"/>
                <w:lang w:eastAsia="zh-CN"/>
                <w14:ligatures w14:val="standardContextual"/>
              </w:rPr>
              <w:t>，</w:t>
            </w:r>
            <w:r>
              <w:rPr>
                <w:rFonts w:ascii="宋体" w:hAnsi="宋体" w:eastAsia="宋体" w:cs="仿宋"/>
                <w:sz w:val="21"/>
                <w:szCs w:val="21"/>
                <w:highlight w:val="none"/>
                <w:lang w:eastAsia="zh-CN"/>
                <w14:ligatures w14:val="standardContextual"/>
              </w:rPr>
              <w:t>提供1种方案且分析不全面的得</w:t>
            </w:r>
            <w:r>
              <w:rPr>
                <w:rFonts w:hint="eastAsia" w:ascii="宋体" w:hAnsi="宋体" w:eastAsia="宋体" w:cs="仿宋"/>
                <w:sz w:val="21"/>
                <w:szCs w:val="21"/>
                <w:highlight w:val="none"/>
                <w:lang w:eastAsia="zh-CN"/>
                <w14:ligatures w14:val="standardContextual"/>
              </w:rPr>
              <w:t>1</w:t>
            </w:r>
            <w:r>
              <w:rPr>
                <w:rFonts w:ascii="宋体" w:hAnsi="宋体" w:eastAsia="宋体" w:cs="仿宋"/>
                <w:sz w:val="21"/>
                <w:szCs w:val="21"/>
                <w:highlight w:val="none"/>
                <w:lang w:eastAsia="zh-CN"/>
                <w14:ligatures w14:val="standardContextual"/>
              </w:rPr>
              <w:t>分；</w:t>
            </w:r>
            <w:r>
              <w:rPr>
                <w:rFonts w:hint="eastAsia" w:ascii="宋体" w:hAnsi="宋体" w:eastAsia="宋体" w:cs="仿宋"/>
                <w:sz w:val="21"/>
                <w:szCs w:val="21"/>
                <w:highlight w:val="none"/>
                <w:lang w:eastAsia="zh-CN"/>
                <w14:ligatures w14:val="standardContextual"/>
              </w:rPr>
              <w:t>未提供得不得分。</w:t>
            </w:r>
          </w:p>
          <w:p w14:paraId="5F238DB5">
            <w:pPr>
              <w:pStyle w:val="78"/>
              <w:numPr>
                <w:ilvl w:val="0"/>
                <w:numId w:val="5"/>
              </w:numPr>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投标人在</w:t>
            </w:r>
            <w:r>
              <w:rPr>
                <w:rFonts w:ascii="宋体" w:hAnsi="宋体" w:eastAsia="宋体" w:cs="仿宋"/>
                <w:sz w:val="21"/>
                <w:szCs w:val="21"/>
                <w:highlight w:val="none"/>
                <w:lang w:eastAsia="zh-CN"/>
                <w14:ligatures w14:val="standardContextual"/>
              </w:rPr>
              <w:t>要素保障分析</w:t>
            </w:r>
            <w:r>
              <w:rPr>
                <w:rFonts w:hint="eastAsia" w:ascii="宋体" w:hAnsi="宋体" w:eastAsia="宋体" w:cs="仿宋"/>
                <w:sz w:val="21"/>
                <w:szCs w:val="21"/>
                <w:highlight w:val="none"/>
                <w:lang w:eastAsia="zh-CN"/>
                <w14:ligatures w14:val="standardContextual"/>
              </w:rPr>
              <w:t>中，数据源上面重点考察点气象数据来源与合规性，基础数据来源须来自于国家级或省级气象主管部门机构，投标人需提供“加盖国家级或省级气象主管部门机构电子章的官方文件”或“复印件加盖供应商公章”。方案中数据源、获取气象因子明确，且提供气象数据来源证明材料的得4分；数据源或获取气象因子不明确、提供气象数据来源证明材料的得2分，未提供气象数据来源证明材料的不得分。</w:t>
            </w:r>
          </w:p>
          <w:p w14:paraId="72004147">
            <w:pPr>
              <w:pStyle w:val="78"/>
              <w:rPr>
                <w:rFonts w:hint="eastAsia" w:ascii="宋体" w:hAnsi="宋体" w:eastAsia="宋体" w:cs="仿宋"/>
                <w:sz w:val="21"/>
                <w:szCs w:val="21"/>
                <w:highlight w:val="none"/>
                <w:lang w:eastAsia="zh-CN"/>
                <w14:ligatures w14:val="standardContextual"/>
              </w:rPr>
            </w:pPr>
          </w:p>
        </w:tc>
      </w:tr>
      <w:tr w14:paraId="705E2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22A790F1">
            <w:pPr>
              <w:spacing w:before="65" w:line="226" w:lineRule="auto"/>
              <w:jc w:val="center"/>
              <w:rPr>
                <w:rFonts w:hint="eastAsia" w:cs="仿宋"/>
                <w:spacing w:val="7"/>
                <w:szCs w:val="21"/>
              </w:rPr>
            </w:pPr>
          </w:p>
        </w:tc>
        <w:tc>
          <w:tcPr>
            <w:tcW w:w="1091" w:type="dxa"/>
            <w:vAlign w:val="center"/>
          </w:tcPr>
          <w:p w14:paraId="1170200E">
            <w:pPr>
              <w:pStyle w:val="78"/>
              <w:spacing w:before="38" w:line="239" w:lineRule="auto"/>
              <w:ind w:left="7" w:right="68"/>
              <w:rPr>
                <w:rFonts w:hint="eastAsia" w:ascii="宋体" w:hAnsi="宋体" w:eastAsia="宋体" w:cs="仿宋"/>
                <w:spacing w:val="5"/>
                <w:sz w:val="21"/>
                <w:szCs w:val="21"/>
                <w:highlight w:val="none"/>
                <w:lang w:eastAsia="zh-CN"/>
              </w:rPr>
            </w:pPr>
            <w:r>
              <w:rPr>
                <w:rFonts w:ascii="宋体" w:hAnsi="宋体" w:eastAsia="宋体" w:cs="仿宋"/>
                <w:spacing w:val="5"/>
                <w:sz w:val="21"/>
                <w:szCs w:val="21"/>
                <w:highlight w:val="none"/>
                <w:lang w:eastAsia="zh-CN"/>
              </w:rPr>
              <w:t>项目建设方案</w:t>
            </w:r>
            <w:r>
              <w:rPr>
                <w:rFonts w:hint="eastAsia" w:ascii="宋体" w:hAnsi="宋体" w:eastAsia="宋体" w:cs="仿宋"/>
                <w:spacing w:val="5"/>
                <w:sz w:val="21"/>
                <w:szCs w:val="21"/>
                <w:highlight w:val="none"/>
                <w:lang w:eastAsia="zh-CN"/>
              </w:rPr>
              <w:t>（8分）</w:t>
            </w:r>
          </w:p>
        </w:tc>
        <w:tc>
          <w:tcPr>
            <w:tcW w:w="6641" w:type="dxa"/>
            <w:vAlign w:val="center"/>
          </w:tcPr>
          <w:p w14:paraId="158A7CE6">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投标人提供的建设方案内容全面、详细合理、针对性强、贴近项目需求，内容包含但不限于：</w:t>
            </w:r>
          </w:p>
          <w:p w14:paraId="7CE645CA">
            <w:pPr>
              <w:pStyle w:val="78"/>
              <w:numPr>
                <w:ilvl w:val="0"/>
                <w:numId w:val="6"/>
              </w:numPr>
              <w:ind w:left="0" w:firstLine="0"/>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需在建设方案中详细阐述项目总体架构、网络架构、信息安全架构，明确各系统之间的连接协议及数据交互流程（如是否标注协议类型、数据流向、关键节点）。同时，投标人应承诺提供免费联调服务，具体要求如下：联调服务期限：自项目验收合格之日起12个月；联调服务范围：包括与上级林业主管部门、其他分局现有系统的对接调试，确保系统之间数据互联互通、业务协同（如指挥调度系统、病虫害监测预警系统、管护APP、业务中台等）。投标人详细阐述项目总体架构、网络架构、信息安全架构，提供清晰的系统连接图与数据交互流程说明；明确承诺提供自项目验收合格之日起12个月的免费联调服务；联调范围覆盖与上级林业主管部门、其他分局现有系统的对接调试，并承诺确保数据互联互通与业务协同；方案内容完整、逻辑清晰、可落地执行的得4分。提供了基本的架构描述和联调服务承诺，但存在以下任一情况：（1）架构图或数据流程不完整、不清晰；（2）联调服务期限或范围表述模糊；（3）未明确说明如何保障系统互联互通的得2分。未提供相关内容；或提供的方案明显脱离实际、无法实施；或联调服务承诺缺失的不得分。</w:t>
            </w:r>
          </w:p>
          <w:p w14:paraId="2910461A">
            <w:pPr>
              <w:pStyle w:val="78"/>
              <w:rPr>
                <w:rFonts w:hint="eastAsia" w:ascii="宋体" w:hAnsi="宋体" w:eastAsia="宋体" w:cs="仿宋"/>
                <w:sz w:val="21"/>
                <w:szCs w:val="21"/>
                <w:highlight w:val="none"/>
                <w:lang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14:ligatures w14:val="standardContextual"/>
              </w:rPr>
            </w:pPr>
            <w:r>
              <w:rPr>
                <w:rFonts w:hint="eastAsia" w:ascii="宋体" w:hAnsi="宋体" w:eastAsia="宋体" w:cs="仿宋"/>
                <w:sz w:val="21"/>
                <w:szCs w:val="21"/>
                <w:highlight w:val="none"/>
                <w:lang w:eastAsia="zh-CN"/>
                <w14:ligatures w14:val="standardContextual"/>
              </w:rPr>
              <w:t>2、投标人需在实施方案中详细阐述所投软件的建设内容，具体要求如下：（1）业务目标与分析：明确软件系统建设的业务目标，说明软件对提升管护能力的作用；（2）系统架构与功能架构：提供软件的系统架构图、功能架构图，明确各模块的功能职责；（3）详细业务流程：绘制详细的业务流程图，并对关键节点进行说明。业务目标明确，目标分析深入；系统架构与功能架构清晰合理；业务流程详细，可直接指导实施的得4分；业务目标较明确，目标分析较深入；业务应用场景覆盖部分核心环节；系统架构与功能架构基本合理；业务流程基本清晰，但存在部分缺失的得2分；提供软件建设实施方案；或方案内容空洞，与项目需求严重不符不得分。</w:t>
            </w:r>
          </w:p>
        </w:tc>
      </w:tr>
      <w:tr w14:paraId="01DD1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3" w:hRule="atLeast"/>
          <w:jc w:val="center"/>
        </w:trPr>
        <w:tc>
          <w:tcPr>
            <w:tcW w:w="883" w:type="dxa"/>
            <w:vMerge w:val="continue"/>
            <w:vAlign w:val="center"/>
          </w:tcPr>
          <w:p w14:paraId="66FF2692">
            <w:pPr>
              <w:spacing w:before="65" w:line="226" w:lineRule="auto"/>
              <w:jc w:val="center"/>
              <w:rPr>
                <w:rFonts w:hint="eastAsia" w:cs="仿宋"/>
                <w:spacing w:val="7"/>
                <w:szCs w:val="21"/>
              </w:rPr>
            </w:pPr>
          </w:p>
        </w:tc>
        <w:tc>
          <w:tcPr>
            <w:tcW w:w="1091" w:type="dxa"/>
            <w:vAlign w:val="center"/>
          </w:tcPr>
          <w:p w14:paraId="657799F6">
            <w:pPr>
              <w:pStyle w:val="78"/>
              <w:ind w:left="31" w:leftChars="13"/>
              <w:rPr>
                <w:rFonts w:hint="eastAsia" w:ascii="宋体" w:hAnsi="宋体" w:eastAsia="宋体" w:cs="仿宋"/>
                <w:spacing w:val="5"/>
                <w:sz w:val="21"/>
                <w:szCs w:val="21"/>
                <w:lang w:eastAsia="zh-CN"/>
              </w:rPr>
            </w:pPr>
            <w:r>
              <w:rPr>
                <w:rFonts w:hint="eastAsia" w:ascii="宋体" w:hAnsi="宋体" w:eastAsia="宋体" w:cs="仿宋"/>
                <w:sz w:val="21"/>
                <w:szCs w:val="21"/>
                <w:lang w:eastAsia="zh-CN"/>
                <w14:ligatures w14:val="standardContextual"/>
              </w:rPr>
              <w:t>项目运营方案（2分）</w:t>
            </w:r>
          </w:p>
        </w:tc>
        <w:tc>
          <w:tcPr>
            <w:tcW w:w="6641" w:type="dxa"/>
            <w:vAlign w:val="center"/>
          </w:tcPr>
          <w:p w14:paraId="385A53ED">
            <w:pPr>
              <w:pStyle w:val="78"/>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根据投标人提供的技术服务方案和技术规范书要求进行评审，包括但不限于（运营模式、运营组织、安全保障）等进行综合对比打分：</w:t>
            </w:r>
          </w:p>
          <w:p w14:paraId="7C52719A">
            <w:pPr>
              <w:pStyle w:val="78"/>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方案可行、需求分析清晰且有逻辑性、具有可执行性、能够与实际相结合的，科学规律得2分；每缺一项内容减1分，每有一项内容存在缺陷(缺陷是指:存在不适用该项目实际情况的情形、凭空编造、内容前后不一致、前后逻辑错误、阐述不清晰、涉及的规范及标准错误、地点区域错误、内容缺失、内容存在偏差或过于简单、不符合采购需求的任意一项）的减0.5分，减完为止。未提供方案得0分。</w:t>
            </w:r>
          </w:p>
        </w:tc>
      </w:tr>
      <w:tr w14:paraId="601C5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1ADD6586">
            <w:pPr>
              <w:spacing w:before="65" w:line="226" w:lineRule="auto"/>
              <w:jc w:val="center"/>
              <w:rPr>
                <w:rFonts w:hint="eastAsia" w:cs="仿宋"/>
                <w:spacing w:val="7"/>
                <w:szCs w:val="21"/>
              </w:rPr>
            </w:pPr>
          </w:p>
        </w:tc>
        <w:tc>
          <w:tcPr>
            <w:tcW w:w="1091" w:type="dxa"/>
            <w:vAlign w:val="center"/>
          </w:tcPr>
          <w:p w14:paraId="3A8C7FFA">
            <w:pPr>
              <w:pStyle w:val="78"/>
              <w:ind w:left="31" w:leftChars="13"/>
              <w:rPr>
                <w:rFonts w:hint="eastAsia" w:ascii="宋体" w:hAnsi="宋体" w:eastAsia="宋体" w:cs="仿宋"/>
                <w:spacing w:val="5"/>
                <w:sz w:val="21"/>
                <w:szCs w:val="21"/>
                <w:lang w:eastAsia="zh-CN"/>
              </w:rPr>
            </w:pPr>
            <w:r>
              <w:rPr>
                <w:rFonts w:hint="eastAsia" w:ascii="宋体" w:hAnsi="宋体" w:eastAsia="宋体" w:cs="仿宋"/>
                <w:sz w:val="21"/>
                <w:szCs w:val="21"/>
                <w:lang w:eastAsia="zh-CN"/>
                <w14:ligatures w14:val="standardContextual"/>
              </w:rPr>
              <w:t>实施方案（2分）</w:t>
            </w:r>
          </w:p>
        </w:tc>
        <w:tc>
          <w:tcPr>
            <w:tcW w:w="6641" w:type="dxa"/>
            <w:vAlign w:val="center"/>
          </w:tcPr>
          <w:p w14:paraId="3B167070">
            <w:pPr>
              <w:pStyle w:val="78"/>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包括但不限于（质量管理控制方案、实施计划、保障措施、测试和验收方案、风险识别与评价、风险管控、风险应急预案）等进行综合对比打分：</w:t>
            </w:r>
          </w:p>
          <w:p w14:paraId="66E451A0">
            <w:pPr>
              <w:pStyle w:val="78"/>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方案可行、需求分析清晰且有逻辑性、具有可执行性、能够与实际相结合的，科学规律得2分；每缺一项内容减1分，每有一项内容存在缺陷(缺陷是指:存在不适用该项目实际情况的情形、凭空编造、内容前后不一致、前后逻辑错误、阐述不清晰、涉及的规范及标准错误、地点区域错误、内容缺失、内容存在偏差或过于简单、不符合采购需求的任意一项）的减0.5分，减完为止。未提供方案得0分。</w:t>
            </w:r>
          </w:p>
        </w:tc>
      </w:tr>
      <w:tr w14:paraId="6A59A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3A730D2F">
            <w:pPr>
              <w:spacing w:before="65" w:line="226" w:lineRule="auto"/>
              <w:jc w:val="center"/>
              <w:rPr>
                <w:rFonts w:hint="eastAsia" w:cs="仿宋"/>
                <w:spacing w:val="7"/>
                <w:szCs w:val="21"/>
              </w:rPr>
            </w:pPr>
          </w:p>
        </w:tc>
        <w:tc>
          <w:tcPr>
            <w:tcW w:w="1091" w:type="dxa"/>
            <w:vAlign w:val="center"/>
          </w:tcPr>
          <w:p w14:paraId="6ACD8DCD">
            <w:pPr>
              <w:pStyle w:val="78"/>
              <w:ind w:left="31" w:leftChars="13"/>
              <w:rPr>
                <w:rFonts w:hint="eastAsia" w:ascii="宋体" w:hAnsi="宋体" w:eastAsia="宋体" w:cs="仿宋"/>
                <w:spacing w:val="5"/>
                <w:sz w:val="21"/>
                <w:szCs w:val="21"/>
                <w:lang w:eastAsia="zh-CN"/>
              </w:rPr>
            </w:pPr>
            <w:r>
              <w:rPr>
                <w:rFonts w:hint="eastAsia" w:ascii="宋体" w:hAnsi="宋体" w:eastAsia="宋体" w:cs="仿宋"/>
                <w:sz w:val="21"/>
                <w:szCs w:val="21"/>
                <w:lang w:eastAsia="zh-CN"/>
                <w14:ligatures w14:val="standardContextual"/>
              </w:rPr>
              <w:t>培训方案（2分）</w:t>
            </w:r>
          </w:p>
        </w:tc>
        <w:tc>
          <w:tcPr>
            <w:tcW w:w="6641" w:type="dxa"/>
            <w:vAlign w:val="center"/>
          </w:tcPr>
          <w:p w14:paraId="6AC5E77C">
            <w:pPr>
              <w:pStyle w:val="78"/>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供应商提出具有可行性的技术培训方案，方案需响应招标文件要求，培训方案包含：①日常操作、②工作原理、③维护方法、④应急处置，可根据以下标准评分：</w:t>
            </w:r>
          </w:p>
          <w:p w14:paraId="454E5D2F">
            <w:pPr>
              <w:pStyle w:val="78"/>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方案可行、需求分析清晰且有逻辑性、具有可执行性、能够与实际相结合的，科学规律得2分；每缺一项内容减0.5分，每有一项内容存在缺陷(缺陷是指:存在不适用该项目实际情况的情形、凭空编造、内容前后不一致、前后逻辑错误、阐述不清晰、涉及的规范及标准错误、地点区域错误、内容缺失、内容存在偏差或过于简单、不符合采购需求的任意一项）的减0.5分，减完为止。未提供方案得0分。</w:t>
            </w:r>
          </w:p>
        </w:tc>
      </w:tr>
      <w:tr w14:paraId="65611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0C2FCA2B">
            <w:pPr>
              <w:spacing w:before="65" w:line="226" w:lineRule="auto"/>
              <w:jc w:val="center"/>
              <w:rPr>
                <w:rFonts w:hint="eastAsia" w:cs="仿宋"/>
                <w:spacing w:val="7"/>
                <w:szCs w:val="21"/>
              </w:rPr>
            </w:pPr>
          </w:p>
        </w:tc>
        <w:tc>
          <w:tcPr>
            <w:tcW w:w="1091" w:type="dxa"/>
            <w:vAlign w:val="center"/>
          </w:tcPr>
          <w:p w14:paraId="206B87D9">
            <w:pPr>
              <w:pStyle w:val="78"/>
              <w:ind w:left="31" w:leftChars="13"/>
              <w:rPr>
                <w:rFonts w:hint="eastAsia" w:ascii="宋体" w:hAnsi="宋体" w:eastAsia="宋体" w:cs="仿宋"/>
                <w:spacing w:val="5"/>
                <w:sz w:val="21"/>
                <w:szCs w:val="21"/>
                <w:highlight w:val="none"/>
                <w:lang w:eastAsia="zh-CN"/>
              </w:rPr>
            </w:pPr>
            <w:r>
              <w:rPr>
                <w:rFonts w:hint="eastAsia" w:ascii="宋体" w:hAnsi="宋体" w:eastAsia="宋体" w:cs="仿宋"/>
                <w:sz w:val="21"/>
                <w:szCs w:val="21"/>
                <w:highlight w:val="none"/>
                <w:lang w:eastAsia="zh-CN"/>
                <w14:ligatures w14:val="standardContextual"/>
              </w:rPr>
              <w:t>售后服务（3分）</w:t>
            </w:r>
          </w:p>
        </w:tc>
        <w:tc>
          <w:tcPr>
            <w:tcW w:w="6641" w:type="dxa"/>
            <w:vAlign w:val="center"/>
          </w:tcPr>
          <w:p w14:paraId="58475A76">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具有完善的售后服务体系，有专业的售后服务团队，保证能及时响应客户需求，提供优质售后服务。编制售后服务方案，内容包含但不限于：</w:t>
            </w:r>
          </w:p>
          <w:p w14:paraId="44663769">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1.售后服务方案；2.售后服务承诺函；3.售后服务体系；4.售后应急预案；5.服务连续管理；6.服务质量管理。</w:t>
            </w:r>
          </w:p>
          <w:p w14:paraId="2068891E">
            <w:pPr>
              <w:pStyle w:val="78"/>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方案详尽、细致、全面、专业，满足采购人的需求，得3分；每有一项内容缺失减0.5分，存在缺陷（缺陷指内容阐述不清晰，存在偏差或过于简略）的扣0.2分，减完为止。未提供方案得0分。</w:t>
            </w:r>
          </w:p>
        </w:tc>
      </w:tr>
    </w:tbl>
    <w:p w14:paraId="56533251">
      <w:pPr>
        <w:rPr>
          <w:rFonts w:hint="eastAsia"/>
        </w:rPr>
      </w:pPr>
    </w:p>
    <w:p w14:paraId="1B4AA221">
      <w:pPr>
        <w:pStyle w:val="3"/>
        <w:spacing w:before="220" w:after="220" w:line="480" w:lineRule="auto"/>
        <w:ind w:left="420" w:hanging="420"/>
        <w:rPr>
          <w:rFonts w:hint="eastAsia" w:eastAsia="宋体" w:cs="宋体"/>
          <w:sz w:val="36"/>
          <w:szCs w:val="36"/>
          <w:lang w:val="zh-CN"/>
        </w:rPr>
      </w:pPr>
      <w:bookmarkStart w:id="366" w:name="_Toc155185918"/>
      <w:bookmarkStart w:id="367" w:name="_Toc163492912"/>
      <w:bookmarkStart w:id="368" w:name="_Toc11802"/>
    </w:p>
    <w:p w14:paraId="0E8CC225">
      <w:pPr>
        <w:rPr>
          <w:rFonts w:hint="eastAsia" w:eastAsia="宋体" w:cs="宋体"/>
          <w:sz w:val="36"/>
          <w:szCs w:val="36"/>
          <w:lang w:val="zh-CN"/>
        </w:rPr>
      </w:pPr>
      <w:r>
        <w:rPr>
          <w:rFonts w:hint="eastAsia" w:eastAsia="宋体" w:cs="宋体"/>
          <w:sz w:val="36"/>
          <w:szCs w:val="36"/>
          <w:lang w:val="zh-CN"/>
        </w:rPr>
        <w:br w:type="page"/>
      </w:r>
    </w:p>
    <w:p w14:paraId="1680CEED">
      <w:pPr>
        <w:pStyle w:val="3"/>
        <w:spacing w:before="220" w:after="220" w:line="480" w:lineRule="auto"/>
        <w:ind w:left="420" w:hanging="420"/>
        <w:rPr>
          <w:rFonts w:hint="eastAsia" w:eastAsia="宋体" w:cs="宋体"/>
          <w:sz w:val="36"/>
          <w:szCs w:val="36"/>
          <w:lang w:val="zh-CN"/>
        </w:rPr>
      </w:pPr>
      <w:r>
        <w:rPr>
          <w:rFonts w:hint="eastAsia" w:eastAsia="宋体" w:cs="宋体"/>
          <w:sz w:val="36"/>
          <w:szCs w:val="36"/>
          <w:lang w:val="zh-CN"/>
        </w:rPr>
        <w:t>第六章 合同</w:t>
      </w:r>
      <w:bookmarkEnd w:id="366"/>
      <w:r>
        <w:rPr>
          <w:rFonts w:hint="eastAsia" w:eastAsia="宋体" w:cs="宋体"/>
          <w:sz w:val="36"/>
          <w:szCs w:val="36"/>
          <w:lang w:val="zh-CN"/>
        </w:rPr>
        <w:t>草案</w:t>
      </w:r>
      <w:bookmarkEnd w:id="367"/>
      <w:bookmarkEnd w:id="368"/>
    </w:p>
    <w:p w14:paraId="668F08C7">
      <w:pPr>
        <w:rPr>
          <w:rFonts w:hint="eastAsia"/>
          <w:lang w:val="zh-CN"/>
        </w:rPr>
      </w:pPr>
    </w:p>
    <w:p w14:paraId="18509A5B">
      <w:pPr>
        <w:wordWrap w:val="0"/>
        <w:jc w:val="center"/>
        <w:rPr>
          <w:rFonts w:hint="eastAsia"/>
          <w:bCs/>
          <w:szCs w:val="24"/>
        </w:rPr>
      </w:pPr>
      <w:r>
        <w:rPr>
          <w:rFonts w:hint="eastAsia"/>
          <w:szCs w:val="24"/>
        </w:rPr>
        <w:t>【此合同书仅作为签订正式合同时的参考，正式合同书应包括本参考格式的内容】</w:t>
      </w:r>
    </w:p>
    <w:p w14:paraId="673E434A">
      <w:pPr>
        <w:wordWrap w:val="0"/>
        <w:rPr>
          <w:rFonts w:hint="eastAsia"/>
          <w:bCs/>
          <w:szCs w:val="24"/>
        </w:rPr>
      </w:pPr>
      <w:r>
        <w:rPr>
          <w:rFonts w:hint="eastAsia" w:cs="Helvetica"/>
          <w:bCs/>
          <w:szCs w:val="24"/>
          <w:lang w:val="zh-CN"/>
        </w:rPr>
        <w:t>合同编号：</w:t>
      </w:r>
      <w:r>
        <w:rPr>
          <w:rFonts w:hint="eastAsia" w:cs="Helvetica"/>
          <w:bCs/>
          <w:szCs w:val="24"/>
          <w:u w:val="single"/>
        </w:rPr>
        <w:t xml:space="preserve">              </w:t>
      </w:r>
    </w:p>
    <w:p w14:paraId="5AA84A7E">
      <w:pPr>
        <w:pStyle w:val="14"/>
        <w:spacing w:after="0"/>
        <w:jc w:val="center"/>
        <w:rPr>
          <w:rFonts w:hint="eastAsia" w:cs="宋体"/>
          <w:b/>
          <w:bCs/>
          <w:spacing w:val="-20"/>
          <w:kern w:val="44"/>
          <w:sz w:val="48"/>
          <w:szCs w:val="48"/>
        </w:rPr>
      </w:pPr>
      <w:bookmarkStart w:id="369" w:name="_Toc3995"/>
    </w:p>
    <w:p w14:paraId="053EB119">
      <w:pPr>
        <w:pStyle w:val="14"/>
        <w:spacing w:after="0"/>
        <w:jc w:val="center"/>
        <w:rPr>
          <w:rFonts w:hint="eastAsia" w:cs="宋体"/>
          <w:b/>
          <w:bCs/>
          <w:spacing w:val="-20"/>
          <w:kern w:val="44"/>
          <w:sz w:val="48"/>
          <w:szCs w:val="48"/>
        </w:rPr>
      </w:pPr>
    </w:p>
    <w:p w14:paraId="511CC015">
      <w:pPr>
        <w:pStyle w:val="14"/>
        <w:spacing w:after="0"/>
        <w:jc w:val="center"/>
        <w:rPr>
          <w:rFonts w:hint="eastAsia" w:cs="宋体"/>
          <w:b/>
          <w:bCs/>
          <w:spacing w:val="-20"/>
          <w:kern w:val="44"/>
          <w:sz w:val="48"/>
          <w:szCs w:val="48"/>
        </w:rPr>
      </w:pPr>
    </w:p>
    <w:p w14:paraId="5701C1B7">
      <w:pPr>
        <w:pStyle w:val="14"/>
        <w:spacing w:after="0"/>
        <w:jc w:val="center"/>
        <w:rPr>
          <w:rFonts w:hint="eastAsia" w:eastAsia="宋体" w:cs="宋体"/>
          <w:b/>
          <w:bCs/>
          <w:spacing w:val="-20"/>
          <w:kern w:val="44"/>
          <w:sz w:val="44"/>
          <w:szCs w:val="44"/>
        </w:rPr>
      </w:pPr>
      <w:r>
        <w:rPr>
          <w:rFonts w:hint="eastAsia" w:eastAsia="宋体" w:cs="宋体"/>
          <w:b/>
          <w:bCs/>
          <w:spacing w:val="-20"/>
          <w:kern w:val="44"/>
          <w:sz w:val="44"/>
          <w:szCs w:val="44"/>
        </w:rPr>
        <w:t>政府采购货物买卖合同</w:t>
      </w:r>
    </w:p>
    <w:p w14:paraId="79716C62">
      <w:pPr>
        <w:rPr>
          <w:rFonts w:hint="eastAsia" w:cs="宋体"/>
          <w:b/>
          <w:bCs/>
          <w:spacing w:val="-20"/>
          <w:kern w:val="44"/>
          <w:sz w:val="40"/>
          <w:szCs w:val="40"/>
        </w:rPr>
      </w:pPr>
    </w:p>
    <w:p w14:paraId="0F57E2D1">
      <w:pPr>
        <w:rPr>
          <w:rFonts w:hint="eastAsia" w:cs="宋体"/>
          <w:b/>
          <w:bCs/>
          <w:spacing w:val="-20"/>
          <w:kern w:val="44"/>
          <w:sz w:val="40"/>
          <w:szCs w:val="40"/>
        </w:rPr>
      </w:pPr>
    </w:p>
    <w:p w14:paraId="39A51F1A">
      <w:pPr>
        <w:rPr>
          <w:rFonts w:hint="eastAsia" w:cs="宋体"/>
          <w:b/>
          <w:bCs/>
          <w:spacing w:val="-20"/>
          <w:kern w:val="44"/>
          <w:sz w:val="40"/>
          <w:szCs w:val="40"/>
        </w:rPr>
      </w:pPr>
    </w:p>
    <w:p w14:paraId="0EA7049C">
      <w:pPr>
        <w:ind w:left="480" w:leftChars="200"/>
        <w:rPr>
          <w:rFonts w:hint="eastAsia"/>
          <w:sz w:val="36"/>
          <w:szCs w:val="36"/>
        </w:rPr>
      </w:pPr>
      <w:r>
        <w:rPr>
          <w:rFonts w:hint="eastAsia" w:cs="宋体"/>
          <w:kern w:val="0"/>
          <w:sz w:val="36"/>
          <w:szCs w:val="36"/>
        </w:rPr>
        <w:t>项目名称：</w:t>
      </w:r>
      <w:r>
        <w:rPr>
          <w:rFonts w:hint="eastAsia" w:cs="宋体"/>
          <w:kern w:val="0"/>
          <w:sz w:val="36"/>
          <w:szCs w:val="36"/>
          <w:u w:val="single"/>
          <w:lang w:val="hr-HR"/>
        </w:rPr>
        <w:t>天山西部国有林管理局巩留分局2026年智能化管护能力建设项目</w:t>
      </w:r>
    </w:p>
    <w:p w14:paraId="3868982F">
      <w:pPr>
        <w:ind w:left="480" w:leftChars="200"/>
        <w:rPr>
          <w:rFonts w:hint="eastAsia"/>
          <w:sz w:val="36"/>
          <w:szCs w:val="36"/>
          <w:u w:val="single"/>
        </w:rPr>
      </w:pPr>
      <w:r>
        <w:rPr>
          <w:rFonts w:hint="eastAsia"/>
          <w:sz w:val="36"/>
          <w:szCs w:val="36"/>
        </w:rPr>
        <w:t>合同编号：</w:t>
      </w:r>
      <w:r>
        <w:rPr>
          <w:rFonts w:hint="eastAsia"/>
          <w:sz w:val="36"/>
          <w:szCs w:val="36"/>
          <w:u w:val="single"/>
        </w:rPr>
        <w:t xml:space="preserve">                             </w:t>
      </w:r>
    </w:p>
    <w:p w14:paraId="1FA30FCE">
      <w:pPr>
        <w:ind w:left="480" w:leftChars="200"/>
        <w:rPr>
          <w:rFonts w:hint="eastAsia"/>
          <w:sz w:val="36"/>
          <w:szCs w:val="36"/>
        </w:rPr>
      </w:pPr>
      <w:r>
        <w:rPr>
          <w:rFonts w:hint="eastAsia"/>
          <w:sz w:val="36"/>
          <w:szCs w:val="36"/>
        </w:rPr>
        <w:t>甲    方：</w:t>
      </w:r>
      <w:r>
        <w:rPr>
          <w:rFonts w:hint="eastAsia"/>
          <w:sz w:val="36"/>
          <w:szCs w:val="36"/>
          <w:u w:val="single"/>
        </w:rPr>
        <w:t xml:space="preserve">                             </w:t>
      </w:r>
    </w:p>
    <w:p w14:paraId="4DA20550">
      <w:pPr>
        <w:ind w:left="480" w:leftChars="200"/>
        <w:rPr>
          <w:rFonts w:hint="eastAsia"/>
          <w:sz w:val="36"/>
          <w:szCs w:val="36"/>
          <w:u w:val="single"/>
        </w:rPr>
      </w:pPr>
      <w:r>
        <w:rPr>
          <w:rFonts w:hint="eastAsia"/>
          <w:sz w:val="36"/>
          <w:szCs w:val="36"/>
        </w:rPr>
        <w:t>乙    方：</w:t>
      </w:r>
      <w:r>
        <w:rPr>
          <w:rFonts w:hint="eastAsia"/>
          <w:sz w:val="36"/>
          <w:szCs w:val="36"/>
          <w:u w:val="single"/>
        </w:rPr>
        <w:t xml:space="preserve">                             </w:t>
      </w:r>
    </w:p>
    <w:p w14:paraId="5BB29FBC">
      <w:pPr>
        <w:ind w:left="480" w:leftChars="200"/>
        <w:rPr>
          <w:rFonts w:hint="eastAsia"/>
          <w:sz w:val="36"/>
          <w:szCs w:val="36"/>
        </w:rPr>
      </w:pPr>
      <w:r>
        <w:rPr>
          <w:rFonts w:hint="eastAsia"/>
          <w:sz w:val="36"/>
          <w:szCs w:val="36"/>
        </w:rPr>
        <w:t>签订时间：</w:t>
      </w:r>
      <w:r>
        <w:rPr>
          <w:rFonts w:hint="eastAsia"/>
          <w:sz w:val="36"/>
          <w:szCs w:val="36"/>
          <w:u w:val="single"/>
        </w:rPr>
        <w:t xml:space="preserve">      </w:t>
      </w:r>
      <w:r>
        <w:rPr>
          <w:sz w:val="36"/>
          <w:szCs w:val="36"/>
          <w:u w:val="single"/>
        </w:rPr>
        <w:t xml:space="preserve">           </w:t>
      </w:r>
      <w:r>
        <w:rPr>
          <w:rFonts w:hint="eastAsia"/>
          <w:sz w:val="36"/>
          <w:szCs w:val="36"/>
          <w:u w:val="single"/>
        </w:rPr>
        <w:t xml:space="preserve">            </w:t>
      </w:r>
    </w:p>
    <w:p w14:paraId="6EA6C8AF">
      <w:pPr>
        <w:rPr>
          <w:rFonts w:hint="eastAsia"/>
        </w:rPr>
      </w:pPr>
    </w:p>
    <w:p w14:paraId="0F6DD62A">
      <w:pPr>
        <w:rPr>
          <w:rFonts w:hint="eastAsia" w:eastAsia="黑体"/>
          <w:sz w:val="44"/>
          <w:szCs w:val="44"/>
        </w:rPr>
      </w:pPr>
      <w:r>
        <w:rPr>
          <w:rFonts w:eastAsia="黑体"/>
          <w:sz w:val="44"/>
          <w:szCs w:val="44"/>
        </w:rPr>
        <w:br w:type="page"/>
      </w:r>
    </w:p>
    <w:bookmarkEnd w:id="369"/>
    <w:p w14:paraId="03BDD504">
      <w:pPr>
        <w:pStyle w:val="4"/>
        <w:adjustRightInd w:val="0"/>
        <w:snapToGrid w:val="0"/>
        <w:spacing w:line="400" w:lineRule="exact"/>
        <w:jc w:val="center"/>
        <w:rPr>
          <w:rFonts w:hint="eastAsia" w:ascii="宋体" w:hAnsi="宋体" w:cs="宋体"/>
          <w:sz w:val="36"/>
          <w:szCs w:val="36"/>
        </w:rPr>
      </w:pPr>
      <w:bookmarkStart w:id="370" w:name="_Toc22209"/>
      <w:bookmarkStart w:id="371" w:name="_Toc2051"/>
      <w:bookmarkStart w:id="372" w:name="_Toc8407"/>
      <w:r>
        <w:rPr>
          <w:rFonts w:hint="eastAsia" w:ascii="宋体" w:hAnsi="宋体" w:cs="宋体"/>
          <w:sz w:val="36"/>
          <w:szCs w:val="36"/>
        </w:rPr>
        <w:t>第一节 政府采购合同协议书</w:t>
      </w:r>
      <w:bookmarkEnd w:id="370"/>
      <w:bookmarkEnd w:id="371"/>
      <w:bookmarkEnd w:id="372"/>
    </w:p>
    <w:p w14:paraId="24A1A012">
      <w:pPr>
        <w:adjustRightInd w:val="0"/>
        <w:snapToGrid w:val="0"/>
        <w:spacing w:line="400" w:lineRule="exact"/>
        <w:ind w:left="5903" w:hanging="5903" w:hangingChars="2100"/>
        <w:rPr>
          <w:rFonts w:hint="eastAsia" w:ascii="黑体" w:hAnsi="华文中宋" w:eastAsia="黑体"/>
          <w:b/>
          <w:bCs/>
          <w:sz w:val="28"/>
          <w:szCs w:val="28"/>
        </w:rPr>
      </w:pPr>
    </w:p>
    <w:p w14:paraId="67868D0E">
      <w:pPr>
        <w:adjustRightInd w:val="0"/>
        <w:snapToGrid w:val="0"/>
        <w:spacing w:line="400" w:lineRule="exact"/>
        <w:ind w:left="4200" w:hanging="4200" w:hangingChars="2000"/>
        <w:rPr>
          <w:rFonts w:hint="eastAsia" w:cs="宋体"/>
          <w:sz w:val="21"/>
          <w:szCs w:val="21"/>
        </w:rPr>
      </w:pPr>
      <w:r>
        <w:rPr>
          <w:rFonts w:hint="eastAsia" w:cs="宋体"/>
          <w:sz w:val="21"/>
          <w:szCs w:val="21"/>
        </w:rPr>
        <w:t>甲方（全称）：</w:t>
      </w:r>
      <w:r>
        <w:rPr>
          <w:rFonts w:hint="eastAsia" w:cs="宋体"/>
          <w:sz w:val="21"/>
          <w:szCs w:val="21"/>
          <w:u w:val="single"/>
        </w:rPr>
        <w:t xml:space="preserve">                        </w:t>
      </w:r>
      <w:r>
        <w:rPr>
          <w:rFonts w:hint="eastAsia" w:cs="宋体"/>
          <w:sz w:val="21"/>
          <w:szCs w:val="21"/>
        </w:rPr>
        <w:t>（采购人、受采购人委托签订合同的单位或采购文件约定的合同甲方）</w:t>
      </w:r>
    </w:p>
    <w:p w14:paraId="2FDE4CF8">
      <w:pPr>
        <w:adjustRightInd w:val="0"/>
        <w:snapToGrid w:val="0"/>
        <w:spacing w:line="400" w:lineRule="exact"/>
        <w:rPr>
          <w:rFonts w:hint="eastAsia" w:cs="宋体"/>
          <w:sz w:val="21"/>
          <w:szCs w:val="21"/>
        </w:rPr>
      </w:pPr>
      <w:r>
        <w:rPr>
          <w:rFonts w:hint="eastAsia" w:cs="宋体"/>
          <w:sz w:val="21"/>
          <w:szCs w:val="21"/>
        </w:rPr>
        <w:t>乙方1（全称）：</w:t>
      </w:r>
      <w:r>
        <w:rPr>
          <w:rFonts w:hint="eastAsia" w:cs="宋体"/>
          <w:sz w:val="21"/>
          <w:szCs w:val="21"/>
          <w:u w:val="single"/>
        </w:rPr>
        <w:t xml:space="preserve">                       </w:t>
      </w:r>
      <w:r>
        <w:rPr>
          <w:rFonts w:hint="eastAsia" w:cs="宋体"/>
          <w:sz w:val="21"/>
          <w:szCs w:val="21"/>
        </w:rPr>
        <w:t>（供应商）</w:t>
      </w:r>
    </w:p>
    <w:p w14:paraId="7E3B9BBC">
      <w:pPr>
        <w:adjustRightInd w:val="0"/>
        <w:snapToGrid w:val="0"/>
        <w:spacing w:line="400" w:lineRule="exact"/>
        <w:ind w:left="4410" w:hanging="4410" w:hangingChars="2100"/>
        <w:rPr>
          <w:rFonts w:hint="eastAsia" w:cs="宋体"/>
          <w:sz w:val="21"/>
          <w:szCs w:val="21"/>
        </w:rPr>
      </w:pPr>
      <w:r>
        <w:rPr>
          <w:rFonts w:hint="eastAsia" w:cs="宋体"/>
          <w:sz w:val="21"/>
          <w:szCs w:val="21"/>
        </w:rPr>
        <w:t>乙方2（全称）：</w:t>
      </w:r>
      <w:r>
        <w:rPr>
          <w:rFonts w:hint="eastAsia" w:cs="宋体"/>
          <w:sz w:val="21"/>
          <w:szCs w:val="21"/>
          <w:u w:val="single"/>
        </w:rPr>
        <w:t xml:space="preserve">                        </w:t>
      </w:r>
      <w:r>
        <w:rPr>
          <w:rFonts w:hint="eastAsia" w:cs="宋体"/>
          <w:sz w:val="21"/>
          <w:szCs w:val="21"/>
        </w:rPr>
        <w:t>（联合体成员供应商或其他合同主体）（如有）</w:t>
      </w:r>
    </w:p>
    <w:p w14:paraId="4FD26CBD">
      <w:pPr>
        <w:adjustRightInd w:val="0"/>
        <w:snapToGrid w:val="0"/>
        <w:spacing w:line="400" w:lineRule="exact"/>
        <w:ind w:left="4410" w:hanging="4410" w:hangingChars="2100"/>
        <w:rPr>
          <w:rFonts w:hint="eastAsia" w:cs="宋体"/>
          <w:sz w:val="21"/>
          <w:szCs w:val="21"/>
        </w:rPr>
      </w:pPr>
      <w:r>
        <w:rPr>
          <w:rFonts w:hint="eastAsia" w:cs="宋体"/>
          <w:sz w:val="21"/>
          <w:szCs w:val="21"/>
        </w:rPr>
        <w:t>乙方3（全称）</w:t>
      </w:r>
      <w:r>
        <w:rPr>
          <w:rFonts w:hint="eastAsia" w:cs="宋体"/>
          <w:sz w:val="21"/>
          <w:szCs w:val="21"/>
          <w:u w:val="single"/>
        </w:rPr>
        <w:t xml:space="preserve">                          </w:t>
      </w:r>
      <w:r>
        <w:rPr>
          <w:rFonts w:hint="eastAsia" w:cs="宋体"/>
          <w:sz w:val="21"/>
          <w:szCs w:val="21"/>
        </w:rPr>
        <w:t>（联合体成员供应商或其他合同主体）（如有）</w:t>
      </w:r>
    </w:p>
    <w:p w14:paraId="56A268CC">
      <w:pPr>
        <w:spacing w:line="400" w:lineRule="exact"/>
        <w:rPr>
          <w:rFonts w:hint="eastAsia" w:cs="宋体"/>
          <w:sz w:val="21"/>
          <w:szCs w:val="21"/>
        </w:rPr>
      </w:pPr>
    </w:p>
    <w:p w14:paraId="2F9B47A8">
      <w:pPr>
        <w:pStyle w:val="15"/>
        <w:adjustRightInd w:val="0"/>
        <w:snapToGrid w:val="0"/>
        <w:spacing w:line="400" w:lineRule="exact"/>
        <w:ind w:firstLine="420" w:firstLineChars="200"/>
        <w:rPr>
          <w:rFonts w:hint="eastAsia" w:eastAsia="宋体" w:cs="宋体"/>
          <w:sz w:val="21"/>
          <w:szCs w:val="21"/>
        </w:rPr>
      </w:pPr>
      <w:r>
        <w:rPr>
          <w:rFonts w:hint="eastAsia" w:eastAsia="宋体" w:cs="宋体"/>
          <w:sz w:val="21"/>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7318C0EF">
      <w:pPr>
        <w:numPr>
          <w:ilvl w:val="0"/>
          <w:numId w:val="7"/>
        </w:numPr>
        <w:adjustRightInd w:val="0"/>
        <w:snapToGrid w:val="0"/>
        <w:spacing w:line="400" w:lineRule="exact"/>
        <w:ind w:firstLine="422" w:firstLineChars="200"/>
        <w:rPr>
          <w:rFonts w:hint="eastAsia" w:cs="宋体"/>
          <w:b/>
          <w:sz w:val="21"/>
          <w:szCs w:val="21"/>
        </w:rPr>
      </w:pPr>
      <w:r>
        <w:rPr>
          <w:rFonts w:hint="eastAsia" w:cs="宋体"/>
          <w:b/>
          <w:sz w:val="21"/>
          <w:szCs w:val="21"/>
        </w:rPr>
        <w:t>项目信息</w:t>
      </w:r>
    </w:p>
    <w:p w14:paraId="17AE86EA">
      <w:pPr>
        <w:pStyle w:val="15"/>
        <w:numPr>
          <w:ilvl w:val="0"/>
          <w:numId w:val="8"/>
        </w:numPr>
        <w:adjustRightInd w:val="0"/>
        <w:snapToGrid w:val="0"/>
        <w:spacing w:line="400" w:lineRule="exact"/>
        <w:ind w:firstLine="420" w:firstLineChars="200"/>
        <w:rPr>
          <w:rFonts w:hint="eastAsia" w:eastAsia="宋体" w:cs="宋体"/>
          <w:sz w:val="21"/>
          <w:szCs w:val="21"/>
          <w:u w:val="single"/>
        </w:rPr>
      </w:pPr>
      <w:r>
        <w:rPr>
          <w:rFonts w:hint="eastAsia" w:eastAsia="宋体" w:cs="宋体"/>
          <w:sz w:val="21"/>
          <w:szCs w:val="21"/>
        </w:rPr>
        <w:t>采购项目名称：</w:t>
      </w:r>
      <w:r>
        <w:rPr>
          <w:rFonts w:hint="eastAsia" w:eastAsia="宋体" w:cs="宋体"/>
          <w:sz w:val="21"/>
          <w:szCs w:val="21"/>
          <w:u w:val="single"/>
        </w:rPr>
        <w:t xml:space="preserve">                                          </w:t>
      </w:r>
    </w:p>
    <w:p w14:paraId="1D7A7CAD">
      <w:pPr>
        <w:pStyle w:val="15"/>
        <w:numPr>
          <w:ilvl w:val="255"/>
          <w:numId w:val="0"/>
        </w:numPr>
        <w:tabs>
          <w:tab w:val="left" w:pos="999"/>
        </w:tabs>
        <w:adjustRightInd w:val="0"/>
        <w:snapToGrid w:val="0"/>
        <w:spacing w:line="400" w:lineRule="exact"/>
        <w:rPr>
          <w:rFonts w:hint="eastAsia" w:eastAsia="宋体" w:cs="宋体"/>
          <w:sz w:val="21"/>
          <w:szCs w:val="21"/>
        </w:rPr>
      </w:pPr>
      <w:r>
        <w:rPr>
          <w:rFonts w:hint="eastAsia" w:eastAsia="宋体" w:cs="宋体"/>
          <w:sz w:val="21"/>
          <w:szCs w:val="21"/>
        </w:rPr>
        <w:t xml:space="preserve">         采购项目（包）编号：</w:t>
      </w:r>
      <w:r>
        <w:rPr>
          <w:rFonts w:hint="eastAsia" w:eastAsia="宋体" w:cs="宋体"/>
          <w:sz w:val="21"/>
          <w:szCs w:val="21"/>
          <w:u w:val="single"/>
        </w:rPr>
        <w:t xml:space="preserve">                                    </w:t>
      </w:r>
    </w:p>
    <w:p w14:paraId="7F0DBF20">
      <w:pPr>
        <w:pStyle w:val="15"/>
        <w:adjustRightInd w:val="0"/>
        <w:snapToGrid w:val="0"/>
        <w:spacing w:line="400" w:lineRule="exact"/>
        <w:ind w:firstLine="420" w:firstLineChars="200"/>
        <w:rPr>
          <w:rFonts w:hint="eastAsia" w:eastAsia="宋体" w:cs="宋体"/>
          <w:sz w:val="21"/>
          <w:szCs w:val="21"/>
        </w:rPr>
      </w:pPr>
      <w:r>
        <w:rPr>
          <w:rFonts w:hint="eastAsia" w:eastAsia="宋体" w:cs="宋体"/>
          <w:sz w:val="21"/>
          <w:szCs w:val="21"/>
        </w:rPr>
        <w:t>（2）采购计划编号：</w:t>
      </w:r>
      <w:r>
        <w:rPr>
          <w:rFonts w:hint="eastAsia" w:eastAsia="宋体" w:cs="宋体"/>
          <w:sz w:val="21"/>
          <w:szCs w:val="21"/>
          <w:u w:val="single"/>
        </w:rPr>
        <w:t xml:space="preserve">                                          </w:t>
      </w:r>
      <w:r>
        <w:rPr>
          <w:rFonts w:hint="eastAsia" w:eastAsia="宋体" w:cs="宋体"/>
          <w:sz w:val="21"/>
          <w:szCs w:val="21"/>
        </w:rPr>
        <w:t xml:space="preserve"> </w:t>
      </w:r>
    </w:p>
    <w:p w14:paraId="4D6A3D5D">
      <w:pPr>
        <w:adjustRightInd w:val="0"/>
        <w:snapToGrid w:val="0"/>
        <w:spacing w:line="400" w:lineRule="exact"/>
        <w:ind w:firstLine="420" w:firstLineChars="200"/>
        <w:rPr>
          <w:rFonts w:hint="eastAsia" w:cs="宋体"/>
          <w:sz w:val="21"/>
          <w:szCs w:val="21"/>
        </w:rPr>
      </w:pPr>
      <w:r>
        <w:rPr>
          <w:rFonts w:hint="eastAsia" w:cs="宋体"/>
          <w:sz w:val="21"/>
          <w:szCs w:val="21"/>
        </w:rPr>
        <w:t>（3）项目内容：</w:t>
      </w:r>
    </w:p>
    <w:p w14:paraId="7FC0F3AB">
      <w:pPr>
        <w:adjustRightInd w:val="0"/>
        <w:snapToGrid w:val="0"/>
        <w:spacing w:line="400" w:lineRule="exact"/>
        <w:ind w:firstLine="420" w:firstLineChars="200"/>
        <w:rPr>
          <w:rFonts w:hint="eastAsia" w:cs="宋体"/>
          <w:sz w:val="21"/>
          <w:szCs w:val="21"/>
        </w:rPr>
      </w:pPr>
      <w:r>
        <w:rPr>
          <w:rFonts w:hint="eastAsia" w:cs="宋体"/>
          <w:sz w:val="21"/>
          <w:szCs w:val="21"/>
        </w:rPr>
        <w:t xml:space="preserve">     采购标的及数量（台/套</w:t>
      </w:r>
      <w:r>
        <w:rPr>
          <w:rFonts w:hint="eastAsia" w:cs="宋体"/>
          <w:sz w:val="21"/>
          <w:szCs w:val="21"/>
          <w:lang w:val="en"/>
        </w:rPr>
        <w:t>/个/架/组等</w:t>
      </w:r>
      <w:r>
        <w:rPr>
          <w:rFonts w:hint="eastAsia" w:cs="宋体"/>
          <w:sz w:val="21"/>
          <w:szCs w:val="21"/>
        </w:rPr>
        <w:t>）：</w:t>
      </w:r>
      <w:r>
        <w:rPr>
          <w:rFonts w:hint="eastAsia" w:cs="宋体"/>
          <w:sz w:val="21"/>
          <w:szCs w:val="21"/>
          <w:u w:val="single"/>
        </w:rPr>
        <w:t xml:space="preserve">                    </w:t>
      </w:r>
      <w:r>
        <w:rPr>
          <w:rFonts w:hint="eastAsia" w:cs="宋体"/>
          <w:sz w:val="21"/>
          <w:szCs w:val="21"/>
        </w:rPr>
        <w:t xml:space="preserve"> </w:t>
      </w:r>
    </w:p>
    <w:p w14:paraId="2850F3FD">
      <w:pPr>
        <w:numPr>
          <w:ilvl w:val="255"/>
          <w:numId w:val="0"/>
        </w:numPr>
        <w:adjustRightInd w:val="0"/>
        <w:snapToGrid w:val="0"/>
        <w:spacing w:line="400" w:lineRule="exact"/>
        <w:ind w:firstLine="420" w:firstLineChars="200"/>
        <w:rPr>
          <w:rFonts w:hint="eastAsia" w:cs="宋体"/>
          <w:sz w:val="21"/>
          <w:szCs w:val="21"/>
          <w:lang w:val="en"/>
        </w:rPr>
      </w:pPr>
      <w:r>
        <w:rPr>
          <w:rFonts w:hint="eastAsia" w:cs="宋体"/>
          <w:sz w:val="21"/>
          <w:szCs w:val="21"/>
        </w:rPr>
        <w:t xml:space="preserve">     品牌：</w:t>
      </w:r>
      <w:r>
        <w:rPr>
          <w:rFonts w:hint="eastAsia" w:cs="宋体"/>
          <w:sz w:val="21"/>
          <w:szCs w:val="21"/>
          <w:u w:val="single"/>
        </w:rPr>
        <w:t xml:space="preserve">      </w:t>
      </w:r>
      <w:r>
        <w:rPr>
          <w:rFonts w:hint="eastAsia" w:cs="宋体"/>
          <w:sz w:val="21"/>
          <w:szCs w:val="21"/>
          <w:u w:val="single"/>
          <w:lang w:val="en"/>
        </w:rPr>
        <w:t xml:space="preserve">   </w:t>
      </w:r>
      <w:r>
        <w:rPr>
          <w:rFonts w:hint="eastAsia" w:cs="宋体"/>
          <w:sz w:val="21"/>
          <w:szCs w:val="21"/>
          <w:u w:val="single"/>
        </w:rPr>
        <w:t xml:space="preserve">    </w:t>
      </w:r>
      <w:r>
        <w:rPr>
          <w:rFonts w:hint="eastAsia" w:cs="宋体"/>
          <w:sz w:val="21"/>
          <w:szCs w:val="21"/>
          <w:u w:val="single"/>
          <w:lang w:val="en"/>
        </w:rPr>
        <w:t xml:space="preserve"> </w:t>
      </w:r>
      <w:r>
        <w:rPr>
          <w:rFonts w:hint="eastAsia" w:cs="宋体"/>
          <w:sz w:val="21"/>
          <w:szCs w:val="21"/>
          <w:u w:val="single"/>
        </w:rPr>
        <w:t xml:space="preserve"> </w:t>
      </w:r>
      <w:r>
        <w:rPr>
          <w:rFonts w:hint="eastAsia" w:cs="宋体"/>
          <w:sz w:val="21"/>
          <w:szCs w:val="21"/>
          <w:lang w:val="en"/>
        </w:rPr>
        <w:t xml:space="preserve">     </w:t>
      </w:r>
      <w:r>
        <w:rPr>
          <w:rFonts w:hint="eastAsia" w:cs="宋体"/>
          <w:sz w:val="21"/>
          <w:szCs w:val="21"/>
        </w:rPr>
        <w:t>规格型号：</w:t>
      </w:r>
      <w:r>
        <w:rPr>
          <w:rFonts w:hint="eastAsia" w:cs="宋体"/>
          <w:sz w:val="21"/>
          <w:szCs w:val="21"/>
          <w:u w:val="single"/>
        </w:rPr>
        <w:t xml:space="preserve">   </w:t>
      </w:r>
      <w:r>
        <w:rPr>
          <w:rFonts w:hint="eastAsia" w:cs="宋体"/>
          <w:sz w:val="21"/>
          <w:szCs w:val="21"/>
          <w:u w:val="single"/>
          <w:lang w:val="en"/>
        </w:rPr>
        <w:t xml:space="preserve">  </w:t>
      </w:r>
      <w:r>
        <w:rPr>
          <w:rFonts w:hint="eastAsia" w:cs="宋体"/>
          <w:sz w:val="21"/>
          <w:szCs w:val="21"/>
          <w:u w:val="single"/>
        </w:rPr>
        <w:t xml:space="preserve">       </w:t>
      </w:r>
      <w:r>
        <w:rPr>
          <w:rFonts w:hint="eastAsia" w:cs="宋体"/>
          <w:sz w:val="21"/>
          <w:szCs w:val="21"/>
          <w:u w:val="single"/>
          <w:lang w:val="en"/>
        </w:rPr>
        <w:t xml:space="preserve">   </w:t>
      </w:r>
    </w:p>
    <w:p w14:paraId="44ACF6F8">
      <w:pPr>
        <w:adjustRightInd w:val="0"/>
        <w:snapToGrid w:val="0"/>
        <w:spacing w:line="400" w:lineRule="exact"/>
        <w:ind w:firstLine="945" w:firstLineChars="450"/>
        <w:rPr>
          <w:rFonts w:hint="eastAsia" w:cs="宋体"/>
          <w:sz w:val="21"/>
          <w:szCs w:val="21"/>
          <w:u w:val="single"/>
        </w:rPr>
      </w:pPr>
      <w:r>
        <w:rPr>
          <w:rFonts w:hint="eastAsia" w:cs="宋体"/>
          <w:sz w:val="21"/>
          <w:szCs w:val="21"/>
        </w:rPr>
        <w:t>采购标的的技术要求、商务要求具体见附件。</w:t>
      </w:r>
    </w:p>
    <w:p w14:paraId="3A8B5B91">
      <w:pPr>
        <w:numPr>
          <w:ilvl w:val="255"/>
          <w:numId w:val="0"/>
        </w:numPr>
        <w:adjustRightInd w:val="0"/>
        <w:snapToGrid w:val="0"/>
        <w:spacing w:line="400" w:lineRule="exact"/>
        <w:ind w:firstLine="945" w:firstLineChars="450"/>
        <w:rPr>
          <w:rFonts w:hint="eastAsia" w:cs="宋体"/>
          <w:sz w:val="21"/>
          <w:szCs w:val="21"/>
        </w:rPr>
      </w:pPr>
      <w:r>
        <w:rPr>
          <w:rFonts w:hint="eastAsia" w:cs="宋体"/>
          <w:sz w:val="21"/>
          <w:szCs w:val="21"/>
        </w:rPr>
        <w:t>①涉及信息类产品，请填写该产品关键部件的品牌、型号：</w:t>
      </w:r>
    </w:p>
    <w:p w14:paraId="0F448A7E">
      <w:pPr>
        <w:numPr>
          <w:ilvl w:val="255"/>
          <w:numId w:val="0"/>
        </w:numPr>
        <w:adjustRightInd w:val="0"/>
        <w:snapToGrid w:val="0"/>
        <w:spacing w:line="400" w:lineRule="exact"/>
        <w:ind w:firstLine="420" w:firstLineChars="200"/>
        <w:rPr>
          <w:rFonts w:hint="eastAsia" w:cs="宋体"/>
          <w:kern w:val="0"/>
          <w:sz w:val="21"/>
          <w:szCs w:val="21"/>
          <w:u w:val="single"/>
        </w:rPr>
      </w:pPr>
      <w:r>
        <w:rPr>
          <w:rFonts w:hint="eastAsia" w:cs="宋体"/>
          <w:sz w:val="21"/>
          <w:szCs w:val="21"/>
        </w:rPr>
        <w:t xml:space="preserve">     标的名称：</w:t>
      </w:r>
      <w:r>
        <w:rPr>
          <w:rFonts w:hint="eastAsia" w:cs="宋体"/>
          <w:kern w:val="0"/>
          <w:sz w:val="21"/>
          <w:szCs w:val="21"/>
          <w:u w:val="single"/>
        </w:rPr>
        <w:t xml:space="preserve">      </w:t>
      </w:r>
      <w:r>
        <w:rPr>
          <w:rFonts w:hint="eastAsia" w:cs="宋体"/>
          <w:kern w:val="0"/>
          <w:sz w:val="21"/>
          <w:szCs w:val="21"/>
          <w:u w:val="single"/>
          <w:lang w:val="en"/>
        </w:rPr>
        <w:t xml:space="preserve">               </w:t>
      </w:r>
      <w:r>
        <w:rPr>
          <w:rFonts w:hint="eastAsia" w:cs="宋体"/>
          <w:kern w:val="0"/>
          <w:sz w:val="21"/>
          <w:szCs w:val="21"/>
          <w:u w:val="single"/>
        </w:rPr>
        <w:t xml:space="preserve">    </w:t>
      </w:r>
    </w:p>
    <w:p w14:paraId="5381BBD2">
      <w:pPr>
        <w:numPr>
          <w:ilvl w:val="255"/>
          <w:numId w:val="0"/>
        </w:numPr>
        <w:adjustRightInd w:val="0"/>
        <w:snapToGrid w:val="0"/>
        <w:spacing w:line="400" w:lineRule="exact"/>
        <w:ind w:firstLine="420" w:firstLineChars="200"/>
        <w:rPr>
          <w:rFonts w:hint="eastAsia" w:cs="宋体"/>
          <w:sz w:val="21"/>
          <w:szCs w:val="21"/>
        </w:rPr>
      </w:pPr>
      <w:r>
        <w:rPr>
          <w:rFonts w:hint="eastAsia" w:cs="宋体"/>
          <w:sz w:val="21"/>
          <w:szCs w:val="21"/>
        </w:rPr>
        <w:t xml:space="preserve">     关键部件：</w:t>
      </w:r>
      <w:r>
        <w:rPr>
          <w:rFonts w:hint="eastAsia" w:cs="宋体"/>
          <w:kern w:val="0"/>
          <w:sz w:val="21"/>
          <w:szCs w:val="21"/>
          <w:u w:val="single"/>
        </w:rPr>
        <w:t xml:space="preserve">          </w:t>
      </w:r>
      <w:r>
        <w:rPr>
          <w:rFonts w:hint="eastAsia" w:cs="宋体"/>
          <w:kern w:val="0"/>
          <w:sz w:val="21"/>
          <w:szCs w:val="21"/>
        </w:rPr>
        <w:t xml:space="preserve"> </w:t>
      </w:r>
      <w:r>
        <w:rPr>
          <w:rFonts w:hint="eastAsia" w:cs="宋体"/>
          <w:sz w:val="21"/>
          <w:szCs w:val="21"/>
        </w:rPr>
        <w:t>品牌：</w:t>
      </w:r>
      <w:r>
        <w:rPr>
          <w:rFonts w:hint="eastAsia" w:cs="宋体"/>
          <w:sz w:val="21"/>
          <w:szCs w:val="21"/>
          <w:u w:val="single"/>
        </w:rPr>
        <w:t xml:space="preserve">        </w:t>
      </w:r>
      <w:r>
        <w:rPr>
          <w:rFonts w:hint="eastAsia" w:cs="宋体"/>
          <w:sz w:val="21"/>
          <w:szCs w:val="21"/>
        </w:rPr>
        <w:t xml:space="preserve"> 型号：</w:t>
      </w:r>
      <w:r>
        <w:rPr>
          <w:rFonts w:hint="eastAsia" w:cs="宋体"/>
          <w:sz w:val="21"/>
          <w:szCs w:val="21"/>
          <w:u w:val="single"/>
        </w:rPr>
        <w:t xml:space="preserve">       </w:t>
      </w:r>
      <w:r>
        <w:rPr>
          <w:rFonts w:hint="eastAsia" w:cs="宋体"/>
          <w:sz w:val="21"/>
          <w:szCs w:val="21"/>
        </w:rPr>
        <w:t xml:space="preserve"> </w:t>
      </w:r>
    </w:p>
    <w:p w14:paraId="330F3C09">
      <w:pPr>
        <w:pStyle w:val="38"/>
        <w:ind w:firstLine="42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kern w:val="2"/>
          <w:sz w:val="21"/>
        </w:rPr>
        <w:t>关键部件</w:t>
      </w:r>
      <w:r>
        <w:rPr>
          <w:rFonts w:hint="eastAsia" w:ascii="宋体" w:hAnsi="宋体" w:eastAsia="宋体" w:cs="宋体"/>
          <w:sz w:val="21"/>
        </w:rPr>
        <w:t>：</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6A7EE974">
      <w:pPr>
        <w:pStyle w:val="38"/>
        <w:ind w:firstLine="420"/>
        <w:rPr>
          <w:rFonts w:hint="eastAsia"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14:paraId="21CEEC39">
      <w:pPr>
        <w:pStyle w:val="38"/>
        <w:numPr>
          <w:ilvl w:val="255"/>
          <w:numId w:val="0"/>
        </w:numPr>
        <w:snapToGrid w:val="0"/>
        <w:rPr>
          <w:rFonts w:hint="eastAsia"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14:paraId="1A48FB76">
      <w:pPr>
        <w:pStyle w:val="38"/>
        <w:numPr>
          <w:ilvl w:val="255"/>
          <w:numId w:val="0"/>
        </w:numPr>
        <w:snapToGrid w:val="0"/>
        <w:rPr>
          <w:rFonts w:hint="eastAsia" w:ascii="宋体" w:hAnsi="宋体" w:eastAsia="宋体" w:cs="宋体"/>
          <w:sz w:val="21"/>
        </w:rPr>
      </w:pPr>
      <w:r>
        <w:rPr>
          <w:rFonts w:hint="eastAsia" w:ascii="宋体" w:hAnsi="宋体" w:eastAsia="宋体" w:cs="宋体"/>
          <w:sz w:val="21"/>
        </w:rPr>
        <w:t xml:space="preserve">         ②涉及车辆采购，请填写是否属于新能源汽车：</w:t>
      </w:r>
    </w:p>
    <w:p w14:paraId="7CE38C8B">
      <w:pPr>
        <w:pStyle w:val="38"/>
        <w:numPr>
          <w:ilvl w:val="255"/>
          <w:numId w:val="0"/>
        </w:numPr>
        <w:snapToGrid w:val="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是，《政府采购品目分类目录》底级品目名称：</w:t>
      </w:r>
      <w:r>
        <w:rPr>
          <w:rFonts w:hint="eastAsia" w:ascii="宋体" w:hAnsi="宋体" w:eastAsia="宋体" w:cs="宋体"/>
          <w:sz w:val="21"/>
          <w:u w:val="single"/>
        </w:rPr>
        <w:t xml:space="preserve">     </w:t>
      </w:r>
      <w:r>
        <w:rPr>
          <w:rFonts w:hint="eastAsia" w:ascii="宋体" w:hAnsi="宋体" w:eastAsia="宋体" w:cs="宋体"/>
          <w:sz w:val="21"/>
        </w:rPr>
        <w:t xml:space="preserve"> 数量：</w:t>
      </w:r>
      <w:r>
        <w:rPr>
          <w:rFonts w:hint="eastAsia" w:ascii="宋体" w:hAnsi="宋体" w:eastAsia="宋体" w:cs="宋体"/>
          <w:sz w:val="21"/>
          <w:u w:val="single"/>
        </w:rPr>
        <w:t xml:space="preserve">    </w:t>
      </w:r>
      <w:r>
        <w:rPr>
          <w:rFonts w:hint="eastAsia" w:ascii="宋体" w:hAnsi="宋体" w:eastAsia="宋体" w:cs="宋体"/>
          <w:sz w:val="21"/>
        </w:rPr>
        <w:t xml:space="preserve"> 金额：</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4093B6EB">
      <w:pPr>
        <w:pStyle w:val="38"/>
        <w:numPr>
          <w:ilvl w:val="255"/>
          <w:numId w:val="0"/>
        </w:numPr>
        <w:snapToGrid w:val="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否</w:t>
      </w:r>
    </w:p>
    <w:p w14:paraId="7DDD2A1D">
      <w:pPr>
        <w:pStyle w:val="38"/>
        <w:numPr>
          <w:ilvl w:val="255"/>
          <w:numId w:val="0"/>
        </w:numPr>
        <w:snapToGrid w:val="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lang w:val="en"/>
        </w:rPr>
        <w:t>4</w:t>
      </w:r>
      <w:r>
        <w:rPr>
          <w:rFonts w:hint="eastAsia" w:ascii="宋体" w:hAnsi="宋体" w:eastAsia="宋体" w:cs="宋体"/>
          <w:sz w:val="21"/>
        </w:rPr>
        <w:t>）政府采购组织形式：</w:t>
      </w:r>
      <w:r>
        <w:rPr>
          <w:rFonts w:hint="eastAsia" w:ascii="宋体" w:hAnsi="宋体" w:eastAsia="宋体" w:cs="宋体"/>
          <w:sz w:val="21"/>
        </w:rPr>
        <w:sym w:font="Wingdings" w:char="00A8"/>
      </w:r>
      <w:r>
        <w:rPr>
          <w:rFonts w:hint="eastAsia" w:ascii="宋体" w:hAnsi="宋体" w:eastAsia="宋体" w:cs="宋体"/>
          <w:sz w:val="21"/>
        </w:rPr>
        <w:t xml:space="preserve">政府集中采购  </w:t>
      </w:r>
      <w:r>
        <w:rPr>
          <w:rFonts w:hint="eastAsia" w:ascii="宋体" w:hAnsi="宋体" w:eastAsia="宋体" w:cs="宋体"/>
          <w:sz w:val="21"/>
        </w:rPr>
        <w:sym w:font="Wingdings" w:char="00A8"/>
      </w:r>
      <w:r>
        <w:rPr>
          <w:rFonts w:hint="eastAsia" w:ascii="宋体" w:hAnsi="宋体" w:eastAsia="宋体" w:cs="宋体"/>
          <w:sz w:val="21"/>
        </w:rPr>
        <w:t xml:space="preserve">部门集中采购  </w:t>
      </w:r>
      <w:r>
        <w:rPr>
          <w:rFonts w:hint="eastAsia" w:ascii="宋体" w:hAnsi="宋体" w:eastAsia="宋体" w:cs="宋体"/>
          <w:sz w:val="21"/>
        </w:rPr>
        <w:sym w:font="Wingdings" w:char="00A8"/>
      </w:r>
      <w:r>
        <w:rPr>
          <w:rFonts w:hint="eastAsia" w:ascii="宋体" w:hAnsi="宋体" w:eastAsia="宋体" w:cs="宋体"/>
          <w:sz w:val="21"/>
        </w:rPr>
        <w:t>分散采购</w:t>
      </w:r>
    </w:p>
    <w:p w14:paraId="28A58516">
      <w:pPr>
        <w:pStyle w:val="38"/>
        <w:numPr>
          <w:ilvl w:val="255"/>
          <w:numId w:val="0"/>
        </w:numPr>
        <w:snapToGrid w:val="0"/>
        <w:ind w:firstLine="420"/>
        <w:rPr>
          <w:rFonts w:hint="eastAsia" w:ascii="宋体" w:hAnsi="宋体" w:eastAsia="宋体" w:cs="宋体"/>
          <w:sz w:val="21"/>
        </w:rPr>
      </w:pPr>
      <w:r>
        <w:rPr>
          <w:rFonts w:hint="eastAsia" w:ascii="宋体" w:hAnsi="宋体" w:eastAsia="宋体" w:cs="宋体"/>
          <w:sz w:val="21"/>
        </w:rPr>
        <w:t>（</w:t>
      </w:r>
      <w:r>
        <w:rPr>
          <w:rFonts w:hint="eastAsia" w:ascii="宋体" w:hAnsi="宋体" w:eastAsia="宋体" w:cs="宋体"/>
          <w:sz w:val="21"/>
          <w:lang w:val="en"/>
        </w:rPr>
        <w:t>5</w:t>
      </w:r>
      <w:r>
        <w:rPr>
          <w:rFonts w:hint="eastAsia" w:ascii="宋体" w:hAnsi="宋体" w:eastAsia="宋体" w:cs="宋体"/>
          <w:sz w:val="21"/>
        </w:rPr>
        <w:t>）政府采购方式：</w:t>
      </w:r>
      <w:r>
        <w:rPr>
          <w:rFonts w:hint="eastAsia" w:ascii="宋体" w:hAnsi="宋体" w:eastAsia="宋体" w:cs="宋体"/>
          <w:sz w:val="21"/>
        </w:rPr>
        <w:sym w:font="Wingdings" w:char="00A8"/>
      </w:r>
      <w:r>
        <w:rPr>
          <w:rFonts w:hint="eastAsia" w:ascii="宋体" w:hAnsi="宋体" w:eastAsia="宋体" w:cs="宋体"/>
          <w:sz w:val="21"/>
        </w:rPr>
        <w:t xml:space="preserve">公开招标 </w:t>
      </w:r>
      <w:r>
        <w:rPr>
          <w:rFonts w:hint="eastAsia" w:ascii="宋体" w:hAnsi="宋体" w:eastAsia="宋体" w:cs="宋体"/>
          <w:sz w:val="21"/>
        </w:rPr>
        <w:sym w:font="Wingdings" w:char="00A8"/>
      </w:r>
      <w:r>
        <w:rPr>
          <w:rFonts w:hint="eastAsia" w:ascii="宋体" w:hAnsi="宋体" w:eastAsia="宋体" w:cs="宋体"/>
          <w:sz w:val="21"/>
        </w:rPr>
        <w:t xml:space="preserve">邀请招标 </w:t>
      </w:r>
      <w:r>
        <w:rPr>
          <w:rFonts w:hint="eastAsia" w:ascii="宋体" w:hAnsi="宋体" w:eastAsia="宋体" w:cs="宋体"/>
          <w:sz w:val="21"/>
        </w:rPr>
        <w:sym w:font="Wingdings" w:char="00A8"/>
      </w:r>
      <w:r>
        <w:rPr>
          <w:rFonts w:hint="eastAsia" w:ascii="宋体" w:hAnsi="宋体" w:eastAsia="宋体" w:cs="宋体"/>
          <w:sz w:val="21"/>
        </w:rPr>
        <w:t xml:space="preserve">竞争性谈判 </w:t>
      </w:r>
      <w:r>
        <w:rPr>
          <w:rFonts w:hint="eastAsia" w:ascii="宋体" w:hAnsi="宋体" w:eastAsia="宋体" w:cs="宋体"/>
          <w:sz w:val="21"/>
        </w:rPr>
        <w:sym w:font="Wingdings" w:char="00A8"/>
      </w:r>
      <w:r>
        <w:rPr>
          <w:rFonts w:hint="eastAsia" w:ascii="宋体" w:hAnsi="宋体" w:eastAsia="宋体" w:cs="宋体"/>
          <w:sz w:val="21"/>
        </w:rPr>
        <w:t>竞争性磋商</w:t>
      </w:r>
    </w:p>
    <w:p w14:paraId="70EF5BDB">
      <w:pPr>
        <w:pStyle w:val="38"/>
        <w:numPr>
          <w:ilvl w:val="255"/>
          <w:numId w:val="0"/>
        </w:numPr>
        <w:snapToGrid w:val="0"/>
        <w:ind w:firstLine="420"/>
        <w:rPr>
          <w:rFonts w:hint="eastAsia" w:ascii="宋体" w:hAnsi="宋体" w:eastAsia="宋体" w:cs="宋体"/>
          <w:sz w:val="21"/>
          <w:u w:val="single"/>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 xml:space="preserve">询价 </w:t>
      </w:r>
      <w:r>
        <w:rPr>
          <w:rFonts w:hint="eastAsia" w:ascii="宋体" w:hAnsi="宋体" w:eastAsia="宋体" w:cs="宋体"/>
          <w:sz w:val="21"/>
        </w:rPr>
        <w:sym w:font="Wingdings" w:char="00A8"/>
      </w:r>
      <w:r>
        <w:rPr>
          <w:rFonts w:hint="eastAsia" w:ascii="宋体" w:hAnsi="宋体" w:eastAsia="宋体" w:cs="宋体"/>
          <w:sz w:val="21"/>
        </w:rPr>
        <w:t xml:space="preserve">单一来源 </w:t>
      </w:r>
      <w:r>
        <w:rPr>
          <w:rFonts w:hint="eastAsia" w:ascii="宋体" w:hAnsi="宋体" w:eastAsia="宋体" w:cs="宋体"/>
          <w:sz w:val="21"/>
        </w:rPr>
        <w:sym w:font="Wingdings" w:char="00A8"/>
      </w:r>
      <w:r>
        <w:rPr>
          <w:rFonts w:hint="eastAsia" w:ascii="宋体" w:hAnsi="宋体" w:eastAsia="宋体" w:cs="宋体"/>
          <w:sz w:val="21"/>
        </w:rPr>
        <w:t xml:space="preserve">框架协议 </w:t>
      </w:r>
      <w:r>
        <w:rPr>
          <w:rFonts w:hint="eastAsia" w:ascii="宋体" w:hAnsi="宋体" w:eastAsia="宋体" w:cs="宋体"/>
          <w:sz w:val="21"/>
        </w:rPr>
        <w:sym w:font="Wingdings" w:char="00A8"/>
      </w:r>
      <w:r>
        <w:rPr>
          <w:rFonts w:hint="eastAsia" w:ascii="宋体" w:hAnsi="宋体" w:eastAsia="宋体" w:cs="宋体"/>
          <w:sz w:val="21"/>
        </w:rPr>
        <w:t>其他：</w:t>
      </w:r>
      <w:r>
        <w:rPr>
          <w:rFonts w:hint="eastAsia" w:ascii="宋体" w:hAnsi="宋体" w:eastAsia="宋体" w:cs="宋体"/>
          <w:sz w:val="21"/>
          <w:u w:val="single"/>
        </w:rPr>
        <w:t xml:space="preserve">          </w:t>
      </w:r>
    </w:p>
    <w:p w14:paraId="29A3C99C">
      <w:pPr>
        <w:pStyle w:val="38"/>
        <w:numPr>
          <w:ilvl w:val="255"/>
          <w:numId w:val="0"/>
        </w:numPr>
        <w:snapToGrid w:val="0"/>
        <w:ind w:firstLine="420"/>
        <w:rPr>
          <w:rFonts w:hint="eastAsia" w:ascii="宋体" w:hAnsi="宋体" w:eastAsia="宋体" w:cs="宋体"/>
          <w:sz w:val="21"/>
        </w:rPr>
      </w:pPr>
      <w:r>
        <w:rPr>
          <w:rFonts w:hint="eastAsia" w:ascii="宋体" w:hAnsi="宋体" w:eastAsia="宋体" w:cs="宋体"/>
          <w:sz w:val="21"/>
        </w:rPr>
        <w:t>（注：在框架协议采购的第二阶段，可选择使用该合同文本）</w:t>
      </w:r>
    </w:p>
    <w:p w14:paraId="0B7A32A0">
      <w:pPr>
        <w:pStyle w:val="38"/>
        <w:numPr>
          <w:ilvl w:val="255"/>
          <w:numId w:val="0"/>
        </w:numPr>
        <w:snapToGrid w:val="0"/>
        <w:ind w:firstLine="210" w:firstLineChars="100"/>
        <w:rPr>
          <w:rFonts w:hint="eastAsia" w:ascii="宋体" w:hAnsi="宋体" w:eastAsia="宋体" w:cs="宋体"/>
          <w:kern w:val="2"/>
          <w:sz w:val="21"/>
        </w:rPr>
      </w:pPr>
      <w:r>
        <w:rPr>
          <w:rFonts w:hint="eastAsia" w:ascii="宋体" w:hAnsi="宋体" w:eastAsia="宋体" w:cs="宋体"/>
          <w:sz w:val="21"/>
        </w:rPr>
        <w:t xml:space="preserve"> （</w:t>
      </w:r>
      <w:r>
        <w:rPr>
          <w:rFonts w:hint="eastAsia" w:ascii="宋体" w:hAnsi="宋体" w:eastAsia="宋体" w:cs="宋体"/>
          <w:sz w:val="21"/>
          <w:lang w:val="en"/>
        </w:rPr>
        <w:t>6</w:t>
      </w:r>
      <w:r>
        <w:rPr>
          <w:rFonts w:hint="eastAsia" w:ascii="宋体" w:hAnsi="宋体" w:eastAsia="宋体" w:cs="宋体"/>
          <w:sz w:val="21"/>
        </w:rPr>
        <w:t>）</w:t>
      </w:r>
      <w:r>
        <w:rPr>
          <w:rFonts w:hint="eastAsia" w:ascii="宋体" w:hAnsi="宋体" w:eastAsia="宋体" w:cs="宋体"/>
          <w:kern w:val="2"/>
          <w:sz w:val="21"/>
        </w:rPr>
        <w:t>中标（成交）采购标的制造商是否为中小企业：</w:t>
      </w:r>
      <w:r>
        <w:rPr>
          <w:rFonts w:hint="eastAsia" w:ascii="宋体" w:hAnsi="宋体" w:eastAsia="宋体" w:cs="宋体"/>
          <w:kern w:val="2"/>
          <w:sz w:val="21"/>
        </w:rPr>
        <w:sym w:font="Wingdings" w:char="00A8"/>
      </w:r>
      <w:r>
        <w:rPr>
          <w:rFonts w:hint="eastAsia" w:ascii="宋体" w:hAnsi="宋体" w:eastAsia="宋体" w:cs="宋体"/>
          <w:kern w:val="2"/>
          <w:sz w:val="21"/>
        </w:rPr>
        <w:t xml:space="preserve">是      </w:t>
      </w:r>
      <w:r>
        <w:rPr>
          <w:rFonts w:hint="eastAsia" w:ascii="宋体" w:hAnsi="宋体" w:eastAsia="宋体" w:cs="宋体"/>
          <w:kern w:val="2"/>
          <w:sz w:val="21"/>
        </w:rPr>
        <w:sym w:font="Wingdings" w:char="00A8"/>
      </w:r>
      <w:r>
        <w:rPr>
          <w:rFonts w:hint="eastAsia" w:ascii="宋体" w:hAnsi="宋体" w:eastAsia="宋体" w:cs="宋体"/>
          <w:kern w:val="2"/>
          <w:sz w:val="21"/>
        </w:rPr>
        <w:t>否</w:t>
      </w:r>
    </w:p>
    <w:p w14:paraId="69F4EC81">
      <w:pPr>
        <w:numPr>
          <w:ilvl w:val="255"/>
          <w:numId w:val="0"/>
        </w:numPr>
        <w:adjustRightInd w:val="0"/>
        <w:snapToGrid w:val="0"/>
        <w:spacing w:line="400" w:lineRule="exact"/>
        <w:rPr>
          <w:rFonts w:hint="eastAsia" w:cs="宋体"/>
          <w:iCs/>
          <w:sz w:val="21"/>
          <w:szCs w:val="21"/>
        </w:rPr>
      </w:pPr>
      <w:r>
        <w:rPr>
          <w:rFonts w:hint="eastAsia" w:cs="宋体"/>
          <w:sz w:val="21"/>
          <w:szCs w:val="21"/>
        </w:rPr>
        <w:t xml:space="preserve">         本合同是否为专门面向中小企业的采购合同（中小企业预留合同）：</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7421FC88">
      <w:pPr>
        <w:numPr>
          <w:ilvl w:val="255"/>
          <w:numId w:val="0"/>
        </w:numPr>
        <w:adjustRightInd w:val="0"/>
        <w:snapToGrid w:val="0"/>
        <w:spacing w:line="400" w:lineRule="exact"/>
        <w:rPr>
          <w:rFonts w:hint="eastAsia" w:cs="宋体"/>
          <w:iCs/>
          <w:sz w:val="21"/>
          <w:szCs w:val="21"/>
        </w:rPr>
      </w:pPr>
      <w:r>
        <w:rPr>
          <w:rFonts w:hint="eastAsia" w:cs="宋体"/>
          <w:sz w:val="21"/>
          <w:szCs w:val="21"/>
        </w:rPr>
        <w:t xml:space="preserve">         若本项目不专门面向中小企业采购，是否给予小微企业评审优惠：</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56E1EE48">
      <w:pPr>
        <w:numPr>
          <w:ilvl w:val="255"/>
          <w:numId w:val="0"/>
        </w:numPr>
        <w:adjustRightInd w:val="0"/>
        <w:snapToGrid w:val="0"/>
        <w:spacing w:line="400" w:lineRule="exact"/>
        <w:rPr>
          <w:rFonts w:hint="eastAsia" w:cs="宋体"/>
          <w:iCs/>
          <w:sz w:val="21"/>
          <w:szCs w:val="21"/>
        </w:rPr>
      </w:pPr>
      <w:r>
        <w:rPr>
          <w:rFonts w:hint="eastAsia" w:cs="宋体"/>
          <w:sz w:val="21"/>
          <w:szCs w:val="21"/>
        </w:rPr>
        <w:t xml:space="preserve">         中标（成交）采购标的制造商是否为残疾人福利性单位：</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347F2A2E">
      <w:pPr>
        <w:snapToGrid w:val="0"/>
        <w:spacing w:line="400" w:lineRule="exact"/>
        <w:rPr>
          <w:rFonts w:hint="eastAsia" w:cs="宋体"/>
          <w:sz w:val="21"/>
          <w:szCs w:val="21"/>
        </w:rPr>
      </w:pPr>
      <w:r>
        <w:rPr>
          <w:rFonts w:hint="eastAsia" w:cs="宋体"/>
          <w:sz w:val="21"/>
          <w:szCs w:val="21"/>
        </w:rPr>
        <w:t xml:space="preserve">         中标（成交）采购标的制造商是否为监狱企业：</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0D820161">
      <w:pPr>
        <w:adjustRightInd w:val="0"/>
        <w:snapToGrid w:val="0"/>
        <w:spacing w:line="400" w:lineRule="exact"/>
        <w:ind w:firstLine="420" w:firstLineChars="200"/>
        <w:rPr>
          <w:rFonts w:hint="eastAsia" w:cs="宋体"/>
          <w:sz w:val="21"/>
          <w:szCs w:val="21"/>
        </w:rPr>
      </w:pPr>
      <w:r>
        <w:rPr>
          <w:rFonts w:hint="eastAsia" w:cs="宋体"/>
          <w:sz w:val="21"/>
          <w:szCs w:val="21"/>
        </w:rPr>
        <w:t>（</w:t>
      </w:r>
      <w:r>
        <w:rPr>
          <w:rFonts w:hint="eastAsia" w:cs="宋体"/>
          <w:sz w:val="21"/>
          <w:szCs w:val="21"/>
          <w:lang w:val="en"/>
        </w:rPr>
        <w:t>7</w:t>
      </w:r>
      <w:r>
        <w:rPr>
          <w:rFonts w:hint="eastAsia" w:cs="宋体"/>
          <w:sz w:val="21"/>
          <w:szCs w:val="21"/>
        </w:rPr>
        <w:t>）合同是否分包：</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4F7B9179">
      <w:pPr>
        <w:adjustRightInd w:val="0"/>
        <w:snapToGrid w:val="0"/>
        <w:spacing w:line="400" w:lineRule="exact"/>
        <w:ind w:firstLine="840" w:firstLineChars="400"/>
        <w:rPr>
          <w:rFonts w:hint="eastAsia" w:cs="宋体"/>
          <w:sz w:val="21"/>
          <w:szCs w:val="21"/>
          <w:u w:val="single"/>
        </w:rPr>
      </w:pPr>
      <w:r>
        <w:rPr>
          <w:rFonts w:hint="eastAsia" w:cs="宋体"/>
          <w:sz w:val="21"/>
          <w:szCs w:val="21"/>
        </w:rPr>
        <w:t xml:space="preserve"> 分包主要内容：</w:t>
      </w:r>
      <w:r>
        <w:rPr>
          <w:rFonts w:hint="eastAsia" w:cs="宋体"/>
          <w:sz w:val="21"/>
          <w:szCs w:val="21"/>
          <w:u w:val="single"/>
        </w:rPr>
        <w:t xml:space="preserve">                                            </w:t>
      </w:r>
    </w:p>
    <w:p w14:paraId="5288A161">
      <w:pPr>
        <w:adjustRightInd w:val="0"/>
        <w:snapToGrid w:val="0"/>
        <w:spacing w:line="400" w:lineRule="exact"/>
        <w:ind w:firstLine="840" w:firstLineChars="400"/>
        <w:rPr>
          <w:rFonts w:hint="eastAsia" w:cs="宋体"/>
          <w:sz w:val="21"/>
          <w:szCs w:val="21"/>
        </w:rPr>
      </w:pPr>
      <w:r>
        <w:rPr>
          <w:rFonts w:hint="eastAsia" w:cs="宋体"/>
          <w:sz w:val="21"/>
          <w:szCs w:val="21"/>
        </w:rPr>
        <w:t xml:space="preserve"> 分包供应商/制造商名称（如供应商和制造商不同，请分别填写）：</w:t>
      </w:r>
    </w:p>
    <w:p w14:paraId="5EA3D895">
      <w:pPr>
        <w:adjustRightInd w:val="0"/>
        <w:snapToGrid w:val="0"/>
        <w:spacing w:line="400" w:lineRule="exact"/>
        <w:ind w:firstLine="840" w:firstLineChars="400"/>
        <w:rPr>
          <w:rFonts w:hint="eastAsia" w:cs="宋体"/>
          <w:sz w:val="21"/>
          <w:szCs w:val="21"/>
          <w:u w:val="single"/>
        </w:rPr>
      </w:pPr>
      <w:r>
        <w:rPr>
          <w:rFonts w:hint="eastAsia" w:cs="宋体"/>
          <w:sz w:val="21"/>
          <w:szCs w:val="21"/>
        </w:rPr>
        <w:t xml:space="preserve"> </w:t>
      </w:r>
      <w:r>
        <w:rPr>
          <w:rFonts w:hint="eastAsia" w:cs="宋体"/>
          <w:sz w:val="21"/>
          <w:szCs w:val="21"/>
          <w:u w:val="single"/>
        </w:rPr>
        <w:t xml:space="preserve">                                                          </w:t>
      </w:r>
    </w:p>
    <w:p w14:paraId="4EB8BDDF">
      <w:pPr>
        <w:adjustRightInd w:val="0"/>
        <w:snapToGrid w:val="0"/>
        <w:spacing w:line="400" w:lineRule="exact"/>
        <w:ind w:firstLine="840" w:firstLineChars="400"/>
        <w:rPr>
          <w:rFonts w:hint="eastAsia" w:cs="宋体"/>
          <w:sz w:val="21"/>
          <w:szCs w:val="21"/>
        </w:rPr>
      </w:pPr>
      <w:r>
        <w:rPr>
          <w:rFonts w:hint="eastAsia" w:cs="宋体"/>
          <w:sz w:val="21"/>
          <w:szCs w:val="21"/>
        </w:rPr>
        <w:t xml:space="preserve"> 分包供应商/制造商类型（如果供应商和制造商不同，只填写制造商类型）：</w:t>
      </w:r>
    </w:p>
    <w:p w14:paraId="2058E383">
      <w:pPr>
        <w:adjustRightInd w:val="0"/>
        <w:snapToGrid w:val="0"/>
        <w:spacing w:line="400" w:lineRule="exact"/>
        <w:ind w:firstLine="840" w:firstLineChars="400"/>
        <w:rPr>
          <w:rFonts w:hint="eastAsia"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大型企业  </w:t>
      </w:r>
      <w:r>
        <w:rPr>
          <w:rFonts w:hint="eastAsia" w:cs="宋体"/>
          <w:iCs/>
          <w:sz w:val="21"/>
          <w:szCs w:val="21"/>
        </w:rPr>
        <w:sym w:font="Wingdings" w:char="00A8"/>
      </w:r>
      <w:r>
        <w:rPr>
          <w:rFonts w:hint="eastAsia" w:cs="宋体"/>
          <w:iCs/>
          <w:sz w:val="21"/>
          <w:szCs w:val="21"/>
        </w:rPr>
        <w:t xml:space="preserve">中型企业  </w:t>
      </w:r>
      <w:r>
        <w:rPr>
          <w:rFonts w:hint="eastAsia" w:cs="宋体"/>
          <w:iCs/>
          <w:sz w:val="21"/>
          <w:szCs w:val="21"/>
        </w:rPr>
        <w:sym w:font="Wingdings" w:char="00A8"/>
      </w:r>
      <w:r>
        <w:rPr>
          <w:rFonts w:hint="eastAsia" w:cs="宋体"/>
          <w:iCs/>
          <w:sz w:val="21"/>
          <w:szCs w:val="21"/>
        </w:rPr>
        <w:t xml:space="preserve">小微型企业  </w:t>
      </w:r>
    </w:p>
    <w:p w14:paraId="0D1CE7B8">
      <w:pPr>
        <w:adjustRightInd w:val="0"/>
        <w:snapToGrid w:val="0"/>
        <w:spacing w:line="400" w:lineRule="exact"/>
        <w:ind w:firstLine="840" w:firstLineChars="400"/>
        <w:rPr>
          <w:rFonts w:hint="eastAsia" w:cs="宋体"/>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残疾人福利性单位 </w:t>
      </w:r>
      <w:r>
        <w:rPr>
          <w:rFonts w:hint="eastAsia" w:cs="宋体"/>
          <w:iCs/>
          <w:sz w:val="21"/>
          <w:szCs w:val="21"/>
        </w:rPr>
        <w:sym w:font="Wingdings" w:char="00A8"/>
      </w:r>
      <w:r>
        <w:rPr>
          <w:rFonts w:hint="eastAsia" w:cs="宋体"/>
          <w:iCs/>
          <w:sz w:val="21"/>
          <w:szCs w:val="21"/>
        </w:rPr>
        <w:t xml:space="preserve">监狱企业 </w:t>
      </w:r>
      <w:r>
        <w:rPr>
          <w:rFonts w:hint="eastAsia" w:cs="宋体"/>
          <w:iCs/>
          <w:sz w:val="21"/>
          <w:szCs w:val="21"/>
        </w:rPr>
        <w:sym w:font="Wingdings" w:char="00A8"/>
      </w:r>
      <w:r>
        <w:rPr>
          <w:rFonts w:hint="eastAsia" w:cs="宋体"/>
          <w:iCs/>
          <w:sz w:val="21"/>
          <w:szCs w:val="21"/>
        </w:rPr>
        <w:t>其他</w:t>
      </w:r>
    </w:p>
    <w:p w14:paraId="28F22A21">
      <w:pPr>
        <w:numPr>
          <w:ilvl w:val="255"/>
          <w:numId w:val="0"/>
        </w:numPr>
        <w:adjustRightInd w:val="0"/>
        <w:snapToGrid w:val="0"/>
        <w:spacing w:line="400" w:lineRule="exact"/>
        <w:rPr>
          <w:rFonts w:hint="eastAsia" w:cs="宋体"/>
          <w:iCs/>
          <w:sz w:val="21"/>
          <w:szCs w:val="21"/>
        </w:rPr>
      </w:pPr>
      <w:r>
        <w:rPr>
          <w:rFonts w:hint="eastAsia" w:cs="宋体"/>
          <w:sz w:val="21"/>
          <w:szCs w:val="21"/>
        </w:rPr>
        <w:t xml:space="preserve">    （</w:t>
      </w:r>
      <w:r>
        <w:rPr>
          <w:rFonts w:hint="eastAsia" w:cs="宋体"/>
          <w:sz w:val="21"/>
          <w:szCs w:val="21"/>
          <w:lang w:val="en"/>
        </w:rPr>
        <w:t>8</w:t>
      </w:r>
      <w:r>
        <w:rPr>
          <w:rFonts w:hint="eastAsia" w:cs="宋体"/>
          <w:sz w:val="21"/>
          <w:szCs w:val="21"/>
        </w:rPr>
        <w:t>）中标（成交）供应商是否为外商投资企业：</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6D46F4E0">
      <w:pPr>
        <w:pStyle w:val="38"/>
        <w:tabs>
          <w:tab w:val="left" w:pos="1340"/>
        </w:tabs>
        <w:ind w:firstLine="420"/>
        <w:rPr>
          <w:rFonts w:hint="eastAsia" w:ascii="宋体" w:hAnsi="宋体" w:eastAsia="宋体" w:cs="宋体"/>
          <w:sz w:val="21"/>
          <w:u w:val="single"/>
        </w:rPr>
      </w:pPr>
      <w:r>
        <w:rPr>
          <w:rFonts w:hint="eastAsia" w:ascii="宋体" w:hAnsi="宋体" w:eastAsia="宋体" w:cs="宋体"/>
          <w:sz w:val="21"/>
        </w:rPr>
        <w:t xml:space="preserve">     外商投资企业类型：</w:t>
      </w:r>
      <w:r>
        <w:rPr>
          <w:rFonts w:hint="eastAsia" w:ascii="宋体" w:hAnsi="宋体" w:eastAsia="宋体" w:cs="宋体"/>
          <w:iCs/>
          <w:sz w:val="21"/>
        </w:rPr>
        <w:sym w:font="Wingdings" w:char="00A8"/>
      </w:r>
      <w:r>
        <w:rPr>
          <w:rFonts w:hint="eastAsia" w:ascii="宋体" w:hAnsi="宋体" w:eastAsia="宋体" w:cs="宋体"/>
          <w:sz w:val="21"/>
        </w:rPr>
        <w:t xml:space="preserve">全部由外国投资者投资  </w:t>
      </w:r>
      <w:r>
        <w:rPr>
          <w:rFonts w:hint="eastAsia" w:ascii="宋体" w:hAnsi="宋体" w:eastAsia="宋体" w:cs="宋体"/>
          <w:iCs/>
          <w:sz w:val="21"/>
        </w:rPr>
        <w:sym w:font="Wingdings" w:char="00A8"/>
      </w:r>
      <w:r>
        <w:rPr>
          <w:rFonts w:hint="eastAsia" w:ascii="宋体" w:hAnsi="宋体" w:eastAsia="宋体" w:cs="宋体"/>
          <w:iCs/>
          <w:sz w:val="21"/>
        </w:rPr>
        <w:t>部分由外国投资者投资</w:t>
      </w:r>
    </w:p>
    <w:p w14:paraId="562D1AC1">
      <w:pPr>
        <w:numPr>
          <w:ilvl w:val="255"/>
          <w:numId w:val="0"/>
        </w:numPr>
        <w:adjustRightInd w:val="0"/>
        <w:snapToGrid w:val="0"/>
        <w:spacing w:line="400" w:lineRule="exact"/>
        <w:ind w:firstLine="420" w:firstLineChars="200"/>
        <w:rPr>
          <w:rFonts w:hint="eastAsia" w:cs="宋体"/>
          <w:sz w:val="21"/>
          <w:szCs w:val="21"/>
        </w:rPr>
      </w:pPr>
      <w:r>
        <w:rPr>
          <w:rFonts w:hint="eastAsia" w:cs="宋体"/>
          <w:sz w:val="21"/>
          <w:szCs w:val="21"/>
        </w:rPr>
        <w:t>（</w:t>
      </w:r>
      <w:r>
        <w:rPr>
          <w:rFonts w:hint="eastAsia" w:cs="宋体"/>
          <w:sz w:val="21"/>
          <w:szCs w:val="21"/>
          <w:lang w:val="en"/>
        </w:rPr>
        <w:t>9</w:t>
      </w:r>
      <w:r>
        <w:rPr>
          <w:rFonts w:hint="eastAsia" w:cs="宋体"/>
          <w:sz w:val="21"/>
          <w:szCs w:val="21"/>
        </w:rPr>
        <w:t>）是否涉及进口产品：</w:t>
      </w:r>
    </w:p>
    <w:p w14:paraId="1B682ED0">
      <w:pPr>
        <w:numPr>
          <w:ilvl w:val="255"/>
          <w:numId w:val="0"/>
        </w:numPr>
        <w:adjustRightInd w:val="0"/>
        <w:snapToGrid w:val="0"/>
        <w:spacing w:line="400" w:lineRule="exact"/>
        <w:ind w:firstLine="840" w:firstLineChars="400"/>
        <w:rPr>
          <w:rFonts w:hint="eastAsia" w:cs="宋体"/>
          <w:sz w:val="21"/>
          <w:szCs w:val="21"/>
          <w:u w:val="single"/>
        </w:rPr>
      </w:pPr>
      <w:r>
        <w:rPr>
          <w:rFonts w:hint="eastAsia" w:cs="宋体"/>
          <w:sz w:val="21"/>
          <w:szCs w:val="21"/>
        </w:rPr>
        <w:t xml:space="preserve"> </w:t>
      </w:r>
      <w:r>
        <w:rPr>
          <w:rFonts w:hint="eastAsia" w:cs="宋体"/>
          <w:sz w:val="21"/>
          <w:szCs w:val="21"/>
        </w:rPr>
        <w:sym w:font="Wingdings" w:char="00A8"/>
      </w:r>
      <w:r>
        <w:rPr>
          <w:rFonts w:hint="eastAsia" w:cs="宋体"/>
          <w:sz w:val="21"/>
          <w:szCs w:val="21"/>
        </w:rPr>
        <w:t>是，《政府采购品目分类目录》底级品目名称：</w:t>
      </w:r>
      <w:r>
        <w:rPr>
          <w:rFonts w:hint="eastAsia" w:cs="宋体"/>
          <w:sz w:val="21"/>
          <w:szCs w:val="21"/>
          <w:u w:val="single"/>
        </w:rPr>
        <w:t xml:space="preserve">         </w:t>
      </w:r>
      <w:r>
        <w:rPr>
          <w:rFonts w:hint="eastAsia" w:cs="宋体"/>
          <w:sz w:val="21"/>
          <w:szCs w:val="21"/>
        </w:rPr>
        <w:t xml:space="preserve"> 金额：</w:t>
      </w:r>
      <w:r>
        <w:rPr>
          <w:rFonts w:hint="eastAsia" w:cs="宋体"/>
          <w:sz w:val="21"/>
          <w:szCs w:val="21"/>
          <w:u w:val="single"/>
        </w:rPr>
        <w:t xml:space="preserve">        </w:t>
      </w:r>
    </w:p>
    <w:p w14:paraId="06D8AD18">
      <w:pPr>
        <w:numPr>
          <w:ilvl w:val="255"/>
          <w:numId w:val="0"/>
        </w:numPr>
        <w:adjustRightInd w:val="0"/>
        <w:snapToGrid w:val="0"/>
        <w:spacing w:line="400" w:lineRule="exact"/>
        <w:ind w:firstLine="840" w:firstLineChars="400"/>
        <w:rPr>
          <w:rFonts w:hint="eastAsia" w:cs="宋体"/>
          <w:sz w:val="21"/>
          <w:szCs w:val="21"/>
        </w:rPr>
      </w:pPr>
      <w:r>
        <w:rPr>
          <w:rFonts w:hint="eastAsia" w:cs="宋体"/>
          <w:sz w:val="21"/>
          <w:szCs w:val="21"/>
        </w:rPr>
        <w:t xml:space="preserve">        国别：</w:t>
      </w:r>
      <w:r>
        <w:rPr>
          <w:rFonts w:hint="eastAsia" w:cs="宋体"/>
          <w:sz w:val="21"/>
          <w:szCs w:val="21"/>
          <w:u w:val="single"/>
        </w:rPr>
        <w:t xml:space="preserve">        </w:t>
      </w:r>
      <w:r>
        <w:rPr>
          <w:rFonts w:hint="eastAsia" w:cs="宋体"/>
          <w:sz w:val="21"/>
          <w:szCs w:val="21"/>
        </w:rPr>
        <w:t xml:space="preserve"> 品牌：</w:t>
      </w:r>
      <w:r>
        <w:rPr>
          <w:rFonts w:hint="eastAsia" w:cs="宋体"/>
          <w:sz w:val="21"/>
          <w:szCs w:val="21"/>
          <w:u w:val="single"/>
        </w:rPr>
        <w:t xml:space="preserve">        </w:t>
      </w:r>
      <w:r>
        <w:rPr>
          <w:rFonts w:hint="eastAsia" w:cs="宋体"/>
          <w:sz w:val="21"/>
          <w:szCs w:val="21"/>
        </w:rPr>
        <w:t xml:space="preserve"> 规格型号：</w:t>
      </w:r>
      <w:r>
        <w:rPr>
          <w:rFonts w:hint="eastAsia" w:cs="宋体"/>
          <w:sz w:val="21"/>
          <w:szCs w:val="21"/>
          <w:u w:val="single"/>
        </w:rPr>
        <w:t xml:space="preserve">        </w:t>
      </w:r>
      <w:r>
        <w:rPr>
          <w:rFonts w:hint="eastAsia" w:cs="宋体"/>
          <w:sz w:val="21"/>
          <w:szCs w:val="21"/>
        </w:rPr>
        <w:t xml:space="preserve">      </w:t>
      </w:r>
    </w:p>
    <w:p w14:paraId="417528CB">
      <w:pPr>
        <w:adjustRightInd w:val="0"/>
        <w:snapToGrid w:val="0"/>
        <w:spacing w:line="400" w:lineRule="exact"/>
        <w:ind w:firstLine="840" w:firstLineChars="400"/>
        <w:rPr>
          <w:rFonts w:hint="eastAsia" w:cs="宋体"/>
          <w:sz w:val="21"/>
          <w:szCs w:val="21"/>
        </w:rPr>
      </w:pPr>
      <w:r>
        <w:rPr>
          <w:rFonts w:hint="eastAsia" w:cs="宋体"/>
          <w:sz w:val="21"/>
          <w:szCs w:val="21"/>
        </w:rPr>
        <w:t xml:space="preserve"> </w:t>
      </w:r>
      <w:r>
        <w:rPr>
          <w:rFonts w:hint="eastAsia" w:cs="宋体"/>
          <w:sz w:val="21"/>
          <w:szCs w:val="21"/>
        </w:rPr>
        <w:sym w:font="Wingdings" w:char="00A8"/>
      </w:r>
      <w:r>
        <w:rPr>
          <w:rFonts w:hint="eastAsia" w:cs="宋体"/>
          <w:sz w:val="21"/>
          <w:szCs w:val="21"/>
        </w:rPr>
        <w:t>否</w:t>
      </w:r>
    </w:p>
    <w:p w14:paraId="46AABAA1">
      <w:pPr>
        <w:numPr>
          <w:ilvl w:val="255"/>
          <w:numId w:val="0"/>
        </w:numPr>
        <w:tabs>
          <w:tab w:val="left" w:pos="740"/>
        </w:tabs>
        <w:adjustRightInd w:val="0"/>
        <w:snapToGrid w:val="0"/>
        <w:spacing w:line="400" w:lineRule="exact"/>
        <w:rPr>
          <w:rFonts w:hint="eastAsia" w:cs="宋体"/>
          <w:sz w:val="21"/>
          <w:szCs w:val="21"/>
        </w:rPr>
      </w:pPr>
      <w:r>
        <w:rPr>
          <w:rFonts w:hint="eastAsia" w:cs="宋体"/>
          <w:sz w:val="21"/>
          <w:szCs w:val="21"/>
        </w:rPr>
        <w:t xml:space="preserve">    （1</w:t>
      </w:r>
      <w:r>
        <w:rPr>
          <w:rFonts w:hint="eastAsia" w:cs="宋体"/>
          <w:sz w:val="21"/>
          <w:szCs w:val="21"/>
          <w:lang w:val="en"/>
        </w:rPr>
        <w:t>0</w:t>
      </w:r>
      <w:r>
        <w:rPr>
          <w:rFonts w:hint="eastAsia" w:cs="宋体"/>
          <w:sz w:val="21"/>
          <w:szCs w:val="21"/>
        </w:rPr>
        <w:t>）是否涉及节能产品：</w:t>
      </w:r>
    </w:p>
    <w:p w14:paraId="1EC685E3">
      <w:pPr>
        <w:numPr>
          <w:ilvl w:val="255"/>
          <w:numId w:val="0"/>
        </w:numPr>
        <w:tabs>
          <w:tab w:val="left" w:pos="740"/>
        </w:tabs>
        <w:adjustRightInd w:val="0"/>
        <w:snapToGrid w:val="0"/>
        <w:spacing w:line="400" w:lineRule="exact"/>
        <w:rPr>
          <w:rFonts w:hint="eastAsia" w:cs="宋体"/>
          <w:iCs/>
          <w:sz w:val="21"/>
          <w:szCs w:val="21"/>
        </w:rPr>
      </w:pPr>
      <w:r>
        <w:rPr>
          <w:rFonts w:hint="eastAsia" w:cs="宋体"/>
          <w:sz w:val="21"/>
          <w:szCs w:val="21"/>
        </w:rPr>
        <w:t xml:space="preserve">         </w:t>
      </w:r>
      <w:r>
        <w:rPr>
          <w:rFonts w:hint="eastAsia" w:cs="宋体"/>
          <w:sz w:val="21"/>
          <w:szCs w:val="21"/>
        </w:rPr>
        <w:sym w:font="Wingdings" w:char="00A8"/>
      </w:r>
      <w:r>
        <w:rPr>
          <w:rFonts w:hint="eastAsia" w:cs="宋体"/>
          <w:sz w:val="21"/>
          <w:szCs w:val="21"/>
        </w:rPr>
        <w:t>是，《节能产品政府采购品目清单》的底级品目名称：</w:t>
      </w:r>
      <w:r>
        <w:rPr>
          <w:rFonts w:hint="eastAsia" w:cs="宋体"/>
          <w:sz w:val="21"/>
          <w:szCs w:val="21"/>
          <w:u w:val="single"/>
        </w:rPr>
        <w:t xml:space="preserve">         </w:t>
      </w:r>
      <w:r>
        <w:rPr>
          <w:rFonts w:hint="eastAsia" w:cs="宋体"/>
          <w:iCs/>
          <w:sz w:val="21"/>
          <w:szCs w:val="21"/>
        </w:rPr>
        <w:t xml:space="preserve">     </w:t>
      </w:r>
    </w:p>
    <w:p w14:paraId="410B0F4F">
      <w:pPr>
        <w:numPr>
          <w:ilvl w:val="255"/>
          <w:numId w:val="0"/>
        </w:numPr>
        <w:tabs>
          <w:tab w:val="left" w:pos="740"/>
        </w:tabs>
        <w:adjustRightInd w:val="0"/>
        <w:snapToGrid w:val="0"/>
        <w:spacing w:line="400" w:lineRule="exact"/>
        <w:rPr>
          <w:rFonts w:hint="eastAsia"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强制采购       </w:t>
      </w:r>
      <w:r>
        <w:rPr>
          <w:rFonts w:hint="eastAsia" w:cs="宋体"/>
          <w:iCs/>
          <w:sz w:val="21"/>
          <w:szCs w:val="21"/>
        </w:rPr>
        <w:sym w:font="Wingdings" w:char="00A8"/>
      </w:r>
      <w:r>
        <w:rPr>
          <w:rFonts w:hint="eastAsia" w:cs="宋体"/>
          <w:iCs/>
          <w:sz w:val="21"/>
          <w:szCs w:val="21"/>
        </w:rPr>
        <w:t xml:space="preserve">优先采购    </w:t>
      </w:r>
    </w:p>
    <w:p w14:paraId="60572C3A">
      <w:pPr>
        <w:numPr>
          <w:ilvl w:val="255"/>
          <w:numId w:val="0"/>
        </w:numPr>
        <w:tabs>
          <w:tab w:val="left" w:pos="740"/>
        </w:tabs>
        <w:adjustRightInd w:val="0"/>
        <w:snapToGrid w:val="0"/>
        <w:spacing w:line="400" w:lineRule="exact"/>
        <w:rPr>
          <w:rFonts w:hint="eastAsia" w:cs="宋体"/>
          <w:sz w:val="21"/>
          <w:szCs w:val="21"/>
        </w:rPr>
      </w:pPr>
      <w:r>
        <w:rPr>
          <w:rFonts w:hint="eastAsia" w:cs="宋体"/>
          <w:iCs/>
          <w:sz w:val="21"/>
          <w:szCs w:val="21"/>
        </w:rPr>
        <w:t xml:space="preserve">         </w:t>
      </w:r>
      <w:r>
        <w:rPr>
          <w:rFonts w:hint="eastAsia" w:cs="宋体"/>
          <w:sz w:val="21"/>
          <w:szCs w:val="21"/>
        </w:rPr>
        <w:sym w:font="Wingdings" w:char="00A8"/>
      </w:r>
      <w:r>
        <w:rPr>
          <w:rFonts w:hint="eastAsia" w:cs="宋体"/>
          <w:sz w:val="21"/>
          <w:szCs w:val="21"/>
        </w:rPr>
        <w:t>否</w:t>
      </w:r>
    </w:p>
    <w:p w14:paraId="0B48A7CE">
      <w:pPr>
        <w:numPr>
          <w:ilvl w:val="255"/>
          <w:numId w:val="0"/>
        </w:numPr>
        <w:tabs>
          <w:tab w:val="left" w:pos="740"/>
        </w:tabs>
        <w:adjustRightInd w:val="0"/>
        <w:snapToGrid w:val="0"/>
        <w:spacing w:line="400" w:lineRule="exact"/>
        <w:rPr>
          <w:rFonts w:hint="eastAsia" w:cs="宋体"/>
          <w:sz w:val="21"/>
          <w:szCs w:val="21"/>
        </w:rPr>
      </w:pPr>
      <w:r>
        <w:rPr>
          <w:rFonts w:hint="eastAsia" w:cs="宋体"/>
          <w:sz w:val="21"/>
          <w:szCs w:val="21"/>
        </w:rPr>
        <w:t xml:space="preserve">          是否涉及环境标志产品：</w:t>
      </w:r>
    </w:p>
    <w:p w14:paraId="7D5A518A">
      <w:pPr>
        <w:numPr>
          <w:ilvl w:val="255"/>
          <w:numId w:val="0"/>
        </w:numPr>
        <w:tabs>
          <w:tab w:val="left" w:pos="740"/>
        </w:tabs>
        <w:adjustRightInd w:val="0"/>
        <w:snapToGrid w:val="0"/>
        <w:spacing w:line="400" w:lineRule="exact"/>
        <w:rPr>
          <w:rFonts w:hint="eastAsia" w:cs="宋体"/>
          <w:sz w:val="21"/>
          <w:szCs w:val="21"/>
        </w:rPr>
      </w:pPr>
      <w:r>
        <w:rPr>
          <w:rFonts w:hint="eastAsia" w:cs="宋体"/>
          <w:sz w:val="21"/>
          <w:szCs w:val="21"/>
        </w:rPr>
        <w:t xml:space="preserve">         </w:t>
      </w:r>
      <w:r>
        <w:rPr>
          <w:rFonts w:hint="eastAsia" w:cs="宋体"/>
          <w:sz w:val="21"/>
          <w:szCs w:val="21"/>
        </w:rPr>
        <w:sym w:font="Wingdings" w:char="00A8"/>
      </w:r>
      <w:r>
        <w:rPr>
          <w:rFonts w:hint="eastAsia" w:cs="宋体"/>
          <w:sz w:val="21"/>
          <w:szCs w:val="21"/>
        </w:rPr>
        <w:t>是，《环境标志产品政府采购品目清单》的底级品目名称：</w:t>
      </w:r>
      <w:r>
        <w:rPr>
          <w:rFonts w:hint="eastAsia" w:cs="宋体"/>
          <w:sz w:val="21"/>
          <w:szCs w:val="21"/>
          <w:u w:val="single"/>
        </w:rPr>
        <w:t xml:space="preserve">         </w:t>
      </w:r>
      <w:r>
        <w:rPr>
          <w:rFonts w:hint="eastAsia" w:cs="宋体"/>
          <w:iCs/>
          <w:sz w:val="21"/>
          <w:szCs w:val="21"/>
        </w:rPr>
        <w:t xml:space="preserve"> </w:t>
      </w:r>
    </w:p>
    <w:p w14:paraId="0CF714D2">
      <w:pPr>
        <w:numPr>
          <w:ilvl w:val="255"/>
          <w:numId w:val="0"/>
        </w:numPr>
        <w:tabs>
          <w:tab w:val="left" w:pos="740"/>
        </w:tabs>
        <w:adjustRightInd w:val="0"/>
        <w:snapToGrid w:val="0"/>
        <w:spacing w:line="400" w:lineRule="exact"/>
        <w:rPr>
          <w:rFonts w:hint="eastAsia"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强制采购       </w:t>
      </w:r>
      <w:r>
        <w:rPr>
          <w:rFonts w:hint="eastAsia" w:cs="宋体"/>
          <w:iCs/>
          <w:sz w:val="21"/>
          <w:szCs w:val="21"/>
        </w:rPr>
        <w:sym w:font="Wingdings" w:char="00A8"/>
      </w:r>
      <w:r>
        <w:rPr>
          <w:rFonts w:hint="eastAsia" w:cs="宋体"/>
          <w:iCs/>
          <w:sz w:val="21"/>
          <w:szCs w:val="21"/>
        </w:rPr>
        <w:t xml:space="preserve">优先采购    </w:t>
      </w:r>
    </w:p>
    <w:p w14:paraId="7DE66F29">
      <w:pPr>
        <w:numPr>
          <w:ilvl w:val="255"/>
          <w:numId w:val="0"/>
        </w:numPr>
        <w:tabs>
          <w:tab w:val="left" w:pos="740"/>
        </w:tabs>
        <w:adjustRightInd w:val="0"/>
        <w:snapToGrid w:val="0"/>
        <w:spacing w:line="400" w:lineRule="exact"/>
        <w:rPr>
          <w:rFonts w:hint="eastAsia" w:cs="宋体"/>
          <w:sz w:val="21"/>
          <w:szCs w:val="21"/>
        </w:rPr>
      </w:pPr>
      <w:r>
        <w:rPr>
          <w:rFonts w:hint="eastAsia" w:cs="宋体"/>
          <w:iCs/>
          <w:sz w:val="21"/>
          <w:szCs w:val="21"/>
        </w:rPr>
        <w:t xml:space="preserve">         </w:t>
      </w:r>
      <w:r>
        <w:rPr>
          <w:rFonts w:hint="eastAsia" w:cs="宋体"/>
          <w:sz w:val="21"/>
          <w:szCs w:val="21"/>
        </w:rPr>
        <w:sym w:font="Wingdings" w:char="00A8"/>
      </w:r>
      <w:r>
        <w:rPr>
          <w:rFonts w:hint="eastAsia" w:cs="宋体"/>
          <w:sz w:val="21"/>
          <w:szCs w:val="21"/>
        </w:rPr>
        <w:t>否</w:t>
      </w:r>
    </w:p>
    <w:p w14:paraId="0C4384EA">
      <w:pPr>
        <w:pStyle w:val="38"/>
        <w:numPr>
          <w:ilvl w:val="255"/>
          <w:numId w:val="0"/>
        </w:numPr>
        <w:snapToGrid w:val="0"/>
        <w:rPr>
          <w:rFonts w:hint="eastAsia" w:ascii="宋体" w:hAnsi="宋体" w:eastAsia="宋体" w:cs="宋体"/>
          <w:kern w:val="2"/>
          <w:sz w:val="21"/>
        </w:rPr>
      </w:pPr>
      <w:r>
        <w:rPr>
          <w:rFonts w:hint="eastAsia" w:ascii="宋体" w:hAnsi="宋体" w:eastAsia="宋体" w:cs="宋体"/>
          <w:sz w:val="21"/>
        </w:rPr>
        <w:t xml:space="preserve">          </w:t>
      </w:r>
      <w:r>
        <w:rPr>
          <w:rFonts w:hint="eastAsia" w:ascii="宋体" w:hAnsi="宋体" w:eastAsia="宋体" w:cs="宋体"/>
          <w:kern w:val="2"/>
          <w:sz w:val="21"/>
        </w:rPr>
        <w:t xml:space="preserve">是否涉及绿色产品： </w:t>
      </w:r>
    </w:p>
    <w:p w14:paraId="154EB2CB">
      <w:pPr>
        <w:pStyle w:val="38"/>
        <w:ind w:firstLine="420" w:firstLineChars="0"/>
        <w:rPr>
          <w:rFonts w:hint="eastAsia" w:ascii="宋体" w:hAnsi="宋体" w:eastAsia="宋体" w:cs="宋体"/>
          <w:sz w:val="21"/>
          <w:u w:val="single"/>
        </w:rPr>
      </w:pPr>
      <w:r>
        <w:rPr>
          <w:rFonts w:hint="eastAsia" w:ascii="宋体" w:hAnsi="宋体" w:eastAsia="宋体" w:cs="宋体"/>
          <w:kern w:val="2"/>
          <w:sz w:val="21"/>
        </w:rPr>
        <w:t xml:space="preserve">     </w:t>
      </w:r>
      <w:r>
        <w:rPr>
          <w:rFonts w:hint="eastAsia" w:ascii="宋体" w:hAnsi="宋体" w:eastAsia="宋体" w:cs="宋体"/>
          <w:kern w:val="2"/>
          <w:sz w:val="21"/>
        </w:rPr>
        <w:sym w:font="Wingdings" w:char="00A8"/>
      </w:r>
      <w:r>
        <w:rPr>
          <w:rFonts w:hint="eastAsia" w:ascii="宋体" w:hAnsi="宋体" w:eastAsia="宋体" w:cs="宋体"/>
          <w:kern w:val="2"/>
          <w:sz w:val="21"/>
        </w:rPr>
        <w:t>是，绿色产品政府采购相关政策确定的底级品目名称：</w:t>
      </w:r>
      <w:r>
        <w:rPr>
          <w:rFonts w:hint="eastAsia" w:ascii="宋体" w:hAnsi="宋体" w:eastAsia="宋体" w:cs="宋体"/>
          <w:sz w:val="21"/>
          <w:u w:val="single"/>
        </w:rPr>
        <w:t xml:space="preserve">         </w:t>
      </w:r>
    </w:p>
    <w:p w14:paraId="072DC88D">
      <w:pPr>
        <w:numPr>
          <w:ilvl w:val="255"/>
          <w:numId w:val="0"/>
        </w:numPr>
        <w:tabs>
          <w:tab w:val="left" w:pos="740"/>
        </w:tabs>
        <w:adjustRightInd w:val="0"/>
        <w:snapToGrid w:val="0"/>
        <w:spacing w:line="400" w:lineRule="exact"/>
        <w:rPr>
          <w:rFonts w:hint="eastAsia"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强制采购       </w:t>
      </w:r>
      <w:r>
        <w:rPr>
          <w:rFonts w:hint="eastAsia" w:cs="宋体"/>
          <w:iCs/>
          <w:sz w:val="21"/>
          <w:szCs w:val="21"/>
        </w:rPr>
        <w:sym w:font="Wingdings" w:char="00A8"/>
      </w:r>
      <w:r>
        <w:rPr>
          <w:rFonts w:hint="eastAsia" w:cs="宋体"/>
          <w:iCs/>
          <w:sz w:val="21"/>
          <w:szCs w:val="21"/>
        </w:rPr>
        <w:t xml:space="preserve">优先采购    </w:t>
      </w:r>
    </w:p>
    <w:p w14:paraId="0273828C">
      <w:pPr>
        <w:pStyle w:val="38"/>
        <w:ind w:firstLine="420" w:firstLineChars="0"/>
        <w:rPr>
          <w:rFonts w:hint="eastAsia" w:ascii="宋体" w:hAnsi="宋体" w:eastAsia="宋体" w:cs="宋体"/>
          <w:sz w:val="21"/>
        </w:rPr>
      </w:pPr>
      <w:r>
        <w:rPr>
          <w:rFonts w:hint="eastAsia" w:ascii="宋体" w:hAnsi="宋体" w:eastAsia="宋体" w:cs="宋体"/>
          <w:kern w:val="2"/>
          <w:sz w:val="21"/>
        </w:rPr>
        <w:t xml:space="preserve">     </w:t>
      </w:r>
      <w:r>
        <w:rPr>
          <w:rFonts w:hint="eastAsia" w:ascii="宋体" w:hAnsi="宋体" w:eastAsia="宋体" w:cs="宋体"/>
          <w:kern w:val="2"/>
          <w:sz w:val="21"/>
        </w:rPr>
        <w:sym w:font="Wingdings" w:char="00A8"/>
      </w:r>
      <w:r>
        <w:rPr>
          <w:rFonts w:hint="eastAsia" w:ascii="宋体" w:hAnsi="宋体" w:eastAsia="宋体" w:cs="宋体"/>
          <w:kern w:val="2"/>
          <w:sz w:val="21"/>
        </w:rPr>
        <w:t>否</w:t>
      </w:r>
    </w:p>
    <w:p w14:paraId="2463E69D">
      <w:pPr>
        <w:numPr>
          <w:ilvl w:val="255"/>
          <w:numId w:val="0"/>
        </w:numPr>
        <w:adjustRightInd w:val="0"/>
        <w:snapToGrid w:val="0"/>
        <w:spacing w:line="400" w:lineRule="exact"/>
        <w:rPr>
          <w:rFonts w:hint="eastAsia" w:cs="宋体"/>
          <w:sz w:val="21"/>
          <w:szCs w:val="21"/>
        </w:rPr>
      </w:pPr>
      <w:r>
        <w:rPr>
          <w:rFonts w:hint="eastAsia" w:cs="宋体"/>
          <w:sz w:val="21"/>
          <w:szCs w:val="21"/>
        </w:rPr>
        <w:t xml:space="preserve">    （1</w:t>
      </w:r>
      <w:r>
        <w:rPr>
          <w:rFonts w:hint="eastAsia" w:cs="宋体"/>
          <w:sz w:val="21"/>
          <w:szCs w:val="21"/>
          <w:lang w:val="en"/>
        </w:rPr>
        <w:t>1</w:t>
      </w:r>
      <w:r>
        <w:rPr>
          <w:rFonts w:hint="eastAsia" w:cs="宋体"/>
          <w:sz w:val="21"/>
          <w:szCs w:val="21"/>
        </w:rPr>
        <w:t>）涉及商品包装和快递包装的，是否参考《商品包装政府采购需求标准（试行）》、《快递包装政府采购需求标准（试行）》明确产品及相关快递服务的具体包装要求：</w:t>
      </w:r>
    </w:p>
    <w:p w14:paraId="2792DFE5">
      <w:pPr>
        <w:numPr>
          <w:ilvl w:val="255"/>
          <w:numId w:val="0"/>
        </w:numPr>
        <w:adjustRightInd w:val="0"/>
        <w:snapToGrid w:val="0"/>
        <w:spacing w:line="400" w:lineRule="exact"/>
        <w:ind w:firstLine="1050" w:firstLineChars="500"/>
        <w:rPr>
          <w:rFonts w:hint="eastAsia" w:cs="宋体"/>
          <w:sz w:val="21"/>
          <w:szCs w:val="21"/>
        </w:rPr>
      </w:pPr>
      <w:r>
        <w:rPr>
          <w:rFonts w:hint="eastAsia" w:cs="宋体"/>
          <w:sz w:val="21"/>
          <w:szCs w:val="21"/>
        </w:rPr>
        <w:sym w:font="Wingdings" w:char="00A8"/>
      </w:r>
      <w:r>
        <w:rPr>
          <w:rFonts w:hint="eastAsia" w:cs="宋体"/>
          <w:sz w:val="21"/>
          <w:szCs w:val="21"/>
        </w:rPr>
        <w:t xml:space="preserve">是       </w:t>
      </w:r>
      <w:r>
        <w:rPr>
          <w:rFonts w:hint="eastAsia" w:cs="宋体"/>
          <w:sz w:val="21"/>
          <w:szCs w:val="21"/>
        </w:rPr>
        <w:sym w:font="Wingdings" w:char="00A8"/>
      </w:r>
      <w:r>
        <w:rPr>
          <w:rFonts w:hint="eastAsia" w:cs="宋体"/>
          <w:sz w:val="21"/>
          <w:szCs w:val="21"/>
        </w:rPr>
        <w:t xml:space="preserve">否      </w:t>
      </w:r>
      <w:r>
        <w:rPr>
          <w:rFonts w:hint="eastAsia" w:cs="宋体"/>
          <w:sz w:val="21"/>
          <w:szCs w:val="21"/>
        </w:rPr>
        <w:sym w:font="Wingdings" w:char="00A8"/>
      </w:r>
      <w:r>
        <w:rPr>
          <w:rFonts w:hint="eastAsia" w:cs="宋体"/>
          <w:sz w:val="21"/>
          <w:szCs w:val="21"/>
        </w:rPr>
        <w:t>不涉及</w:t>
      </w:r>
    </w:p>
    <w:p w14:paraId="48A409EA">
      <w:pPr>
        <w:numPr>
          <w:ilvl w:val="0"/>
          <w:numId w:val="7"/>
        </w:numPr>
        <w:adjustRightInd w:val="0"/>
        <w:snapToGrid w:val="0"/>
        <w:spacing w:line="400" w:lineRule="exact"/>
        <w:ind w:firstLine="422" w:firstLineChars="200"/>
        <w:rPr>
          <w:rFonts w:hint="eastAsia" w:cs="宋体"/>
          <w:b/>
          <w:sz w:val="21"/>
          <w:szCs w:val="21"/>
        </w:rPr>
      </w:pPr>
      <w:r>
        <w:rPr>
          <w:rFonts w:hint="eastAsia" w:cs="宋体"/>
          <w:b/>
          <w:sz w:val="21"/>
          <w:szCs w:val="21"/>
        </w:rPr>
        <w:t>合同金额</w:t>
      </w:r>
    </w:p>
    <w:p w14:paraId="581D38E9">
      <w:pPr>
        <w:adjustRightInd w:val="0"/>
        <w:snapToGrid w:val="0"/>
        <w:spacing w:line="400" w:lineRule="exact"/>
        <w:ind w:firstLine="420" w:firstLineChars="200"/>
        <w:rPr>
          <w:rFonts w:hint="eastAsia" w:cs="宋体"/>
          <w:sz w:val="21"/>
          <w:szCs w:val="21"/>
        </w:rPr>
      </w:pPr>
      <w:r>
        <w:rPr>
          <w:rFonts w:hint="eastAsia" w:cs="宋体"/>
          <w:sz w:val="21"/>
          <w:szCs w:val="21"/>
        </w:rPr>
        <w:t>（1）合同金额小写：</w:t>
      </w:r>
      <w:r>
        <w:rPr>
          <w:rFonts w:hint="eastAsia" w:cs="宋体"/>
          <w:sz w:val="21"/>
          <w:szCs w:val="21"/>
          <w:u w:val="single"/>
        </w:rPr>
        <w:t xml:space="preserve">                           </w:t>
      </w:r>
    </w:p>
    <w:p w14:paraId="741D39DA">
      <w:pPr>
        <w:adjustRightInd w:val="0"/>
        <w:snapToGrid w:val="0"/>
        <w:spacing w:line="400" w:lineRule="exact"/>
        <w:rPr>
          <w:rFonts w:hint="eastAsia" w:cs="宋体"/>
          <w:sz w:val="21"/>
          <w:szCs w:val="21"/>
          <w:u w:val="single"/>
        </w:rPr>
      </w:pPr>
      <w:r>
        <w:rPr>
          <w:rFonts w:hint="eastAsia" w:cs="宋体"/>
          <w:sz w:val="21"/>
          <w:szCs w:val="21"/>
        </w:rPr>
        <w:t xml:space="preserve">                 大写：</w:t>
      </w:r>
      <w:r>
        <w:rPr>
          <w:rFonts w:hint="eastAsia" w:cs="宋体"/>
          <w:sz w:val="21"/>
          <w:szCs w:val="21"/>
          <w:u w:val="single"/>
        </w:rPr>
        <w:t xml:space="preserve">                           </w:t>
      </w:r>
    </w:p>
    <w:p w14:paraId="20416006">
      <w:pPr>
        <w:adjustRightInd w:val="0"/>
        <w:snapToGrid w:val="0"/>
        <w:spacing w:line="400" w:lineRule="exact"/>
        <w:rPr>
          <w:rFonts w:hint="eastAsia" w:cs="宋体"/>
          <w:sz w:val="21"/>
          <w:szCs w:val="21"/>
        </w:rPr>
      </w:pPr>
      <w:r>
        <w:rPr>
          <w:rFonts w:hint="eastAsia" w:cs="宋体"/>
          <w:sz w:val="21"/>
          <w:szCs w:val="21"/>
        </w:rPr>
        <w:t xml:space="preserve">         分包金额（如有）小写：</w:t>
      </w:r>
      <w:r>
        <w:rPr>
          <w:rFonts w:hint="eastAsia" w:cs="宋体"/>
          <w:sz w:val="21"/>
          <w:szCs w:val="21"/>
          <w:u w:val="single"/>
        </w:rPr>
        <w:t xml:space="preserve">                   </w:t>
      </w:r>
    </w:p>
    <w:p w14:paraId="070D9B87">
      <w:pPr>
        <w:adjustRightInd w:val="0"/>
        <w:snapToGrid w:val="0"/>
        <w:spacing w:line="400" w:lineRule="exact"/>
        <w:rPr>
          <w:rFonts w:hint="eastAsia" w:cs="宋体"/>
          <w:sz w:val="21"/>
          <w:szCs w:val="21"/>
          <w:u w:val="single"/>
        </w:rPr>
      </w:pPr>
      <w:r>
        <w:rPr>
          <w:rFonts w:hint="eastAsia" w:cs="宋体"/>
          <w:sz w:val="21"/>
          <w:szCs w:val="21"/>
        </w:rPr>
        <w:t xml:space="preserve">                     大写：</w:t>
      </w:r>
      <w:r>
        <w:rPr>
          <w:rFonts w:hint="eastAsia" w:cs="宋体"/>
          <w:sz w:val="21"/>
          <w:szCs w:val="21"/>
          <w:u w:val="single"/>
        </w:rPr>
        <w:t xml:space="preserve">                       </w:t>
      </w:r>
    </w:p>
    <w:p w14:paraId="30143940">
      <w:pPr>
        <w:adjustRightInd w:val="0"/>
        <w:snapToGrid w:val="0"/>
        <w:spacing w:line="400" w:lineRule="exact"/>
        <w:rPr>
          <w:rFonts w:hint="eastAsia" w:cs="宋体"/>
          <w:sz w:val="21"/>
          <w:szCs w:val="21"/>
        </w:rPr>
      </w:pPr>
      <w:r>
        <w:rPr>
          <w:rFonts w:hint="eastAsia" w:cs="宋体"/>
          <w:sz w:val="21"/>
          <w:szCs w:val="21"/>
        </w:rPr>
        <w:t xml:space="preserve">    （注：固定单价合同应填写单价和最高限价）</w:t>
      </w:r>
    </w:p>
    <w:p w14:paraId="12E5105D">
      <w:pPr>
        <w:numPr>
          <w:ilvl w:val="255"/>
          <w:numId w:val="0"/>
        </w:numPr>
        <w:adjustRightInd w:val="0"/>
        <w:snapToGrid w:val="0"/>
        <w:spacing w:line="400" w:lineRule="exact"/>
        <w:rPr>
          <w:rFonts w:hint="eastAsia" w:cs="宋体"/>
          <w:sz w:val="21"/>
          <w:szCs w:val="21"/>
        </w:rPr>
      </w:pPr>
      <w:r>
        <w:rPr>
          <w:rFonts w:hint="eastAsia" w:cs="宋体"/>
          <w:sz w:val="21"/>
          <w:szCs w:val="21"/>
        </w:rPr>
        <w:t xml:space="preserve">    （2）合同定价方式（采用组合定价方式的，可以勾选多项）：</w:t>
      </w:r>
    </w:p>
    <w:p w14:paraId="78B17787">
      <w:pPr>
        <w:adjustRightInd w:val="0"/>
        <w:snapToGrid w:val="0"/>
        <w:spacing w:line="400" w:lineRule="exact"/>
        <w:ind w:firstLine="420" w:firstLineChars="200"/>
        <w:rPr>
          <w:rFonts w:hint="eastAsia" w:cs="宋体"/>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固定总价 </w:t>
      </w:r>
      <w:r>
        <w:rPr>
          <w:rFonts w:hint="eastAsia" w:cs="宋体"/>
          <w:iCs/>
          <w:sz w:val="21"/>
          <w:szCs w:val="21"/>
        </w:rPr>
        <w:sym w:font="Wingdings" w:char="00A8"/>
      </w:r>
      <w:r>
        <w:rPr>
          <w:rFonts w:hint="eastAsia" w:cs="宋体"/>
          <w:iCs/>
          <w:sz w:val="21"/>
          <w:szCs w:val="21"/>
        </w:rPr>
        <w:t xml:space="preserve">固定单价 </w:t>
      </w:r>
      <w:r>
        <w:rPr>
          <w:rFonts w:hint="eastAsia" w:cs="宋体"/>
          <w:iCs/>
          <w:sz w:val="21"/>
          <w:szCs w:val="21"/>
        </w:rPr>
        <w:sym w:font="Wingdings" w:char="00A8"/>
      </w:r>
      <w:r>
        <w:rPr>
          <w:rFonts w:hint="eastAsia" w:cs="宋体"/>
          <w:iCs/>
          <w:sz w:val="21"/>
          <w:szCs w:val="21"/>
        </w:rPr>
        <w:t xml:space="preserve">固定费率 </w:t>
      </w:r>
      <w:r>
        <w:rPr>
          <w:rFonts w:hint="eastAsia" w:cs="宋体"/>
          <w:iCs/>
          <w:sz w:val="21"/>
          <w:szCs w:val="21"/>
        </w:rPr>
        <w:sym w:font="Wingdings" w:char="00A8"/>
      </w:r>
      <w:r>
        <w:rPr>
          <w:rFonts w:hint="eastAsia" w:cs="宋体"/>
          <w:iCs/>
          <w:sz w:val="21"/>
          <w:szCs w:val="21"/>
        </w:rPr>
        <w:t xml:space="preserve">成本补偿 </w:t>
      </w:r>
      <w:r>
        <w:rPr>
          <w:rFonts w:hint="eastAsia" w:cs="宋体"/>
          <w:iCs/>
          <w:sz w:val="21"/>
          <w:szCs w:val="21"/>
        </w:rPr>
        <w:sym w:font="Wingdings" w:char="00A8"/>
      </w:r>
      <w:r>
        <w:rPr>
          <w:rFonts w:hint="eastAsia" w:cs="宋体"/>
          <w:iCs/>
          <w:sz w:val="21"/>
          <w:szCs w:val="21"/>
        </w:rPr>
        <w:t xml:space="preserve">绩效激励 </w:t>
      </w:r>
      <w:r>
        <w:rPr>
          <w:rFonts w:hint="eastAsia" w:cs="宋体"/>
          <w:iCs/>
          <w:sz w:val="21"/>
          <w:szCs w:val="21"/>
        </w:rPr>
        <w:sym w:font="Wingdings" w:char="00A8"/>
      </w:r>
      <w:r>
        <w:rPr>
          <w:rFonts w:hint="eastAsia" w:cs="宋体"/>
          <w:iCs/>
          <w:sz w:val="21"/>
          <w:szCs w:val="21"/>
        </w:rPr>
        <w:t>其他</w:t>
      </w:r>
      <w:r>
        <w:rPr>
          <w:rFonts w:hint="eastAsia" w:cs="宋体"/>
          <w:sz w:val="21"/>
          <w:szCs w:val="21"/>
          <w:u w:val="single"/>
        </w:rPr>
        <w:t xml:space="preserve">       </w:t>
      </w:r>
    </w:p>
    <w:p w14:paraId="4B437BA4">
      <w:pPr>
        <w:pStyle w:val="72"/>
        <w:spacing w:line="400" w:lineRule="exact"/>
        <w:rPr>
          <w:rFonts w:hint="eastAsia" w:cs="宋体"/>
          <w:sz w:val="21"/>
        </w:rPr>
      </w:pPr>
      <w:r>
        <w:rPr>
          <w:rFonts w:hint="eastAsia" w:cs="宋体"/>
          <w:sz w:val="21"/>
        </w:rPr>
        <w:t>（3）付款方式（按项目实际勾选填写）：</w:t>
      </w:r>
    </w:p>
    <w:p w14:paraId="76EB1752">
      <w:pPr>
        <w:adjustRightInd w:val="0"/>
        <w:snapToGrid w:val="0"/>
        <w:spacing w:line="400" w:lineRule="exact"/>
        <w:ind w:firstLine="630" w:firstLineChars="300"/>
        <w:rPr>
          <w:rFonts w:hint="eastAsia" w:cs="宋体"/>
          <w:sz w:val="21"/>
          <w:szCs w:val="21"/>
          <w:u w:val="single"/>
        </w:rPr>
      </w:pPr>
      <w:r>
        <w:rPr>
          <w:rFonts w:hint="eastAsia" w:cs="宋体"/>
          <w:sz w:val="21"/>
          <w:szCs w:val="21"/>
        </w:rPr>
        <w:sym w:font="Wingdings" w:char="00A8"/>
      </w:r>
      <w:r>
        <w:rPr>
          <w:rFonts w:hint="eastAsia" w:cs="宋体"/>
          <w:sz w:val="21"/>
          <w:szCs w:val="21"/>
        </w:rPr>
        <w:t>全额付款：</w:t>
      </w:r>
      <w:r>
        <w:rPr>
          <w:rFonts w:hint="eastAsia" w:cs="宋体"/>
          <w:sz w:val="21"/>
          <w:szCs w:val="21"/>
          <w:u w:val="single"/>
        </w:rPr>
        <w:t xml:space="preserve">     （应明确一次性支付合同款项的条件）                    </w:t>
      </w:r>
    </w:p>
    <w:p w14:paraId="33EA8F57">
      <w:pPr>
        <w:snapToGrid w:val="0"/>
        <w:spacing w:line="400" w:lineRule="exact"/>
        <w:ind w:firstLine="630" w:firstLineChars="300"/>
        <w:rPr>
          <w:rFonts w:hint="eastAsia" w:cs="宋体"/>
          <w:sz w:val="21"/>
          <w:szCs w:val="21"/>
        </w:rPr>
      </w:pPr>
      <w:r>
        <w:rPr>
          <w:rFonts w:hint="eastAsia" w:cs="宋体"/>
          <w:sz w:val="21"/>
          <w:szCs w:val="21"/>
        </w:rPr>
        <w:sym w:font="Wingdings" w:char="00A8"/>
      </w:r>
      <w:r>
        <w:rPr>
          <w:rFonts w:hint="eastAsia" w:cs="宋体"/>
          <w:sz w:val="21"/>
          <w:szCs w:val="21"/>
        </w:rPr>
        <w:t>分期付款：</w:t>
      </w:r>
      <w:r>
        <w:rPr>
          <w:rFonts w:hint="eastAsia" w:cs="宋体"/>
          <w:sz w:val="21"/>
          <w:szCs w:val="21"/>
          <w:u w:val="single"/>
        </w:rPr>
        <w:t xml:space="preserve">  （应明确分期支付合同款项的各期比例和支付条件，各期支付条件应与分期履约验收情况挂钩） </w:t>
      </w:r>
      <w:r>
        <w:rPr>
          <w:rFonts w:hint="eastAsia" w:cs="宋体"/>
          <w:sz w:val="21"/>
          <w:szCs w:val="21"/>
        </w:rPr>
        <w:t>，其中涉及预付款的：</w:t>
      </w:r>
      <w:r>
        <w:rPr>
          <w:rFonts w:hint="eastAsia" w:cs="宋体"/>
          <w:sz w:val="21"/>
          <w:szCs w:val="21"/>
          <w:u w:val="single"/>
        </w:rPr>
        <w:t xml:space="preserve"> （应明确预付款的支付比例和支付条件） </w:t>
      </w:r>
    </w:p>
    <w:p w14:paraId="4889BB78">
      <w:pPr>
        <w:adjustRightInd w:val="0"/>
        <w:snapToGrid w:val="0"/>
        <w:spacing w:line="400" w:lineRule="exact"/>
        <w:ind w:firstLine="630" w:firstLineChars="300"/>
        <w:rPr>
          <w:rFonts w:hint="eastAsia" w:cs="宋体"/>
          <w:sz w:val="21"/>
          <w:szCs w:val="21"/>
          <w:u w:val="single"/>
        </w:rPr>
      </w:pPr>
      <w:r>
        <w:rPr>
          <w:rFonts w:hint="eastAsia" w:cs="宋体"/>
          <w:sz w:val="21"/>
          <w:szCs w:val="21"/>
        </w:rPr>
        <w:sym w:font="Wingdings" w:char="00A8"/>
      </w:r>
      <w:r>
        <w:rPr>
          <w:rFonts w:hint="eastAsia" w:cs="宋体"/>
          <w:sz w:val="21"/>
          <w:szCs w:val="21"/>
        </w:rPr>
        <w:t>成本补偿：</w:t>
      </w:r>
      <w:r>
        <w:rPr>
          <w:rFonts w:hint="eastAsia" w:cs="宋体"/>
          <w:sz w:val="21"/>
          <w:szCs w:val="21"/>
          <w:u w:val="single"/>
        </w:rPr>
        <w:t xml:space="preserve">      （应明确按照成本补偿方式的支付方式和支付条件）   </w:t>
      </w:r>
    </w:p>
    <w:p w14:paraId="66E9D3A4">
      <w:pPr>
        <w:adjustRightInd w:val="0"/>
        <w:snapToGrid w:val="0"/>
        <w:spacing w:line="400" w:lineRule="exact"/>
        <w:ind w:firstLine="630" w:firstLineChars="300"/>
        <w:rPr>
          <w:rFonts w:hint="eastAsia" w:cs="宋体"/>
          <w:sz w:val="21"/>
          <w:szCs w:val="21"/>
        </w:rPr>
      </w:pPr>
      <w:r>
        <w:rPr>
          <w:rFonts w:hint="eastAsia" w:cs="宋体"/>
          <w:sz w:val="21"/>
          <w:szCs w:val="21"/>
        </w:rPr>
        <w:sym w:font="Wingdings" w:char="00A8"/>
      </w:r>
      <w:r>
        <w:rPr>
          <w:rFonts w:hint="eastAsia" w:cs="宋体"/>
          <w:sz w:val="21"/>
          <w:szCs w:val="21"/>
        </w:rPr>
        <w:t>绩效激励：</w:t>
      </w:r>
      <w:r>
        <w:rPr>
          <w:rFonts w:hint="eastAsia" w:cs="宋体"/>
          <w:sz w:val="21"/>
          <w:szCs w:val="21"/>
          <w:u w:val="single"/>
        </w:rPr>
        <w:t xml:space="preserve">      （应明确按照绩效激励方式的支付方式和支付条件）   </w:t>
      </w:r>
    </w:p>
    <w:p w14:paraId="33692DBE">
      <w:pPr>
        <w:numPr>
          <w:ilvl w:val="0"/>
          <w:numId w:val="7"/>
        </w:numPr>
        <w:adjustRightInd w:val="0"/>
        <w:snapToGrid w:val="0"/>
        <w:spacing w:line="400" w:lineRule="exact"/>
        <w:ind w:firstLine="422" w:firstLineChars="200"/>
        <w:rPr>
          <w:rFonts w:hint="eastAsia" w:cs="宋体"/>
          <w:b/>
          <w:sz w:val="21"/>
          <w:szCs w:val="21"/>
          <w:u w:val="single"/>
        </w:rPr>
      </w:pPr>
      <w:r>
        <w:rPr>
          <w:rFonts w:hint="eastAsia" w:cs="宋体"/>
          <w:b/>
          <w:sz w:val="21"/>
          <w:szCs w:val="21"/>
        </w:rPr>
        <w:t>合同履行</w:t>
      </w:r>
    </w:p>
    <w:p w14:paraId="650CB2D4">
      <w:pPr>
        <w:adjustRightInd w:val="0"/>
        <w:snapToGrid w:val="0"/>
        <w:spacing w:line="400" w:lineRule="exact"/>
        <w:ind w:firstLine="420" w:firstLineChars="200"/>
        <w:rPr>
          <w:rFonts w:hint="eastAsia" w:cs="宋体"/>
          <w:sz w:val="21"/>
          <w:szCs w:val="21"/>
        </w:rPr>
      </w:pPr>
      <w:r>
        <w:rPr>
          <w:rFonts w:hint="eastAsia" w:cs="宋体"/>
          <w:sz w:val="21"/>
          <w:szCs w:val="21"/>
        </w:rPr>
        <w:t>（1）起始日期：</w:t>
      </w:r>
      <w:r>
        <w:rPr>
          <w:rFonts w:hint="eastAsia" w:cs="宋体"/>
          <w:sz w:val="21"/>
          <w:szCs w:val="21"/>
          <w:u w:val="single"/>
        </w:rPr>
        <w:t xml:space="preserve">    </w:t>
      </w:r>
      <w:r>
        <w:rPr>
          <w:rFonts w:hint="eastAsia" w:cs="宋体"/>
          <w:sz w:val="21"/>
          <w:szCs w:val="21"/>
        </w:rPr>
        <w:t>年</w:t>
      </w:r>
      <w:r>
        <w:rPr>
          <w:rFonts w:hint="eastAsia" w:cs="宋体"/>
          <w:sz w:val="21"/>
          <w:szCs w:val="21"/>
          <w:u w:val="single"/>
        </w:rPr>
        <w:t xml:space="preserve">   </w:t>
      </w:r>
      <w:r>
        <w:rPr>
          <w:rFonts w:hint="eastAsia" w:cs="宋体"/>
          <w:sz w:val="21"/>
          <w:szCs w:val="21"/>
        </w:rPr>
        <w:t>月</w:t>
      </w:r>
      <w:r>
        <w:rPr>
          <w:rFonts w:hint="eastAsia" w:cs="宋体"/>
          <w:sz w:val="21"/>
          <w:szCs w:val="21"/>
          <w:u w:val="single"/>
        </w:rPr>
        <w:t xml:space="preserve">   </w:t>
      </w:r>
      <w:r>
        <w:rPr>
          <w:rFonts w:hint="eastAsia" w:cs="宋体"/>
          <w:sz w:val="21"/>
          <w:szCs w:val="21"/>
        </w:rPr>
        <w:t>日，完成日期：</w:t>
      </w:r>
      <w:r>
        <w:rPr>
          <w:rFonts w:hint="eastAsia" w:cs="宋体"/>
          <w:sz w:val="21"/>
          <w:szCs w:val="21"/>
          <w:u w:val="single"/>
        </w:rPr>
        <w:t xml:space="preserve">    </w:t>
      </w:r>
      <w:r>
        <w:rPr>
          <w:rFonts w:hint="eastAsia" w:cs="宋体"/>
          <w:sz w:val="21"/>
          <w:szCs w:val="21"/>
        </w:rPr>
        <w:t>年</w:t>
      </w:r>
      <w:r>
        <w:rPr>
          <w:rFonts w:hint="eastAsia" w:cs="宋体"/>
          <w:sz w:val="21"/>
          <w:szCs w:val="21"/>
          <w:u w:val="single"/>
        </w:rPr>
        <w:t xml:space="preserve">   </w:t>
      </w:r>
      <w:r>
        <w:rPr>
          <w:rFonts w:hint="eastAsia" w:cs="宋体"/>
          <w:sz w:val="21"/>
          <w:szCs w:val="21"/>
        </w:rPr>
        <w:t>月</w:t>
      </w:r>
      <w:r>
        <w:rPr>
          <w:rFonts w:hint="eastAsia" w:cs="宋体"/>
          <w:sz w:val="21"/>
          <w:szCs w:val="21"/>
          <w:u w:val="single"/>
        </w:rPr>
        <w:t xml:space="preserve">   </w:t>
      </w:r>
      <w:r>
        <w:rPr>
          <w:rFonts w:hint="eastAsia" w:cs="宋体"/>
          <w:sz w:val="21"/>
          <w:szCs w:val="21"/>
        </w:rPr>
        <w:t>日。</w:t>
      </w:r>
    </w:p>
    <w:p w14:paraId="333562EE">
      <w:pPr>
        <w:adjustRightInd w:val="0"/>
        <w:snapToGrid w:val="0"/>
        <w:spacing w:line="400" w:lineRule="exact"/>
        <w:ind w:firstLine="420" w:firstLineChars="200"/>
        <w:rPr>
          <w:rFonts w:hint="eastAsia" w:cs="宋体"/>
          <w:sz w:val="21"/>
          <w:szCs w:val="21"/>
          <w:u w:val="single"/>
        </w:rPr>
      </w:pPr>
      <w:r>
        <w:rPr>
          <w:rFonts w:hint="eastAsia" w:cs="宋体"/>
          <w:sz w:val="21"/>
          <w:szCs w:val="21"/>
        </w:rPr>
        <w:t>（2）履约地点</w:t>
      </w:r>
      <w:r>
        <w:rPr>
          <w:rFonts w:hint="eastAsia" w:cs="宋体"/>
          <w:bCs/>
          <w:sz w:val="21"/>
          <w:szCs w:val="21"/>
        </w:rPr>
        <w:t>：</w:t>
      </w:r>
      <w:r>
        <w:rPr>
          <w:rFonts w:hint="eastAsia" w:cs="宋体"/>
          <w:sz w:val="21"/>
          <w:szCs w:val="21"/>
          <w:u w:val="single"/>
        </w:rPr>
        <w:t xml:space="preserve">                             </w:t>
      </w:r>
    </w:p>
    <w:p w14:paraId="22211E3A">
      <w:pPr>
        <w:adjustRightInd w:val="0"/>
        <w:snapToGrid w:val="0"/>
        <w:spacing w:line="400" w:lineRule="exact"/>
        <w:ind w:firstLine="420" w:firstLineChars="200"/>
        <w:rPr>
          <w:rFonts w:hint="eastAsia" w:cs="宋体"/>
          <w:sz w:val="21"/>
          <w:szCs w:val="21"/>
        </w:rPr>
      </w:pPr>
      <w:r>
        <w:rPr>
          <w:rFonts w:hint="eastAsia" w:cs="宋体"/>
          <w:bCs/>
          <w:sz w:val="21"/>
          <w:szCs w:val="21"/>
        </w:rPr>
        <w:t>（3）履约担保：</w:t>
      </w:r>
      <w:r>
        <w:rPr>
          <w:rFonts w:hint="eastAsia" w:cs="宋体"/>
          <w:sz w:val="21"/>
          <w:szCs w:val="21"/>
        </w:rPr>
        <w:t>是否收取履约保证金：</w:t>
      </w:r>
      <w:r>
        <w:rPr>
          <w:rFonts w:hint="eastAsia" w:cs="宋体"/>
          <w:sz w:val="21"/>
          <w:szCs w:val="21"/>
        </w:rPr>
        <w:sym w:font="Wingdings" w:char="00A8"/>
      </w:r>
      <w:r>
        <w:rPr>
          <w:rFonts w:hint="eastAsia" w:cs="宋体"/>
          <w:sz w:val="21"/>
          <w:szCs w:val="21"/>
        </w:rPr>
        <w:t xml:space="preserve">是    </w:t>
      </w:r>
      <w:r>
        <w:rPr>
          <w:rFonts w:hint="eastAsia" w:cs="宋体"/>
          <w:sz w:val="21"/>
          <w:szCs w:val="21"/>
        </w:rPr>
        <w:sym w:font="Wingdings" w:char="00A8"/>
      </w:r>
      <w:r>
        <w:rPr>
          <w:rFonts w:hint="eastAsia" w:cs="宋体"/>
          <w:sz w:val="21"/>
          <w:szCs w:val="21"/>
        </w:rPr>
        <w:t>否</w:t>
      </w:r>
    </w:p>
    <w:p w14:paraId="6B9161C6">
      <w:pPr>
        <w:pStyle w:val="38"/>
        <w:ind w:firstLine="420"/>
        <w:rPr>
          <w:rFonts w:hint="eastAsia" w:ascii="宋体" w:hAnsi="宋体" w:eastAsia="宋体" w:cs="宋体"/>
          <w:sz w:val="21"/>
        </w:rPr>
      </w:pPr>
      <w:r>
        <w:rPr>
          <w:rFonts w:hint="eastAsia" w:ascii="宋体" w:hAnsi="宋体" w:eastAsia="宋体" w:cs="宋体"/>
          <w:bCs/>
          <w:sz w:val="21"/>
        </w:rPr>
        <w:t xml:space="preserve">  </w:t>
      </w:r>
      <w:r>
        <w:rPr>
          <w:rFonts w:hint="eastAsia" w:ascii="宋体" w:hAnsi="宋体" w:eastAsia="宋体" w:cs="宋体"/>
          <w:sz w:val="21"/>
        </w:rPr>
        <w:t xml:space="preserve">  收取履约保证金形式：</w:t>
      </w:r>
      <w:r>
        <w:rPr>
          <w:rFonts w:hint="eastAsia" w:ascii="宋体" w:hAnsi="宋体" w:eastAsia="宋体" w:cs="宋体"/>
          <w:bCs/>
          <w:sz w:val="21"/>
          <w:u w:val="single"/>
        </w:rPr>
        <w:t xml:space="preserve">                            </w:t>
      </w:r>
    </w:p>
    <w:p w14:paraId="4360C671">
      <w:pPr>
        <w:pStyle w:val="38"/>
        <w:ind w:firstLine="420"/>
        <w:rPr>
          <w:rFonts w:hint="eastAsia"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w:t>
      </w:r>
    </w:p>
    <w:p w14:paraId="72A9AAE6">
      <w:pPr>
        <w:snapToGrid w:val="0"/>
        <w:spacing w:line="400" w:lineRule="exact"/>
        <w:ind w:firstLine="420" w:firstLineChars="200"/>
        <w:rPr>
          <w:rFonts w:hint="eastAsia" w:cs="宋体"/>
          <w:sz w:val="21"/>
          <w:szCs w:val="21"/>
        </w:rPr>
      </w:pPr>
      <w:r>
        <w:rPr>
          <w:rFonts w:hint="eastAsia" w:cs="宋体"/>
          <w:bCs/>
          <w:sz w:val="21"/>
          <w:szCs w:val="21"/>
        </w:rPr>
        <w:t xml:space="preserve">    履约担保期限：</w:t>
      </w:r>
      <w:r>
        <w:rPr>
          <w:rFonts w:hint="eastAsia" w:cs="宋体"/>
          <w:bCs/>
          <w:sz w:val="21"/>
          <w:szCs w:val="21"/>
          <w:u w:val="single"/>
        </w:rPr>
        <w:t xml:space="preserve">                                  </w:t>
      </w:r>
    </w:p>
    <w:p w14:paraId="720E2F30">
      <w:pPr>
        <w:adjustRightInd w:val="0"/>
        <w:snapToGrid w:val="0"/>
        <w:spacing w:line="400" w:lineRule="exact"/>
        <w:ind w:firstLine="420" w:firstLineChars="200"/>
        <w:rPr>
          <w:rFonts w:hint="eastAsia" w:cs="宋体"/>
          <w:bCs/>
          <w:sz w:val="21"/>
          <w:szCs w:val="21"/>
        </w:rPr>
      </w:pPr>
      <w:r>
        <w:rPr>
          <w:rFonts w:hint="eastAsia" w:cs="宋体"/>
          <w:bCs/>
          <w:sz w:val="21"/>
          <w:szCs w:val="21"/>
        </w:rPr>
        <w:t>（4）分期履行要求：</w:t>
      </w:r>
      <w:r>
        <w:rPr>
          <w:rFonts w:hint="eastAsia" w:cs="宋体"/>
          <w:bCs/>
          <w:sz w:val="21"/>
          <w:szCs w:val="21"/>
          <w:u w:val="single"/>
        </w:rPr>
        <w:t xml:space="preserve">                                                        </w:t>
      </w:r>
    </w:p>
    <w:p w14:paraId="25354B89">
      <w:pPr>
        <w:adjustRightInd w:val="0"/>
        <w:snapToGrid w:val="0"/>
        <w:spacing w:line="400" w:lineRule="exact"/>
        <w:ind w:firstLine="420" w:firstLineChars="200"/>
        <w:rPr>
          <w:rFonts w:hint="eastAsia" w:cs="宋体"/>
          <w:sz w:val="21"/>
          <w:szCs w:val="21"/>
          <w:u w:val="single"/>
        </w:rPr>
      </w:pPr>
      <w:r>
        <w:rPr>
          <w:rFonts w:hint="eastAsia" w:cs="宋体"/>
          <w:bCs/>
          <w:sz w:val="21"/>
          <w:szCs w:val="21"/>
        </w:rPr>
        <w:t>（5）风险处置措施和替代方案：</w:t>
      </w:r>
      <w:r>
        <w:rPr>
          <w:rFonts w:hint="eastAsia" w:cs="宋体"/>
          <w:sz w:val="21"/>
          <w:szCs w:val="21"/>
          <w:u w:val="single"/>
        </w:rPr>
        <w:t xml:space="preserve">                                                               </w:t>
      </w:r>
    </w:p>
    <w:p w14:paraId="089F8D6E">
      <w:pPr>
        <w:numPr>
          <w:ilvl w:val="0"/>
          <w:numId w:val="7"/>
        </w:numPr>
        <w:adjustRightInd w:val="0"/>
        <w:snapToGrid w:val="0"/>
        <w:spacing w:line="400" w:lineRule="exact"/>
        <w:ind w:firstLine="422" w:firstLineChars="200"/>
        <w:rPr>
          <w:rFonts w:hint="eastAsia" w:cs="宋体"/>
          <w:b/>
          <w:sz w:val="21"/>
          <w:szCs w:val="21"/>
        </w:rPr>
      </w:pPr>
      <w:r>
        <w:rPr>
          <w:rFonts w:hint="eastAsia" w:cs="宋体"/>
          <w:b/>
          <w:sz w:val="21"/>
          <w:szCs w:val="21"/>
        </w:rPr>
        <w:t>合同验收</w:t>
      </w:r>
    </w:p>
    <w:p w14:paraId="6C017373">
      <w:pPr>
        <w:numPr>
          <w:ilvl w:val="0"/>
          <w:numId w:val="9"/>
        </w:numPr>
        <w:adjustRightInd w:val="0"/>
        <w:snapToGrid w:val="0"/>
        <w:spacing w:line="400" w:lineRule="exact"/>
        <w:ind w:firstLine="420" w:firstLineChars="200"/>
        <w:rPr>
          <w:rFonts w:hint="eastAsia" w:cs="宋体"/>
          <w:bCs/>
          <w:sz w:val="21"/>
          <w:szCs w:val="21"/>
        </w:rPr>
      </w:pPr>
      <w:r>
        <w:rPr>
          <w:rFonts w:hint="eastAsia" w:cs="宋体"/>
          <w:bCs/>
          <w:sz w:val="21"/>
          <w:szCs w:val="21"/>
        </w:rPr>
        <w:t>验收组织方式：</w:t>
      </w:r>
      <w:r>
        <w:rPr>
          <w:rFonts w:hint="eastAsia" w:cs="宋体"/>
          <w:sz w:val="21"/>
          <w:szCs w:val="21"/>
        </w:rPr>
        <w:sym w:font="Wingdings" w:char="00A8"/>
      </w:r>
      <w:r>
        <w:rPr>
          <w:rFonts w:hint="eastAsia" w:cs="宋体"/>
          <w:bCs/>
          <w:sz w:val="21"/>
          <w:szCs w:val="21"/>
        </w:rPr>
        <w:t xml:space="preserve">自行组织 </w:t>
      </w:r>
      <w:r>
        <w:rPr>
          <w:rFonts w:hint="eastAsia" w:cs="宋体"/>
          <w:sz w:val="21"/>
          <w:szCs w:val="21"/>
        </w:rPr>
        <w:sym w:font="Wingdings" w:char="00A8"/>
      </w:r>
      <w:r>
        <w:rPr>
          <w:rFonts w:hint="eastAsia" w:cs="宋体"/>
          <w:bCs/>
          <w:sz w:val="21"/>
          <w:szCs w:val="21"/>
        </w:rPr>
        <w:t>委托第三方组织</w:t>
      </w:r>
    </w:p>
    <w:p w14:paraId="0EB6EF5A">
      <w:pPr>
        <w:adjustRightInd w:val="0"/>
        <w:snapToGrid w:val="0"/>
        <w:spacing w:line="400" w:lineRule="exact"/>
        <w:rPr>
          <w:rFonts w:hint="eastAsia" w:cs="宋体"/>
          <w:bCs/>
          <w:sz w:val="21"/>
          <w:szCs w:val="21"/>
        </w:rPr>
      </w:pPr>
      <w:r>
        <w:rPr>
          <w:rFonts w:hint="eastAsia" w:cs="宋体"/>
          <w:bCs/>
          <w:sz w:val="21"/>
          <w:szCs w:val="21"/>
        </w:rPr>
        <w:t xml:space="preserve">         验收主体：</w:t>
      </w:r>
      <w:r>
        <w:rPr>
          <w:rFonts w:hint="eastAsia" w:cs="宋体"/>
          <w:bCs/>
          <w:sz w:val="21"/>
          <w:szCs w:val="21"/>
          <w:u w:val="single"/>
        </w:rPr>
        <w:t xml:space="preserve">                  </w:t>
      </w:r>
    </w:p>
    <w:p w14:paraId="1B090AD1">
      <w:pPr>
        <w:adjustRightInd w:val="0"/>
        <w:snapToGrid w:val="0"/>
        <w:spacing w:line="400" w:lineRule="exact"/>
        <w:rPr>
          <w:rFonts w:hint="eastAsia" w:cs="宋体"/>
          <w:bCs/>
          <w:sz w:val="21"/>
          <w:szCs w:val="21"/>
        </w:rPr>
      </w:pPr>
      <w:r>
        <w:rPr>
          <w:rFonts w:hint="eastAsia" w:cs="宋体"/>
          <w:bCs/>
          <w:sz w:val="21"/>
          <w:szCs w:val="21"/>
        </w:rPr>
        <w:t xml:space="preserve">        是否邀请本项目的其他供应商参加验收：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44F0B377">
      <w:pPr>
        <w:adjustRightInd w:val="0"/>
        <w:snapToGrid w:val="0"/>
        <w:spacing w:line="400" w:lineRule="exact"/>
        <w:ind w:firstLine="840" w:firstLineChars="400"/>
        <w:rPr>
          <w:rFonts w:hint="eastAsia" w:cs="宋体"/>
          <w:bCs/>
          <w:sz w:val="21"/>
          <w:szCs w:val="21"/>
        </w:rPr>
      </w:pPr>
      <w:r>
        <w:rPr>
          <w:rFonts w:hint="eastAsia" w:cs="宋体"/>
          <w:bCs/>
          <w:sz w:val="21"/>
          <w:szCs w:val="21"/>
        </w:rPr>
        <w:t>是否邀请专家参加验收：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6121B744">
      <w:pPr>
        <w:adjustRightInd w:val="0"/>
        <w:snapToGrid w:val="0"/>
        <w:spacing w:line="400" w:lineRule="exact"/>
        <w:ind w:firstLine="840" w:firstLineChars="400"/>
        <w:rPr>
          <w:rFonts w:hint="eastAsia" w:cs="宋体"/>
          <w:bCs/>
          <w:sz w:val="21"/>
          <w:szCs w:val="21"/>
        </w:rPr>
      </w:pPr>
      <w:r>
        <w:rPr>
          <w:rFonts w:hint="eastAsia" w:cs="宋体"/>
          <w:bCs/>
          <w:sz w:val="21"/>
          <w:szCs w:val="21"/>
        </w:rPr>
        <w:t>是否邀请服务对象参加验收：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6580A024">
      <w:pPr>
        <w:adjustRightInd w:val="0"/>
        <w:snapToGrid w:val="0"/>
        <w:spacing w:line="400" w:lineRule="exact"/>
        <w:ind w:firstLine="840" w:firstLineChars="400"/>
        <w:rPr>
          <w:rFonts w:hint="eastAsia" w:cs="宋体"/>
          <w:bCs/>
          <w:sz w:val="21"/>
          <w:szCs w:val="21"/>
        </w:rPr>
      </w:pPr>
      <w:r>
        <w:rPr>
          <w:rFonts w:hint="eastAsia" w:cs="宋体"/>
          <w:bCs/>
          <w:sz w:val="21"/>
          <w:szCs w:val="21"/>
        </w:rPr>
        <w:t>是否邀请第三方检测机构参加验收：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128C6943">
      <w:pPr>
        <w:adjustRightInd w:val="0"/>
        <w:snapToGrid w:val="0"/>
        <w:spacing w:line="400" w:lineRule="exact"/>
        <w:ind w:firstLine="840" w:firstLineChars="400"/>
        <w:rPr>
          <w:rFonts w:hint="eastAsia" w:cs="宋体"/>
          <w:bCs/>
          <w:sz w:val="21"/>
          <w:szCs w:val="21"/>
        </w:rPr>
      </w:pPr>
      <w:r>
        <w:rPr>
          <w:rFonts w:hint="eastAsia" w:cs="宋体"/>
          <w:bCs/>
          <w:sz w:val="21"/>
          <w:szCs w:val="21"/>
        </w:rPr>
        <w:t>是否进行抽查检测：</w:t>
      </w:r>
      <w:r>
        <w:rPr>
          <w:rFonts w:hint="eastAsia" w:cs="宋体"/>
          <w:sz w:val="21"/>
          <w:szCs w:val="21"/>
        </w:rPr>
        <w:sym w:font="Wingdings" w:char="00A8"/>
      </w:r>
      <w:r>
        <w:rPr>
          <w:rFonts w:hint="eastAsia" w:cs="宋体"/>
          <w:bCs/>
          <w:sz w:val="21"/>
          <w:szCs w:val="21"/>
        </w:rPr>
        <w:t>是，抽查比例：</w:t>
      </w:r>
      <w:r>
        <w:rPr>
          <w:rFonts w:hint="eastAsia" w:cs="宋体"/>
          <w:bCs/>
          <w:sz w:val="21"/>
          <w:szCs w:val="21"/>
          <w:u w:val="single"/>
        </w:rPr>
        <w:t xml:space="preserve">        </w:t>
      </w:r>
      <w:r>
        <w:rPr>
          <w:rFonts w:hint="eastAsia" w:cs="宋体"/>
          <w:bCs/>
          <w:sz w:val="21"/>
          <w:szCs w:val="21"/>
        </w:rPr>
        <w:t xml:space="preserve"> </w:t>
      </w:r>
      <w:r>
        <w:rPr>
          <w:rFonts w:hint="eastAsia" w:cs="宋体"/>
          <w:sz w:val="21"/>
          <w:szCs w:val="21"/>
        </w:rPr>
        <w:sym w:font="Wingdings" w:char="00A8"/>
      </w:r>
      <w:r>
        <w:rPr>
          <w:rFonts w:hint="eastAsia" w:cs="宋体"/>
          <w:bCs/>
          <w:sz w:val="21"/>
          <w:szCs w:val="21"/>
        </w:rPr>
        <w:t>否</w:t>
      </w:r>
    </w:p>
    <w:p w14:paraId="2FAEDD33">
      <w:pPr>
        <w:adjustRightInd w:val="0"/>
        <w:snapToGrid w:val="0"/>
        <w:spacing w:line="400" w:lineRule="exact"/>
        <w:ind w:firstLine="840" w:firstLineChars="400"/>
        <w:rPr>
          <w:rFonts w:hint="eastAsia" w:cs="宋体"/>
          <w:bCs/>
          <w:sz w:val="21"/>
          <w:szCs w:val="21"/>
          <w:u w:val="single"/>
        </w:rPr>
      </w:pPr>
      <w:r>
        <w:rPr>
          <w:rFonts w:hint="eastAsia" w:cs="宋体"/>
          <w:bCs/>
          <w:sz w:val="21"/>
          <w:szCs w:val="21"/>
        </w:rPr>
        <w:t>是否存在破坏性检测：</w:t>
      </w:r>
      <w:r>
        <w:rPr>
          <w:rFonts w:hint="eastAsia" w:cs="宋体"/>
          <w:sz w:val="21"/>
          <w:szCs w:val="21"/>
        </w:rPr>
        <w:sym w:font="Wingdings" w:char="00A8"/>
      </w:r>
      <w:r>
        <w:rPr>
          <w:rFonts w:hint="eastAsia" w:cs="宋体"/>
          <w:bCs/>
          <w:sz w:val="21"/>
          <w:szCs w:val="21"/>
        </w:rPr>
        <w:t>是，</w:t>
      </w:r>
      <w:r>
        <w:rPr>
          <w:rFonts w:hint="eastAsia" w:cs="宋体"/>
          <w:bCs/>
          <w:sz w:val="21"/>
          <w:szCs w:val="21"/>
          <w:u w:val="single"/>
        </w:rPr>
        <w:t>（应明确对被破坏的检测产品的处理方式）</w:t>
      </w:r>
    </w:p>
    <w:p w14:paraId="6268A74C">
      <w:pPr>
        <w:adjustRightInd w:val="0"/>
        <w:snapToGrid w:val="0"/>
        <w:spacing w:line="400" w:lineRule="exact"/>
        <w:ind w:firstLine="840" w:firstLineChars="400"/>
        <w:rPr>
          <w:rFonts w:hint="eastAsia" w:cs="宋体"/>
          <w:bCs/>
          <w:sz w:val="21"/>
          <w:szCs w:val="21"/>
        </w:rPr>
      </w:pPr>
      <w:r>
        <w:rPr>
          <w:rFonts w:hint="eastAsia" w:cs="宋体"/>
          <w:bCs/>
          <w:sz w:val="21"/>
          <w:szCs w:val="21"/>
        </w:rPr>
        <w:t xml:space="preserve">                    </w:t>
      </w:r>
      <w:r>
        <w:rPr>
          <w:rFonts w:hint="eastAsia" w:cs="宋体"/>
          <w:sz w:val="21"/>
          <w:szCs w:val="21"/>
        </w:rPr>
        <w:sym w:font="Wingdings" w:char="00A8"/>
      </w:r>
      <w:r>
        <w:rPr>
          <w:rFonts w:hint="eastAsia" w:cs="宋体"/>
          <w:bCs/>
          <w:sz w:val="21"/>
          <w:szCs w:val="21"/>
        </w:rPr>
        <w:t>否</w:t>
      </w:r>
    </w:p>
    <w:p w14:paraId="63E6EA2B">
      <w:pPr>
        <w:adjustRightInd w:val="0"/>
        <w:snapToGrid w:val="0"/>
        <w:spacing w:line="400" w:lineRule="exact"/>
        <w:ind w:firstLine="840" w:firstLineChars="400"/>
        <w:rPr>
          <w:rFonts w:hint="eastAsia" w:cs="宋体"/>
          <w:bCs/>
          <w:sz w:val="21"/>
          <w:szCs w:val="21"/>
          <w:u w:val="single"/>
        </w:rPr>
      </w:pPr>
      <w:r>
        <w:rPr>
          <w:rFonts w:hint="eastAsia" w:cs="宋体"/>
          <w:bCs/>
          <w:sz w:val="21"/>
          <w:szCs w:val="21"/>
        </w:rPr>
        <w:t>验收组织的其他事项：</w:t>
      </w:r>
      <w:r>
        <w:rPr>
          <w:rFonts w:hint="eastAsia" w:cs="宋体"/>
          <w:bCs/>
          <w:sz w:val="21"/>
          <w:szCs w:val="21"/>
          <w:u w:val="single"/>
        </w:rPr>
        <w:t xml:space="preserve">                </w:t>
      </w:r>
    </w:p>
    <w:p w14:paraId="2CB2727A">
      <w:pPr>
        <w:adjustRightInd w:val="0"/>
        <w:snapToGrid w:val="0"/>
        <w:spacing w:line="400" w:lineRule="exact"/>
        <w:ind w:firstLine="420" w:firstLineChars="200"/>
        <w:rPr>
          <w:rFonts w:hint="eastAsia" w:cs="宋体"/>
          <w:bCs/>
          <w:sz w:val="21"/>
          <w:szCs w:val="21"/>
          <w:u w:val="single"/>
        </w:rPr>
      </w:pPr>
      <w:r>
        <w:rPr>
          <w:rFonts w:hint="eastAsia" w:cs="宋体"/>
          <w:bCs/>
          <w:sz w:val="21"/>
          <w:szCs w:val="21"/>
        </w:rPr>
        <w:t>（2）履约验收时间：</w:t>
      </w:r>
      <w:r>
        <w:rPr>
          <w:rFonts w:hint="eastAsia" w:cs="宋体"/>
          <w:bCs/>
          <w:sz w:val="21"/>
          <w:szCs w:val="21"/>
          <w:u w:val="single"/>
        </w:rPr>
        <w:t xml:space="preserve">（计划于何时验收/供应商提出验收申请之日起   日内组织验收） </w:t>
      </w:r>
    </w:p>
    <w:p w14:paraId="54DE79A7">
      <w:pPr>
        <w:adjustRightInd w:val="0"/>
        <w:snapToGrid w:val="0"/>
        <w:spacing w:line="400" w:lineRule="exact"/>
        <w:ind w:firstLine="420" w:firstLineChars="200"/>
        <w:rPr>
          <w:rFonts w:hint="eastAsia" w:cs="宋体"/>
          <w:bCs/>
          <w:sz w:val="21"/>
          <w:szCs w:val="21"/>
        </w:rPr>
      </w:pPr>
      <w:r>
        <w:rPr>
          <w:rFonts w:hint="eastAsia" w:cs="宋体"/>
          <w:bCs/>
          <w:sz w:val="21"/>
          <w:szCs w:val="21"/>
        </w:rPr>
        <w:t>（3）履约验收方式：</w:t>
      </w:r>
      <w:r>
        <w:rPr>
          <w:rFonts w:hint="eastAsia" w:cs="宋体"/>
          <w:sz w:val="21"/>
          <w:szCs w:val="21"/>
        </w:rPr>
        <w:sym w:font="Wingdings" w:char="00A8"/>
      </w:r>
      <w:r>
        <w:rPr>
          <w:rFonts w:hint="eastAsia" w:cs="宋体"/>
          <w:bCs/>
          <w:sz w:val="21"/>
          <w:szCs w:val="21"/>
        </w:rPr>
        <w:t xml:space="preserve">一次性验收         </w:t>
      </w:r>
    </w:p>
    <w:p w14:paraId="75EDD282">
      <w:pPr>
        <w:adjustRightInd w:val="0"/>
        <w:snapToGrid w:val="0"/>
        <w:spacing w:line="400" w:lineRule="exact"/>
        <w:rPr>
          <w:rFonts w:hint="eastAsia" w:cs="宋体"/>
          <w:bCs/>
          <w:sz w:val="21"/>
          <w:szCs w:val="21"/>
        </w:rPr>
      </w:pPr>
      <w:r>
        <w:rPr>
          <w:rFonts w:hint="eastAsia" w:cs="宋体"/>
          <w:bCs/>
          <w:sz w:val="21"/>
          <w:szCs w:val="21"/>
        </w:rPr>
        <w:t xml:space="preserve">                       </w:t>
      </w:r>
      <w:r>
        <w:rPr>
          <w:rFonts w:hint="eastAsia" w:cs="宋体"/>
          <w:sz w:val="21"/>
          <w:szCs w:val="21"/>
        </w:rPr>
        <w:sym w:font="Wingdings" w:char="00A8"/>
      </w:r>
      <w:r>
        <w:rPr>
          <w:rFonts w:hint="eastAsia" w:cs="宋体"/>
          <w:bCs/>
          <w:sz w:val="21"/>
          <w:szCs w:val="21"/>
        </w:rPr>
        <w:t>分期/分项验收：</w:t>
      </w:r>
      <w:r>
        <w:rPr>
          <w:rFonts w:hint="eastAsia" w:cs="宋体"/>
          <w:bCs/>
          <w:sz w:val="21"/>
          <w:szCs w:val="21"/>
          <w:u w:val="single"/>
        </w:rPr>
        <w:t xml:space="preserve"> （应明确分期</w:t>
      </w:r>
      <w:r>
        <w:rPr>
          <w:rFonts w:hint="eastAsia" w:cs="宋体"/>
          <w:bCs/>
          <w:sz w:val="21"/>
          <w:szCs w:val="21"/>
          <w:u w:val="single"/>
          <w:lang w:val="en"/>
        </w:rPr>
        <w:t>/分项验收的工作安排</w:t>
      </w:r>
      <w:r>
        <w:rPr>
          <w:rFonts w:hint="eastAsia" w:cs="宋体"/>
          <w:bCs/>
          <w:sz w:val="21"/>
          <w:szCs w:val="21"/>
          <w:u w:val="single"/>
        </w:rPr>
        <w:t xml:space="preserve">）  </w:t>
      </w:r>
    </w:p>
    <w:p w14:paraId="3FB1B312">
      <w:pPr>
        <w:adjustRightInd w:val="0"/>
        <w:snapToGrid w:val="0"/>
        <w:spacing w:line="400" w:lineRule="exact"/>
        <w:ind w:firstLine="420" w:firstLineChars="200"/>
        <w:rPr>
          <w:rFonts w:hint="eastAsia" w:cs="宋体"/>
          <w:bCs/>
          <w:sz w:val="21"/>
          <w:szCs w:val="21"/>
        </w:rPr>
      </w:pPr>
      <w:r>
        <w:rPr>
          <w:rFonts w:hint="eastAsia" w:cs="宋体"/>
          <w:bCs/>
          <w:sz w:val="21"/>
          <w:szCs w:val="21"/>
        </w:rPr>
        <w:t>（4）履约验收程序：</w:t>
      </w:r>
      <w:r>
        <w:rPr>
          <w:rFonts w:hint="eastAsia" w:cs="宋体"/>
          <w:bCs/>
          <w:sz w:val="21"/>
          <w:szCs w:val="21"/>
          <w:u w:val="single"/>
        </w:rPr>
        <w:t xml:space="preserve">                                         </w:t>
      </w:r>
    </w:p>
    <w:p w14:paraId="1F2F9E78">
      <w:pPr>
        <w:adjustRightInd w:val="0"/>
        <w:snapToGrid w:val="0"/>
        <w:spacing w:line="400" w:lineRule="exact"/>
        <w:ind w:firstLine="420" w:firstLineChars="200"/>
        <w:rPr>
          <w:rFonts w:hint="eastAsia" w:cs="宋体"/>
          <w:bCs/>
          <w:sz w:val="21"/>
          <w:szCs w:val="21"/>
          <w:u w:val="single"/>
        </w:rPr>
      </w:pPr>
      <w:r>
        <w:rPr>
          <w:rFonts w:hint="eastAsia" w:cs="宋体"/>
          <w:bCs/>
          <w:sz w:val="21"/>
          <w:szCs w:val="21"/>
        </w:rPr>
        <w:t>（5）履约验收的内容：</w:t>
      </w:r>
      <w:r>
        <w:rPr>
          <w:rFonts w:hint="eastAsia" w:cs="宋体"/>
          <w:bCs/>
          <w:sz w:val="21"/>
          <w:szCs w:val="21"/>
          <w:u w:val="single"/>
        </w:rPr>
        <w:t xml:space="preserve"> （应当包括每一项技术和商务要求的履约情况，特别是落实政府采购扶持中小企业，支持绿色发展和乡村振兴等政策情况）                                      </w:t>
      </w:r>
    </w:p>
    <w:p w14:paraId="00DF2EC6">
      <w:pPr>
        <w:adjustRightInd w:val="0"/>
        <w:snapToGrid w:val="0"/>
        <w:spacing w:line="400" w:lineRule="exact"/>
        <w:ind w:firstLine="420" w:firstLineChars="200"/>
        <w:rPr>
          <w:rFonts w:hint="eastAsia" w:cs="宋体"/>
          <w:bCs/>
          <w:sz w:val="21"/>
          <w:szCs w:val="21"/>
          <w:u w:val="single"/>
        </w:rPr>
      </w:pPr>
      <w:r>
        <w:rPr>
          <w:rFonts w:hint="eastAsia" w:cs="宋体"/>
          <w:bCs/>
          <w:sz w:val="21"/>
          <w:szCs w:val="21"/>
        </w:rPr>
        <w:t>（6）履约验收标准：</w:t>
      </w:r>
      <w:r>
        <w:rPr>
          <w:rFonts w:hint="eastAsia" w:cs="宋体"/>
          <w:bCs/>
          <w:sz w:val="21"/>
          <w:szCs w:val="21"/>
          <w:u w:val="single"/>
        </w:rPr>
        <w:t xml:space="preserve">                                         </w:t>
      </w:r>
    </w:p>
    <w:p w14:paraId="0D1218DB">
      <w:pPr>
        <w:pStyle w:val="38"/>
        <w:ind w:firstLine="420"/>
        <w:rPr>
          <w:rFonts w:hint="eastAsia" w:ascii="宋体" w:hAnsi="宋体" w:eastAsia="宋体" w:cs="宋体"/>
          <w:sz w:val="21"/>
        </w:rPr>
      </w:pPr>
      <w:r>
        <w:rPr>
          <w:rFonts w:hint="eastAsia" w:ascii="宋体" w:hAnsi="宋体" w:eastAsia="宋体" w:cs="宋体"/>
          <w:bCs/>
          <w:sz w:val="21"/>
        </w:rPr>
        <w:t>（7）是否以采购活动中供应商提供的样品作为参考：</w:t>
      </w:r>
      <w:r>
        <w:rPr>
          <w:rFonts w:hint="eastAsia" w:ascii="宋体" w:hAnsi="宋体" w:eastAsia="宋体" w:cs="宋体"/>
          <w:sz w:val="21"/>
        </w:rPr>
        <w:sym w:font="Wingdings" w:char="00A8"/>
      </w:r>
      <w:r>
        <w:rPr>
          <w:rFonts w:hint="eastAsia" w:ascii="宋体" w:hAnsi="宋体" w:eastAsia="宋体" w:cs="宋体"/>
          <w:bCs/>
          <w:sz w:val="21"/>
        </w:rPr>
        <w:t xml:space="preserve">是  </w:t>
      </w:r>
      <w:r>
        <w:rPr>
          <w:rFonts w:hint="eastAsia" w:ascii="宋体" w:hAnsi="宋体" w:eastAsia="宋体" w:cs="宋体"/>
          <w:sz w:val="21"/>
        </w:rPr>
        <w:sym w:font="Wingdings" w:char="00A8"/>
      </w:r>
      <w:r>
        <w:rPr>
          <w:rFonts w:hint="eastAsia" w:ascii="宋体" w:hAnsi="宋体" w:eastAsia="宋体" w:cs="宋体"/>
          <w:bCs/>
          <w:sz w:val="21"/>
        </w:rPr>
        <w:t>否</w:t>
      </w:r>
    </w:p>
    <w:p w14:paraId="0A504282">
      <w:pPr>
        <w:adjustRightInd w:val="0"/>
        <w:snapToGrid w:val="0"/>
        <w:spacing w:line="400" w:lineRule="exact"/>
        <w:ind w:firstLine="420" w:firstLineChars="200"/>
        <w:rPr>
          <w:rFonts w:hint="eastAsia" w:cs="宋体"/>
          <w:bCs/>
          <w:sz w:val="21"/>
          <w:szCs w:val="21"/>
          <w:u w:val="single"/>
        </w:rPr>
      </w:pPr>
      <w:r>
        <w:rPr>
          <w:rFonts w:hint="eastAsia" w:cs="宋体"/>
          <w:bCs/>
          <w:sz w:val="21"/>
          <w:szCs w:val="21"/>
        </w:rPr>
        <w:t>（8）履约验收其他事项：</w:t>
      </w:r>
      <w:r>
        <w:rPr>
          <w:rFonts w:hint="eastAsia" w:cs="宋体"/>
          <w:bCs/>
          <w:sz w:val="21"/>
          <w:szCs w:val="21"/>
          <w:u w:val="single"/>
        </w:rPr>
        <w:t xml:space="preserve">      （产权过户登记等）          </w:t>
      </w:r>
    </w:p>
    <w:p w14:paraId="44143601">
      <w:pPr>
        <w:numPr>
          <w:ilvl w:val="0"/>
          <w:numId w:val="7"/>
        </w:numPr>
        <w:adjustRightInd w:val="0"/>
        <w:snapToGrid w:val="0"/>
        <w:spacing w:line="400" w:lineRule="exact"/>
        <w:ind w:firstLine="422" w:firstLineChars="200"/>
        <w:rPr>
          <w:rFonts w:hint="eastAsia" w:cs="宋体"/>
          <w:b/>
          <w:sz w:val="21"/>
          <w:szCs w:val="21"/>
        </w:rPr>
      </w:pPr>
      <w:r>
        <w:rPr>
          <w:rFonts w:hint="eastAsia" w:cs="宋体"/>
          <w:b/>
          <w:sz w:val="21"/>
          <w:szCs w:val="21"/>
        </w:rPr>
        <w:t>组成合同的文件</w:t>
      </w:r>
    </w:p>
    <w:p w14:paraId="56688C1B">
      <w:pPr>
        <w:adjustRightInd w:val="0"/>
        <w:snapToGrid w:val="0"/>
        <w:spacing w:line="400" w:lineRule="exact"/>
        <w:ind w:firstLine="420" w:firstLineChars="200"/>
        <w:rPr>
          <w:rFonts w:hint="eastAsia" w:cs="宋体"/>
          <w:sz w:val="21"/>
          <w:szCs w:val="21"/>
        </w:rPr>
      </w:pPr>
      <w:r>
        <w:rPr>
          <w:rFonts w:hint="eastAsia" w:cs="宋体"/>
          <w:sz w:val="21"/>
          <w:szCs w:val="21"/>
        </w:rPr>
        <w:t>本协议书与下列文件一起构成合同文件，如下述文件之间有任何抵触、矛盾或歧义，应按以下顺序解释：</w:t>
      </w:r>
    </w:p>
    <w:p w14:paraId="03D3D1C3">
      <w:pPr>
        <w:adjustRightInd w:val="0"/>
        <w:snapToGrid w:val="0"/>
        <w:spacing w:line="400" w:lineRule="exact"/>
        <w:ind w:firstLine="420" w:firstLineChars="200"/>
        <w:rPr>
          <w:rFonts w:hint="eastAsia" w:cs="宋体"/>
          <w:sz w:val="21"/>
          <w:szCs w:val="21"/>
        </w:rPr>
      </w:pPr>
      <w:r>
        <w:rPr>
          <w:rFonts w:hint="eastAsia" w:cs="宋体"/>
          <w:sz w:val="21"/>
          <w:szCs w:val="21"/>
        </w:rPr>
        <w:t>（1）政府采购合同协议书及其变更、补充协议</w:t>
      </w:r>
    </w:p>
    <w:p w14:paraId="7022D32B">
      <w:pPr>
        <w:adjustRightInd w:val="0"/>
        <w:snapToGrid w:val="0"/>
        <w:spacing w:line="400" w:lineRule="exact"/>
        <w:ind w:firstLine="420" w:firstLineChars="200"/>
        <w:rPr>
          <w:rFonts w:hint="eastAsia" w:cs="宋体"/>
          <w:sz w:val="21"/>
          <w:szCs w:val="21"/>
        </w:rPr>
      </w:pPr>
      <w:r>
        <w:rPr>
          <w:rFonts w:hint="eastAsia" w:cs="宋体"/>
          <w:sz w:val="21"/>
          <w:szCs w:val="21"/>
        </w:rPr>
        <w:t>（2）政府采购合同专用条款</w:t>
      </w:r>
    </w:p>
    <w:p w14:paraId="030C14B5">
      <w:pPr>
        <w:adjustRightInd w:val="0"/>
        <w:snapToGrid w:val="0"/>
        <w:spacing w:line="400" w:lineRule="exact"/>
        <w:ind w:firstLine="420" w:firstLineChars="200"/>
        <w:rPr>
          <w:rFonts w:hint="eastAsia" w:cs="宋体"/>
          <w:sz w:val="21"/>
          <w:szCs w:val="21"/>
        </w:rPr>
      </w:pPr>
      <w:r>
        <w:rPr>
          <w:rFonts w:hint="eastAsia" w:cs="宋体"/>
          <w:sz w:val="21"/>
          <w:szCs w:val="21"/>
        </w:rPr>
        <w:t>（3）政府采购合同通用条款</w:t>
      </w:r>
    </w:p>
    <w:p w14:paraId="01830F71">
      <w:pPr>
        <w:adjustRightInd w:val="0"/>
        <w:snapToGrid w:val="0"/>
        <w:spacing w:line="400" w:lineRule="exact"/>
        <w:ind w:firstLine="420" w:firstLineChars="200"/>
        <w:rPr>
          <w:rFonts w:hint="eastAsia" w:cs="宋体"/>
          <w:sz w:val="21"/>
          <w:szCs w:val="21"/>
        </w:rPr>
      </w:pPr>
      <w:r>
        <w:rPr>
          <w:rFonts w:hint="eastAsia" w:cs="宋体"/>
          <w:sz w:val="21"/>
          <w:szCs w:val="21"/>
        </w:rPr>
        <w:t>（4）中标（成交）通知书</w:t>
      </w:r>
    </w:p>
    <w:p w14:paraId="1BF4118F">
      <w:pPr>
        <w:adjustRightInd w:val="0"/>
        <w:snapToGrid w:val="0"/>
        <w:spacing w:line="400" w:lineRule="exact"/>
        <w:ind w:firstLine="420" w:firstLineChars="200"/>
        <w:rPr>
          <w:rFonts w:hint="eastAsia" w:cs="宋体"/>
          <w:sz w:val="21"/>
          <w:szCs w:val="21"/>
        </w:rPr>
      </w:pPr>
      <w:r>
        <w:rPr>
          <w:rFonts w:hint="eastAsia" w:cs="宋体"/>
          <w:sz w:val="21"/>
          <w:szCs w:val="21"/>
        </w:rPr>
        <w:t>（5）投标（响应）文件</w:t>
      </w:r>
    </w:p>
    <w:p w14:paraId="7D526B90">
      <w:pPr>
        <w:adjustRightInd w:val="0"/>
        <w:snapToGrid w:val="0"/>
        <w:spacing w:line="400" w:lineRule="exact"/>
        <w:ind w:firstLine="420" w:firstLineChars="200"/>
        <w:rPr>
          <w:rFonts w:hint="eastAsia" w:cs="宋体"/>
          <w:sz w:val="21"/>
          <w:szCs w:val="21"/>
        </w:rPr>
      </w:pPr>
      <w:r>
        <w:rPr>
          <w:rFonts w:hint="eastAsia" w:cs="宋体"/>
          <w:sz w:val="21"/>
          <w:szCs w:val="21"/>
        </w:rPr>
        <w:t>（6）采购文件</w:t>
      </w:r>
    </w:p>
    <w:p w14:paraId="5DF57174">
      <w:pPr>
        <w:adjustRightInd w:val="0"/>
        <w:snapToGrid w:val="0"/>
        <w:spacing w:line="400" w:lineRule="exact"/>
        <w:ind w:firstLine="420" w:firstLineChars="200"/>
        <w:rPr>
          <w:rFonts w:hint="eastAsia" w:cs="宋体"/>
          <w:sz w:val="21"/>
          <w:szCs w:val="21"/>
        </w:rPr>
      </w:pPr>
      <w:r>
        <w:rPr>
          <w:rFonts w:hint="eastAsia" w:cs="宋体"/>
          <w:sz w:val="21"/>
          <w:szCs w:val="21"/>
        </w:rPr>
        <w:t>（7）有关技术文件，图纸</w:t>
      </w:r>
    </w:p>
    <w:p w14:paraId="2C0E5438">
      <w:pPr>
        <w:pStyle w:val="38"/>
        <w:ind w:firstLine="420"/>
        <w:rPr>
          <w:rFonts w:hint="eastAsia" w:ascii="宋体" w:hAnsi="宋体" w:eastAsia="宋体" w:cs="宋体"/>
          <w:kern w:val="2"/>
          <w:sz w:val="21"/>
        </w:rPr>
      </w:pPr>
      <w:r>
        <w:rPr>
          <w:rFonts w:hint="eastAsia" w:ascii="宋体" w:hAnsi="宋体" w:eastAsia="宋体" w:cs="宋体"/>
          <w:sz w:val="21"/>
        </w:rPr>
        <w:t>（8）</w:t>
      </w:r>
      <w:r>
        <w:rPr>
          <w:rFonts w:hint="eastAsia" w:ascii="宋体" w:hAnsi="宋体" w:eastAsia="宋体" w:cs="宋体"/>
          <w:kern w:val="2"/>
          <w:sz w:val="21"/>
        </w:rPr>
        <w:t>国家法律、行政法规和规章制度规定或合同约定的作为合同组成部分的其他文件</w:t>
      </w:r>
    </w:p>
    <w:p w14:paraId="3CC1C375">
      <w:pPr>
        <w:numPr>
          <w:ilvl w:val="0"/>
          <w:numId w:val="7"/>
        </w:numPr>
        <w:adjustRightInd w:val="0"/>
        <w:snapToGrid w:val="0"/>
        <w:spacing w:line="400" w:lineRule="exact"/>
        <w:ind w:firstLine="422" w:firstLineChars="200"/>
        <w:rPr>
          <w:rFonts w:hint="eastAsia" w:cs="宋体"/>
          <w:b/>
          <w:sz w:val="21"/>
          <w:szCs w:val="21"/>
        </w:rPr>
      </w:pPr>
      <w:r>
        <w:rPr>
          <w:rFonts w:hint="eastAsia" w:cs="宋体"/>
          <w:b/>
          <w:sz w:val="21"/>
          <w:szCs w:val="21"/>
        </w:rPr>
        <w:t>合同生效</w:t>
      </w:r>
    </w:p>
    <w:p w14:paraId="7074348B">
      <w:pPr>
        <w:adjustRightInd w:val="0"/>
        <w:snapToGrid w:val="0"/>
        <w:spacing w:line="400" w:lineRule="exact"/>
        <w:ind w:firstLine="420" w:firstLineChars="200"/>
        <w:rPr>
          <w:rFonts w:hint="eastAsia" w:cs="宋体"/>
          <w:sz w:val="21"/>
          <w:szCs w:val="21"/>
        </w:rPr>
      </w:pPr>
      <w:r>
        <w:rPr>
          <w:rFonts w:hint="eastAsia" w:cs="宋体"/>
          <w:sz w:val="21"/>
          <w:szCs w:val="21"/>
        </w:rPr>
        <w:t>本合同自</w:t>
      </w:r>
      <w:r>
        <w:rPr>
          <w:rFonts w:hint="eastAsia" w:cs="宋体"/>
          <w:sz w:val="21"/>
          <w:szCs w:val="21"/>
          <w:u w:val="single"/>
        </w:rPr>
        <w:t xml:space="preserve">                             </w:t>
      </w:r>
      <w:r>
        <w:rPr>
          <w:rFonts w:hint="eastAsia" w:cs="宋体"/>
          <w:sz w:val="21"/>
          <w:szCs w:val="21"/>
        </w:rPr>
        <w:t>生效。</w:t>
      </w:r>
    </w:p>
    <w:p w14:paraId="3510BEEB">
      <w:pPr>
        <w:numPr>
          <w:ilvl w:val="0"/>
          <w:numId w:val="7"/>
        </w:numPr>
        <w:adjustRightInd w:val="0"/>
        <w:snapToGrid w:val="0"/>
        <w:spacing w:line="400" w:lineRule="exact"/>
        <w:ind w:firstLine="422" w:firstLineChars="200"/>
        <w:rPr>
          <w:rFonts w:hint="eastAsia" w:cs="宋体"/>
          <w:b/>
          <w:sz w:val="21"/>
          <w:szCs w:val="21"/>
        </w:rPr>
      </w:pPr>
      <w:r>
        <w:rPr>
          <w:rFonts w:hint="eastAsia" w:cs="宋体"/>
          <w:b/>
          <w:sz w:val="21"/>
          <w:szCs w:val="21"/>
        </w:rPr>
        <w:t>合同份数</w:t>
      </w:r>
    </w:p>
    <w:p w14:paraId="5E79121D">
      <w:pPr>
        <w:adjustRightInd w:val="0"/>
        <w:snapToGrid w:val="0"/>
        <w:spacing w:line="400" w:lineRule="exact"/>
        <w:ind w:firstLine="420" w:firstLineChars="200"/>
        <w:rPr>
          <w:rFonts w:hint="eastAsia" w:cs="宋体"/>
          <w:sz w:val="21"/>
          <w:szCs w:val="21"/>
        </w:rPr>
      </w:pPr>
      <w:r>
        <w:rPr>
          <w:rFonts w:hint="eastAsia" w:cs="宋体"/>
          <w:sz w:val="21"/>
          <w:szCs w:val="21"/>
        </w:rPr>
        <w:t>本合同一式</w:t>
      </w:r>
      <w:r>
        <w:rPr>
          <w:rFonts w:hint="eastAsia" w:cs="宋体"/>
          <w:sz w:val="21"/>
          <w:szCs w:val="21"/>
          <w:u w:val="single"/>
        </w:rPr>
        <w:t xml:space="preserve">    </w:t>
      </w:r>
      <w:r>
        <w:rPr>
          <w:rFonts w:hint="eastAsia" w:cs="宋体"/>
          <w:sz w:val="21"/>
          <w:szCs w:val="21"/>
        </w:rPr>
        <w:t>份，甲方执</w:t>
      </w:r>
      <w:r>
        <w:rPr>
          <w:rFonts w:hint="eastAsia" w:cs="宋体"/>
          <w:sz w:val="21"/>
          <w:szCs w:val="21"/>
          <w:u w:val="single"/>
        </w:rPr>
        <w:t xml:space="preserve">    </w:t>
      </w:r>
      <w:r>
        <w:rPr>
          <w:rFonts w:hint="eastAsia" w:cs="宋体"/>
          <w:sz w:val="21"/>
          <w:szCs w:val="21"/>
        </w:rPr>
        <w:t>份，乙方执</w:t>
      </w:r>
      <w:r>
        <w:rPr>
          <w:rFonts w:hint="eastAsia" w:cs="宋体"/>
          <w:sz w:val="21"/>
          <w:szCs w:val="21"/>
          <w:u w:val="single"/>
        </w:rPr>
        <w:t xml:space="preserve">    </w:t>
      </w:r>
      <w:r>
        <w:rPr>
          <w:rFonts w:hint="eastAsia" w:cs="宋体"/>
          <w:sz w:val="21"/>
          <w:szCs w:val="21"/>
        </w:rPr>
        <w:t>份，均具有同等法律效力。</w:t>
      </w:r>
    </w:p>
    <w:p w14:paraId="65B8CD15">
      <w:pPr>
        <w:adjustRightInd w:val="0"/>
        <w:snapToGrid w:val="0"/>
        <w:spacing w:line="400" w:lineRule="exact"/>
        <w:ind w:firstLine="420" w:firstLineChars="200"/>
        <w:rPr>
          <w:rFonts w:hint="eastAsia" w:cs="宋体"/>
          <w:sz w:val="21"/>
          <w:szCs w:val="21"/>
        </w:rPr>
      </w:pPr>
      <w:r>
        <w:rPr>
          <w:rFonts w:hint="eastAsia" w:cs="宋体"/>
          <w:sz w:val="21"/>
          <w:szCs w:val="21"/>
        </w:rPr>
        <w:t>合同订立时间：</w:t>
      </w:r>
      <w:r>
        <w:rPr>
          <w:rFonts w:hint="eastAsia" w:cs="宋体"/>
          <w:sz w:val="21"/>
          <w:szCs w:val="21"/>
          <w:u w:val="single"/>
        </w:rPr>
        <w:t xml:space="preserve">         </w:t>
      </w:r>
      <w:r>
        <w:rPr>
          <w:rFonts w:hint="eastAsia" w:cs="宋体"/>
          <w:sz w:val="21"/>
          <w:szCs w:val="21"/>
        </w:rPr>
        <w:t>年</w:t>
      </w:r>
      <w:r>
        <w:rPr>
          <w:rFonts w:hint="eastAsia" w:cs="宋体"/>
          <w:sz w:val="21"/>
          <w:szCs w:val="21"/>
          <w:u w:val="single"/>
        </w:rPr>
        <w:t xml:space="preserve">      </w:t>
      </w:r>
      <w:r>
        <w:rPr>
          <w:rFonts w:hint="eastAsia" w:cs="宋体"/>
          <w:sz w:val="21"/>
          <w:szCs w:val="21"/>
        </w:rPr>
        <w:t>月</w:t>
      </w:r>
      <w:r>
        <w:rPr>
          <w:rFonts w:hint="eastAsia" w:cs="宋体"/>
          <w:sz w:val="21"/>
          <w:szCs w:val="21"/>
          <w:u w:val="single"/>
        </w:rPr>
        <w:t xml:space="preserve">      </w:t>
      </w:r>
      <w:r>
        <w:rPr>
          <w:rFonts w:hint="eastAsia" w:cs="宋体"/>
          <w:sz w:val="21"/>
          <w:szCs w:val="21"/>
        </w:rPr>
        <w:t>日</w:t>
      </w:r>
    </w:p>
    <w:p w14:paraId="7DA083B4">
      <w:pPr>
        <w:adjustRightInd w:val="0"/>
        <w:snapToGrid w:val="0"/>
        <w:spacing w:line="400" w:lineRule="exact"/>
        <w:ind w:firstLine="420" w:firstLineChars="200"/>
        <w:rPr>
          <w:rFonts w:hint="eastAsia" w:cs="宋体"/>
          <w:sz w:val="21"/>
          <w:szCs w:val="21"/>
        </w:rPr>
      </w:pPr>
      <w:r>
        <w:rPr>
          <w:rFonts w:hint="eastAsia" w:cs="宋体"/>
          <w:sz w:val="21"/>
          <w:szCs w:val="21"/>
        </w:rPr>
        <w:t>合同订立地点：</w:t>
      </w:r>
      <w:r>
        <w:rPr>
          <w:rFonts w:hint="eastAsia" w:cs="宋体"/>
          <w:sz w:val="21"/>
          <w:szCs w:val="21"/>
          <w:u w:val="single"/>
        </w:rPr>
        <w:t xml:space="preserve">                           </w:t>
      </w:r>
    </w:p>
    <w:p w14:paraId="11E991DF">
      <w:pPr>
        <w:adjustRightInd w:val="0"/>
        <w:snapToGrid w:val="0"/>
        <w:spacing w:line="400" w:lineRule="exact"/>
        <w:ind w:firstLine="420" w:firstLineChars="200"/>
        <w:rPr>
          <w:rFonts w:hint="eastAsia" w:cs="宋体"/>
          <w:sz w:val="21"/>
          <w:szCs w:val="21"/>
        </w:rPr>
      </w:pPr>
      <w:r>
        <w:rPr>
          <w:rFonts w:hint="eastAsia" w:cs="宋体"/>
          <w:sz w:val="21"/>
          <w:szCs w:val="21"/>
        </w:rPr>
        <w:t>附件：具体标的及其技术要求和商务要求、联合体协议书、分包意向协议书等。</w:t>
      </w:r>
    </w:p>
    <w:p w14:paraId="488DC6B1">
      <w:pPr>
        <w:pStyle w:val="72"/>
        <w:rPr>
          <w:rFonts w:hint="eastAsia" w:cs="宋体"/>
          <w:sz w:val="21"/>
        </w:rPr>
      </w:pPr>
    </w:p>
    <w:p w14:paraId="020C545D">
      <w:pPr>
        <w:pStyle w:val="72"/>
        <w:rPr>
          <w:rFonts w:hint="eastAsia" w:cs="宋体"/>
          <w:sz w:val="21"/>
        </w:rPr>
      </w:pPr>
    </w:p>
    <w:p w14:paraId="2E0D2204">
      <w:pPr>
        <w:pStyle w:val="72"/>
        <w:rPr>
          <w:rFonts w:hint="eastAsia" w:cs="宋体"/>
          <w:sz w:val="21"/>
        </w:rPr>
      </w:pPr>
    </w:p>
    <w:p w14:paraId="48DED011">
      <w:pPr>
        <w:pStyle w:val="72"/>
        <w:rPr>
          <w:rFonts w:hint="eastAsia" w:cs="宋体"/>
          <w:sz w:val="21"/>
        </w:rPr>
      </w:pPr>
    </w:p>
    <w:p w14:paraId="26E0FA23">
      <w:pPr>
        <w:pStyle w:val="72"/>
        <w:rPr>
          <w:rFonts w:hint="eastAsia" w:cs="宋体"/>
          <w:sz w:val="21"/>
        </w:rPr>
      </w:pPr>
    </w:p>
    <w:p w14:paraId="1FE8E204">
      <w:pPr>
        <w:pStyle w:val="72"/>
        <w:rPr>
          <w:rFonts w:hint="eastAsia" w:cs="宋体"/>
          <w:sz w:val="21"/>
        </w:rPr>
      </w:pPr>
    </w:p>
    <w:p w14:paraId="44336A00">
      <w:pPr>
        <w:pStyle w:val="72"/>
        <w:rPr>
          <w:rFonts w:hint="eastAsia" w:cs="宋体"/>
          <w:sz w:val="21"/>
        </w:rPr>
      </w:pPr>
    </w:p>
    <w:p w14:paraId="037664D6">
      <w:pPr>
        <w:pStyle w:val="72"/>
        <w:rPr>
          <w:rFonts w:hint="eastAsia" w:cs="宋体"/>
          <w:sz w:val="21"/>
        </w:rPr>
      </w:pPr>
    </w:p>
    <w:tbl>
      <w:tblPr>
        <w:tblStyle w:val="30"/>
        <w:tblW w:w="4868" w:type="pct"/>
        <w:tblInd w:w="10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45"/>
        <w:gridCol w:w="2053"/>
        <w:gridCol w:w="1978"/>
        <w:gridCol w:w="2121"/>
      </w:tblGrid>
      <w:tr w14:paraId="313797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30" w:type="pct"/>
            <w:gridSpan w:val="2"/>
            <w:tcBorders>
              <w:bottom w:val="single" w:color="auto" w:sz="2" w:space="0"/>
              <w:right w:val="single" w:color="auto" w:sz="2" w:space="0"/>
            </w:tcBorders>
            <w:vAlign w:val="center"/>
          </w:tcPr>
          <w:p w14:paraId="70070941">
            <w:pPr>
              <w:adjustRightInd w:val="0"/>
              <w:snapToGrid w:val="0"/>
              <w:spacing w:line="300" w:lineRule="exact"/>
              <w:jc w:val="center"/>
              <w:rPr>
                <w:rFonts w:hint="eastAsia" w:cs="宋体"/>
                <w:sz w:val="21"/>
                <w:szCs w:val="21"/>
              </w:rPr>
            </w:pPr>
            <w:r>
              <w:rPr>
                <w:rFonts w:hint="eastAsia" w:cs="宋体"/>
                <w:sz w:val="21"/>
                <w:szCs w:val="21"/>
              </w:rPr>
              <w:t>甲方（采购人、受采购人委托签订合同的单位或采购文件约定的合同甲方）</w:t>
            </w:r>
          </w:p>
        </w:tc>
        <w:tc>
          <w:tcPr>
            <w:tcW w:w="2469" w:type="pct"/>
            <w:gridSpan w:val="2"/>
            <w:tcBorders>
              <w:left w:val="single" w:color="auto" w:sz="2" w:space="0"/>
              <w:bottom w:val="single" w:color="auto" w:sz="2" w:space="0"/>
            </w:tcBorders>
            <w:vAlign w:val="center"/>
          </w:tcPr>
          <w:p w14:paraId="58FB0690">
            <w:pPr>
              <w:adjustRightInd w:val="0"/>
              <w:snapToGrid w:val="0"/>
              <w:spacing w:line="300" w:lineRule="exact"/>
              <w:jc w:val="center"/>
              <w:rPr>
                <w:rFonts w:hint="eastAsia" w:cs="宋体"/>
                <w:sz w:val="21"/>
                <w:szCs w:val="21"/>
              </w:rPr>
            </w:pPr>
            <w:r>
              <w:rPr>
                <w:rFonts w:hint="eastAsia" w:cs="宋体"/>
                <w:sz w:val="21"/>
                <w:szCs w:val="21"/>
              </w:rPr>
              <w:t>乙方（供应商）</w:t>
            </w:r>
          </w:p>
        </w:tc>
      </w:tr>
      <w:tr w14:paraId="23A8E9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93" w:type="pct"/>
            <w:tcBorders>
              <w:top w:val="single" w:color="auto" w:sz="2" w:space="0"/>
              <w:bottom w:val="single" w:color="auto" w:sz="2" w:space="0"/>
              <w:right w:val="single" w:color="auto" w:sz="2" w:space="0"/>
            </w:tcBorders>
            <w:vAlign w:val="center"/>
          </w:tcPr>
          <w:p w14:paraId="3CB09E60">
            <w:pPr>
              <w:adjustRightInd w:val="0"/>
              <w:snapToGrid w:val="0"/>
              <w:spacing w:line="300" w:lineRule="exact"/>
              <w:jc w:val="center"/>
              <w:rPr>
                <w:rFonts w:hint="eastAsia" w:cs="宋体"/>
                <w:sz w:val="21"/>
                <w:szCs w:val="21"/>
              </w:rPr>
            </w:pPr>
            <w:r>
              <w:rPr>
                <w:rFonts w:hint="eastAsia" w:cs="宋体"/>
                <w:sz w:val="21"/>
                <w:szCs w:val="21"/>
              </w:rPr>
              <w:t>单位名称（公章或合同章）</w:t>
            </w:r>
          </w:p>
        </w:tc>
        <w:tc>
          <w:tcPr>
            <w:tcW w:w="1236" w:type="pct"/>
            <w:tcBorders>
              <w:top w:val="single" w:color="auto" w:sz="2" w:space="0"/>
              <w:left w:val="single" w:color="auto" w:sz="2" w:space="0"/>
              <w:bottom w:val="single" w:color="auto" w:sz="2" w:space="0"/>
              <w:right w:val="single" w:color="auto" w:sz="2" w:space="0"/>
            </w:tcBorders>
            <w:vAlign w:val="center"/>
          </w:tcPr>
          <w:p w14:paraId="5EB8A5B6">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6CBA12FA">
            <w:pPr>
              <w:adjustRightInd w:val="0"/>
              <w:snapToGrid w:val="0"/>
              <w:spacing w:line="300" w:lineRule="exact"/>
              <w:jc w:val="center"/>
              <w:rPr>
                <w:rFonts w:hint="eastAsia" w:cs="宋体"/>
                <w:sz w:val="21"/>
                <w:szCs w:val="21"/>
              </w:rPr>
            </w:pPr>
            <w:r>
              <w:rPr>
                <w:rFonts w:hint="eastAsia" w:cs="宋体"/>
                <w:sz w:val="21"/>
                <w:szCs w:val="21"/>
              </w:rPr>
              <w:t>单位名称（公章或合同章）</w:t>
            </w:r>
          </w:p>
        </w:tc>
        <w:tc>
          <w:tcPr>
            <w:tcW w:w="1277" w:type="pct"/>
            <w:tcBorders>
              <w:top w:val="single" w:color="auto" w:sz="2" w:space="0"/>
              <w:left w:val="single" w:color="auto" w:sz="2" w:space="0"/>
              <w:bottom w:val="single" w:color="auto" w:sz="2" w:space="0"/>
            </w:tcBorders>
            <w:vAlign w:val="center"/>
          </w:tcPr>
          <w:p w14:paraId="3976F52F">
            <w:pPr>
              <w:adjustRightInd w:val="0"/>
              <w:snapToGrid w:val="0"/>
              <w:spacing w:line="300" w:lineRule="exact"/>
              <w:jc w:val="center"/>
              <w:rPr>
                <w:rFonts w:hint="eastAsia" w:cs="宋体"/>
                <w:spacing w:val="20"/>
                <w:sz w:val="21"/>
                <w:szCs w:val="21"/>
              </w:rPr>
            </w:pPr>
          </w:p>
        </w:tc>
      </w:tr>
      <w:tr w14:paraId="5827F2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93" w:type="pct"/>
            <w:vMerge w:val="restart"/>
            <w:tcBorders>
              <w:top w:val="single" w:color="auto" w:sz="2" w:space="0"/>
              <w:right w:val="single" w:color="auto" w:sz="2" w:space="0"/>
            </w:tcBorders>
            <w:vAlign w:val="center"/>
          </w:tcPr>
          <w:p w14:paraId="220D4DBC">
            <w:pPr>
              <w:adjustRightInd w:val="0"/>
              <w:snapToGrid w:val="0"/>
              <w:spacing w:line="300" w:lineRule="exact"/>
              <w:jc w:val="center"/>
              <w:rPr>
                <w:rFonts w:hint="eastAsia" w:cs="宋体"/>
                <w:sz w:val="21"/>
                <w:szCs w:val="21"/>
              </w:rPr>
            </w:pPr>
            <w:r>
              <w:rPr>
                <w:rFonts w:hint="eastAsia" w:cs="宋体"/>
                <w:sz w:val="21"/>
                <w:szCs w:val="21"/>
              </w:rPr>
              <w:t>法定代表人</w:t>
            </w:r>
          </w:p>
          <w:p w14:paraId="736BDA91">
            <w:pPr>
              <w:adjustRightInd w:val="0"/>
              <w:snapToGrid w:val="0"/>
              <w:spacing w:line="300" w:lineRule="exact"/>
              <w:ind w:firstLine="100" w:firstLineChars="48"/>
              <w:jc w:val="center"/>
              <w:rPr>
                <w:rFonts w:hint="eastAsia" w:cs="宋体"/>
                <w:sz w:val="21"/>
                <w:szCs w:val="21"/>
              </w:rPr>
            </w:pPr>
            <w:r>
              <w:rPr>
                <w:rFonts w:hint="eastAsia" w:cs="宋体"/>
                <w:sz w:val="21"/>
                <w:szCs w:val="21"/>
              </w:rPr>
              <w:t>或其委托代理人（签章）</w:t>
            </w:r>
          </w:p>
        </w:tc>
        <w:tc>
          <w:tcPr>
            <w:tcW w:w="1236" w:type="pct"/>
            <w:vMerge w:val="restart"/>
            <w:tcBorders>
              <w:top w:val="single" w:color="auto" w:sz="2" w:space="0"/>
              <w:left w:val="single" w:color="auto" w:sz="2" w:space="0"/>
              <w:right w:val="single" w:color="auto" w:sz="2" w:space="0"/>
            </w:tcBorders>
            <w:vAlign w:val="center"/>
          </w:tcPr>
          <w:p w14:paraId="0BACF280">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right w:val="single" w:color="auto" w:sz="2" w:space="0"/>
            </w:tcBorders>
            <w:vAlign w:val="center"/>
          </w:tcPr>
          <w:p w14:paraId="04DFDBDD">
            <w:pPr>
              <w:adjustRightInd w:val="0"/>
              <w:snapToGrid w:val="0"/>
              <w:spacing w:line="300" w:lineRule="exact"/>
              <w:jc w:val="center"/>
              <w:rPr>
                <w:rFonts w:hint="eastAsia" w:cs="宋体"/>
                <w:sz w:val="21"/>
                <w:szCs w:val="21"/>
              </w:rPr>
            </w:pPr>
            <w:r>
              <w:rPr>
                <w:rFonts w:hint="eastAsia" w:cs="宋体"/>
                <w:sz w:val="21"/>
                <w:szCs w:val="21"/>
              </w:rPr>
              <w:t>法定代表人</w:t>
            </w:r>
          </w:p>
          <w:p w14:paraId="1B026C14">
            <w:pPr>
              <w:adjustRightInd w:val="0"/>
              <w:snapToGrid w:val="0"/>
              <w:spacing w:line="300" w:lineRule="exact"/>
              <w:jc w:val="center"/>
              <w:rPr>
                <w:rFonts w:hint="eastAsia" w:cs="宋体"/>
                <w:sz w:val="21"/>
                <w:szCs w:val="21"/>
              </w:rPr>
            </w:pPr>
            <w:r>
              <w:rPr>
                <w:rFonts w:hint="eastAsia" w:cs="宋体"/>
                <w:sz w:val="21"/>
                <w:szCs w:val="21"/>
              </w:rPr>
              <w:t>或其委托代理人（签章）</w:t>
            </w:r>
          </w:p>
        </w:tc>
        <w:tc>
          <w:tcPr>
            <w:tcW w:w="1277" w:type="pct"/>
            <w:tcBorders>
              <w:top w:val="single" w:color="auto" w:sz="2" w:space="0"/>
              <w:left w:val="single" w:color="auto" w:sz="2" w:space="0"/>
              <w:bottom w:val="single" w:color="auto" w:sz="2" w:space="0"/>
            </w:tcBorders>
            <w:vAlign w:val="center"/>
          </w:tcPr>
          <w:p w14:paraId="46F8F6FC">
            <w:pPr>
              <w:adjustRightInd w:val="0"/>
              <w:snapToGrid w:val="0"/>
              <w:spacing w:line="300" w:lineRule="exact"/>
              <w:jc w:val="center"/>
              <w:rPr>
                <w:rFonts w:hint="eastAsia" w:cs="宋体"/>
                <w:sz w:val="21"/>
                <w:szCs w:val="21"/>
              </w:rPr>
            </w:pPr>
          </w:p>
        </w:tc>
      </w:tr>
      <w:tr w14:paraId="2FBD49C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vMerge w:val="continue"/>
            <w:tcBorders>
              <w:bottom w:val="single" w:color="auto" w:sz="2" w:space="0"/>
              <w:right w:val="single" w:color="auto" w:sz="2" w:space="0"/>
            </w:tcBorders>
            <w:vAlign w:val="center"/>
          </w:tcPr>
          <w:p w14:paraId="0F8DC608">
            <w:pPr>
              <w:adjustRightInd w:val="0"/>
              <w:snapToGrid w:val="0"/>
              <w:spacing w:line="300" w:lineRule="exact"/>
              <w:jc w:val="center"/>
              <w:rPr>
                <w:rFonts w:hint="eastAsia" w:cs="宋体"/>
                <w:sz w:val="21"/>
                <w:szCs w:val="21"/>
              </w:rPr>
            </w:pPr>
          </w:p>
        </w:tc>
        <w:tc>
          <w:tcPr>
            <w:tcW w:w="1236" w:type="pct"/>
            <w:vMerge w:val="continue"/>
            <w:tcBorders>
              <w:left w:val="single" w:color="auto" w:sz="2" w:space="0"/>
              <w:bottom w:val="single" w:color="auto" w:sz="2" w:space="0"/>
              <w:right w:val="single" w:color="auto" w:sz="2" w:space="0"/>
            </w:tcBorders>
            <w:vAlign w:val="center"/>
          </w:tcPr>
          <w:p w14:paraId="4CF2CB9D">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197A3468">
            <w:pPr>
              <w:adjustRightInd w:val="0"/>
              <w:snapToGrid w:val="0"/>
              <w:spacing w:line="300" w:lineRule="exact"/>
              <w:jc w:val="center"/>
              <w:rPr>
                <w:rFonts w:hint="eastAsia" w:cs="宋体"/>
                <w:sz w:val="21"/>
                <w:szCs w:val="21"/>
              </w:rPr>
            </w:pPr>
            <w:r>
              <w:rPr>
                <w:rFonts w:hint="eastAsia" w:cs="宋体"/>
                <w:sz w:val="21"/>
                <w:szCs w:val="21"/>
              </w:rPr>
              <w:t>拥有者性别</w:t>
            </w:r>
          </w:p>
        </w:tc>
        <w:tc>
          <w:tcPr>
            <w:tcW w:w="1277" w:type="pct"/>
            <w:tcBorders>
              <w:top w:val="single" w:color="auto" w:sz="2" w:space="0"/>
              <w:left w:val="single" w:color="auto" w:sz="2" w:space="0"/>
              <w:bottom w:val="single" w:color="auto" w:sz="2" w:space="0"/>
            </w:tcBorders>
            <w:vAlign w:val="center"/>
          </w:tcPr>
          <w:p w14:paraId="0039429E">
            <w:pPr>
              <w:adjustRightInd w:val="0"/>
              <w:snapToGrid w:val="0"/>
              <w:spacing w:line="300" w:lineRule="exact"/>
              <w:jc w:val="center"/>
              <w:rPr>
                <w:rFonts w:hint="eastAsia" w:cs="宋体"/>
                <w:spacing w:val="20"/>
                <w:sz w:val="21"/>
                <w:szCs w:val="21"/>
              </w:rPr>
            </w:pPr>
          </w:p>
        </w:tc>
      </w:tr>
      <w:tr w14:paraId="40CE26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0BC4B28A">
            <w:pPr>
              <w:adjustRightInd w:val="0"/>
              <w:snapToGrid w:val="0"/>
              <w:spacing w:line="300" w:lineRule="exact"/>
              <w:jc w:val="center"/>
              <w:rPr>
                <w:rFonts w:hint="eastAsia" w:cs="宋体"/>
                <w:sz w:val="21"/>
                <w:szCs w:val="21"/>
              </w:rPr>
            </w:pPr>
            <w:r>
              <w:rPr>
                <w:rFonts w:hint="eastAsia" w:cs="宋体"/>
                <w:sz w:val="21"/>
                <w:szCs w:val="21"/>
              </w:rPr>
              <w:t>住  所</w:t>
            </w:r>
          </w:p>
        </w:tc>
        <w:tc>
          <w:tcPr>
            <w:tcW w:w="1236" w:type="pct"/>
            <w:tcBorders>
              <w:top w:val="single" w:color="auto" w:sz="2" w:space="0"/>
              <w:left w:val="single" w:color="auto" w:sz="2" w:space="0"/>
              <w:bottom w:val="single" w:color="auto" w:sz="2" w:space="0"/>
              <w:right w:val="single" w:color="auto" w:sz="2" w:space="0"/>
            </w:tcBorders>
            <w:vAlign w:val="center"/>
          </w:tcPr>
          <w:p w14:paraId="14020611">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2CAF7AEA">
            <w:pPr>
              <w:adjustRightInd w:val="0"/>
              <w:snapToGrid w:val="0"/>
              <w:spacing w:line="300" w:lineRule="exact"/>
              <w:jc w:val="center"/>
              <w:rPr>
                <w:rFonts w:hint="eastAsia" w:cs="宋体"/>
                <w:sz w:val="21"/>
                <w:szCs w:val="21"/>
              </w:rPr>
            </w:pPr>
            <w:r>
              <w:rPr>
                <w:rFonts w:hint="eastAsia" w:cs="宋体"/>
                <w:sz w:val="21"/>
                <w:szCs w:val="21"/>
              </w:rPr>
              <w:t>住  所</w:t>
            </w:r>
          </w:p>
        </w:tc>
        <w:tc>
          <w:tcPr>
            <w:tcW w:w="1277" w:type="pct"/>
            <w:tcBorders>
              <w:top w:val="single" w:color="auto" w:sz="2" w:space="0"/>
              <w:left w:val="single" w:color="auto" w:sz="2" w:space="0"/>
              <w:bottom w:val="single" w:color="auto" w:sz="2" w:space="0"/>
            </w:tcBorders>
            <w:vAlign w:val="center"/>
          </w:tcPr>
          <w:p w14:paraId="630B3A73">
            <w:pPr>
              <w:adjustRightInd w:val="0"/>
              <w:snapToGrid w:val="0"/>
              <w:spacing w:line="300" w:lineRule="exact"/>
              <w:jc w:val="center"/>
              <w:rPr>
                <w:rFonts w:hint="eastAsia" w:cs="宋体"/>
                <w:spacing w:val="20"/>
                <w:sz w:val="21"/>
                <w:szCs w:val="21"/>
              </w:rPr>
            </w:pPr>
          </w:p>
        </w:tc>
      </w:tr>
      <w:tr w14:paraId="1F8424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FAD4BC0">
            <w:pPr>
              <w:adjustRightInd w:val="0"/>
              <w:snapToGrid w:val="0"/>
              <w:spacing w:line="300" w:lineRule="exact"/>
              <w:jc w:val="center"/>
              <w:rPr>
                <w:rFonts w:hint="eastAsia" w:cs="宋体"/>
                <w:sz w:val="21"/>
                <w:szCs w:val="21"/>
              </w:rPr>
            </w:pPr>
            <w:r>
              <w:rPr>
                <w:rFonts w:hint="eastAsia" w:cs="宋体"/>
                <w:sz w:val="21"/>
                <w:szCs w:val="21"/>
              </w:rPr>
              <w:t>联 系 人</w:t>
            </w:r>
          </w:p>
        </w:tc>
        <w:tc>
          <w:tcPr>
            <w:tcW w:w="1236" w:type="pct"/>
            <w:tcBorders>
              <w:top w:val="single" w:color="auto" w:sz="2" w:space="0"/>
              <w:left w:val="single" w:color="auto" w:sz="2" w:space="0"/>
              <w:bottom w:val="single" w:color="auto" w:sz="2" w:space="0"/>
              <w:right w:val="single" w:color="auto" w:sz="2" w:space="0"/>
            </w:tcBorders>
            <w:vAlign w:val="center"/>
          </w:tcPr>
          <w:p w14:paraId="763FED59">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0D815F0E">
            <w:pPr>
              <w:adjustRightInd w:val="0"/>
              <w:snapToGrid w:val="0"/>
              <w:spacing w:line="300" w:lineRule="exact"/>
              <w:jc w:val="center"/>
              <w:rPr>
                <w:rFonts w:hint="eastAsia" w:cs="宋体"/>
                <w:sz w:val="21"/>
                <w:szCs w:val="21"/>
              </w:rPr>
            </w:pPr>
            <w:r>
              <w:rPr>
                <w:rFonts w:hint="eastAsia" w:cs="宋体"/>
                <w:sz w:val="21"/>
                <w:szCs w:val="21"/>
              </w:rPr>
              <w:t>联 系 人</w:t>
            </w:r>
          </w:p>
        </w:tc>
        <w:tc>
          <w:tcPr>
            <w:tcW w:w="1277" w:type="pct"/>
            <w:tcBorders>
              <w:top w:val="single" w:color="auto" w:sz="2" w:space="0"/>
              <w:left w:val="single" w:color="auto" w:sz="2" w:space="0"/>
              <w:bottom w:val="single" w:color="auto" w:sz="2" w:space="0"/>
            </w:tcBorders>
            <w:vAlign w:val="center"/>
          </w:tcPr>
          <w:p w14:paraId="372848F8">
            <w:pPr>
              <w:adjustRightInd w:val="0"/>
              <w:snapToGrid w:val="0"/>
              <w:spacing w:line="300" w:lineRule="exact"/>
              <w:jc w:val="center"/>
              <w:rPr>
                <w:rFonts w:hint="eastAsia" w:cs="宋体"/>
                <w:spacing w:val="20"/>
                <w:sz w:val="21"/>
                <w:szCs w:val="21"/>
              </w:rPr>
            </w:pPr>
          </w:p>
        </w:tc>
      </w:tr>
      <w:tr w14:paraId="1615BF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2B73EE8F">
            <w:pPr>
              <w:adjustRightInd w:val="0"/>
              <w:snapToGrid w:val="0"/>
              <w:spacing w:line="300" w:lineRule="exact"/>
              <w:jc w:val="center"/>
              <w:rPr>
                <w:rFonts w:hint="eastAsia" w:cs="宋体"/>
                <w:sz w:val="21"/>
                <w:szCs w:val="21"/>
              </w:rPr>
            </w:pPr>
            <w:r>
              <w:rPr>
                <w:rFonts w:hint="eastAsia" w:cs="宋体"/>
                <w:sz w:val="21"/>
                <w:szCs w:val="21"/>
              </w:rPr>
              <w:t>联系电话</w:t>
            </w:r>
          </w:p>
        </w:tc>
        <w:tc>
          <w:tcPr>
            <w:tcW w:w="1236" w:type="pct"/>
            <w:tcBorders>
              <w:top w:val="single" w:color="auto" w:sz="2" w:space="0"/>
              <w:left w:val="single" w:color="auto" w:sz="2" w:space="0"/>
              <w:bottom w:val="single" w:color="auto" w:sz="2" w:space="0"/>
              <w:right w:val="single" w:color="auto" w:sz="2" w:space="0"/>
            </w:tcBorders>
            <w:vAlign w:val="center"/>
          </w:tcPr>
          <w:p w14:paraId="1993B792">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52F62ACA">
            <w:pPr>
              <w:adjustRightInd w:val="0"/>
              <w:snapToGrid w:val="0"/>
              <w:spacing w:line="300" w:lineRule="exact"/>
              <w:jc w:val="center"/>
              <w:rPr>
                <w:rFonts w:hint="eastAsia" w:cs="宋体"/>
                <w:sz w:val="21"/>
                <w:szCs w:val="21"/>
              </w:rPr>
            </w:pPr>
            <w:r>
              <w:rPr>
                <w:rFonts w:hint="eastAsia" w:cs="宋体"/>
                <w:sz w:val="21"/>
                <w:szCs w:val="21"/>
              </w:rPr>
              <w:t>联系电话</w:t>
            </w:r>
          </w:p>
        </w:tc>
        <w:tc>
          <w:tcPr>
            <w:tcW w:w="1277" w:type="pct"/>
            <w:tcBorders>
              <w:top w:val="single" w:color="auto" w:sz="2" w:space="0"/>
              <w:left w:val="single" w:color="auto" w:sz="2" w:space="0"/>
              <w:bottom w:val="single" w:color="auto" w:sz="2" w:space="0"/>
            </w:tcBorders>
            <w:vAlign w:val="center"/>
          </w:tcPr>
          <w:p w14:paraId="48D45D8D">
            <w:pPr>
              <w:adjustRightInd w:val="0"/>
              <w:snapToGrid w:val="0"/>
              <w:spacing w:line="300" w:lineRule="exact"/>
              <w:jc w:val="center"/>
              <w:rPr>
                <w:rFonts w:hint="eastAsia" w:cs="宋体"/>
                <w:spacing w:val="20"/>
                <w:sz w:val="21"/>
                <w:szCs w:val="21"/>
              </w:rPr>
            </w:pPr>
          </w:p>
        </w:tc>
      </w:tr>
      <w:tr w14:paraId="37330F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5B68B2FC">
            <w:pPr>
              <w:adjustRightInd w:val="0"/>
              <w:snapToGrid w:val="0"/>
              <w:spacing w:line="300" w:lineRule="exact"/>
              <w:jc w:val="center"/>
              <w:rPr>
                <w:rFonts w:hint="eastAsia" w:cs="宋体"/>
                <w:sz w:val="21"/>
                <w:szCs w:val="21"/>
              </w:rPr>
            </w:pPr>
            <w:r>
              <w:rPr>
                <w:rFonts w:hint="eastAsia" w:cs="宋体"/>
                <w:sz w:val="21"/>
                <w:szCs w:val="21"/>
              </w:rPr>
              <w:t>通信地址</w:t>
            </w:r>
          </w:p>
        </w:tc>
        <w:tc>
          <w:tcPr>
            <w:tcW w:w="1236" w:type="pct"/>
            <w:tcBorders>
              <w:top w:val="single" w:color="auto" w:sz="2" w:space="0"/>
              <w:left w:val="single" w:color="auto" w:sz="2" w:space="0"/>
              <w:bottom w:val="single" w:color="auto" w:sz="2" w:space="0"/>
              <w:right w:val="single" w:color="auto" w:sz="2" w:space="0"/>
            </w:tcBorders>
            <w:vAlign w:val="center"/>
          </w:tcPr>
          <w:p w14:paraId="5AA74FC7">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5FAC6427">
            <w:pPr>
              <w:adjustRightInd w:val="0"/>
              <w:snapToGrid w:val="0"/>
              <w:spacing w:line="300" w:lineRule="exact"/>
              <w:jc w:val="center"/>
              <w:rPr>
                <w:rFonts w:hint="eastAsia" w:cs="宋体"/>
                <w:sz w:val="21"/>
                <w:szCs w:val="21"/>
              </w:rPr>
            </w:pPr>
            <w:r>
              <w:rPr>
                <w:rFonts w:hint="eastAsia" w:cs="宋体"/>
                <w:sz w:val="21"/>
                <w:szCs w:val="21"/>
              </w:rPr>
              <w:t>通信地址</w:t>
            </w:r>
          </w:p>
        </w:tc>
        <w:tc>
          <w:tcPr>
            <w:tcW w:w="1277" w:type="pct"/>
            <w:tcBorders>
              <w:top w:val="single" w:color="auto" w:sz="2" w:space="0"/>
              <w:left w:val="single" w:color="auto" w:sz="2" w:space="0"/>
              <w:bottom w:val="single" w:color="auto" w:sz="2" w:space="0"/>
            </w:tcBorders>
            <w:vAlign w:val="center"/>
          </w:tcPr>
          <w:p w14:paraId="738B045B">
            <w:pPr>
              <w:adjustRightInd w:val="0"/>
              <w:snapToGrid w:val="0"/>
              <w:spacing w:line="300" w:lineRule="exact"/>
              <w:jc w:val="center"/>
              <w:rPr>
                <w:rFonts w:hint="eastAsia" w:cs="宋体"/>
                <w:spacing w:val="20"/>
                <w:sz w:val="21"/>
                <w:szCs w:val="21"/>
              </w:rPr>
            </w:pPr>
          </w:p>
        </w:tc>
      </w:tr>
      <w:tr w14:paraId="0C8C9A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CDCA4DA">
            <w:pPr>
              <w:adjustRightInd w:val="0"/>
              <w:snapToGrid w:val="0"/>
              <w:spacing w:line="300" w:lineRule="exact"/>
              <w:jc w:val="center"/>
              <w:rPr>
                <w:rFonts w:hint="eastAsia" w:cs="宋体"/>
                <w:sz w:val="21"/>
                <w:szCs w:val="21"/>
              </w:rPr>
            </w:pPr>
            <w:r>
              <w:rPr>
                <w:rFonts w:hint="eastAsia" w:cs="宋体"/>
                <w:sz w:val="21"/>
                <w:szCs w:val="21"/>
              </w:rPr>
              <w:t>邮政编码</w:t>
            </w:r>
          </w:p>
        </w:tc>
        <w:tc>
          <w:tcPr>
            <w:tcW w:w="1236" w:type="pct"/>
            <w:tcBorders>
              <w:top w:val="single" w:color="auto" w:sz="2" w:space="0"/>
              <w:left w:val="single" w:color="auto" w:sz="2" w:space="0"/>
              <w:bottom w:val="single" w:color="auto" w:sz="2" w:space="0"/>
              <w:right w:val="single" w:color="auto" w:sz="2" w:space="0"/>
            </w:tcBorders>
            <w:vAlign w:val="center"/>
          </w:tcPr>
          <w:p w14:paraId="77AD052D">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43AC8236">
            <w:pPr>
              <w:adjustRightInd w:val="0"/>
              <w:snapToGrid w:val="0"/>
              <w:spacing w:line="300" w:lineRule="exact"/>
              <w:jc w:val="center"/>
              <w:rPr>
                <w:rFonts w:hint="eastAsia" w:cs="宋体"/>
                <w:sz w:val="21"/>
                <w:szCs w:val="21"/>
              </w:rPr>
            </w:pPr>
            <w:r>
              <w:rPr>
                <w:rFonts w:hint="eastAsia" w:cs="宋体"/>
                <w:sz w:val="21"/>
                <w:szCs w:val="21"/>
              </w:rPr>
              <w:t>邮政编码</w:t>
            </w:r>
          </w:p>
        </w:tc>
        <w:tc>
          <w:tcPr>
            <w:tcW w:w="1277" w:type="pct"/>
            <w:tcBorders>
              <w:top w:val="single" w:color="auto" w:sz="2" w:space="0"/>
              <w:left w:val="single" w:color="auto" w:sz="2" w:space="0"/>
              <w:bottom w:val="single" w:color="auto" w:sz="2" w:space="0"/>
            </w:tcBorders>
            <w:vAlign w:val="center"/>
          </w:tcPr>
          <w:p w14:paraId="4C0C3CFD">
            <w:pPr>
              <w:adjustRightInd w:val="0"/>
              <w:snapToGrid w:val="0"/>
              <w:spacing w:line="300" w:lineRule="exact"/>
              <w:jc w:val="center"/>
              <w:rPr>
                <w:rFonts w:hint="eastAsia" w:cs="宋体"/>
                <w:spacing w:val="20"/>
                <w:sz w:val="21"/>
                <w:szCs w:val="21"/>
              </w:rPr>
            </w:pPr>
          </w:p>
        </w:tc>
      </w:tr>
      <w:tr w14:paraId="4D12FA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091FD728">
            <w:pPr>
              <w:adjustRightInd w:val="0"/>
              <w:snapToGrid w:val="0"/>
              <w:spacing w:line="300" w:lineRule="exact"/>
              <w:jc w:val="center"/>
              <w:rPr>
                <w:rFonts w:hint="eastAsia" w:cs="宋体"/>
                <w:sz w:val="21"/>
                <w:szCs w:val="21"/>
              </w:rPr>
            </w:pPr>
            <w:r>
              <w:rPr>
                <w:rFonts w:hint="eastAsia" w:cs="宋体"/>
                <w:sz w:val="21"/>
                <w:szCs w:val="21"/>
              </w:rPr>
              <w:t>电子邮箱</w:t>
            </w:r>
          </w:p>
        </w:tc>
        <w:tc>
          <w:tcPr>
            <w:tcW w:w="1236" w:type="pct"/>
            <w:tcBorders>
              <w:top w:val="single" w:color="auto" w:sz="2" w:space="0"/>
              <w:left w:val="single" w:color="auto" w:sz="2" w:space="0"/>
              <w:bottom w:val="single" w:color="auto" w:sz="2" w:space="0"/>
              <w:right w:val="single" w:color="auto" w:sz="2" w:space="0"/>
            </w:tcBorders>
            <w:vAlign w:val="center"/>
          </w:tcPr>
          <w:p w14:paraId="258DCC56">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4BE4B890">
            <w:pPr>
              <w:adjustRightInd w:val="0"/>
              <w:snapToGrid w:val="0"/>
              <w:spacing w:line="300" w:lineRule="exact"/>
              <w:jc w:val="center"/>
              <w:rPr>
                <w:rFonts w:hint="eastAsia" w:cs="宋体"/>
                <w:sz w:val="21"/>
                <w:szCs w:val="21"/>
              </w:rPr>
            </w:pPr>
            <w:r>
              <w:rPr>
                <w:rFonts w:hint="eastAsia" w:cs="宋体"/>
                <w:sz w:val="21"/>
                <w:szCs w:val="21"/>
              </w:rPr>
              <w:t>电子邮箱</w:t>
            </w:r>
          </w:p>
        </w:tc>
        <w:tc>
          <w:tcPr>
            <w:tcW w:w="1277" w:type="pct"/>
            <w:tcBorders>
              <w:top w:val="single" w:color="auto" w:sz="2" w:space="0"/>
              <w:left w:val="single" w:color="auto" w:sz="2" w:space="0"/>
              <w:bottom w:val="single" w:color="auto" w:sz="2" w:space="0"/>
            </w:tcBorders>
            <w:vAlign w:val="center"/>
          </w:tcPr>
          <w:p w14:paraId="2089446E">
            <w:pPr>
              <w:adjustRightInd w:val="0"/>
              <w:snapToGrid w:val="0"/>
              <w:spacing w:line="300" w:lineRule="exact"/>
              <w:jc w:val="center"/>
              <w:rPr>
                <w:rFonts w:hint="eastAsia" w:cs="宋体"/>
                <w:spacing w:val="20"/>
                <w:sz w:val="21"/>
                <w:szCs w:val="21"/>
              </w:rPr>
            </w:pPr>
          </w:p>
        </w:tc>
      </w:tr>
      <w:tr w14:paraId="47E6B8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6C2CE902">
            <w:pPr>
              <w:adjustRightInd w:val="0"/>
              <w:snapToGrid w:val="0"/>
              <w:spacing w:line="300" w:lineRule="exact"/>
              <w:jc w:val="center"/>
              <w:rPr>
                <w:rFonts w:hint="eastAsia" w:cs="宋体"/>
                <w:sz w:val="21"/>
                <w:szCs w:val="21"/>
              </w:rPr>
            </w:pPr>
            <w:r>
              <w:rPr>
                <w:rFonts w:hint="eastAsia" w:cs="宋体"/>
                <w:sz w:val="21"/>
                <w:szCs w:val="21"/>
              </w:rPr>
              <w:t>统一社会信用代码</w:t>
            </w:r>
          </w:p>
        </w:tc>
        <w:tc>
          <w:tcPr>
            <w:tcW w:w="1236" w:type="pct"/>
            <w:tcBorders>
              <w:top w:val="single" w:color="auto" w:sz="2" w:space="0"/>
              <w:left w:val="single" w:color="auto" w:sz="2" w:space="0"/>
              <w:bottom w:val="single" w:color="auto" w:sz="2" w:space="0"/>
              <w:right w:val="single" w:color="auto" w:sz="2" w:space="0"/>
            </w:tcBorders>
            <w:vAlign w:val="center"/>
          </w:tcPr>
          <w:p w14:paraId="11F3DDB4">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538CEC20">
            <w:pPr>
              <w:adjustRightInd w:val="0"/>
              <w:snapToGrid w:val="0"/>
              <w:spacing w:line="300" w:lineRule="exact"/>
              <w:jc w:val="center"/>
              <w:rPr>
                <w:rFonts w:hint="eastAsia" w:cs="宋体"/>
                <w:sz w:val="21"/>
                <w:szCs w:val="21"/>
              </w:rPr>
            </w:pPr>
            <w:r>
              <w:rPr>
                <w:rFonts w:hint="eastAsia" w:cs="宋体"/>
                <w:sz w:val="21"/>
                <w:szCs w:val="21"/>
              </w:rPr>
              <w:t>统一社会信用代码</w:t>
            </w:r>
          </w:p>
        </w:tc>
        <w:tc>
          <w:tcPr>
            <w:tcW w:w="1277" w:type="pct"/>
            <w:tcBorders>
              <w:top w:val="single" w:color="auto" w:sz="2" w:space="0"/>
              <w:left w:val="single" w:color="auto" w:sz="2" w:space="0"/>
              <w:bottom w:val="single" w:color="auto" w:sz="2" w:space="0"/>
            </w:tcBorders>
            <w:vAlign w:val="center"/>
          </w:tcPr>
          <w:p w14:paraId="604B6822">
            <w:pPr>
              <w:adjustRightInd w:val="0"/>
              <w:snapToGrid w:val="0"/>
              <w:spacing w:line="300" w:lineRule="exact"/>
              <w:jc w:val="center"/>
              <w:rPr>
                <w:rFonts w:hint="eastAsia" w:cs="宋体"/>
                <w:spacing w:val="20"/>
                <w:sz w:val="21"/>
                <w:szCs w:val="21"/>
              </w:rPr>
            </w:pPr>
          </w:p>
        </w:tc>
      </w:tr>
      <w:tr w14:paraId="01B074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793CBE93">
            <w:pPr>
              <w:adjustRightInd w:val="0"/>
              <w:snapToGrid w:val="0"/>
              <w:spacing w:line="300" w:lineRule="exact"/>
              <w:jc w:val="center"/>
              <w:rPr>
                <w:rFonts w:hint="eastAsia" w:cs="宋体"/>
                <w:sz w:val="21"/>
                <w:szCs w:val="21"/>
              </w:rPr>
            </w:pPr>
          </w:p>
        </w:tc>
        <w:tc>
          <w:tcPr>
            <w:tcW w:w="1236" w:type="pct"/>
            <w:tcBorders>
              <w:top w:val="single" w:color="auto" w:sz="2" w:space="0"/>
              <w:left w:val="single" w:color="auto" w:sz="2" w:space="0"/>
              <w:bottom w:val="single" w:color="auto" w:sz="2" w:space="0"/>
              <w:right w:val="single" w:color="auto" w:sz="2" w:space="0"/>
            </w:tcBorders>
            <w:vAlign w:val="center"/>
          </w:tcPr>
          <w:p w14:paraId="2A67FCF9">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7260A1C3">
            <w:pPr>
              <w:adjustRightInd w:val="0"/>
              <w:snapToGrid w:val="0"/>
              <w:spacing w:line="300" w:lineRule="exact"/>
              <w:jc w:val="center"/>
              <w:rPr>
                <w:rFonts w:hint="eastAsia" w:cs="宋体"/>
                <w:sz w:val="21"/>
                <w:szCs w:val="21"/>
              </w:rPr>
            </w:pPr>
            <w:r>
              <w:rPr>
                <w:rFonts w:hint="eastAsia" w:cs="宋体"/>
                <w:sz w:val="21"/>
                <w:szCs w:val="21"/>
              </w:rPr>
              <w:t>开户名称</w:t>
            </w:r>
          </w:p>
        </w:tc>
        <w:tc>
          <w:tcPr>
            <w:tcW w:w="1277" w:type="pct"/>
            <w:tcBorders>
              <w:top w:val="single" w:color="auto" w:sz="2" w:space="0"/>
              <w:left w:val="single" w:color="auto" w:sz="2" w:space="0"/>
              <w:bottom w:val="single" w:color="auto" w:sz="2" w:space="0"/>
            </w:tcBorders>
            <w:vAlign w:val="center"/>
          </w:tcPr>
          <w:p w14:paraId="002AB6B9">
            <w:pPr>
              <w:adjustRightInd w:val="0"/>
              <w:snapToGrid w:val="0"/>
              <w:spacing w:line="300" w:lineRule="exact"/>
              <w:jc w:val="center"/>
              <w:rPr>
                <w:rFonts w:hint="eastAsia" w:cs="宋体"/>
                <w:spacing w:val="20"/>
                <w:sz w:val="21"/>
                <w:szCs w:val="21"/>
              </w:rPr>
            </w:pPr>
          </w:p>
        </w:tc>
      </w:tr>
      <w:tr w14:paraId="5060B9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69725387">
            <w:pPr>
              <w:adjustRightInd w:val="0"/>
              <w:snapToGrid w:val="0"/>
              <w:spacing w:line="300" w:lineRule="exact"/>
              <w:jc w:val="center"/>
              <w:rPr>
                <w:rFonts w:hint="eastAsia" w:cs="宋体"/>
                <w:sz w:val="21"/>
                <w:szCs w:val="21"/>
              </w:rPr>
            </w:pPr>
          </w:p>
        </w:tc>
        <w:tc>
          <w:tcPr>
            <w:tcW w:w="1236" w:type="pct"/>
            <w:tcBorders>
              <w:top w:val="single" w:color="auto" w:sz="2" w:space="0"/>
              <w:left w:val="single" w:color="auto" w:sz="2" w:space="0"/>
              <w:bottom w:val="single" w:color="auto" w:sz="2" w:space="0"/>
              <w:right w:val="single" w:color="auto" w:sz="2" w:space="0"/>
            </w:tcBorders>
            <w:vAlign w:val="center"/>
          </w:tcPr>
          <w:p w14:paraId="61FB4203">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7F206126">
            <w:pPr>
              <w:adjustRightInd w:val="0"/>
              <w:snapToGrid w:val="0"/>
              <w:spacing w:line="300" w:lineRule="exact"/>
              <w:jc w:val="center"/>
              <w:rPr>
                <w:rFonts w:hint="eastAsia" w:cs="宋体"/>
                <w:sz w:val="21"/>
                <w:szCs w:val="21"/>
              </w:rPr>
            </w:pPr>
            <w:r>
              <w:rPr>
                <w:rFonts w:hint="eastAsia" w:cs="宋体"/>
                <w:sz w:val="21"/>
                <w:szCs w:val="21"/>
              </w:rPr>
              <w:t>开户银行</w:t>
            </w:r>
          </w:p>
        </w:tc>
        <w:tc>
          <w:tcPr>
            <w:tcW w:w="1277" w:type="pct"/>
            <w:tcBorders>
              <w:top w:val="single" w:color="auto" w:sz="2" w:space="0"/>
              <w:left w:val="single" w:color="auto" w:sz="2" w:space="0"/>
              <w:bottom w:val="single" w:color="auto" w:sz="2" w:space="0"/>
            </w:tcBorders>
            <w:vAlign w:val="center"/>
          </w:tcPr>
          <w:p w14:paraId="183BFCDF">
            <w:pPr>
              <w:adjustRightInd w:val="0"/>
              <w:snapToGrid w:val="0"/>
              <w:spacing w:line="300" w:lineRule="exact"/>
              <w:jc w:val="center"/>
              <w:rPr>
                <w:rFonts w:hint="eastAsia" w:cs="宋体"/>
                <w:spacing w:val="20"/>
                <w:sz w:val="21"/>
                <w:szCs w:val="21"/>
              </w:rPr>
            </w:pPr>
          </w:p>
        </w:tc>
      </w:tr>
      <w:tr w14:paraId="71E7DC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29B83538">
            <w:pPr>
              <w:adjustRightInd w:val="0"/>
              <w:snapToGrid w:val="0"/>
              <w:spacing w:line="300" w:lineRule="exact"/>
              <w:jc w:val="center"/>
              <w:rPr>
                <w:rFonts w:hint="eastAsia" w:cs="宋体"/>
                <w:sz w:val="21"/>
                <w:szCs w:val="21"/>
              </w:rPr>
            </w:pPr>
          </w:p>
        </w:tc>
        <w:tc>
          <w:tcPr>
            <w:tcW w:w="1236" w:type="pct"/>
            <w:tcBorders>
              <w:top w:val="single" w:color="auto" w:sz="2" w:space="0"/>
              <w:left w:val="single" w:color="auto" w:sz="2" w:space="0"/>
              <w:bottom w:val="single" w:color="auto" w:sz="2" w:space="0"/>
              <w:right w:val="single" w:color="auto" w:sz="2" w:space="0"/>
            </w:tcBorders>
            <w:vAlign w:val="center"/>
          </w:tcPr>
          <w:p w14:paraId="1ADE6C27">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61E7E098">
            <w:pPr>
              <w:adjustRightInd w:val="0"/>
              <w:snapToGrid w:val="0"/>
              <w:spacing w:line="300" w:lineRule="exact"/>
              <w:jc w:val="center"/>
              <w:rPr>
                <w:rFonts w:hint="eastAsia" w:cs="宋体"/>
                <w:sz w:val="21"/>
                <w:szCs w:val="21"/>
              </w:rPr>
            </w:pPr>
            <w:r>
              <w:rPr>
                <w:rFonts w:hint="eastAsia" w:cs="宋体"/>
                <w:sz w:val="21"/>
                <w:szCs w:val="21"/>
              </w:rPr>
              <w:t>银行账号</w:t>
            </w:r>
          </w:p>
        </w:tc>
        <w:tc>
          <w:tcPr>
            <w:tcW w:w="1277" w:type="pct"/>
            <w:tcBorders>
              <w:top w:val="single" w:color="auto" w:sz="2" w:space="0"/>
              <w:left w:val="single" w:color="auto" w:sz="2" w:space="0"/>
              <w:bottom w:val="single" w:color="auto" w:sz="2" w:space="0"/>
            </w:tcBorders>
            <w:vAlign w:val="center"/>
          </w:tcPr>
          <w:p w14:paraId="17A00B8D">
            <w:pPr>
              <w:adjustRightInd w:val="0"/>
              <w:snapToGrid w:val="0"/>
              <w:spacing w:line="300" w:lineRule="exact"/>
              <w:jc w:val="center"/>
              <w:rPr>
                <w:rFonts w:hint="eastAsia" w:cs="宋体"/>
                <w:spacing w:val="20"/>
                <w:sz w:val="21"/>
                <w:szCs w:val="21"/>
              </w:rPr>
            </w:pPr>
          </w:p>
        </w:tc>
      </w:tr>
      <w:tr w14:paraId="2E39D5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6F05D58">
            <w:pPr>
              <w:pStyle w:val="15"/>
              <w:adjustRightInd w:val="0"/>
              <w:snapToGrid w:val="0"/>
              <w:spacing w:before="156" w:beforeLines="50"/>
              <w:rPr>
                <w:rFonts w:hint="eastAsia" w:eastAsia="宋体" w:cs="宋体"/>
                <w:spacing w:val="20"/>
                <w:sz w:val="21"/>
                <w:szCs w:val="21"/>
              </w:rPr>
            </w:pPr>
            <w:r>
              <w:rPr>
                <w:rFonts w:hint="eastAsia" w:eastAsia="宋体" w:cs="宋体"/>
                <w:sz w:val="21"/>
                <w:szCs w:val="21"/>
              </w:rPr>
              <w:t>注：涉及联合体或其他合同主体的信息应按上表格式加列。</w:t>
            </w:r>
          </w:p>
        </w:tc>
      </w:tr>
    </w:tbl>
    <w:p w14:paraId="7BBADC78">
      <w:pPr>
        <w:pStyle w:val="4"/>
        <w:adjustRightInd w:val="0"/>
        <w:snapToGrid w:val="0"/>
        <w:spacing w:before="156" w:beforeLines="50" w:after="156" w:afterLines="50" w:line="240" w:lineRule="auto"/>
        <w:jc w:val="center"/>
        <w:rPr>
          <w:rFonts w:hint="eastAsia" w:ascii="宋体" w:hAnsi="宋体" w:cs="宋体"/>
          <w:sz w:val="36"/>
          <w:szCs w:val="36"/>
        </w:rPr>
      </w:pPr>
      <w:r>
        <w:rPr>
          <w:rFonts w:hint="eastAsia" w:ascii="宋体" w:hAnsi="宋体" w:cs="宋体"/>
          <w:sz w:val="21"/>
          <w:szCs w:val="21"/>
          <w:u w:val="single"/>
        </w:rPr>
        <w:br w:type="page"/>
      </w:r>
      <w:bookmarkStart w:id="373" w:name="_Toc27624"/>
      <w:bookmarkStart w:id="374" w:name="_Toc2429"/>
      <w:bookmarkStart w:id="375" w:name="_Toc10702"/>
      <w:r>
        <w:rPr>
          <w:rFonts w:hint="eastAsia" w:ascii="宋体" w:hAnsi="宋体" w:cs="宋体"/>
          <w:sz w:val="36"/>
          <w:szCs w:val="36"/>
        </w:rPr>
        <w:t>第二节 政府采购合同通用条款</w:t>
      </w:r>
      <w:bookmarkEnd w:id="373"/>
      <w:bookmarkEnd w:id="374"/>
      <w:bookmarkEnd w:id="375"/>
    </w:p>
    <w:p w14:paraId="4AA8F4AF">
      <w:pPr>
        <w:tabs>
          <w:tab w:val="left" w:pos="8820"/>
          <w:tab w:val="left" w:pos="9345"/>
          <w:tab w:val="left" w:pos="9765"/>
        </w:tabs>
        <w:adjustRightInd w:val="0"/>
        <w:snapToGrid w:val="0"/>
        <w:spacing w:line="400" w:lineRule="exact"/>
        <w:rPr>
          <w:rFonts w:hint="eastAsia" w:cs="宋体"/>
          <w:b/>
          <w:bCs/>
          <w:sz w:val="21"/>
          <w:szCs w:val="21"/>
        </w:rPr>
      </w:pPr>
      <w:r>
        <w:rPr>
          <w:rFonts w:hint="eastAsia" w:cs="宋体"/>
          <w:b/>
          <w:sz w:val="21"/>
          <w:szCs w:val="21"/>
        </w:rPr>
        <w:t xml:space="preserve">1. </w:t>
      </w:r>
      <w:r>
        <w:rPr>
          <w:rFonts w:hint="eastAsia" w:cs="宋体"/>
          <w:b/>
          <w:bCs/>
          <w:sz w:val="21"/>
          <w:szCs w:val="21"/>
        </w:rPr>
        <w:t>定义</w:t>
      </w:r>
    </w:p>
    <w:p w14:paraId="4EBFB89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1.1合同当事人</w:t>
      </w:r>
    </w:p>
    <w:p w14:paraId="2C1A2D1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（1）采购人（以下称甲方）是指使用财政性资金，通过政府采购方式向供应商购买货物及其相关服务的国家机关、事业单位、团体组织。</w:t>
      </w:r>
    </w:p>
    <w:p w14:paraId="03416F5B">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（2）供应商（以下称乙方）是指参加政府采购活动并且中标（成交），向采购人提供合同约定的货物及其相关服务的法人、非法人组织或者自然人。</w:t>
      </w:r>
    </w:p>
    <w:p w14:paraId="0059A3EB">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（3）其他合同主体是指除采购人和供应商以外，</w:t>
      </w:r>
      <w:r>
        <w:rPr>
          <w:rFonts w:hint="eastAsia" w:cs="宋体"/>
          <w:bCs/>
          <w:sz w:val="21"/>
          <w:szCs w:val="21"/>
        </w:rPr>
        <w:t>依法参与合同缔结或履行，享有权利、承担义务的合同当事人</w:t>
      </w:r>
      <w:r>
        <w:rPr>
          <w:rFonts w:hint="eastAsia" w:cs="宋体"/>
          <w:sz w:val="21"/>
          <w:szCs w:val="21"/>
        </w:rPr>
        <w:t>。</w:t>
      </w:r>
    </w:p>
    <w:p w14:paraId="09F22826">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1.2本合同下列术语应解释为：</w:t>
      </w:r>
    </w:p>
    <w:p w14:paraId="29FADFA4">
      <w:pPr>
        <w:adjustRightInd w:val="0"/>
        <w:snapToGrid w:val="0"/>
        <w:spacing w:line="400" w:lineRule="exact"/>
        <w:ind w:firstLine="420" w:firstLineChars="200"/>
        <w:rPr>
          <w:rFonts w:hint="eastAsia" w:cs="宋体"/>
          <w:sz w:val="21"/>
          <w:szCs w:val="21"/>
        </w:rPr>
      </w:pPr>
      <w:r>
        <w:rPr>
          <w:rFonts w:hint="eastAsia" w:cs="宋体"/>
          <w:sz w:val="21"/>
          <w:szCs w:val="21"/>
        </w:rPr>
        <w:t>（1）“合同”系指</w:t>
      </w:r>
      <w:r>
        <w:rPr>
          <w:rFonts w:hint="eastAsia" w:cs="宋体"/>
          <w:bCs/>
          <w:sz w:val="21"/>
          <w:szCs w:val="21"/>
        </w:rPr>
        <w:t>合同当事人意思表示达成一致的任何协议，包括签署的</w:t>
      </w:r>
      <w:r>
        <w:rPr>
          <w:rFonts w:hint="eastAsia" w:cs="宋体"/>
          <w:sz w:val="21"/>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86255C1">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（2）“合同价款”系指根据本合同规定乙方在全面履行合同义务后甲方应支付给乙方的价款。</w:t>
      </w:r>
    </w:p>
    <w:p w14:paraId="0F809490">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（3）“货物”系指乙方根据本合同规定须向甲方提供的各种形态和种类的物品，包括原材料、设备、产品（包括软件）及相关的其备品备件、工具、手册及</w:t>
      </w:r>
      <w:r>
        <w:rPr>
          <w:rFonts w:hint="eastAsia" w:cs="宋体"/>
          <w:sz w:val="21"/>
          <w:szCs w:val="21"/>
          <w:lang w:val="en"/>
        </w:rPr>
        <w:t>其他</w:t>
      </w:r>
      <w:r>
        <w:rPr>
          <w:rFonts w:hint="eastAsia" w:cs="宋体"/>
          <w:sz w:val="21"/>
          <w:szCs w:val="21"/>
        </w:rPr>
        <w:t>技术资料和材料等。</w:t>
      </w:r>
    </w:p>
    <w:p w14:paraId="52D00010">
      <w:pPr>
        <w:adjustRightInd w:val="0"/>
        <w:snapToGrid w:val="0"/>
        <w:spacing w:line="400" w:lineRule="exact"/>
        <w:ind w:firstLine="420" w:firstLineChars="200"/>
        <w:rPr>
          <w:rFonts w:hint="eastAsia" w:cs="宋体"/>
          <w:sz w:val="21"/>
          <w:szCs w:val="21"/>
        </w:rPr>
      </w:pPr>
      <w:r>
        <w:rPr>
          <w:rFonts w:hint="eastAsia" w:cs="宋体"/>
          <w:sz w:val="21"/>
          <w:szCs w:val="21"/>
        </w:rPr>
        <w:t>（4）“相关服务”系指根据合同规定，乙方应提供的与货物有关的技术、管理和</w:t>
      </w:r>
      <w:r>
        <w:rPr>
          <w:rFonts w:hint="eastAsia" w:cs="宋体"/>
          <w:sz w:val="21"/>
          <w:szCs w:val="21"/>
          <w:lang w:val="en"/>
        </w:rPr>
        <w:t>其他</w:t>
      </w:r>
      <w:r>
        <w:rPr>
          <w:rFonts w:hint="eastAsia" w:cs="宋体"/>
          <w:sz w:val="21"/>
          <w:szCs w:val="21"/>
        </w:rPr>
        <w:t>服务，包括但不限于：管理和质量保证、运输、保险、检验、现场准备、安装、集成、调试、培训、维修、废弃处置、技术支持等以及合同中规定乙方应承担的</w:t>
      </w:r>
      <w:r>
        <w:rPr>
          <w:rFonts w:hint="eastAsia" w:cs="宋体"/>
          <w:sz w:val="21"/>
          <w:szCs w:val="21"/>
          <w:lang w:val="en"/>
        </w:rPr>
        <w:t>其他</w:t>
      </w:r>
      <w:r>
        <w:rPr>
          <w:rFonts w:hint="eastAsia" w:cs="宋体"/>
          <w:sz w:val="21"/>
          <w:szCs w:val="21"/>
        </w:rPr>
        <w:t>义务。</w:t>
      </w:r>
    </w:p>
    <w:p w14:paraId="109F3A4C">
      <w:pPr>
        <w:adjustRightInd w:val="0"/>
        <w:snapToGrid w:val="0"/>
        <w:spacing w:line="400" w:lineRule="exact"/>
        <w:ind w:firstLine="420" w:firstLineChars="200"/>
        <w:rPr>
          <w:rFonts w:hint="eastAsia" w:cs="宋体"/>
          <w:sz w:val="21"/>
          <w:szCs w:val="21"/>
        </w:rPr>
      </w:pPr>
      <w:r>
        <w:rPr>
          <w:rFonts w:hint="eastAsia" w:cs="宋体"/>
          <w:sz w:val="21"/>
          <w:szCs w:val="21"/>
        </w:rPr>
        <w:t>（5）“分包”系指中标（成交）供应商按采购文件、投标（响应）文件的规定，根据分包意向协议书，将中标（成交）项目中的部分履约内容，分给具有相应资质条件的供应商履行合同的行为。</w:t>
      </w:r>
    </w:p>
    <w:p w14:paraId="478C348D">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6）“联合体”系指由两个以上的自然人、法人或者非法人组织组成，以一个供应商的身份共同参加政府采购的主体。联合体各方应在签订合同协议书前向甲方提交联合体协议书，且明确牵头人及各成员单位的工作分工、权利、义务、责任，联合体各方应共同与甲方签订合同，就合同约定的事项对甲方承担连带责任。联合体具体要求见【</w:t>
      </w:r>
      <w:r>
        <w:rPr>
          <w:rFonts w:hint="eastAsia" w:cs="宋体"/>
          <w:b/>
          <w:bCs/>
          <w:sz w:val="21"/>
          <w:szCs w:val="21"/>
        </w:rPr>
        <w:t>政府采购合同专用条款</w:t>
      </w:r>
      <w:r>
        <w:rPr>
          <w:rFonts w:hint="eastAsia" w:cs="宋体"/>
          <w:sz w:val="21"/>
          <w:szCs w:val="21"/>
        </w:rPr>
        <w:t>】。</w:t>
      </w:r>
    </w:p>
    <w:p w14:paraId="68C8CEE0">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（7）其他术语解释，见【</w:t>
      </w:r>
      <w:r>
        <w:rPr>
          <w:rFonts w:hint="eastAsia" w:cs="宋体"/>
          <w:b/>
          <w:bCs/>
          <w:sz w:val="21"/>
          <w:szCs w:val="21"/>
        </w:rPr>
        <w:t>政府采购合同专用条款</w:t>
      </w:r>
      <w:r>
        <w:rPr>
          <w:rFonts w:hint="eastAsia" w:cs="宋体"/>
          <w:sz w:val="21"/>
          <w:szCs w:val="21"/>
        </w:rPr>
        <w:t>】。</w:t>
      </w:r>
    </w:p>
    <w:p w14:paraId="7AB5566A">
      <w:pPr>
        <w:numPr>
          <w:ilvl w:val="0"/>
          <w:numId w:val="10"/>
        </w:numPr>
        <w:autoSpaceDE w:val="0"/>
        <w:autoSpaceDN w:val="0"/>
        <w:adjustRightInd w:val="0"/>
        <w:snapToGrid w:val="0"/>
        <w:spacing w:line="400" w:lineRule="exact"/>
        <w:rPr>
          <w:rFonts w:hint="eastAsia" w:cs="宋体"/>
          <w:b/>
          <w:bCs/>
          <w:sz w:val="21"/>
          <w:szCs w:val="21"/>
        </w:rPr>
      </w:pPr>
      <w:r>
        <w:rPr>
          <w:rFonts w:hint="eastAsia" w:cs="宋体"/>
          <w:b/>
          <w:sz w:val="21"/>
          <w:szCs w:val="21"/>
        </w:rPr>
        <w:t>合同标的及金额</w:t>
      </w:r>
    </w:p>
    <w:p w14:paraId="19C1280E">
      <w:pPr>
        <w:autoSpaceDE w:val="0"/>
        <w:autoSpaceDN w:val="0"/>
        <w:adjustRightInd w:val="0"/>
        <w:snapToGrid w:val="0"/>
        <w:spacing w:line="400" w:lineRule="exact"/>
        <w:ind w:firstLine="420" w:firstLineChars="200"/>
        <w:rPr>
          <w:rFonts w:hint="eastAsia" w:cs="宋体"/>
          <w:b/>
          <w:bCs/>
          <w:i/>
          <w:iCs/>
          <w:sz w:val="21"/>
          <w:szCs w:val="21"/>
        </w:rPr>
      </w:pPr>
      <w:r>
        <w:rPr>
          <w:rFonts w:hint="eastAsia" w:cs="宋体"/>
          <w:sz w:val="21"/>
          <w:szCs w:val="21"/>
        </w:rPr>
        <w:t>2.1 合同标的及金额应与中标（成交）结果一致。乙方为履行本合同而发生的所有费用均应包含在合同价款中，甲方不再另行支付</w:t>
      </w:r>
      <w:r>
        <w:rPr>
          <w:rFonts w:hint="eastAsia" w:cs="宋体"/>
          <w:sz w:val="21"/>
          <w:szCs w:val="21"/>
          <w:lang w:val="en"/>
        </w:rPr>
        <w:t>其他</w:t>
      </w:r>
      <w:r>
        <w:rPr>
          <w:rFonts w:hint="eastAsia" w:cs="宋体"/>
          <w:sz w:val="21"/>
          <w:szCs w:val="21"/>
        </w:rPr>
        <w:t>任何费用。</w:t>
      </w:r>
    </w:p>
    <w:p w14:paraId="222A6B31">
      <w:pPr>
        <w:adjustRightInd w:val="0"/>
        <w:snapToGrid w:val="0"/>
        <w:spacing w:line="400" w:lineRule="exact"/>
        <w:rPr>
          <w:rFonts w:hint="eastAsia" w:cs="宋体"/>
          <w:b/>
          <w:sz w:val="21"/>
          <w:szCs w:val="21"/>
        </w:rPr>
      </w:pPr>
      <w:r>
        <w:rPr>
          <w:rFonts w:hint="eastAsia" w:cs="宋体"/>
          <w:b/>
          <w:sz w:val="21"/>
          <w:szCs w:val="21"/>
        </w:rPr>
        <w:t>3. 履行合同的时间、地点和方式</w:t>
      </w:r>
    </w:p>
    <w:p w14:paraId="505F02E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3.1 乙方应当在约定的时间、地点，按照约定方式履行合同。</w:t>
      </w:r>
    </w:p>
    <w:p w14:paraId="68002CEA">
      <w:pPr>
        <w:autoSpaceDE w:val="0"/>
        <w:autoSpaceDN w:val="0"/>
        <w:adjustRightInd w:val="0"/>
        <w:snapToGrid w:val="0"/>
        <w:spacing w:line="400" w:lineRule="exact"/>
        <w:rPr>
          <w:rFonts w:hint="eastAsia" w:cs="宋体"/>
          <w:b/>
          <w:bCs/>
          <w:sz w:val="21"/>
          <w:szCs w:val="21"/>
        </w:rPr>
      </w:pPr>
      <w:r>
        <w:rPr>
          <w:rFonts w:hint="eastAsia" w:cs="宋体"/>
          <w:b/>
          <w:bCs/>
          <w:sz w:val="21"/>
          <w:szCs w:val="21"/>
        </w:rPr>
        <w:t>4. 甲方的权利和义务</w:t>
      </w:r>
    </w:p>
    <w:p w14:paraId="69C7FFA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4.1 签署合同后，甲方应确定项目负责人（或项目联系人），负责与本合同有关的事务。甲方有权对乙方的履约行为进行检查，并及时确认乙方提交的事项。甲方应当配合乙方完成相关项目实施工作。</w:t>
      </w:r>
    </w:p>
    <w:p w14:paraId="38A759B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4.2 甲方有权要求乙方按时提交各阶段有关安排计划，并有权定期核对乙方提供货物数量、规格、质量等内容。甲方有权督促乙方工作并要求乙方更换不符合要求的货物。</w:t>
      </w:r>
    </w:p>
    <w:p w14:paraId="0728EC1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4.3 甲方有权要求乙方对缺陷部分予以修复，并按合同约定享有货物保修及其他合同约定的权利。</w:t>
      </w:r>
    </w:p>
    <w:p w14:paraId="47F4F8F4">
      <w:pPr>
        <w:snapToGrid w:val="0"/>
        <w:spacing w:line="400" w:lineRule="exact"/>
        <w:ind w:firstLine="420" w:firstLineChars="200"/>
        <w:rPr>
          <w:rFonts w:hint="eastAsia" w:cs="宋体"/>
          <w:sz w:val="21"/>
          <w:szCs w:val="21"/>
        </w:rPr>
      </w:pPr>
      <w:r>
        <w:rPr>
          <w:rFonts w:hint="eastAsia" w:cs="宋体"/>
          <w:sz w:val="21"/>
          <w:szCs w:val="21"/>
        </w:rPr>
        <w:t>4.4 甲方应当按照合同约定及时对交付的货物进行验收，未在</w:t>
      </w:r>
      <w:r>
        <w:rPr>
          <w:rFonts w:hint="eastAsia" w:cs="宋体"/>
          <w:b/>
          <w:bCs/>
          <w:sz w:val="21"/>
          <w:szCs w:val="21"/>
        </w:rPr>
        <w:t>【政府采购合同专用条款】</w:t>
      </w:r>
      <w:r>
        <w:rPr>
          <w:rFonts w:hint="eastAsia" w:cs="宋体"/>
          <w:sz w:val="21"/>
          <w:szCs w:val="21"/>
        </w:rPr>
        <w:t>约定的期限内对乙方履约提出任何异议或者向乙方作出任何说明的，视为验收通过。</w:t>
      </w:r>
    </w:p>
    <w:p w14:paraId="1BFF8C00">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4.5 甲方应当根据合同约定及时向乙方支付合同价款，不得以内部人员变更、履行内部付款流程等为由，拒绝或迟延支付。</w:t>
      </w:r>
    </w:p>
    <w:p w14:paraId="35AA89EF">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4.6 国家法律法规规定及</w:t>
      </w:r>
      <w:r>
        <w:rPr>
          <w:rFonts w:hint="eastAsia" w:cs="宋体"/>
          <w:b/>
          <w:bCs/>
          <w:sz w:val="21"/>
          <w:szCs w:val="21"/>
        </w:rPr>
        <w:t>【政府采购合同专用条款】</w:t>
      </w:r>
      <w:r>
        <w:rPr>
          <w:rFonts w:hint="eastAsia" w:cs="宋体"/>
          <w:sz w:val="21"/>
          <w:szCs w:val="21"/>
        </w:rPr>
        <w:t>约定应由甲方承担的其他义务和责任。</w:t>
      </w:r>
    </w:p>
    <w:p w14:paraId="6A7A568F">
      <w:pPr>
        <w:autoSpaceDE w:val="0"/>
        <w:autoSpaceDN w:val="0"/>
        <w:adjustRightInd w:val="0"/>
        <w:snapToGrid w:val="0"/>
        <w:spacing w:line="400" w:lineRule="exact"/>
        <w:rPr>
          <w:rFonts w:hint="eastAsia" w:cs="宋体"/>
          <w:b/>
          <w:bCs/>
          <w:sz w:val="21"/>
          <w:szCs w:val="21"/>
        </w:rPr>
      </w:pPr>
      <w:r>
        <w:rPr>
          <w:rFonts w:hint="eastAsia" w:cs="宋体"/>
          <w:b/>
          <w:bCs/>
          <w:sz w:val="21"/>
          <w:szCs w:val="21"/>
        </w:rPr>
        <w:t>5. 乙方的权利和义务</w:t>
      </w:r>
    </w:p>
    <w:p w14:paraId="7257A9C0">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5.1 签署合同后，乙方应确定项目负责人（或项目联系人），负责与本合同有关的事务。</w:t>
      </w:r>
    </w:p>
    <w:p w14:paraId="281829FB">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420F462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5.3乙方有权根据合同约定向甲方收取合同价款。</w:t>
      </w:r>
    </w:p>
    <w:p w14:paraId="5F02C99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5.4国家法律法规规定及</w:t>
      </w:r>
      <w:r>
        <w:rPr>
          <w:rFonts w:hint="eastAsia" w:cs="宋体"/>
          <w:b/>
          <w:bCs/>
          <w:sz w:val="21"/>
          <w:szCs w:val="21"/>
        </w:rPr>
        <w:t>【政府采购合同专用条款】</w:t>
      </w:r>
      <w:r>
        <w:rPr>
          <w:rFonts w:hint="eastAsia" w:cs="宋体"/>
          <w:sz w:val="21"/>
          <w:szCs w:val="21"/>
        </w:rPr>
        <w:t>约定应由乙方承担的其他义务和责任。</w:t>
      </w:r>
    </w:p>
    <w:p w14:paraId="08FD7384">
      <w:pPr>
        <w:numPr>
          <w:ilvl w:val="0"/>
          <w:numId w:val="11"/>
        </w:numPr>
        <w:autoSpaceDE w:val="0"/>
        <w:autoSpaceDN w:val="0"/>
        <w:adjustRightInd w:val="0"/>
        <w:snapToGrid w:val="0"/>
        <w:spacing w:line="400" w:lineRule="exact"/>
        <w:rPr>
          <w:rFonts w:hint="eastAsia" w:cs="宋体"/>
          <w:b/>
          <w:bCs/>
          <w:sz w:val="21"/>
          <w:szCs w:val="21"/>
        </w:rPr>
      </w:pPr>
      <w:r>
        <w:rPr>
          <w:rFonts w:hint="eastAsia" w:cs="宋体"/>
          <w:b/>
          <w:bCs/>
          <w:sz w:val="21"/>
          <w:szCs w:val="21"/>
        </w:rPr>
        <w:t>合同履行</w:t>
      </w:r>
    </w:p>
    <w:p w14:paraId="7E453C82">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6.1 甲乙双方应当按照</w:t>
      </w:r>
      <w:r>
        <w:rPr>
          <w:rFonts w:hint="eastAsia" w:cs="宋体"/>
          <w:b/>
          <w:bCs/>
          <w:sz w:val="21"/>
          <w:szCs w:val="21"/>
        </w:rPr>
        <w:t>【政府采购合同专用条款】</w:t>
      </w:r>
      <w:r>
        <w:rPr>
          <w:rFonts w:hint="eastAsia" w:cs="宋体"/>
          <w:sz w:val="21"/>
          <w:szCs w:val="21"/>
        </w:rPr>
        <w:t>约定顺序履行合同义务；如果没有先后顺序的，应当同时履行。</w:t>
      </w:r>
    </w:p>
    <w:p w14:paraId="412F31DA">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6.2 甲乙双方按照合同约定顺序履行合同义务时，应当先履行一方未履行的，后履行一方有权拒绝其履行请求。先履行一方履行不符合约定的，后履行一方有权拒绝其相应的履行请求。</w:t>
      </w:r>
    </w:p>
    <w:p w14:paraId="4A983DF4">
      <w:pPr>
        <w:adjustRightInd w:val="0"/>
        <w:snapToGrid w:val="0"/>
        <w:spacing w:line="400" w:lineRule="exact"/>
        <w:rPr>
          <w:rFonts w:hint="eastAsia" w:cs="宋体"/>
          <w:b/>
          <w:bCs/>
          <w:sz w:val="21"/>
          <w:szCs w:val="21"/>
        </w:rPr>
      </w:pPr>
      <w:r>
        <w:rPr>
          <w:rFonts w:hint="eastAsia" w:cs="宋体"/>
          <w:b/>
          <w:bCs/>
          <w:sz w:val="21"/>
          <w:szCs w:val="21"/>
        </w:rPr>
        <w:t>7. 货物包装、运输、保险和交付要求</w:t>
      </w:r>
    </w:p>
    <w:p w14:paraId="4D8D979A">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7.1 本合同</w:t>
      </w:r>
      <w:r>
        <w:rPr>
          <w:rFonts w:hint="eastAsia" w:cs="宋体"/>
          <w:bCs/>
          <w:sz w:val="21"/>
          <w:szCs w:val="21"/>
        </w:rPr>
        <w:t>涉及商品包装、快递包装的，</w:t>
      </w:r>
      <w:r>
        <w:rPr>
          <w:rFonts w:hint="eastAsia" w:cs="宋体"/>
          <w:sz w:val="21"/>
          <w:szCs w:val="21"/>
        </w:rPr>
        <w:t>除</w:t>
      </w:r>
      <w:r>
        <w:rPr>
          <w:rFonts w:hint="eastAsia" w:cs="宋体"/>
          <w:b/>
          <w:sz w:val="21"/>
          <w:szCs w:val="21"/>
        </w:rPr>
        <w:t>【政府采购合同专用条款】</w:t>
      </w:r>
      <w:r>
        <w:rPr>
          <w:rFonts w:hint="eastAsia" w:cs="宋体"/>
          <w:bCs/>
          <w:sz w:val="21"/>
          <w:szCs w:val="21"/>
        </w:rPr>
        <w:t>另有约定外，</w:t>
      </w:r>
      <w:r>
        <w:rPr>
          <w:rFonts w:hint="eastAsia" w:cs="宋体"/>
          <w:sz w:val="21"/>
          <w:szCs w:val="21"/>
        </w:rPr>
        <w:t>包装应适应远距离运输、防潮、防震、防锈和防野蛮装卸等要求，确保货物安全无损地运抵</w:t>
      </w:r>
      <w:r>
        <w:rPr>
          <w:rFonts w:hint="eastAsia" w:cs="宋体"/>
          <w:b/>
          <w:sz w:val="21"/>
          <w:szCs w:val="21"/>
        </w:rPr>
        <w:t>【政府采购合同专用条款】</w:t>
      </w:r>
      <w:r>
        <w:rPr>
          <w:rFonts w:hint="eastAsia" w:cs="宋体"/>
          <w:bCs/>
          <w:sz w:val="21"/>
          <w:szCs w:val="21"/>
        </w:rPr>
        <w:t>约定的</w:t>
      </w:r>
      <w:r>
        <w:rPr>
          <w:rFonts w:hint="eastAsia" w:cs="宋体"/>
          <w:sz w:val="21"/>
          <w:szCs w:val="21"/>
        </w:rPr>
        <w:t>指定现场。</w:t>
      </w:r>
    </w:p>
    <w:p w14:paraId="4BFDC03E">
      <w:pPr>
        <w:adjustRightInd w:val="0"/>
        <w:snapToGrid w:val="0"/>
        <w:spacing w:line="400" w:lineRule="exact"/>
        <w:ind w:firstLine="420" w:firstLineChars="200"/>
        <w:rPr>
          <w:rFonts w:hint="eastAsia" w:cs="宋体"/>
          <w:sz w:val="21"/>
          <w:szCs w:val="21"/>
        </w:rPr>
      </w:pPr>
      <w:r>
        <w:rPr>
          <w:rFonts w:hint="eastAsia" w:cs="宋体"/>
          <w:sz w:val="21"/>
          <w:szCs w:val="21"/>
        </w:rPr>
        <w:t>7.2 除</w:t>
      </w:r>
      <w:r>
        <w:rPr>
          <w:rFonts w:hint="eastAsia" w:cs="宋体"/>
          <w:b/>
          <w:sz w:val="21"/>
          <w:szCs w:val="21"/>
        </w:rPr>
        <w:t>【政府采购合同专用条款】</w:t>
      </w:r>
      <w:r>
        <w:rPr>
          <w:rFonts w:hint="eastAsia" w:cs="宋体"/>
          <w:bCs/>
          <w:sz w:val="21"/>
          <w:szCs w:val="21"/>
        </w:rPr>
        <w:t>另有约定外，</w:t>
      </w:r>
      <w:r>
        <w:rPr>
          <w:rFonts w:hint="eastAsia" w:cs="宋体"/>
          <w:sz w:val="21"/>
          <w:szCs w:val="21"/>
        </w:rPr>
        <w:t>乙方负责办理将货物运抵本合同规定的交货地点，并装卸、交付至甲方的一切运输事项，相关费用应包含在合同价款中。</w:t>
      </w:r>
    </w:p>
    <w:p w14:paraId="60C4E76F">
      <w:pPr>
        <w:adjustRightInd w:val="0"/>
        <w:snapToGrid w:val="0"/>
        <w:spacing w:line="400" w:lineRule="exact"/>
        <w:ind w:firstLine="420" w:firstLineChars="200"/>
        <w:rPr>
          <w:rFonts w:hint="eastAsia" w:cs="宋体"/>
          <w:sz w:val="21"/>
          <w:szCs w:val="21"/>
        </w:rPr>
      </w:pPr>
      <w:r>
        <w:rPr>
          <w:rFonts w:hint="eastAsia" w:cs="宋体"/>
          <w:sz w:val="21"/>
          <w:szCs w:val="21"/>
        </w:rPr>
        <w:t>7.3 货物保险要求按</w:t>
      </w:r>
      <w:r>
        <w:rPr>
          <w:rFonts w:hint="eastAsia" w:cs="宋体"/>
          <w:b/>
          <w:sz w:val="21"/>
          <w:szCs w:val="21"/>
        </w:rPr>
        <w:t>【政府采购合同专用条款】</w:t>
      </w:r>
      <w:r>
        <w:rPr>
          <w:rFonts w:hint="eastAsia" w:cs="宋体"/>
          <w:bCs/>
          <w:sz w:val="21"/>
          <w:szCs w:val="21"/>
        </w:rPr>
        <w:t>规定执行</w:t>
      </w:r>
      <w:r>
        <w:rPr>
          <w:rFonts w:hint="eastAsia" w:cs="宋体"/>
          <w:sz w:val="21"/>
          <w:szCs w:val="21"/>
        </w:rPr>
        <w:t>。</w:t>
      </w:r>
    </w:p>
    <w:p w14:paraId="7CEF702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8AE786A">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7.5 乙方在运输到达之前应提前通知甲方，并提示货物运输装卸的注意事项，甲方配合乙方做好货物的接收工作。</w:t>
      </w:r>
    </w:p>
    <w:p w14:paraId="284E31E2">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7.6 如因包装、运输问题导致货物损毁、丢失或者品质下降，甲方有权要求降价、换货、拒收部分或整批货物，由此产生的费用和损失，均由乙方承担。</w:t>
      </w:r>
    </w:p>
    <w:p w14:paraId="5ADC677E">
      <w:pPr>
        <w:adjustRightInd w:val="0"/>
        <w:snapToGrid w:val="0"/>
        <w:spacing w:line="400" w:lineRule="exact"/>
        <w:rPr>
          <w:rFonts w:hint="eastAsia" w:cs="宋体"/>
          <w:b/>
          <w:sz w:val="21"/>
          <w:szCs w:val="21"/>
        </w:rPr>
      </w:pPr>
      <w:r>
        <w:rPr>
          <w:rFonts w:hint="eastAsia" w:cs="宋体"/>
          <w:b/>
          <w:sz w:val="21"/>
          <w:szCs w:val="21"/>
        </w:rPr>
        <w:t>8. 质量标准和保证</w:t>
      </w:r>
    </w:p>
    <w:p w14:paraId="547B360C">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8.1 质量标准</w:t>
      </w:r>
    </w:p>
    <w:p w14:paraId="15D54C12">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2D3FC9F">
      <w:pPr>
        <w:pStyle w:val="18"/>
        <w:adjustRightInd w:val="0"/>
        <w:snapToGrid w:val="0"/>
        <w:spacing w:line="400" w:lineRule="exact"/>
        <w:ind w:firstLine="420" w:firstLineChars="200"/>
        <w:rPr>
          <w:rFonts w:hint="eastAsia" w:hAnsi="宋体" w:cs="宋体"/>
          <w:kern w:val="2"/>
          <w:sz w:val="21"/>
          <w:szCs w:val="21"/>
        </w:rPr>
      </w:pPr>
      <w:r>
        <w:rPr>
          <w:rFonts w:hint="eastAsia" w:hAnsi="宋体" w:cs="宋体"/>
          <w:kern w:val="2"/>
          <w:sz w:val="21"/>
          <w:szCs w:val="21"/>
        </w:rPr>
        <w:t>（2）采用中华人民共和国法定计量单位。</w:t>
      </w:r>
    </w:p>
    <w:p w14:paraId="098F2E7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（3）乙方所提供的货物应符合国家有关安全、环保、卫生的规定。</w:t>
      </w:r>
    </w:p>
    <w:p w14:paraId="54F54DE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（4）乙方应向甲方提交所提供货物的技术文件，包括相应的中文技术文件，如：产品目录、图纸、操作手册、使用说明、维护手册或服务指南等。上述文件应包装好随货物一同发运。</w:t>
      </w:r>
    </w:p>
    <w:p w14:paraId="61B9D71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8.2 保证</w:t>
      </w:r>
    </w:p>
    <w:p w14:paraId="317CFD66">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cs="宋体"/>
          <w:b/>
          <w:sz w:val="21"/>
          <w:szCs w:val="21"/>
        </w:rPr>
        <w:t>【政府采购合同专用条款】</w:t>
      </w:r>
      <w:r>
        <w:rPr>
          <w:rFonts w:hint="eastAsia" w:cs="宋体"/>
          <w:sz w:val="21"/>
          <w:szCs w:val="21"/>
        </w:rPr>
        <w:t>规定或乙方书面承诺（两者以较长的为准）的质量保证期内，本保证保持有效。</w:t>
      </w:r>
    </w:p>
    <w:p w14:paraId="2311F172">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（2）在质量保证期内所发现的缺陷，甲方应尽快以书面形式通知乙方。</w:t>
      </w:r>
    </w:p>
    <w:p w14:paraId="02686F8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（3）乙方收到通知后，应在</w:t>
      </w:r>
      <w:r>
        <w:rPr>
          <w:rFonts w:hint="eastAsia" w:cs="宋体"/>
          <w:b/>
          <w:sz w:val="21"/>
          <w:szCs w:val="21"/>
        </w:rPr>
        <w:t>【政府采购合同专用条款】</w:t>
      </w:r>
      <w:r>
        <w:rPr>
          <w:rFonts w:hint="eastAsia" w:cs="宋体"/>
          <w:sz w:val="21"/>
          <w:szCs w:val="21"/>
        </w:rPr>
        <w:t>规定的响应时间内以合理的速度免费维修或更换有缺陷的货物或部件。</w:t>
      </w:r>
    </w:p>
    <w:p w14:paraId="7B8AF14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1C56C780">
      <w:pPr>
        <w:adjustRightInd w:val="0"/>
        <w:snapToGrid w:val="0"/>
        <w:spacing w:line="400" w:lineRule="exact"/>
        <w:ind w:firstLine="420" w:firstLineChars="200"/>
        <w:rPr>
          <w:rFonts w:hint="eastAsia" w:cs="宋体"/>
          <w:sz w:val="21"/>
          <w:szCs w:val="21"/>
        </w:rPr>
      </w:pPr>
      <w:r>
        <w:rPr>
          <w:rFonts w:hint="eastAsia" w:cs="宋体"/>
          <w:sz w:val="21"/>
          <w:szCs w:val="21"/>
        </w:rPr>
        <w:t>（5）乙方在约定的时间内未能弥补缺陷，甲方可采取必要的补救措施，但其风险和费用将由乙方承担，甲方根据合同约定对乙方行使的其他权利不受影响。</w:t>
      </w:r>
    </w:p>
    <w:p w14:paraId="48304567">
      <w:pPr>
        <w:adjustRightInd w:val="0"/>
        <w:snapToGrid w:val="0"/>
        <w:spacing w:line="400" w:lineRule="exact"/>
        <w:rPr>
          <w:rFonts w:hint="eastAsia" w:cs="宋体"/>
          <w:b/>
          <w:bCs/>
          <w:sz w:val="21"/>
          <w:szCs w:val="21"/>
        </w:rPr>
      </w:pPr>
      <w:r>
        <w:rPr>
          <w:rFonts w:hint="eastAsia" w:cs="宋体"/>
          <w:b/>
          <w:bCs/>
          <w:sz w:val="21"/>
          <w:szCs w:val="21"/>
        </w:rPr>
        <w:t>9. 权利瑕疵担保</w:t>
      </w:r>
    </w:p>
    <w:p w14:paraId="7EE35A5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9.1 乙方保证对其出售的货物享有合法的权利。</w:t>
      </w:r>
    </w:p>
    <w:p w14:paraId="730D478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9.2 乙方保证在交付的货物上不存在抵押权等担保物权。</w:t>
      </w:r>
    </w:p>
    <w:p w14:paraId="5F7D8EA8">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9.3 如甲方使用上述货物构成对第三人侵权的，则由乙方承担全部责任。</w:t>
      </w:r>
    </w:p>
    <w:p w14:paraId="6ED6BF09">
      <w:pPr>
        <w:autoSpaceDE w:val="0"/>
        <w:autoSpaceDN w:val="0"/>
        <w:adjustRightInd w:val="0"/>
        <w:snapToGrid w:val="0"/>
        <w:spacing w:line="400" w:lineRule="exact"/>
        <w:rPr>
          <w:rFonts w:hint="eastAsia" w:cs="宋体"/>
          <w:b/>
          <w:bCs/>
          <w:sz w:val="21"/>
          <w:szCs w:val="21"/>
        </w:rPr>
      </w:pPr>
      <w:r>
        <w:rPr>
          <w:rFonts w:hint="eastAsia" w:cs="宋体"/>
          <w:b/>
          <w:bCs/>
          <w:sz w:val="21"/>
          <w:szCs w:val="21"/>
        </w:rPr>
        <w:t>10. 知识产权保护</w:t>
      </w:r>
    </w:p>
    <w:p w14:paraId="3F6BADB6">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10.1 乙方对其所销售的货物应当享有知识产权或经权利人合法授权，保证没有侵犯任何第三人的知识产权等权利。</w:t>
      </w:r>
      <w:bookmarkStart w:id="376" w:name="_Hlk163047038"/>
      <w:r>
        <w:rPr>
          <w:rFonts w:hint="eastAsia" w:cs="宋体"/>
          <w:sz w:val="21"/>
          <w:szCs w:val="21"/>
        </w:rPr>
        <w:t>因违反前述约定对第三人构成侵权的，应当由乙方向第三人承担法律责任；甲方依法向第三人赔偿后，有权向乙方追偿。甲方有其他损失的，乙方应当赔偿</w:t>
      </w:r>
      <w:bookmarkEnd w:id="376"/>
      <w:r>
        <w:rPr>
          <w:rFonts w:hint="eastAsia" w:cs="宋体"/>
          <w:sz w:val="21"/>
          <w:szCs w:val="21"/>
        </w:rPr>
        <w:t>。</w:t>
      </w:r>
    </w:p>
    <w:p w14:paraId="20F3F942">
      <w:pPr>
        <w:autoSpaceDE w:val="0"/>
        <w:autoSpaceDN w:val="0"/>
        <w:adjustRightInd w:val="0"/>
        <w:snapToGrid w:val="0"/>
        <w:spacing w:line="400" w:lineRule="exact"/>
        <w:rPr>
          <w:rFonts w:hint="eastAsia" w:cs="宋体"/>
          <w:b/>
          <w:bCs/>
          <w:sz w:val="21"/>
          <w:szCs w:val="21"/>
        </w:rPr>
      </w:pPr>
      <w:r>
        <w:rPr>
          <w:rFonts w:hint="eastAsia" w:cs="宋体"/>
          <w:b/>
          <w:bCs/>
          <w:sz w:val="21"/>
          <w:szCs w:val="21"/>
        </w:rPr>
        <w:t>11. 保密义务</w:t>
      </w:r>
    </w:p>
    <w:p w14:paraId="4AAE2028">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cs="宋体"/>
          <w:b/>
          <w:bCs/>
          <w:sz w:val="21"/>
          <w:szCs w:val="21"/>
        </w:rPr>
        <w:t>【政府采购合同专用条款】</w:t>
      </w:r>
      <w:r>
        <w:rPr>
          <w:rFonts w:hint="eastAsia" w:cs="宋体"/>
          <w:sz w:val="21"/>
          <w:szCs w:val="21"/>
        </w:rPr>
        <w:t>中约定。</w:t>
      </w:r>
    </w:p>
    <w:p w14:paraId="15148DCD">
      <w:pPr>
        <w:autoSpaceDE w:val="0"/>
        <w:autoSpaceDN w:val="0"/>
        <w:adjustRightInd w:val="0"/>
        <w:snapToGrid w:val="0"/>
        <w:spacing w:line="400" w:lineRule="exact"/>
        <w:rPr>
          <w:rFonts w:hint="eastAsia" w:cs="宋体"/>
          <w:b/>
          <w:bCs/>
          <w:sz w:val="21"/>
          <w:szCs w:val="21"/>
        </w:rPr>
      </w:pPr>
      <w:r>
        <w:rPr>
          <w:rFonts w:hint="eastAsia" w:cs="宋体"/>
          <w:b/>
          <w:bCs/>
          <w:sz w:val="21"/>
          <w:szCs w:val="21"/>
        </w:rPr>
        <w:t>12. 合同价款支付</w:t>
      </w:r>
    </w:p>
    <w:p w14:paraId="5090C132">
      <w:pPr>
        <w:adjustRightInd w:val="0"/>
        <w:snapToGrid w:val="0"/>
        <w:spacing w:line="400" w:lineRule="exact"/>
        <w:ind w:firstLine="420" w:firstLineChars="200"/>
        <w:rPr>
          <w:rFonts w:hint="eastAsia" w:cs="宋体"/>
          <w:sz w:val="21"/>
          <w:szCs w:val="21"/>
        </w:rPr>
      </w:pPr>
      <w:r>
        <w:rPr>
          <w:rFonts w:hint="eastAsia" w:cs="宋体"/>
          <w:sz w:val="21"/>
          <w:szCs w:val="21"/>
        </w:rPr>
        <w:t>12.1 合同价款支付按照国库集中支付制度及财政管理相关规定执行。</w:t>
      </w:r>
    </w:p>
    <w:p w14:paraId="5C507F3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cs="宋体"/>
          <w:b/>
          <w:bCs/>
          <w:sz w:val="21"/>
          <w:szCs w:val="21"/>
        </w:rPr>
        <w:t>【政府采购合同专用条款】</w:t>
      </w:r>
      <w:r>
        <w:rPr>
          <w:rFonts w:hint="eastAsia" w:cs="宋体"/>
          <w:sz w:val="21"/>
          <w:szCs w:val="21"/>
        </w:rPr>
        <w:t>中约定。</w:t>
      </w:r>
    </w:p>
    <w:p w14:paraId="172C6773">
      <w:pPr>
        <w:pStyle w:val="14"/>
        <w:spacing w:after="0" w:line="400" w:lineRule="exact"/>
        <w:rPr>
          <w:rFonts w:hint="eastAsia" w:eastAsia="宋体" w:cs="宋体"/>
          <w:b/>
          <w:bCs/>
          <w:szCs w:val="21"/>
        </w:rPr>
      </w:pPr>
      <w:r>
        <w:rPr>
          <w:rFonts w:hint="eastAsia" w:eastAsia="宋体" w:cs="宋体"/>
          <w:b/>
          <w:bCs/>
          <w:szCs w:val="21"/>
        </w:rPr>
        <w:t>13. 履约保证金</w:t>
      </w:r>
    </w:p>
    <w:p w14:paraId="1D8968CB">
      <w:pPr>
        <w:adjustRightInd w:val="0"/>
        <w:snapToGrid w:val="0"/>
        <w:spacing w:line="400" w:lineRule="exact"/>
        <w:ind w:firstLine="420" w:firstLineChars="200"/>
        <w:rPr>
          <w:rFonts w:hint="eastAsia" w:cs="宋体"/>
          <w:sz w:val="21"/>
          <w:szCs w:val="21"/>
        </w:rPr>
      </w:pPr>
      <w:r>
        <w:rPr>
          <w:rFonts w:hint="eastAsia" w:cs="宋体"/>
          <w:sz w:val="21"/>
          <w:szCs w:val="21"/>
        </w:rPr>
        <w:t>13.1 乙方应当以支票、汇票、本票或者金融机构、担保机构出具的保函等非现金形式提交。</w:t>
      </w:r>
    </w:p>
    <w:p w14:paraId="3B85E832">
      <w:pPr>
        <w:adjustRightInd w:val="0"/>
        <w:snapToGrid w:val="0"/>
        <w:spacing w:line="400" w:lineRule="exact"/>
        <w:ind w:firstLine="420" w:firstLineChars="200"/>
        <w:rPr>
          <w:rFonts w:hint="eastAsia" w:cs="宋体"/>
          <w:sz w:val="21"/>
          <w:szCs w:val="21"/>
        </w:rPr>
      </w:pPr>
      <w:r>
        <w:rPr>
          <w:rFonts w:hint="eastAsia" w:cs="宋体"/>
          <w:sz w:val="21"/>
          <w:szCs w:val="21"/>
        </w:rPr>
        <w:t>13.2 如果乙方出现</w:t>
      </w:r>
      <w:r>
        <w:rPr>
          <w:rFonts w:hint="eastAsia" w:cs="宋体"/>
          <w:b/>
          <w:bCs/>
          <w:sz w:val="21"/>
          <w:szCs w:val="21"/>
        </w:rPr>
        <w:t>【政府采购合同专用条款】</w:t>
      </w:r>
      <w:r>
        <w:rPr>
          <w:rFonts w:hint="eastAsia" w:cs="宋体"/>
          <w:sz w:val="21"/>
          <w:szCs w:val="21"/>
        </w:rPr>
        <w:t>约定情形的，履约保证金不予退还；如果乙方未能按合同约定全面履行义务，甲方有权从履约保证金中取得补偿或赔偿，且不影响甲方要求乙方承担合同约定的超过履约保证金的违约责任的权利。</w:t>
      </w:r>
    </w:p>
    <w:p w14:paraId="1B29A5B3">
      <w:pPr>
        <w:spacing w:line="400" w:lineRule="exact"/>
        <w:ind w:firstLine="420"/>
        <w:rPr>
          <w:rFonts w:hint="eastAsia" w:cs="宋体"/>
          <w:sz w:val="21"/>
          <w:szCs w:val="21"/>
        </w:rPr>
      </w:pPr>
      <w:r>
        <w:rPr>
          <w:rFonts w:hint="eastAsia" w:cs="宋体"/>
          <w:sz w:val="21"/>
          <w:szCs w:val="21"/>
        </w:rPr>
        <w:t>13.3 甲方在项目通过验收后按照</w:t>
      </w:r>
      <w:r>
        <w:rPr>
          <w:rFonts w:hint="eastAsia" w:cs="宋体"/>
          <w:b/>
          <w:sz w:val="21"/>
          <w:szCs w:val="21"/>
        </w:rPr>
        <w:t>【政府采购合同专用条款】</w:t>
      </w:r>
      <w:r>
        <w:rPr>
          <w:rFonts w:hint="eastAsia" w:cs="宋体"/>
          <w:sz w:val="21"/>
          <w:szCs w:val="21"/>
        </w:rPr>
        <w:t>规定的时间内将履约保证金退还乙方；逾期退还的，乙方可要求甲方支付违约金，违约金按照</w:t>
      </w:r>
      <w:r>
        <w:rPr>
          <w:rFonts w:hint="eastAsia" w:cs="宋体"/>
          <w:b/>
          <w:sz w:val="21"/>
          <w:szCs w:val="21"/>
        </w:rPr>
        <w:t>【政府采购合同专用条款】</w:t>
      </w:r>
      <w:r>
        <w:rPr>
          <w:rFonts w:hint="eastAsia" w:cs="宋体"/>
          <w:sz w:val="21"/>
          <w:szCs w:val="21"/>
        </w:rPr>
        <w:t>规定支付。</w:t>
      </w:r>
    </w:p>
    <w:p w14:paraId="27C68E35">
      <w:pPr>
        <w:autoSpaceDE w:val="0"/>
        <w:autoSpaceDN w:val="0"/>
        <w:adjustRightInd w:val="0"/>
        <w:snapToGrid w:val="0"/>
        <w:spacing w:line="400" w:lineRule="exact"/>
        <w:rPr>
          <w:rFonts w:hint="eastAsia" w:cs="宋体"/>
          <w:b/>
          <w:sz w:val="21"/>
          <w:szCs w:val="21"/>
        </w:rPr>
      </w:pPr>
      <w:r>
        <w:rPr>
          <w:rFonts w:hint="eastAsia" w:cs="宋体"/>
          <w:b/>
          <w:bCs/>
          <w:sz w:val="21"/>
          <w:szCs w:val="21"/>
        </w:rPr>
        <w:t xml:space="preserve">14. </w:t>
      </w:r>
      <w:r>
        <w:rPr>
          <w:rFonts w:hint="eastAsia" w:cs="宋体"/>
          <w:b/>
          <w:sz w:val="21"/>
          <w:szCs w:val="21"/>
        </w:rPr>
        <w:t>售后服务</w:t>
      </w:r>
    </w:p>
    <w:p w14:paraId="074A5A5A">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14.1 除项目不涉及或采购活动中明确约定无须承担外，乙方还应提供下列服务：</w:t>
      </w:r>
    </w:p>
    <w:p w14:paraId="4A78F308">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（1）货物的现场移动、安装、调试、启动监督及技术支持；</w:t>
      </w:r>
    </w:p>
    <w:p w14:paraId="1D10468F">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（2）提供货物组装和维修所需的专用工具和辅助材料；</w:t>
      </w:r>
    </w:p>
    <w:p w14:paraId="146FAED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（3）在</w:t>
      </w:r>
      <w:r>
        <w:rPr>
          <w:rFonts w:hint="eastAsia" w:cs="宋体"/>
          <w:b/>
          <w:bCs/>
          <w:sz w:val="21"/>
          <w:szCs w:val="21"/>
        </w:rPr>
        <w:t>【政府采购合同专用条款】</w:t>
      </w:r>
      <w:r>
        <w:rPr>
          <w:rFonts w:hint="eastAsia" w:cs="宋体"/>
          <w:sz w:val="21"/>
          <w:szCs w:val="21"/>
        </w:rPr>
        <w:t>约定的期限内对所有的货物实施运行监督、维修，但前提条件是该服务并不能免除乙方在质量保证期内所承担的义务；</w:t>
      </w:r>
    </w:p>
    <w:p w14:paraId="1B928416">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（4）在制造商所在地或指定现场就货物的安装、启动、运营、维护、废弃处置等对甲方操作人员进行培训；</w:t>
      </w:r>
    </w:p>
    <w:p w14:paraId="5EE1F2A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（5）依照法律、行政法规的规定或者按照</w:t>
      </w:r>
      <w:r>
        <w:rPr>
          <w:rFonts w:hint="eastAsia" w:cs="宋体"/>
          <w:b/>
          <w:bCs/>
          <w:sz w:val="21"/>
          <w:szCs w:val="21"/>
        </w:rPr>
        <w:t>【政府采购合同专用条款】</w:t>
      </w:r>
      <w:r>
        <w:rPr>
          <w:rFonts w:hint="eastAsia" w:cs="宋体"/>
          <w:sz w:val="21"/>
          <w:szCs w:val="21"/>
        </w:rPr>
        <w:t>约定，货物在有效使用年限届满后应予回收的，乙方负有自行或者委托第三人对货物予以回收的义务；</w:t>
      </w:r>
    </w:p>
    <w:p w14:paraId="1D2675B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（6）</w:t>
      </w:r>
      <w:r>
        <w:rPr>
          <w:rFonts w:hint="eastAsia" w:cs="宋体"/>
          <w:b/>
          <w:sz w:val="21"/>
          <w:szCs w:val="21"/>
        </w:rPr>
        <w:t>【政府采购合同专用条款】</w:t>
      </w:r>
      <w:r>
        <w:rPr>
          <w:rFonts w:hint="eastAsia" w:cs="宋体"/>
          <w:sz w:val="21"/>
          <w:szCs w:val="21"/>
        </w:rPr>
        <w:t>规定由乙方提供的其他服务。</w:t>
      </w:r>
    </w:p>
    <w:p w14:paraId="677DC14B">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14.2 乙方提供的售后服务的费用已包含在合同价款中，甲方不再另行支付。</w:t>
      </w:r>
    </w:p>
    <w:p w14:paraId="5E6D4AB6">
      <w:pPr>
        <w:adjustRightInd w:val="0"/>
        <w:snapToGrid w:val="0"/>
        <w:spacing w:line="400" w:lineRule="exact"/>
        <w:rPr>
          <w:rFonts w:hint="eastAsia" w:cs="宋体"/>
          <w:b/>
          <w:bCs/>
          <w:sz w:val="21"/>
          <w:szCs w:val="21"/>
        </w:rPr>
      </w:pPr>
      <w:r>
        <w:rPr>
          <w:rFonts w:hint="eastAsia" w:cs="宋体"/>
          <w:b/>
          <w:bCs/>
          <w:sz w:val="21"/>
          <w:szCs w:val="21"/>
        </w:rPr>
        <w:t>15. 违约责任</w:t>
      </w:r>
    </w:p>
    <w:p w14:paraId="21D81A9C">
      <w:pPr>
        <w:adjustRightInd w:val="0"/>
        <w:snapToGrid w:val="0"/>
        <w:spacing w:line="400" w:lineRule="exact"/>
        <w:ind w:firstLine="420" w:firstLineChars="200"/>
        <w:rPr>
          <w:rFonts w:hint="eastAsia" w:cs="宋体"/>
          <w:bCs/>
          <w:sz w:val="21"/>
          <w:szCs w:val="21"/>
        </w:rPr>
      </w:pPr>
      <w:r>
        <w:rPr>
          <w:rFonts w:hint="eastAsia" w:cs="宋体"/>
          <w:bCs/>
          <w:sz w:val="21"/>
          <w:szCs w:val="21"/>
        </w:rPr>
        <w:t>15.1质量瑕疵的违约责任</w:t>
      </w:r>
    </w:p>
    <w:p w14:paraId="7A819B20">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乙方提供的产品不符合合同约定的质量标准或存在产品质量缺陷，甲方有权要求乙方根据</w:t>
      </w:r>
      <w:r>
        <w:rPr>
          <w:rFonts w:hint="eastAsia" w:cs="宋体"/>
          <w:b/>
          <w:sz w:val="21"/>
          <w:szCs w:val="21"/>
        </w:rPr>
        <w:t>【政府采购合同专用条款】</w:t>
      </w:r>
      <w:r>
        <w:rPr>
          <w:rFonts w:hint="eastAsia" w:cs="宋体"/>
          <w:bCs/>
          <w:sz w:val="21"/>
          <w:szCs w:val="21"/>
        </w:rPr>
        <w:t>要求</w:t>
      </w:r>
      <w:r>
        <w:rPr>
          <w:rFonts w:hint="eastAsia" w:cs="宋体"/>
          <w:sz w:val="21"/>
          <w:szCs w:val="21"/>
        </w:rPr>
        <w:t>及时修理、重作、更换，并承担由此给甲方造成的损失。</w:t>
      </w:r>
    </w:p>
    <w:p w14:paraId="59290D44">
      <w:pPr>
        <w:autoSpaceDE w:val="0"/>
        <w:autoSpaceDN w:val="0"/>
        <w:adjustRightInd w:val="0"/>
        <w:snapToGrid w:val="0"/>
        <w:spacing w:line="400" w:lineRule="exact"/>
        <w:ind w:firstLine="420" w:firstLineChars="200"/>
        <w:rPr>
          <w:rFonts w:hint="eastAsia" w:cs="宋体"/>
          <w:bCs/>
          <w:sz w:val="21"/>
          <w:szCs w:val="21"/>
        </w:rPr>
      </w:pPr>
      <w:r>
        <w:rPr>
          <w:rFonts w:hint="eastAsia" w:cs="宋体"/>
          <w:bCs/>
          <w:sz w:val="21"/>
          <w:szCs w:val="21"/>
        </w:rPr>
        <w:t>15.2 迟延交货的违约责任</w:t>
      </w:r>
    </w:p>
    <w:p w14:paraId="16EEC040">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05202DB">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（2）如果乙方没有按照合同规定的时间交货和提供相关服务，甲方有权从货款中扣除误期赔偿费而不影响合同项下的其他补救方法，赔偿费按</w:t>
      </w:r>
      <w:r>
        <w:rPr>
          <w:rFonts w:hint="eastAsia" w:cs="宋体"/>
          <w:b/>
          <w:sz w:val="21"/>
          <w:szCs w:val="21"/>
        </w:rPr>
        <w:t>【政府采购合同专用条款】</w:t>
      </w:r>
      <w:r>
        <w:rPr>
          <w:rFonts w:hint="eastAsia" w:cs="宋体"/>
          <w:sz w:val="21"/>
          <w:szCs w:val="21"/>
        </w:rPr>
        <w:t>规定执行。如果涉及公共利益，且赔偿金额无法弥补公共利益损失，甲方可要求继续履行或者采取其他补救措施。</w:t>
      </w:r>
    </w:p>
    <w:p w14:paraId="454480D2">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15.3 迟延支付的违约责任</w:t>
      </w:r>
    </w:p>
    <w:p w14:paraId="700EDC6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甲方存在迟延支付乙方合同款项的，应当承担</w:t>
      </w:r>
      <w:r>
        <w:rPr>
          <w:rFonts w:hint="eastAsia" w:cs="宋体"/>
          <w:b/>
          <w:bCs/>
          <w:sz w:val="21"/>
          <w:szCs w:val="21"/>
        </w:rPr>
        <w:t>【政府采购合同专用条款】</w:t>
      </w:r>
      <w:r>
        <w:rPr>
          <w:rFonts w:hint="eastAsia" w:cs="宋体"/>
          <w:sz w:val="21"/>
          <w:szCs w:val="21"/>
        </w:rPr>
        <w:t>规定的逾期付款利息。</w:t>
      </w:r>
    </w:p>
    <w:p w14:paraId="0529DBF2">
      <w:pPr>
        <w:adjustRightInd w:val="0"/>
        <w:snapToGrid w:val="0"/>
        <w:spacing w:line="400" w:lineRule="exact"/>
        <w:ind w:firstLine="420" w:firstLineChars="200"/>
        <w:rPr>
          <w:rFonts w:hint="eastAsia" w:cs="宋体"/>
          <w:sz w:val="21"/>
          <w:szCs w:val="21"/>
        </w:rPr>
      </w:pPr>
      <w:r>
        <w:rPr>
          <w:rFonts w:hint="eastAsia" w:cs="宋体"/>
          <w:bCs/>
          <w:sz w:val="21"/>
          <w:szCs w:val="21"/>
        </w:rPr>
        <w:t>15.4其他违约责任根据项目实际需要按</w:t>
      </w:r>
      <w:r>
        <w:rPr>
          <w:rFonts w:hint="eastAsia" w:cs="宋体"/>
          <w:b/>
          <w:bCs/>
          <w:sz w:val="21"/>
          <w:szCs w:val="21"/>
        </w:rPr>
        <w:t>【政府采购合同专用条款】</w:t>
      </w:r>
      <w:r>
        <w:rPr>
          <w:rFonts w:hint="eastAsia" w:cs="宋体"/>
          <w:sz w:val="21"/>
          <w:szCs w:val="21"/>
        </w:rPr>
        <w:t>规定执行。</w:t>
      </w:r>
    </w:p>
    <w:p w14:paraId="31E790E2">
      <w:pPr>
        <w:numPr>
          <w:ilvl w:val="0"/>
          <w:numId w:val="12"/>
        </w:numPr>
        <w:autoSpaceDE w:val="0"/>
        <w:autoSpaceDN w:val="0"/>
        <w:adjustRightInd w:val="0"/>
        <w:snapToGrid w:val="0"/>
        <w:spacing w:line="400" w:lineRule="exact"/>
        <w:rPr>
          <w:rFonts w:hint="eastAsia" w:cs="宋体"/>
          <w:b/>
          <w:sz w:val="21"/>
          <w:szCs w:val="21"/>
        </w:rPr>
      </w:pPr>
      <w:r>
        <w:rPr>
          <w:rFonts w:hint="eastAsia" w:cs="宋体"/>
          <w:b/>
          <w:sz w:val="21"/>
          <w:szCs w:val="21"/>
        </w:rPr>
        <w:t>合同变更、中止与终止</w:t>
      </w:r>
    </w:p>
    <w:p w14:paraId="1BADE9E6">
      <w:pPr>
        <w:adjustRightInd w:val="0"/>
        <w:snapToGrid w:val="0"/>
        <w:spacing w:line="400" w:lineRule="exact"/>
        <w:rPr>
          <w:rFonts w:hint="eastAsia" w:cs="宋体"/>
          <w:sz w:val="21"/>
          <w:szCs w:val="21"/>
        </w:rPr>
      </w:pPr>
      <w:r>
        <w:rPr>
          <w:rFonts w:hint="eastAsia" w:cs="宋体"/>
          <w:sz w:val="21"/>
          <w:szCs w:val="21"/>
        </w:rPr>
        <w:t xml:space="preserve">    16.1合同的变更</w:t>
      </w:r>
    </w:p>
    <w:p w14:paraId="79F2CE1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政府采购合同履行中，在不改变合同其他条款的前提下，甲方可以在合同价款10%的范围内追加与合同标的相同的货物，并就此与乙方协商一致后签订补充协议。</w:t>
      </w:r>
    </w:p>
    <w:p w14:paraId="72D8D7F0">
      <w:pPr>
        <w:adjustRightInd w:val="0"/>
        <w:snapToGrid w:val="0"/>
        <w:spacing w:line="400" w:lineRule="exact"/>
        <w:ind w:firstLine="420" w:firstLineChars="200"/>
        <w:rPr>
          <w:rFonts w:hint="eastAsia" w:cs="宋体"/>
          <w:sz w:val="21"/>
          <w:szCs w:val="21"/>
        </w:rPr>
      </w:pPr>
      <w:r>
        <w:rPr>
          <w:rFonts w:hint="eastAsia" w:cs="宋体"/>
          <w:sz w:val="21"/>
          <w:szCs w:val="21"/>
        </w:rPr>
        <w:t>16.2合同的中止</w:t>
      </w:r>
    </w:p>
    <w:p w14:paraId="03E10A00">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（1）合同履行过程中因供应商就采购文件、采购过程或结果提起投诉的，甲方认为有必要的，可以中止合同的履行。</w:t>
      </w:r>
    </w:p>
    <w:p w14:paraId="6B49668F">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9F05D81">
      <w:pPr>
        <w:pStyle w:val="38"/>
        <w:ind w:firstLine="420"/>
        <w:jc w:val="both"/>
        <w:rPr>
          <w:rFonts w:hint="eastAsia" w:ascii="宋体" w:hAnsi="宋体" w:eastAsia="宋体" w:cs="宋体"/>
          <w:kern w:val="2"/>
          <w:sz w:val="21"/>
        </w:rPr>
      </w:pPr>
      <w:r>
        <w:rPr>
          <w:rFonts w:hint="eastAsia" w:ascii="宋体" w:hAnsi="宋体" w:eastAsia="宋体" w:cs="宋体"/>
          <w:kern w:val="2"/>
          <w:sz w:val="21"/>
        </w:rPr>
        <w:t>（3）乙方分立、合并或者变更住所的，应当及时以书面形式告知甲方。乙方没有及时告知甲方，致使合同履行发生困难的，甲方可以中止合同履行并要求乙方承担由此给甲方造成的损失。</w:t>
      </w:r>
    </w:p>
    <w:p w14:paraId="15400AE3">
      <w:pPr>
        <w:snapToGrid w:val="0"/>
        <w:spacing w:line="400" w:lineRule="exact"/>
        <w:ind w:firstLine="420" w:firstLineChars="200"/>
        <w:rPr>
          <w:rFonts w:hint="eastAsia" w:cs="宋体"/>
          <w:sz w:val="21"/>
          <w:szCs w:val="21"/>
        </w:rPr>
      </w:pPr>
      <w:r>
        <w:rPr>
          <w:rFonts w:hint="eastAsia" w:cs="宋体"/>
          <w:sz w:val="21"/>
          <w:szCs w:val="21"/>
        </w:rPr>
        <w:t>（4）甲方不得以行政区划调整、政府换届、机构或者职能调整以及相关责任人更替为由中止合同。</w:t>
      </w:r>
    </w:p>
    <w:p w14:paraId="54EE6507">
      <w:pPr>
        <w:adjustRightInd w:val="0"/>
        <w:snapToGrid w:val="0"/>
        <w:spacing w:line="400" w:lineRule="exact"/>
        <w:ind w:firstLine="420" w:firstLineChars="200"/>
        <w:rPr>
          <w:rFonts w:hint="eastAsia" w:cs="宋体"/>
          <w:sz w:val="21"/>
          <w:szCs w:val="21"/>
        </w:rPr>
      </w:pPr>
      <w:r>
        <w:rPr>
          <w:rFonts w:hint="eastAsia" w:cs="宋体"/>
          <w:sz w:val="21"/>
          <w:szCs w:val="21"/>
        </w:rPr>
        <w:t>16.3合同的终止</w:t>
      </w:r>
    </w:p>
    <w:p w14:paraId="58A6B11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（1）合同因有效期限届满而终止；</w:t>
      </w:r>
    </w:p>
    <w:p w14:paraId="0DE44FEB">
      <w:pPr>
        <w:snapToGrid w:val="0"/>
        <w:spacing w:line="400" w:lineRule="exact"/>
        <w:ind w:firstLine="420" w:firstLineChars="200"/>
        <w:rPr>
          <w:rFonts w:hint="eastAsia" w:cs="宋体"/>
          <w:sz w:val="21"/>
          <w:szCs w:val="21"/>
        </w:rPr>
      </w:pPr>
      <w:r>
        <w:rPr>
          <w:rFonts w:hint="eastAsia" w:cs="宋体"/>
          <w:sz w:val="21"/>
          <w:szCs w:val="21"/>
        </w:rPr>
        <w:t>（2）乙方未按合同约定履行，构成根本性违约的，甲方有权终止合同，并追究乙方的违约责任。</w:t>
      </w:r>
    </w:p>
    <w:p w14:paraId="0ADAA352">
      <w:pPr>
        <w:pStyle w:val="38"/>
        <w:ind w:firstLine="420"/>
        <w:jc w:val="both"/>
        <w:rPr>
          <w:rFonts w:hint="eastAsia" w:ascii="宋体" w:hAnsi="宋体" w:eastAsia="宋体" w:cs="宋体"/>
          <w:kern w:val="2"/>
          <w:sz w:val="21"/>
        </w:rPr>
      </w:pPr>
      <w:r>
        <w:rPr>
          <w:rFonts w:hint="eastAsia" w:ascii="宋体" w:hAnsi="宋体" w:eastAsia="宋体" w:cs="宋体"/>
          <w:kern w:val="2"/>
          <w:sz w:val="21"/>
        </w:rPr>
        <w:t>16.4 涉及国家利益、社会公共利益的情形</w:t>
      </w:r>
    </w:p>
    <w:p w14:paraId="00B83611">
      <w:pPr>
        <w:pStyle w:val="38"/>
        <w:ind w:firstLine="420"/>
        <w:jc w:val="both"/>
        <w:rPr>
          <w:rFonts w:hint="eastAsia" w:ascii="宋体" w:hAnsi="宋体" w:eastAsia="宋体" w:cs="宋体"/>
          <w:kern w:val="2"/>
          <w:sz w:val="21"/>
        </w:rPr>
      </w:pPr>
      <w:r>
        <w:rPr>
          <w:rFonts w:hint="eastAsia" w:ascii="宋体" w:hAnsi="宋体" w:eastAsia="宋体" w:cs="宋体"/>
          <w:kern w:val="2"/>
          <w:sz w:val="21"/>
        </w:rPr>
        <w:t>政府采购合同继续履行将损害国家利益和社会公共利益的，双方当事人应当变更、中止或者终止合同。有过错的一方应当承担赔偿责任，双方都有过错的，各自承担相应的责任。</w:t>
      </w:r>
    </w:p>
    <w:p w14:paraId="35FEE346">
      <w:pPr>
        <w:autoSpaceDE w:val="0"/>
        <w:autoSpaceDN w:val="0"/>
        <w:adjustRightInd w:val="0"/>
        <w:snapToGrid w:val="0"/>
        <w:spacing w:line="400" w:lineRule="exact"/>
        <w:rPr>
          <w:rFonts w:hint="eastAsia" w:cs="宋体"/>
          <w:b/>
          <w:bCs/>
          <w:sz w:val="21"/>
          <w:szCs w:val="21"/>
        </w:rPr>
      </w:pPr>
      <w:r>
        <w:rPr>
          <w:rFonts w:hint="eastAsia" w:cs="宋体"/>
          <w:b/>
          <w:bCs/>
          <w:sz w:val="21"/>
          <w:szCs w:val="21"/>
        </w:rPr>
        <w:t>17. 合同分包</w:t>
      </w:r>
    </w:p>
    <w:p w14:paraId="0E61B7A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17.1 乙方不得将合同转包给其他供应商。涉及合同分包的，乙方应根据采购文件和投标（响应）文件规定进行合同分包。</w:t>
      </w:r>
    </w:p>
    <w:p w14:paraId="55CEF142">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17.2 乙方执行政府采购政策向中小企业依法分包的，乙方应当按采购文件和投标（响应）文件签订分包意向协议书，分包意向协议书属于本合同组成部分。</w:t>
      </w:r>
    </w:p>
    <w:p w14:paraId="7F0A5347">
      <w:pPr>
        <w:autoSpaceDE w:val="0"/>
        <w:autoSpaceDN w:val="0"/>
        <w:adjustRightInd w:val="0"/>
        <w:snapToGrid w:val="0"/>
        <w:spacing w:line="400" w:lineRule="exact"/>
        <w:rPr>
          <w:rFonts w:hint="eastAsia" w:cs="宋体"/>
          <w:b/>
          <w:bCs/>
          <w:sz w:val="21"/>
          <w:szCs w:val="21"/>
        </w:rPr>
      </w:pPr>
      <w:r>
        <w:rPr>
          <w:rFonts w:hint="eastAsia" w:cs="宋体"/>
          <w:b/>
          <w:bCs/>
          <w:sz w:val="21"/>
          <w:szCs w:val="21"/>
        </w:rPr>
        <w:t>18. 不可抗力</w:t>
      </w:r>
    </w:p>
    <w:p w14:paraId="4A29D6FC">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18.1 不可抗力是指合同双方不能预见、不能避免且不能克服的客观情况。</w:t>
      </w:r>
    </w:p>
    <w:p w14:paraId="422955B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18.2 任何一方对由于不可抗力造成的部分或全部不能履行合同不承担违约责任。但迟延履行后发生不可抗力的，不能免除责任。</w:t>
      </w:r>
    </w:p>
    <w:p w14:paraId="46C9407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1BAF4EA">
      <w:pPr>
        <w:autoSpaceDE w:val="0"/>
        <w:autoSpaceDN w:val="0"/>
        <w:adjustRightInd w:val="0"/>
        <w:snapToGrid w:val="0"/>
        <w:spacing w:line="400" w:lineRule="exact"/>
        <w:rPr>
          <w:rFonts w:hint="eastAsia" w:cs="宋体"/>
          <w:b/>
          <w:bCs/>
          <w:sz w:val="21"/>
          <w:szCs w:val="21"/>
        </w:rPr>
      </w:pPr>
      <w:r>
        <w:rPr>
          <w:rFonts w:hint="eastAsia" w:cs="宋体"/>
          <w:b/>
          <w:bCs/>
          <w:sz w:val="21"/>
          <w:szCs w:val="21"/>
        </w:rPr>
        <w:t>19. 解决争议的方法</w:t>
      </w:r>
    </w:p>
    <w:p w14:paraId="6C528D1F">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19.1 因本合同及合同有关事项发生的争议，由甲乙双方友好协商解决。协商不成时，可以向有关组织申请调解。合同一方或双方不愿调解或调解不成的，可以通过仲裁或诉讼的方式解决争议。</w:t>
      </w:r>
    </w:p>
    <w:p w14:paraId="35FCCF7B">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19.2 选择仲裁的，应在</w:t>
      </w:r>
      <w:r>
        <w:rPr>
          <w:rFonts w:hint="eastAsia" w:cs="宋体"/>
          <w:b/>
          <w:bCs/>
          <w:sz w:val="21"/>
          <w:szCs w:val="21"/>
        </w:rPr>
        <w:t>【政府采购合同专用条款】</w:t>
      </w:r>
      <w:r>
        <w:rPr>
          <w:rFonts w:hint="eastAsia" w:cs="宋体"/>
          <w:sz w:val="21"/>
          <w:szCs w:val="21"/>
        </w:rPr>
        <w:t>中明确仲裁机构及仲裁地；通过诉讼方式解决的，可以在</w:t>
      </w:r>
      <w:r>
        <w:rPr>
          <w:rFonts w:hint="eastAsia" w:cs="宋体"/>
          <w:b/>
          <w:bCs/>
          <w:sz w:val="21"/>
          <w:szCs w:val="21"/>
        </w:rPr>
        <w:t>【政府采购合同专用条款】</w:t>
      </w:r>
      <w:r>
        <w:rPr>
          <w:rFonts w:hint="eastAsia" w:cs="宋体"/>
          <w:sz w:val="21"/>
          <w:szCs w:val="21"/>
        </w:rPr>
        <w:t>中进一步约定选择与争议有实际联系的地点的人民法院管辖，但管辖法院的约定不得违反级别管辖和专属管辖的规定。</w:t>
      </w:r>
    </w:p>
    <w:p w14:paraId="3EB066D8">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19.3 如甲乙双方有争议的事项不影响合同其他部分的履行，在争议解决期间，合同其他部分应当继续履行。</w:t>
      </w:r>
    </w:p>
    <w:p w14:paraId="1066390C">
      <w:pPr>
        <w:autoSpaceDE w:val="0"/>
        <w:autoSpaceDN w:val="0"/>
        <w:adjustRightInd w:val="0"/>
        <w:snapToGrid w:val="0"/>
        <w:spacing w:line="400" w:lineRule="exact"/>
        <w:rPr>
          <w:rFonts w:hint="eastAsia" w:cs="宋体"/>
          <w:sz w:val="21"/>
          <w:szCs w:val="21"/>
        </w:rPr>
      </w:pPr>
      <w:r>
        <w:rPr>
          <w:rFonts w:hint="eastAsia" w:cs="宋体"/>
          <w:b/>
          <w:sz w:val="21"/>
          <w:szCs w:val="21"/>
        </w:rPr>
        <w:t>20. 政府采购政策</w:t>
      </w:r>
    </w:p>
    <w:p w14:paraId="3CA74D4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 xml:space="preserve">20.1 </w:t>
      </w:r>
      <w:r>
        <w:rPr>
          <w:rFonts w:hint="eastAsia" w:cs="宋体"/>
          <w:sz w:val="21"/>
          <w:szCs w:val="21"/>
          <w:lang w:val="en-GB"/>
        </w:rPr>
        <w:t>本合同应当按照规定执行政府采购政策。</w:t>
      </w:r>
    </w:p>
    <w:p w14:paraId="794BDD40">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20.2 本合同依法执行政府采购政策的方式和内容，属于合同履约验收的范围。甲乙双方</w:t>
      </w:r>
      <w:r>
        <w:rPr>
          <w:rFonts w:hint="eastAsia" w:cs="宋体"/>
          <w:sz w:val="21"/>
          <w:szCs w:val="21"/>
          <w:lang w:val="en-GB"/>
        </w:rPr>
        <w:t>未按规定要求执行政府采购政策造成损失的</w:t>
      </w:r>
      <w:r>
        <w:rPr>
          <w:rFonts w:hint="eastAsia" w:cs="宋体"/>
          <w:sz w:val="21"/>
          <w:szCs w:val="21"/>
        </w:rPr>
        <w:t>，有过错的一方应当承担赔偿责任，双方都有过错的，各自承担相应的责任。</w:t>
      </w:r>
    </w:p>
    <w:p w14:paraId="6E73DF40">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体协议书或者分包意向协议书作为采购合同的组成部分。</w:t>
      </w:r>
    </w:p>
    <w:p w14:paraId="6E4895F4">
      <w:pPr>
        <w:autoSpaceDE w:val="0"/>
        <w:autoSpaceDN w:val="0"/>
        <w:adjustRightInd w:val="0"/>
        <w:snapToGrid w:val="0"/>
        <w:spacing w:line="400" w:lineRule="exact"/>
        <w:rPr>
          <w:rFonts w:hint="eastAsia" w:cs="宋体"/>
          <w:b/>
          <w:sz w:val="21"/>
          <w:szCs w:val="21"/>
        </w:rPr>
      </w:pPr>
      <w:r>
        <w:rPr>
          <w:rFonts w:hint="eastAsia" w:cs="宋体"/>
          <w:b/>
          <w:sz w:val="21"/>
          <w:szCs w:val="21"/>
        </w:rPr>
        <w:t>21. 法律适用</w:t>
      </w:r>
    </w:p>
    <w:p w14:paraId="71ADADA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21.1 本合同的订立、生效、解释、履行及与本合同有关的争议解决，均适用法律、行政法规。</w:t>
      </w:r>
    </w:p>
    <w:p w14:paraId="2EEB8476">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21.2 本合同条款与法律、行政法规的强制性规定不一致的，双方当事人应按照法律、行政法规的强制性规定修改本合同的相关条款。</w:t>
      </w:r>
    </w:p>
    <w:p w14:paraId="1C455D8A">
      <w:pPr>
        <w:numPr>
          <w:ilvl w:val="255"/>
          <w:numId w:val="0"/>
        </w:numPr>
        <w:autoSpaceDE w:val="0"/>
        <w:autoSpaceDN w:val="0"/>
        <w:adjustRightInd w:val="0"/>
        <w:snapToGrid w:val="0"/>
        <w:spacing w:line="400" w:lineRule="exact"/>
        <w:rPr>
          <w:rFonts w:hint="eastAsia" w:cs="宋体"/>
          <w:b/>
          <w:sz w:val="21"/>
          <w:szCs w:val="21"/>
        </w:rPr>
      </w:pPr>
      <w:r>
        <w:rPr>
          <w:rFonts w:hint="eastAsia" w:cs="宋体"/>
          <w:b/>
          <w:sz w:val="21"/>
          <w:szCs w:val="21"/>
        </w:rPr>
        <w:t>22. 通知</w:t>
      </w:r>
    </w:p>
    <w:p w14:paraId="2C22333A">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22.1 本合同任何一方向对方发出的通知、信件、数据电文等，应当发送至本合同第一部分《政府采购合同协议书》所约定的通讯地址、联系人、联系电话或电子邮箱。</w:t>
      </w:r>
    </w:p>
    <w:p w14:paraId="37140579">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22.2 一方当事人变更名称、住所、联系人、联系电话或电子邮箱等信息的，应当在变更后3日内及时书面通知对方，对方实际收到变更通知前的送达仍为有效送达。</w:t>
      </w:r>
    </w:p>
    <w:p w14:paraId="1622BECA">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22.3本合同一方给另一方的通知均应采用书面形式，传真或快递送到本合同中规定的对方的地址和办理签收手续。</w:t>
      </w:r>
    </w:p>
    <w:p w14:paraId="4DFDF7F7">
      <w:pPr>
        <w:adjustRightInd w:val="0"/>
        <w:snapToGrid w:val="0"/>
        <w:spacing w:line="400" w:lineRule="exact"/>
        <w:ind w:firstLine="420" w:firstLineChars="200"/>
        <w:rPr>
          <w:rFonts w:hint="eastAsia" w:cs="宋体"/>
          <w:sz w:val="21"/>
          <w:szCs w:val="21"/>
        </w:rPr>
      </w:pPr>
      <w:r>
        <w:rPr>
          <w:rFonts w:hint="eastAsia" w:cs="宋体"/>
          <w:sz w:val="21"/>
          <w:szCs w:val="21"/>
        </w:rPr>
        <w:t>22.4通知以送达之日或通知书中规定的生效之日起生效，两者中以较迟之日为准。</w:t>
      </w:r>
    </w:p>
    <w:p w14:paraId="231E9B7E">
      <w:pPr>
        <w:numPr>
          <w:ilvl w:val="0"/>
          <w:numId w:val="13"/>
        </w:numPr>
        <w:adjustRightInd w:val="0"/>
        <w:snapToGrid w:val="0"/>
        <w:spacing w:line="400" w:lineRule="exact"/>
        <w:rPr>
          <w:rFonts w:hint="eastAsia" w:cs="宋体"/>
          <w:b/>
          <w:bCs/>
          <w:sz w:val="21"/>
          <w:szCs w:val="21"/>
        </w:rPr>
      </w:pPr>
      <w:r>
        <w:rPr>
          <w:rFonts w:hint="eastAsia" w:cs="宋体"/>
          <w:b/>
          <w:bCs/>
          <w:sz w:val="21"/>
          <w:szCs w:val="21"/>
        </w:rPr>
        <w:t>合同未尽事项</w:t>
      </w:r>
    </w:p>
    <w:p w14:paraId="684005AA">
      <w:pPr>
        <w:adjustRightInd w:val="0"/>
        <w:snapToGrid w:val="0"/>
        <w:spacing w:line="400" w:lineRule="exact"/>
        <w:ind w:firstLine="420" w:firstLineChars="200"/>
        <w:rPr>
          <w:rFonts w:hint="eastAsia" w:cs="宋体"/>
          <w:bCs/>
          <w:sz w:val="21"/>
          <w:szCs w:val="21"/>
        </w:rPr>
      </w:pPr>
      <w:r>
        <w:rPr>
          <w:rFonts w:hint="eastAsia" w:cs="宋体"/>
          <w:bCs/>
          <w:sz w:val="21"/>
          <w:szCs w:val="21"/>
        </w:rPr>
        <w:t>23.1合同未尽事项见</w:t>
      </w:r>
      <w:r>
        <w:rPr>
          <w:rFonts w:hint="eastAsia" w:cs="宋体"/>
          <w:b/>
          <w:sz w:val="21"/>
          <w:szCs w:val="21"/>
        </w:rPr>
        <w:t>【政府采购合同专用条款】</w:t>
      </w:r>
      <w:r>
        <w:rPr>
          <w:rFonts w:hint="eastAsia" w:cs="宋体"/>
          <w:bCs/>
          <w:sz w:val="21"/>
          <w:szCs w:val="21"/>
        </w:rPr>
        <w:t>。</w:t>
      </w:r>
    </w:p>
    <w:p w14:paraId="7B26433D">
      <w:pPr>
        <w:adjustRightInd w:val="0"/>
        <w:snapToGrid w:val="0"/>
        <w:spacing w:line="400" w:lineRule="exact"/>
        <w:rPr>
          <w:rFonts w:hint="eastAsia" w:cs="宋体"/>
          <w:sz w:val="21"/>
          <w:szCs w:val="21"/>
        </w:rPr>
      </w:pPr>
      <w:r>
        <w:rPr>
          <w:rFonts w:hint="eastAsia" w:cs="宋体"/>
          <w:bCs/>
          <w:sz w:val="21"/>
          <w:szCs w:val="21"/>
        </w:rPr>
        <w:t xml:space="preserve">    23.2 合同附件与合同正文具有同等的法律效力。</w:t>
      </w:r>
      <w:bookmarkStart w:id="377" w:name="_Toc20313"/>
    </w:p>
    <w:p w14:paraId="05EE7E5D">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29726B5C">
      <w:pPr>
        <w:pStyle w:val="4"/>
        <w:adjustRightInd w:val="0"/>
        <w:snapToGrid w:val="0"/>
        <w:spacing w:before="156" w:beforeLines="50" w:after="156" w:afterLines="50" w:line="240" w:lineRule="auto"/>
        <w:jc w:val="center"/>
        <w:rPr>
          <w:rFonts w:hint="eastAsia" w:ascii="宋体" w:hAnsi="宋体" w:cs="宋体"/>
          <w:sz w:val="36"/>
          <w:szCs w:val="36"/>
        </w:rPr>
      </w:pPr>
      <w:bookmarkStart w:id="378" w:name="_Toc15974"/>
      <w:bookmarkStart w:id="379" w:name="_Toc14599"/>
      <w:r>
        <w:rPr>
          <w:rFonts w:hint="eastAsia" w:ascii="宋体" w:hAnsi="宋体" w:cs="宋体"/>
          <w:sz w:val="36"/>
          <w:szCs w:val="36"/>
        </w:rPr>
        <w:t>第三节 政府采购合同专用条款</w:t>
      </w:r>
      <w:bookmarkEnd w:id="377"/>
      <w:bookmarkEnd w:id="378"/>
      <w:bookmarkEnd w:id="379"/>
    </w:p>
    <w:tbl>
      <w:tblPr>
        <w:tblStyle w:val="30"/>
        <w:tblW w:w="8256" w:type="dxa"/>
        <w:tblInd w:w="27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07"/>
        <w:gridCol w:w="2233"/>
        <w:gridCol w:w="4316"/>
      </w:tblGrid>
      <w:tr w14:paraId="3B4DED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58D7D64">
            <w:pPr>
              <w:adjustRightInd w:val="0"/>
              <w:snapToGrid w:val="0"/>
              <w:spacing w:line="240" w:lineRule="auto"/>
              <w:jc w:val="center"/>
              <w:rPr>
                <w:rFonts w:hint="eastAsia"/>
                <w:szCs w:val="21"/>
              </w:rPr>
            </w:pPr>
            <w:r>
              <w:rPr>
                <w:rFonts w:hint="eastAsia"/>
                <w:szCs w:val="21"/>
              </w:rPr>
              <w:t>第二节</w:t>
            </w:r>
          </w:p>
          <w:p w14:paraId="40103E6B">
            <w:pPr>
              <w:adjustRightInd w:val="0"/>
              <w:snapToGrid w:val="0"/>
              <w:spacing w:line="240" w:lineRule="auto"/>
              <w:jc w:val="center"/>
              <w:rPr>
                <w:rFonts w:hint="eastAsia"/>
                <w:szCs w:val="21"/>
              </w:rPr>
            </w:pPr>
            <w:r>
              <w:rPr>
                <w:rFonts w:hint="eastAsia"/>
                <w:szCs w:val="21"/>
              </w:rPr>
              <w:t>第1.2（6）项</w:t>
            </w:r>
          </w:p>
        </w:tc>
        <w:tc>
          <w:tcPr>
            <w:tcW w:w="2233" w:type="dxa"/>
            <w:vAlign w:val="center"/>
          </w:tcPr>
          <w:p w14:paraId="4A376796">
            <w:pPr>
              <w:adjustRightInd w:val="0"/>
              <w:snapToGrid w:val="0"/>
              <w:spacing w:line="240" w:lineRule="auto"/>
              <w:rPr>
                <w:rFonts w:hint="eastAsia"/>
                <w:szCs w:val="21"/>
              </w:rPr>
            </w:pPr>
            <w:r>
              <w:rPr>
                <w:rFonts w:hint="eastAsia"/>
                <w:szCs w:val="21"/>
              </w:rPr>
              <w:t>联合体具体要求</w:t>
            </w:r>
          </w:p>
        </w:tc>
        <w:tc>
          <w:tcPr>
            <w:tcW w:w="4316" w:type="dxa"/>
            <w:vAlign w:val="center"/>
          </w:tcPr>
          <w:p w14:paraId="4A8DC1BB">
            <w:pPr>
              <w:adjustRightInd w:val="0"/>
              <w:snapToGrid w:val="0"/>
              <w:rPr>
                <w:rFonts w:hint="eastAsia"/>
                <w:szCs w:val="21"/>
              </w:rPr>
            </w:pPr>
          </w:p>
        </w:tc>
      </w:tr>
      <w:tr w14:paraId="24E0CC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07" w:type="dxa"/>
            <w:vAlign w:val="center"/>
          </w:tcPr>
          <w:p w14:paraId="3799C41D">
            <w:pPr>
              <w:adjustRightInd w:val="0"/>
              <w:snapToGrid w:val="0"/>
              <w:spacing w:line="240" w:lineRule="auto"/>
              <w:jc w:val="center"/>
              <w:rPr>
                <w:rFonts w:hint="eastAsia"/>
                <w:szCs w:val="21"/>
              </w:rPr>
            </w:pPr>
            <w:r>
              <w:rPr>
                <w:rFonts w:hint="eastAsia"/>
                <w:szCs w:val="21"/>
              </w:rPr>
              <w:t>第二节</w:t>
            </w:r>
          </w:p>
          <w:p w14:paraId="210566C0">
            <w:pPr>
              <w:adjustRightInd w:val="0"/>
              <w:snapToGrid w:val="0"/>
              <w:spacing w:line="240" w:lineRule="auto"/>
              <w:jc w:val="center"/>
              <w:rPr>
                <w:rFonts w:hint="eastAsia" w:cs="Times New Roman"/>
                <w:sz w:val="21"/>
                <w:szCs w:val="21"/>
              </w:rPr>
            </w:pPr>
            <w:r>
              <w:rPr>
                <w:rFonts w:hint="eastAsia"/>
                <w:szCs w:val="21"/>
              </w:rPr>
              <w:t>第1.2（7）项</w:t>
            </w:r>
          </w:p>
        </w:tc>
        <w:tc>
          <w:tcPr>
            <w:tcW w:w="2233" w:type="dxa"/>
            <w:vAlign w:val="center"/>
          </w:tcPr>
          <w:p w14:paraId="6743A1E6">
            <w:pPr>
              <w:adjustRightInd w:val="0"/>
              <w:snapToGrid w:val="0"/>
              <w:spacing w:line="240" w:lineRule="auto"/>
              <w:rPr>
                <w:rFonts w:hint="eastAsia" w:cs="Times New Roman"/>
                <w:sz w:val="21"/>
                <w:szCs w:val="21"/>
              </w:rPr>
            </w:pPr>
            <w:r>
              <w:rPr>
                <w:rFonts w:hint="eastAsia"/>
                <w:szCs w:val="21"/>
              </w:rPr>
              <w:t>其他术语解释</w:t>
            </w:r>
          </w:p>
        </w:tc>
        <w:tc>
          <w:tcPr>
            <w:tcW w:w="4316" w:type="dxa"/>
            <w:vAlign w:val="center"/>
          </w:tcPr>
          <w:p w14:paraId="28A6DFB4">
            <w:pPr>
              <w:adjustRightInd w:val="0"/>
              <w:snapToGrid w:val="0"/>
              <w:rPr>
                <w:rFonts w:hint="eastAsia" w:cs="Times New Roman"/>
                <w:sz w:val="21"/>
                <w:szCs w:val="21"/>
              </w:rPr>
            </w:pPr>
          </w:p>
        </w:tc>
      </w:tr>
      <w:tr w14:paraId="7201A3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F11B7EB">
            <w:pPr>
              <w:adjustRightInd w:val="0"/>
              <w:snapToGrid w:val="0"/>
              <w:spacing w:line="240" w:lineRule="auto"/>
              <w:jc w:val="center"/>
              <w:rPr>
                <w:rFonts w:hint="eastAsia"/>
                <w:szCs w:val="21"/>
              </w:rPr>
            </w:pPr>
            <w:r>
              <w:rPr>
                <w:rFonts w:hint="eastAsia"/>
                <w:szCs w:val="21"/>
              </w:rPr>
              <w:t>第二节</w:t>
            </w:r>
          </w:p>
          <w:p w14:paraId="45C98A69">
            <w:pPr>
              <w:adjustRightInd w:val="0"/>
              <w:snapToGrid w:val="0"/>
              <w:spacing w:line="240" w:lineRule="auto"/>
              <w:jc w:val="center"/>
              <w:rPr>
                <w:rFonts w:hint="eastAsia"/>
                <w:szCs w:val="21"/>
              </w:rPr>
            </w:pPr>
            <w:r>
              <w:rPr>
                <w:rFonts w:hint="eastAsia"/>
                <w:szCs w:val="21"/>
              </w:rPr>
              <w:t>第4.4款</w:t>
            </w:r>
          </w:p>
        </w:tc>
        <w:tc>
          <w:tcPr>
            <w:tcW w:w="2233" w:type="dxa"/>
            <w:vAlign w:val="center"/>
          </w:tcPr>
          <w:p w14:paraId="5FCFC864">
            <w:pPr>
              <w:adjustRightInd w:val="0"/>
              <w:snapToGrid w:val="0"/>
              <w:spacing w:line="240" w:lineRule="auto"/>
              <w:rPr>
                <w:rFonts w:hint="eastAsia"/>
                <w:szCs w:val="21"/>
              </w:rPr>
            </w:pPr>
            <w:r>
              <w:rPr>
                <w:rFonts w:hint="eastAsia"/>
                <w:szCs w:val="21"/>
              </w:rPr>
              <w:t>履约验收中甲方提出异议或作出说明的期限</w:t>
            </w:r>
          </w:p>
        </w:tc>
        <w:tc>
          <w:tcPr>
            <w:tcW w:w="4316" w:type="dxa"/>
            <w:vAlign w:val="center"/>
          </w:tcPr>
          <w:p w14:paraId="414793E6">
            <w:pPr>
              <w:adjustRightInd w:val="0"/>
              <w:snapToGrid w:val="0"/>
              <w:rPr>
                <w:rFonts w:hint="eastAsia" w:cs="Times New Roman"/>
                <w:sz w:val="21"/>
                <w:szCs w:val="21"/>
              </w:rPr>
            </w:pPr>
          </w:p>
        </w:tc>
      </w:tr>
      <w:tr w14:paraId="637647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3F54FEE">
            <w:pPr>
              <w:adjustRightInd w:val="0"/>
              <w:snapToGrid w:val="0"/>
              <w:spacing w:line="240" w:lineRule="auto"/>
              <w:jc w:val="center"/>
              <w:rPr>
                <w:rFonts w:hint="eastAsia"/>
                <w:szCs w:val="21"/>
              </w:rPr>
            </w:pPr>
            <w:r>
              <w:rPr>
                <w:rFonts w:hint="eastAsia"/>
                <w:szCs w:val="21"/>
              </w:rPr>
              <w:t>第二节</w:t>
            </w:r>
          </w:p>
          <w:p w14:paraId="35082551">
            <w:pPr>
              <w:adjustRightInd w:val="0"/>
              <w:snapToGrid w:val="0"/>
              <w:spacing w:line="240" w:lineRule="auto"/>
              <w:jc w:val="center"/>
              <w:rPr>
                <w:rFonts w:hint="eastAsia"/>
                <w:szCs w:val="21"/>
              </w:rPr>
            </w:pPr>
            <w:r>
              <w:rPr>
                <w:rFonts w:hint="eastAsia"/>
                <w:szCs w:val="21"/>
              </w:rPr>
              <w:t>第4.6款</w:t>
            </w:r>
          </w:p>
        </w:tc>
        <w:tc>
          <w:tcPr>
            <w:tcW w:w="2233" w:type="dxa"/>
            <w:vAlign w:val="center"/>
          </w:tcPr>
          <w:p w14:paraId="148C75B0">
            <w:pPr>
              <w:adjustRightInd w:val="0"/>
              <w:snapToGrid w:val="0"/>
              <w:spacing w:line="240" w:lineRule="auto"/>
              <w:rPr>
                <w:rFonts w:hint="eastAsia"/>
                <w:szCs w:val="21"/>
              </w:rPr>
            </w:pPr>
            <w:r>
              <w:rPr>
                <w:rFonts w:hint="eastAsia"/>
                <w:szCs w:val="21"/>
              </w:rPr>
              <w:t>约定甲方承担的其他义务和责任</w:t>
            </w:r>
          </w:p>
        </w:tc>
        <w:tc>
          <w:tcPr>
            <w:tcW w:w="4316" w:type="dxa"/>
            <w:vAlign w:val="center"/>
          </w:tcPr>
          <w:p w14:paraId="6B8B8B92">
            <w:pPr>
              <w:adjustRightInd w:val="0"/>
              <w:snapToGrid w:val="0"/>
              <w:rPr>
                <w:rFonts w:hint="eastAsia" w:cs="Times New Roman"/>
                <w:sz w:val="21"/>
                <w:szCs w:val="21"/>
              </w:rPr>
            </w:pPr>
          </w:p>
        </w:tc>
      </w:tr>
      <w:tr w14:paraId="6C8C14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B9F8700">
            <w:pPr>
              <w:adjustRightInd w:val="0"/>
              <w:snapToGrid w:val="0"/>
              <w:spacing w:line="240" w:lineRule="auto"/>
              <w:jc w:val="center"/>
              <w:rPr>
                <w:rFonts w:hint="eastAsia"/>
                <w:szCs w:val="21"/>
              </w:rPr>
            </w:pPr>
            <w:r>
              <w:rPr>
                <w:rFonts w:hint="eastAsia"/>
                <w:szCs w:val="21"/>
              </w:rPr>
              <w:t>第二节</w:t>
            </w:r>
          </w:p>
          <w:p w14:paraId="420AF9BF">
            <w:pPr>
              <w:snapToGrid w:val="0"/>
              <w:spacing w:line="240" w:lineRule="auto"/>
              <w:jc w:val="center"/>
              <w:rPr>
                <w:rFonts w:hint="eastAsia"/>
              </w:rPr>
            </w:pPr>
            <w:r>
              <w:rPr>
                <w:rFonts w:hint="eastAsia"/>
                <w:szCs w:val="21"/>
              </w:rPr>
              <w:t>第5.4款</w:t>
            </w:r>
          </w:p>
        </w:tc>
        <w:tc>
          <w:tcPr>
            <w:tcW w:w="2233" w:type="dxa"/>
            <w:vAlign w:val="center"/>
          </w:tcPr>
          <w:p w14:paraId="3A1BD9B2">
            <w:pPr>
              <w:adjustRightInd w:val="0"/>
              <w:snapToGrid w:val="0"/>
              <w:spacing w:line="240" w:lineRule="auto"/>
              <w:rPr>
                <w:rFonts w:hint="eastAsia"/>
                <w:szCs w:val="21"/>
              </w:rPr>
            </w:pPr>
            <w:r>
              <w:rPr>
                <w:rFonts w:hint="eastAsia"/>
                <w:szCs w:val="21"/>
              </w:rPr>
              <w:t>约定乙方承担的其他义务和责任</w:t>
            </w:r>
          </w:p>
        </w:tc>
        <w:tc>
          <w:tcPr>
            <w:tcW w:w="4316" w:type="dxa"/>
            <w:vAlign w:val="center"/>
          </w:tcPr>
          <w:p w14:paraId="597B5C2D">
            <w:pPr>
              <w:adjustRightInd w:val="0"/>
              <w:snapToGrid w:val="0"/>
              <w:rPr>
                <w:rFonts w:hint="eastAsia" w:cs="Times New Roman"/>
                <w:sz w:val="21"/>
                <w:szCs w:val="21"/>
              </w:rPr>
            </w:pPr>
          </w:p>
        </w:tc>
      </w:tr>
      <w:tr w14:paraId="539029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4F65B2D">
            <w:pPr>
              <w:adjustRightInd w:val="0"/>
              <w:snapToGrid w:val="0"/>
              <w:spacing w:line="240" w:lineRule="auto"/>
              <w:jc w:val="center"/>
              <w:rPr>
                <w:rFonts w:hint="eastAsia"/>
                <w:szCs w:val="21"/>
              </w:rPr>
            </w:pPr>
            <w:r>
              <w:rPr>
                <w:rFonts w:hint="eastAsia"/>
                <w:szCs w:val="21"/>
              </w:rPr>
              <w:t>第二节</w:t>
            </w:r>
          </w:p>
          <w:p w14:paraId="0A149F19">
            <w:pPr>
              <w:snapToGrid w:val="0"/>
              <w:spacing w:line="240" w:lineRule="auto"/>
              <w:jc w:val="center"/>
              <w:rPr>
                <w:rFonts w:hint="eastAsia"/>
                <w:szCs w:val="21"/>
              </w:rPr>
            </w:pPr>
            <w:r>
              <w:rPr>
                <w:rFonts w:hint="eastAsia"/>
                <w:szCs w:val="21"/>
              </w:rPr>
              <w:t>第6.1款</w:t>
            </w:r>
          </w:p>
        </w:tc>
        <w:tc>
          <w:tcPr>
            <w:tcW w:w="2233" w:type="dxa"/>
            <w:vAlign w:val="center"/>
          </w:tcPr>
          <w:p w14:paraId="54283C13">
            <w:pPr>
              <w:adjustRightInd w:val="0"/>
              <w:snapToGrid w:val="0"/>
              <w:spacing w:line="240" w:lineRule="auto"/>
              <w:rPr>
                <w:rFonts w:hint="eastAsia"/>
                <w:szCs w:val="21"/>
              </w:rPr>
            </w:pPr>
            <w:r>
              <w:rPr>
                <w:rFonts w:hint="eastAsia"/>
                <w:szCs w:val="21"/>
              </w:rPr>
              <w:t>履行合同义务的顺序</w:t>
            </w:r>
          </w:p>
        </w:tc>
        <w:tc>
          <w:tcPr>
            <w:tcW w:w="4316" w:type="dxa"/>
            <w:vAlign w:val="center"/>
          </w:tcPr>
          <w:p w14:paraId="2695955F">
            <w:pPr>
              <w:adjustRightInd w:val="0"/>
              <w:snapToGrid w:val="0"/>
              <w:rPr>
                <w:rFonts w:hint="eastAsia" w:cs="Times New Roman"/>
                <w:sz w:val="21"/>
                <w:szCs w:val="21"/>
              </w:rPr>
            </w:pPr>
          </w:p>
        </w:tc>
      </w:tr>
      <w:tr w14:paraId="5A9777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restart"/>
            <w:vAlign w:val="center"/>
          </w:tcPr>
          <w:p w14:paraId="5C9A4108">
            <w:pPr>
              <w:adjustRightInd w:val="0"/>
              <w:snapToGrid w:val="0"/>
              <w:spacing w:line="240" w:lineRule="auto"/>
              <w:jc w:val="center"/>
              <w:rPr>
                <w:rFonts w:hint="eastAsia"/>
                <w:szCs w:val="21"/>
              </w:rPr>
            </w:pPr>
            <w:r>
              <w:rPr>
                <w:rFonts w:hint="eastAsia"/>
                <w:szCs w:val="21"/>
              </w:rPr>
              <w:t>第二节</w:t>
            </w:r>
          </w:p>
          <w:p w14:paraId="24BDC28C">
            <w:pPr>
              <w:adjustRightInd w:val="0"/>
              <w:snapToGrid w:val="0"/>
              <w:spacing w:line="240" w:lineRule="auto"/>
              <w:jc w:val="center"/>
              <w:rPr>
                <w:rFonts w:hint="eastAsia"/>
                <w:szCs w:val="21"/>
              </w:rPr>
            </w:pPr>
            <w:r>
              <w:rPr>
                <w:rFonts w:hint="eastAsia"/>
                <w:szCs w:val="21"/>
              </w:rPr>
              <w:t>第7.1款</w:t>
            </w:r>
          </w:p>
        </w:tc>
        <w:tc>
          <w:tcPr>
            <w:tcW w:w="2233" w:type="dxa"/>
            <w:vAlign w:val="center"/>
          </w:tcPr>
          <w:p w14:paraId="1EDD4B41">
            <w:pPr>
              <w:adjustRightInd w:val="0"/>
              <w:snapToGrid w:val="0"/>
              <w:spacing w:line="240" w:lineRule="auto"/>
              <w:rPr>
                <w:rFonts w:hint="eastAsia"/>
                <w:szCs w:val="21"/>
              </w:rPr>
            </w:pPr>
            <w:r>
              <w:rPr>
                <w:rFonts w:hint="eastAsia"/>
                <w:szCs w:val="21"/>
              </w:rPr>
              <w:t>包装特殊要求</w:t>
            </w:r>
          </w:p>
        </w:tc>
        <w:tc>
          <w:tcPr>
            <w:tcW w:w="4316" w:type="dxa"/>
            <w:vAlign w:val="center"/>
          </w:tcPr>
          <w:p w14:paraId="2A9CC0A6">
            <w:pPr>
              <w:rPr>
                <w:rFonts w:hint="eastAsia"/>
              </w:rPr>
            </w:pPr>
          </w:p>
        </w:tc>
      </w:tr>
      <w:tr w14:paraId="68A880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continue"/>
            <w:vAlign w:val="center"/>
          </w:tcPr>
          <w:p w14:paraId="7FCE33C4">
            <w:pPr>
              <w:adjustRightInd w:val="0"/>
              <w:snapToGrid w:val="0"/>
              <w:spacing w:line="240" w:lineRule="auto"/>
              <w:jc w:val="center"/>
              <w:rPr>
                <w:rFonts w:hint="eastAsia"/>
                <w:szCs w:val="21"/>
              </w:rPr>
            </w:pPr>
          </w:p>
        </w:tc>
        <w:tc>
          <w:tcPr>
            <w:tcW w:w="2233" w:type="dxa"/>
            <w:vAlign w:val="center"/>
          </w:tcPr>
          <w:p w14:paraId="24A4E0DD">
            <w:pPr>
              <w:adjustRightInd w:val="0"/>
              <w:snapToGrid w:val="0"/>
              <w:spacing w:line="240" w:lineRule="auto"/>
              <w:rPr>
                <w:rFonts w:hint="eastAsia"/>
                <w:szCs w:val="21"/>
              </w:rPr>
            </w:pPr>
            <w:r>
              <w:rPr>
                <w:rFonts w:hint="eastAsia"/>
                <w:szCs w:val="21"/>
              </w:rPr>
              <w:t>指定现场</w:t>
            </w:r>
          </w:p>
        </w:tc>
        <w:tc>
          <w:tcPr>
            <w:tcW w:w="4316" w:type="dxa"/>
            <w:vAlign w:val="center"/>
          </w:tcPr>
          <w:p w14:paraId="64533F19">
            <w:pPr>
              <w:rPr>
                <w:rFonts w:hint="eastAsia"/>
              </w:rPr>
            </w:pPr>
          </w:p>
        </w:tc>
      </w:tr>
      <w:tr w14:paraId="631DEF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07" w:type="dxa"/>
            <w:vAlign w:val="center"/>
          </w:tcPr>
          <w:p w14:paraId="23563685">
            <w:pPr>
              <w:adjustRightInd w:val="0"/>
              <w:snapToGrid w:val="0"/>
              <w:spacing w:line="240" w:lineRule="auto"/>
              <w:jc w:val="center"/>
              <w:rPr>
                <w:rFonts w:hint="eastAsia"/>
                <w:szCs w:val="21"/>
              </w:rPr>
            </w:pPr>
            <w:r>
              <w:rPr>
                <w:rFonts w:hint="eastAsia"/>
                <w:szCs w:val="21"/>
              </w:rPr>
              <w:t>第二节</w:t>
            </w:r>
          </w:p>
          <w:p w14:paraId="3D765080">
            <w:pPr>
              <w:adjustRightInd w:val="0"/>
              <w:snapToGrid w:val="0"/>
              <w:spacing w:line="240" w:lineRule="auto"/>
              <w:jc w:val="center"/>
              <w:rPr>
                <w:rFonts w:hint="eastAsia"/>
                <w:szCs w:val="21"/>
              </w:rPr>
            </w:pPr>
            <w:r>
              <w:rPr>
                <w:rFonts w:hint="eastAsia"/>
                <w:szCs w:val="21"/>
              </w:rPr>
              <w:t>第7.2款</w:t>
            </w:r>
          </w:p>
        </w:tc>
        <w:tc>
          <w:tcPr>
            <w:tcW w:w="2233" w:type="dxa"/>
            <w:vAlign w:val="center"/>
          </w:tcPr>
          <w:p w14:paraId="7EFB2393">
            <w:pPr>
              <w:adjustRightInd w:val="0"/>
              <w:snapToGrid w:val="0"/>
              <w:spacing w:line="240" w:lineRule="auto"/>
              <w:rPr>
                <w:rFonts w:hint="eastAsia"/>
                <w:szCs w:val="21"/>
              </w:rPr>
            </w:pPr>
            <w:r>
              <w:rPr>
                <w:rFonts w:hint="eastAsia"/>
                <w:szCs w:val="21"/>
              </w:rPr>
              <w:t>运输特殊要求</w:t>
            </w:r>
          </w:p>
        </w:tc>
        <w:tc>
          <w:tcPr>
            <w:tcW w:w="4316" w:type="dxa"/>
            <w:vAlign w:val="center"/>
          </w:tcPr>
          <w:p w14:paraId="0390BFE2">
            <w:pPr>
              <w:rPr>
                <w:rFonts w:hint="eastAsia"/>
              </w:rPr>
            </w:pPr>
          </w:p>
        </w:tc>
      </w:tr>
      <w:tr w14:paraId="56BB58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Align w:val="center"/>
          </w:tcPr>
          <w:p w14:paraId="0E84ABB8">
            <w:pPr>
              <w:adjustRightInd w:val="0"/>
              <w:snapToGrid w:val="0"/>
              <w:spacing w:line="240" w:lineRule="auto"/>
              <w:jc w:val="center"/>
              <w:rPr>
                <w:rFonts w:hint="eastAsia"/>
                <w:szCs w:val="21"/>
              </w:rPr>
            </w:pPr>
            <w:r>
              <w:rPr>
                <w:rFonts w:hint="eastAsia"/>
                <w:szCs w:val="21"/>
              </w:rPr>
              <w:t>第二节</w:t>
            </w:r>
          </w:p>
          <w:p w14:paraId="12BC6014">
            <w:pPr>
              <w:adjustRightInd w:val="0"/>
              <w:snapToGrid w:val="0"/>
              <w:spacing w:line="240" w:lineRule="auto"/>
              <w:jc w:val="center"/>
              <w:rPr>
                <w:rFonts w:hint="eastAsia"/>
                <w:szCs w:val="21"/>
              </w:rPr>
            </w:pPr>
            <w:r>
              <w:rPr>
                <w:rFonts w:hint="eastAsia"/>
                <w:szCs w:val="21"/>
              </w:rPr>
              <w:t>第7.3款</w:t>
            </w:r>
          </w:p>
        </w:tc>
        <w:tc>
          <w:tcPr>
            <w:tcW w:w="2233" w:type="dxa"/>
            <w:vAlign w:val="center"/>
          </w:tcPr>
          <w:p w14:paraId="5FBE9583">
            <w:pPr>
              <w:adjustRightInd w:val="0"/>
              <w:snapToGrid w:val="0"/>
              <w:spacing w:line="240" w:lineRule="auto"/>
              <w:rPr>
                <w:rFonts w:hint="eastAsia"/>
                <w:szCs w:val="21"/>
              </w:rPr>
            </w:pPr>
            <w:r>
              <w:rPr>
                <w:rFonts w:hint="eastAsia"/>
                <w:szCs w:val="21"/>
              </w:rPr>
              <w:t>保险要求</w:t>
            </w:r>
          </w:p>
        </w:tc>
        <w:tc>
          <w:tcPr>
            <w:tcW w:w="4316" w:type="dxa"/>
            <w:vAlign w:val="center"/>
          </w:tcPr>
          <w:p w14:paraId="2D7AAFE9">
            <w:pPr>
              <w:rPr>
                <w:rFonts w:hint="eastAsia"/>
              </w:rPr>
            </w:pPr>
          </w:p>
        </w:tc>
      </w:tr>
      <w:tr w14:paraId="2A21B7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C2C20D0">
            <w:pPr>
              <w:adjustRightInd w:val="0"/>
              <w:snapToGrid w:val="0"/>
              <w:spacing w:line="240" w:lineRule="auto"/>
              <w:jc w:val="center"/>
              <w:rPr>
                <w:rFonts w:hint="eastAsia"/>
                <w:szCs w:val="21"/>
              </w:rPr>
            </w:pPr>
            <w:r>
              <w:rPr>
                <w:rFonts w:hint="eastAsia"/>
                <w:szCs w:val="21"/>
              </w:rPr>
              <w:t>第二节</w:t>
            </w:r>
          </w:p>
          <w:p w14:paraId="73F3AE77">
            <w:pPr>
              <w:adjustRightInd w:val="0"/>
              <w:snapToGrid w:val="0"/>
              <w:spacing w:line="240" w:lineRule="auto"/>
              <w:jc w:val="center"/>
              <w:rPr>
                <w:rFonts w:hint="eastAsia"/>
                <w:szCs w:val="21"/>
              </w:rPr>
            </w:pPr>
            <w:r>
              <w:rPr>
                <w:rFonts w:hint="eastAsia"/>
                <w:szCs w:val="21"/>
              </w:rPr>
              <w:t>第8.2（1）项</w:t>
            </w:r>
          </w:p>
        </w:tc>
        <w:tc>
          <w:tcPr>
            <w:tcW w:w="2233" w:type="dxa"/>
            <w:vAlign w:val="center"/>
          </w:tcPr>
          <w:p w14:paraId="66790270">
            <w:pPr>
              <w:adjustRightInd w:val="0"/>
              <w:snapToGrid w:val="0"/>
              <w:spacing w:line="240" w:lineRule="auto"/>
              <w:rPr>
                <w:rFonts w:hint="eastAsia"/>
                <w:szCs w:val="21"/>
              </w:rPr>
            </w:pPr>
            <w:r>
              <w:rPr>
                <w:rFonts w:hint="eastAsia"/>
                <w:szCs w:val="21"/>
              </w:rPr>
              <w:t>质量保证期</w:t>
            </w:r>
          </w:p>
        </w:tc>
        <w:tc>
          <w:tcPr>
            <w:tcW w:w="4316" w:type="dxa"/>
            <w:vAlign w:val="center"/>
          </w:tcPr>
          <w:p w14:paraId="4B5F8297">
            <w:pPr>
              <w:autoSpaceDE w:val="0"/>
              <w:autoSpaceDN w:val="0"/>
              <w:adjustRightInd w:val="0"/>
              <w:snapToGrid w:val="0"/>
              <w:ind w:firstLine="480" w:firstLineChars="200"/>
              <w:rPr>
                <w:rFonts w:hint="eastAsia"/>
                <w:szCs w:val="21"/>
              </w:rPr>
            </w:pPr>
          </w:p>
        </w:tc>
      </w:tr>
      <w:tr w14:paraId="3A31FC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A76FE53">
            <w:pPr>
              <w:adjustRightInd w:val="0"/>
              <w:snapToGrid w:val="0"/>
              <w:spacing w:line="240" w:lineRule="auto"/>
              <w:jc w:val="center"/>
              <w:rPr>
                <w:rFonts w:hint="eastAsia"/>
                <w:szCs w:val="21"/>
              </w:rPr>
            </w:pPr>
            <w:r>
              <w:rPr>
                <w:rFonts w:hint="eastAsia"/>
                <w:szCs w:val="21"/>
              </w:rPr>
              <w:t>第二节</w:t>
            </w:r>
          </w:p>
          <w:p w14:paraId="7207A93D">
            <w:pPr>
              <w:adjustRightInd w:val="0"/>
              <w:snapToGrid w:val="0"/>
              <w:spacing w:line="240" w:lineRule="auto"/>
              <w:jc w:val="center"/>
              <w:rPr>
                <w:rFonts w:hint="eastAsia"/>
                <w:szCs w:val="21"/>
              </w:rPr>
            </w:pPr>
            <w:r>
              <w:rPr>
                <w:rFonts w:hint="eastAsia"/>
                <w:szCs w:val="21"/>
              </w:rPr>
              <w:t>第8.2（3）项</w:t>
            </w:r>
          </w:p>
        </w:tc>
        <w:tc>
          <w:tcPr>
            <w:tcW w:w="2233" w:type="dxa"/>
            <w:vAlign w:val="center"/>
          </w:tcPr>
          <w:p w14:paraId="2AF4895D">
            <w:pPr>
              <w:adjustRightInd w:val="0"/>
              <w:snapToGrid w:val="0"/>
              <w:spacing w:line="240" w:lineRule="auto"/>
              <w:rPr>
                <w:rFonts w:hint="eastAsia"/>
                <w:szCs w:val="21"/>
              </w:rPr>
            </w:pPr>
            <w:r>
              <w:rPr>
                <w:rFonts w:hint="eastAsia"/>
                <w:szCs w:val="21"/>
              </w:rPr>
              <w:t>货物质量缺陷</w:t>
            </w:r>
          </w:p>
          <w:p w14:paraId="02468689">
            <w:pPr>
              <w:adjustRightInd w:val="0"/>
              <w:snapToGrid w:val="0"/>
              <w:spacing w:line="240" w:lineRule="auto"/>
              <w:rPr>
                <w:rFonts w:hint="eastAsia"/>
                <w:szCs w:val="21"/>
              </w:rPr>
            </w:pPr>
            <w:r>
              <w:rPr>
                <w:rFonts w:hint="eastAsia"/>
                <w:szCs w:val="21"/>
              </w:rPr>
              <w:t>响应时间</w:t>
            </w:r>
          </w:p>
        </w:tc>
        <w:tc>
          <w:tcPr>
            <w:tcW w:w="4316" w:type="dxa"/>
            <w:vAlign w:val="center"/>
          </w:tcPr>
          <w:p w14:paraId="66A3EFC3">
            <w:pPr>
              <w:adjustRightInd w:val="0"/>
              <w:snapToGrid w:val="0"/>
              <w:rPr>
                <w:rFonts w:hint="eastAsia"/>
                <w:szCs w:val="21"/>
              </w:rPr>
            </w:pPr>
          </w:p>
        </w:tc>
      </w:tr>
      <w:tr w14:paraId="080293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AA945D5">
            <w:pPr>
              <w:snapToGrid w:val="0"/>
              <w:spacing w:line="240" w:lineRule="auto"/>
              <w:jc w:val="center"/>
              <w:rPr>
                <w:rFonts w:hint="eastAsia" w:cs="宋体"/>
                <w:szCs w:val="21"/>
              </w:rPr>
            </w:pPr>
            <w:r>
              <w:rPr>
                <w:rFonts w:hint="eastAsia" w:cs="宋体"/>
                <w:szCs w:val="21"/>
              </w:rPr>
              <w:t>第二节</w:t>
            </w:r>
          </w:p>
          <w:p w14:paraId="3AE8BBC5">
            <w:pPr>
              <w:pStyle w:val="38"/>
              <w:spacing w:line="240" w:lineRule="auto"/>
              <w:ind w:firstLine="0" w:firstLineChars="0"/>
              <w:jc w:val="center"/>
              <w:rPr>
                <w:rFonts w:hint="eastAsia"/>
              </w:rPr>
            </w:pPr>
            <w:r>
              <w:rPr>
                <w:rFonts w:hint="eastAsia" w:ascii="宋体" w:hAnsi="宋体" w:eastAsia="宋体" w:cs="宋体"/>
              </w:rPr>
              <w:t>第11.1款</w:t>
            </w:r>
          </w:p>
        </w:tc>
        <w:tc>
          <w:tcPr>
            <w:tcW w:w="2233" w:type="dxa"/>
            <w:vAlign w:val="center"/>
          </w:tcPr>
          <w:p w14:paraId="0D7841AC">
            <w:pPr>
              <w:adjustRightInd w:val="0"/>
              <w:snapToGrid w:val="0"/>
              <w:spacing w:line="240" w:lineRule="auto"/>
              <w:jc w:val="both"/>
              <w:rPr>
                <w:rFonts w:hint="eastAsia"/>
                <w:szCs w:val="21"/>
              </w:rPr>
            </w:pPr>
            <w:r>
              <w:rPr>
                <w:rFonts w:hint="eastAsia"/>
                <w:szCs w:val="21"/>
              </w:rPr>
              <w:t>其他应当保密的信息</w:t>
            </w:r>
          </w:p>
        </w:tc>
        <w:tc>
          <w:tcPr>
            <w:tcW w:w="4316" w:type="dxa"/>
            <w:vAlign w:val="center"/>
          </w:tcPr>
          <w:p w14:paraId="597C1370">
            <w:pPr>
              <w:adjustRightInd w:val="0"/>
              <w:snapToGrid w:val="0"/>
              <w:rPr>
                <w:rFonts w:hint="eastAsia"/>
                <w:szCs w:val="21"/>
              </w:rPr>
            </w:pPr>
          </w:p>
        </w:tc>
      </w:tr>
      <w:tr w14:paraId="1897DF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65D2C129">
            <w:pPr>
              <w:adjustRightInd w:val="0"/>
              <w:snapToGrid w:val="0"/>
              <w:spacing w:line="240" w:lineRule="auto"/>
              <w:jc w:val="center"/>
              <w:rPr>
                <w:rFonts w:hint="eastAsia"/>
                <w:szCs w:val="21"/>
              </w:rPr>
            </w:pPr>
            <w:r>
              <w:rPr>
                <w:rFonts w:hint="eastAsia"/>
                <w:szCs w:val="21"/>
              </w:rPr>
              <w:t>第二节</w:t>
            </w:r>
          </w:p>
          <w:p w14:paraId="614924E0">
            <w:pPr>
              <w:adjustRightInd w:val="0"/>
              <w:snapToGrid w:val="0"/>
              <w:spacing w:line="240" w:lineRule="auto"/>
              <w:jc w:val="center"/>
              <w:rPr>
                <w:rFonts w:hint="eastAsia"/>
                <w:szCs w:val="21"/>
              </w:rPr>
            </w:pPr>
            <w:r>
              <w:rPr>
                <w:rFonts w:hint="eastAsia"/>
                <w:szCs w:val="21"/>
              </w:rPr>
              <w:t>第12.2款</w:t>
            </w:r>
          </w:p>
        </w:tc>
        <w:tc>
          <w:tcPr>
            <w:tcW w:w="2233" w:type="dxa"/>
            <w:vAlign w:val="center"/>
          </w:tcPr>
          <w:p w14:paraId="4E187D31">
            <w:pPr>
              <w:adjustRightInd w:val="0"/>
              <w:snapToGrid w:val="0"/>
              <w:spacing w:line="240" w:lineRule="auto"/>
              <w:rPr>
                <w:rFonts w:hint="eastAsia"/>
                <w:szCs w:val="21"/>
              </w:rPr>
            </w:pPr>
            <w:r>
              <w:rPr>
                <w:rFonts w:hint="eastAsia"/>
                <w:szCs w:val="21"/>
              </w:rPr>
              <w:t>合同价款支付时间</w:t>
            </w:r>
          </w:p>
        </w:tc>
        <w:tc>
          <w:tcPr>
            <w:tcW w:w="4316" w:type="dxa"/>
            <w:vAlign w:val="center"/>
          </w:tcPr>
          <w:p w14:paraId="1C879626">
            <w:pPr>
              <w:adjustRightInd w:val="0"/>
              <w:snapToGrid w:val="0"/>
              <w:rPr>
                <w:rFonts w:hint="eastAsia"/>
                <w:szCs w:val="21"/>
              </w:rPr>
            </w:pPr>
          </w:p>
        </w:tc>
      </w:tr>
      <w:tr w14:paraId="510D59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15533A34">
            <w:pPr>
              <w:adjustRightInd w:val="0"/>
              <w:snapToGrid w:val="0"/>
              <w:spacing w:line="240" w:lineRule="auto"/>
              <w:jc w:val="center"/>
              <w:rPr>
                <w:rFonts w:hint="eastAsia"/>
                <w:szCs w:val="21"/>
              </w:rPr>
            </w:pPr>
            <w:r>
              <w:rPr>
                <w:rFonts w:hint="eastAsia"/>
                <w:szCs w:val="21"/>
              </w:rPr>
              <w:t>第二节</w:t>
            </w:r>
          </w:p>
          <w:p w14:paraId="34EC94A3">
            <w:pPr>
              <w:adjustRightInd w:val="0"/>
              <w:snapToGrid w:val="0"/>
              <w:spacing w:line="240" w:lineRule="auto"/>
              <w:jc w:val="center"/>
              <w:rPr>
                <w:rFonts w:hint="eastAsia"/>
                <w:szCs w:val="21"/>
              </w:rPr>
            </w:pPr>
            <w:r>
              <w:rPr>
                <w:rFonts w:hint="eastAsia"/>
                <w:szCs w:val="21"/>
              </w:rPr>
              <w:t>第13.2款</w:t>
            </w:r>
          </w:p>
        </w:tc>
        <w:tc>
          <w:tcPr>
            <w:tcW w:w="2233" w:type="dxa"/>
            <w:vAlign w:val="center"/>
          </w:tcPr>
          <w:p w14:paraId="730F1072">
            <w:pPr>
              <w:adjustRightInd w:val="0"/>
              <w:snapToGrid w:val="0"/>
              <w:spacing w:line="240" w:lineRule="auto"/>
              <w:rPr>
                <w:rFonts w:hint="eastAsia"/>
                <w:szCs w:val="21"/>
              </w:rPr>
            </w:pPr>
            <w:r>
              <w:rPr>
                <w:rFonts w:hint="eastAsia"/>
                <w:szCs w:val="21"/>
              </w:rPr>
              <w:t>履约保证金不予退还的情形</w:t>
            </w:r>
          </w:p>
        </w:tc>
        <w:tc>
          <w:tcPr>
            <w:tcW w:w="4316" w:type="dxa"/>
            <w:vAlign w:val="center"/>
          </w:tcPr>
          <w:p w14:paraId="23F6E073">
            <w:pPr>
              <w:adjustRightInd w:val="0"/>
              <w:snapToGrid w:val="0"/>
              <w:rPr>
                <w:rFonts w:hint="eastAsia"/>
                <w:szCs w:val="21"/>
              </w:rPr>
            </w:pPr>
          </w:p>
        </w:tc>
      </w:tr>
      <w:tr w14:paraId="60CA8F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0821B138">
            <w:pPr>
              <w:adjustRightInd w:val="0"/>
              <w:snapToGrid w:val="0"/>
              <w:spacing w:line="240" w:lineRule="auto"/>
              <w:jc w:val="center"/>
              <w:rPr>
                <w:rFonts w:hint="eastAsia"/>
                <w:szCs w:val="21"/>
              </w:rPr>
            </w:pPr>
            <w:r>
              <w:rPr>
                <w:rFonts w:hint="eastAsia"/>
                <w:szCs w:val="21"/>
              </w:rPr>
              <w:t>第二节</w:t>
            </w:r>
          </w:p>
          <w:p w14:paraId="0F985D7B">
            <w:pPr>
              <w:adjustRightInd w:val="0"/>
              <w:snapToGrid w:val="0"/>
              <w:spacing w:line="240" w:lineRule="auto"/>
              <w:jc w:val="center"/>
              <w:rPr>
                <w:rFonts w:hint="eastAsia"/>
                <w:szCs w:val="21"/>
              </w:rPr>
            </w:pPr>
            <w:r>
              <w:rPr>
                <w:rFonts w:hint="eastAsia"/>
                <w:szCs w:val="21"/>
              </w:rPr>
              <w:t>第13.3款</w:t>
            </w:r>
          </w:p>
        </w:tc>
        <w:tc>
          <w:tcPr>
            <w:tcW w:w="2233" w:type="dxa"/>
            <w:vAlign w:val="center"/>
          </w:tcPr>
          <w:p w14:paraId="6346EAA2">
            <w:pPr>
              <w:adjustRightInd w:val="0"/>
              <w:snapToGrid w:val="0"/>
              <w:spacing w:line="240" w:lineRule="auto"/>
              <w:rPr>
                <w:rFonts w:hint="eastAsia"/>
                <w:szCs w:val="21"/>
              </w:rPr>
            </w:pPr>
            <w:r>
              <w:rPr>
                <w:rFonts w:hint="eastAsia"/>
                <w:szCs w:val="21"/>
              </w:rPr>
              <w:t>履约保证金退还时间及逾期退还的违约金</w:t>
            </w:r>
          </w:p>
        </w:tc>
        <w:tc>
          <w:tcPr>
            <w:tcW w:w="4316" w:type="dxa"/>
            <w:vAlign w:val="center"/>
          </w:tcPr>
          <w:p w14:paraId="32A43679">
            <w:pPr>
              <w:adjustRightInd w:val="0"/>
              <w:snapToGrid w:val="0"/>
              <w:rPr>
                <w:rFonts w:hint="eastAsia"/>
                <w:szCs w:val="21"/>
              </w:rPr>
            </w:pPr>
          </w:p>
        </w:tc>
      </w:tr>
      <w:tr w14:paraId="796564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55FCA9FB">
            <w:pPr>
              <w:adjustRightInd w:val="0"/>
              <w:snapToGrid w:val="0"/>
              <w:spacing w:line="240" w:lineRule="auto"/>
              <w:jc w:val="center"/>
              <w:rPr>
                <w:rFonts w:hint="eastAsia"/>
                <w:szCs w:val="21"/>
              </w:rPr>
            </w:pPr>
            <w:r>
              <w:rPr>
                <w:rFonts w:hint="eastAsia"/>
                <w:szCs w:val="21"/>
              </w:rPr>
              <w:t>第二节</w:t>
            </w:r>
          </w:p>
          <w:p w14:paraId="5911E696">
            <w:pPr>
              <w:adjustRightInd w:val="0"/>
              <w:snapToGrid w:val="0"/>
              <w:spacing w:line="240" w:lineRule="auto"/>
              <w:jc w:val="center"/>
              <w:rPr>
                <w:rFonts w:hint="eastAsia"/>
                <w:szCs w:val="21"/>
              </w:rPr>
            </w:pPr>
            <w:r>
              <w:rPr>
                <w:rFonts w:hint="eastAsia"/>
                <w:szCs w:val="21"/>
              </w:rPr>
              <w:t>第14.1（3）项</w:t>
            </w:r>
          </w:p>
        </w:tc>
        <w:tc>
          <w:tcPr>
            <w:tcW w:w="2233" w:type="dxa"/>
            <w:vAlign w:val="center"/>
          </w:tcPr>
          <w:p w14:paraId="1EC7F19E">
            <w:pPr>
              <w:adjustRightInd w:val="0"/>
              <w:snapToGrid w:val="0"/>
              <w:spacing w:line="240" w:lineRule="auto"/>
              <w:rPr>
                <w:rFonts w:hint="eastAsia"/>
                <w:szCs w:val="21"/>
              </w:rPr>
            </w:pPr>
            <w:r>
              <w:rPr>
                <w:rFonts w:hint="eastAsia"/>
                <w:szCs w:val="21"/>
              </w:rPr>
              <w:t>运行监督、维修期限</w:t>
            </w:r>
          </w:p>
        </w:tc>
        <w:tc>
          <w:tcPr>
            <w:tcW w:w="4316" w:type="dxa"/>
            <w:vAlign w:val="center"/>
          </w:tcPr>
          <w:p w14:paraId="778D0E2A">
            <w:pPr>
              <w:adjustRightInd w:val="0"/>
              <w:snapToGrid w:val="0"/>
              <w:rPr>
                <w:rFonts w:hint="eastAsia"/>
                <w:szCs w:val="21"/>
              </w:rPr>
            </w:pPr>
          </w:p>
        </w:tc>
      </w:tr>
      <w:tr w14:paraId="3118ED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41C5F8B3">
            <w:pPr>
              <w:adjustRightInd w:val="0"/>
              <w:snapToGrid w:val="0"/>
              <w:spacing w:line="240" w:lineRule="auto"/>
              <w:jc w:val="center"/>
              <w:rPr>
                <w:rFonts w:hint="eastAsia"/>
                <w:szCs w:val="21"/>
              </w:rPr>
            </w:pPr>
            <w:r>
              <w:rPr>
                <w:rFonts w:hint="eastAsia"/>
                <w:szCs w:val="21"/>
              </w:rPr>
              <w:t>第二节</w:t>
            </w:r>
          </w:p>
          <w:p w14:paraId="62E2C850">
            <w:pPr>
              <w:adjustRightInd w:val="0"/>
              <w:snapToGrid w:val="0"/>
              <w:spacing w:line="240" w:lineRule="auto"/>
              <w:jc w:val="center"/>
              <w:rPr>
                <w:rFonts w:hint="eastAsia"/>
                <w:szCs w:val="21"/>
              </w:rPr>
            </w:pPr>
            <w:r>
              <w:rPr>
                <w:rFonts w:hint="eastAsia"/>
                <w:szCs w:val="21"/>
              </w:rPr>
              <w:t>第14.1（5）项</w:t>
            </w:r>
          </w:p>
        </w:tc>
        <w:tc>
          <w:tcPr>
            <w:tcW w:w="2233" w:type="dxa"/>
            <w:vAlign w:val="center"/>
          </w:tcPr>
          <w:p w14:paraId="312B845F">
            <w:pPr>
              <w:adjustRightInd w:val="0"/>
              <w:snapToGrid w:val="0"/>
              <w:spacing w:line="240" w:lineRule="auto"/>
              <w:rPr>
                <w:rFonts w:hint="eastAsia"/>
                <w:szCs w:val="21"/>
              </w:rPr>
            </w:pPr>
            <w:r>
              <w:rPr>
                <w:rFonts w:hint="eastAsia"/>
                <w:szCs w:val="21"/>
              </w:rPr>
              <w:t>货物回收的约定</w:t>
            </w:r>
          </w:p>
        </w:tc>
        <w:tc>
          <w:tcPr>
            <w:tcW w:w="4316" w:type="dxa"/>
            <w:vAlign w:val="center"/>
          </w:tcPr>
          <w:p w14:paraId="6D820C26">
            <w:pPr>
              <w:adjustRightInd w:val="0"/>
              <w:snapToGrid w:val="0"/>
              <w:rPr>
                <w:rFonts w:hint="eastAsia"/>
                <w:szCs w:val="21"/>
              </w:rPr>
            </w:pPr>
          </w:p>
        </w:tc>
      </w:tr>
      <w:tr w14:paraId="35E4DD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4530D11">
            <w:pPr>
              <w:adjustRightInd w:val="0"/>
              <w:snapToGrid w:val="0"/>
              <w:spacing w:line="240" w:lineRule="auto"/>
              <w:jc w:val="center"/>
              <w:rPr>
                <w:rFonts w:hint="eastAsia"/>
                <w:szCs w:val="21"/>
              </w:rPr>
            </w:pPr>
            <w:r>
              <w:rPr>
                <w:rFonts w:hint="eastAsia"/>
                <w:szCs w:val="21"/>
              </w:rPr>
              <w:t>第二节</w:t>
            </w:r>
          </w:p>
          <w:p w14:paraId="212903F8">
            <w:pPr>
              <w:adjustRightInd w:val="0"/>
              <w:snapToGrid w:val="0"/>
              <w:spacing w:line="240" w:lineRule="auto"/>
              <w:jc w:val="center"/>
              <w:rPr>
                <w:rFonts w:hint="eastAsia"/>
                <w:szCs w:val="21"/>
              </w:rPr>
            </w:pPr>
            <w:r>
              <w:rPr>
                <w:rFonts w:hint="eastAsia"/>
                <w:szCs w:val="21"/>
              </w:rPr>
              <w:t>第14.1（6）项</w:t>
            </w:r>
          </w:p>
        </w:tc>
        <w:tc>
          <w:tcPr>
            <w:tcW w:w="2233" w:type="dxa"/>
            <w:vAlign w:val="center"/>
          </w:tcPr>
          <w:p w14:paraId="3D89FCD0">
            <w:pPr>
              <w:adjustRightInd w:val="0"/>
              <w:snapToGrid w:val="0"/>
              <w:spacing w:line="240" w:lineRule="auto"/>
              <w:rPr>
                <w:rFonts w:hint="eastAsia"/>
                <w:szCs w:val="21"/>
              </w:rPr>
            </w:pPr>
            <w:r>
              <w:rPr>
                <w:rFonts w:hint="eastAsia"/>
                <w:szCs w:val="21"/>
              </w:rPr>
              <w:t>乙方提供的其他服务</w:t>
            </w:r>
          </w:p>
        </w:tc>
        <w:tc>
          <w:tcPr>
            <w:tcW w:w="4316" w:type="dxa"/>
            <w:vAlign w:val="center"/>
          </w:tcPr>
          <w:p w14:paraId="71B4887B">
            <w:pPr>
              <w:adjustRightInd w:val="0"/>
              <w:snapToGrid w:val="0"/>
              <w:rPr>
                <w:rFonts w:hint="eastAsia"/>
                <w:szCs w:val="21"/>
              </w:rPr>
            </w:pPr>
          </w:p>
        </w:tc>
      </w:tr>
      <w:tr w14:paraId="6B1770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81188D5">
            <w:pPr>
              <w:adjustRightInd w:val="0"/>
              <w:snapToGrid w:val="0"/>
              <w:spacing w:line="240" w:lineRule="auto"/>
              <w:jc w:val="center"/>
              <w:rPr>
                <w:rFonts w:hint="eastAsia"/>
                <w:szCs w:val="21"/>
              </w:rPr>
            </w:pPr>
            <w:r>
              <w:rPr>
                <w:rFonts w:hint="eastAsia"/>
                <w:szCs w:val="21"/>
              </w:rPr>
              <w:t>第二节</w:t>
            </w:r>
          </w:p>
          <w:p w14:paraId="43BB225A">
            <w:pPr>
              <w:adjustRightInd w:val="0"/>
              <w:snapToGrid w:val="0"/>
              <w:spacing w:line="240" w:lineRule="auto"/>
              <w:jc w:val="center"/>
              <w:rPr>
                <w:rFonts w:hint="eastAsia"/>
                <w:szCs w:val="21"/>
              </w:rPr>
            </w:pPr>
            <w:r>
              <w:rPr>
                <w:rFonts w:hint="eastAsia"/>
                <w:szCs w:val="21"/>
              </w:rPr>
              <w:t>第15.1款</w:t>
            </w:r>
          </w:p>
        </w:tc>
        <w:tc>
          <w:tcPr>
            <w:tcW w:w="2233" w:type="dxa"/>
            <w:vAlign w:val="center"/>
          </w:tcPr>
          <w:p w14:paraId="7D21C1C4">
            <w:pPr>
              <w:adjustRightInd w:val="0"/>
              <w:snapToGrid w:val="0"/>
              <w:spacing w:line="240" w:lineRule="auto"/>
              <w:rPr>
                <w:rFonts w:hint="eastAsia"/>
                <w:szCs w:val="21"/>
              </w:rPr>
            </w:pPr>
            <w:r>
              <w:rPr>
                <w:rFonts w:hint="eastAsia"/>
                <w:szCs w:val="21"/>
              </w:rPr>
              <w:t>修理、重做、更换相关具体规定</w:t>
            </w:r>
          </w:p>
        </w:tc>
        <w:tc>
          <w:tcPr>
            <w:tcW w:w="4316" w:type="dxa"/>
            <w:vAlign w:val="center"/>
          </w:tcPr>
          <w:p w14:paraId="13136BB3">
            <w:pPr>
              <w:adjustRightInd w:val="0"/>
              <w:snapToGrid w:val="0"/>
              <w:rPr>
                <w:rFonts w:hint="eastAsia"/>
                <w:szCs w:val="21"/>
              </w:rPr>
            </w:pPr>
          </w:p>
        </w:tc>
      </w:tr>
      <w:tr w14:paraId="1DA536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D3BC4E9">
            <w:pPr>
              <w:adjustRightInd w:val="0"/>
              <w:snapToGrid w:val="0"/>
              <w:spacing w:line="240" w:lineRule="auto"/>
              <w:jc w:val="center"/>
              <w:rPr>
                <w:rFonts w:hint="eastAsia"/>
                <w:szCs w:val="21"/>
              </w:rPr>
            </w:pPr>
            <w:r>
              <w:rPr>
                <w:rFonts w:hint="eastAsia"/>
                <w:szCs w:val="21"/>
              </w:rPr>
              <w:t>第二节</w:t>
            </w:r>
          </w:p>
          <w:p w14:paraId="78FE0C90">
            <w:pPr>
              <w:adjustRightInd w:val="0"/>
              <w:snapToGrid w:val="0"/>
              <w:spacing w:line="240" w:lineRule="auto"/>
              <w:jc w:val="center"/>
              <w:rPr>
                <w:rFonts w:hint="eastAsia"/>
                <w:szCs w:val="21"/>
              </w:rPr>
            </w:pPr>
            <w:r>
              <w:rPr>
                <w:rFonts w:hint="eastAsia"/>
                <w:szCs w:val="21"/>
              </w:rPr>
              <w:t>第15.2（2）项</w:t>
            </w:r>
          </w:p>
        </w:tc>
        <w:tc>
          <w:tcPr>
            <w:tcW w:w="2233" w:type="dxa"/>
            <w:vAlign w:val="center"/>
          </w:tcPr>
          <w:p w14:paraId="4534DC22">
            <w:pPr>
              <w:adjustRightInd w:val="0"/>
              <w:snapToGrid w:val="0"/>
              <w:spacing w:line="240" w:lineRule="auto"/>
              <w:rPr>
                <w:rFonts w:hint="eastAsia"/>
                <w:szCs w:val="21"/>
              </w:rPr>
            </w:pPr>
            <w:r>
              <w:rPr>
                <w:rFonts w:hint="eastAsia"/>
                <w:szCs w:val="21"/>
              </w:rPr>
              <w:t>迟延交货赔偿费</w:t>
            </w:r>
          </w:p>
        </w:tc>
        <w:tc>
          <w:tcPr>
            <w:tcW w:w="4316" w:type="dxa"/>
            <w:vAlign w:val="center"/>
          </w:tcPr>
          <w:p w14:paraId="17EDECE1">
            <w:pPr>
              <w:adjustRightInd w:val="0"/>
              <w:snapToGrid w:val="0"/>
              <w:rPr>
                <w:rFonts w:hint="eastAsia"/>
                <w:szCs w:val="21"/>
                <w:u w:val="single"/>
              </w:rPr>
            </w:pPr>
          </w:p>
        </w:tc>
      </w:tr>
      <w:tr w14:paraId="7DEDA9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61A40EA">
            <w:pPr>
              <w:adjustRightInd w:val="0"/>
              <w:snapToGrid w:val="0"/>
              <w:spacing w:line="240" w:lineRule="auto"/>
              <w:jc w:val="center"/>
              <w:rPr>
                <w:rFonts w:hint="eastAsia"/>
                <w:szCs w:val="21"/>
              </w:rPr>
            </w:pPr>
            <w:r>
              <w:rPr>
                <w:rFonts w:hint="eastAsia"/>
                <w:szCs w:val="21"/>
              </w:rPr>
              <w:t>第二节</w:t>
            </w:r>
          </w:p>
          <w:p w14:paraId="1839424D">
            <w:pPr>
              <w:adjustRightInd w:val="0"/>
              <w:snapToGrid w:val="0"/>
              <w:spacing w:line="240" w:lineRule="auto"/>
              <w:jc w:val="center"/>
              <w:rPr>
                <w:rFonts w:hint="eastAsia"/>
                <w:szCs w:val="21"/>
              </w:rPr>
            </w:pPr>
            <w:r>
              <w:rPr>
                <w:rFonts w:hint="eastAsia"/>
                <w:szCs w:val="21"/>
              </w:rPr>
              <w:t>第15.3款</w:t>
            </w:r>
          </w:p>
        </w:tc>
        <w:tc>
          <w:tcPr>
            <w:tcW w:w="2233" w:type="dxa"/>
            <w:vAlign w:val="center"/>
          </w:tcPr>
          <w:p w14:paraId="67B15006">
            <w:pPr>
              <w:adjustRightInd w:val="0"/>
              <w:snapToGrid w:val="0"/>
              <w:spacing w:line="240" w:lineRule="auto"/>
              <w:rPr>
                <w:rFonts w:hint="eastAsia"/>
                <w:szCs w:val="21"/>
              </w:rPr>
            </w:pPr>
            <w:r>
              <w:rPr>
                <w:rFonts w:hint="eastAsia"/>
                <w:szCs w:val="21"/>
              </w:rPr>
              <w:t>逾期付款利息</w:t>
            </w:r>
          </w:p>
        </w:tc>
        <w:tc>
          <w:tcPr>
            <w:tcW w:w="4316" w:type="dxa"/>
            <w:vAlign w:val="center"/>
          </w:tcPr>
          <w:p w14:paraId="1857DE08">
            <w:pPr>
              <w:adjustRightInd w:val="0"/>
              <w:snapToGrid w:val="0"/>
              <w:rPr>
                <w:rFonts w:hint="eastAsia"/>
                <w:szCs w:val="21"/>
                <w:u w:val="single"/>
              </w:rPr>
            </w:pPr>
          </w:p>
        </w:tc>
      </w:tr>
      <w:tr w14:paraId="5C2BDC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07" w:type="dxa"/>
            <w:tcBorders>
              <w:bottom w:val="single" w:color="auto" w:sz="2" w:space="0"/>
              <w:right w:val="single" w:color="auto" w:sz="2" w:space="0"/>
            </w:tcBorders>
            <w:vAlign w:val="center"/>
          </w:tcPr>
          <w:p w14:paraId="2184EB5B">
            <w:pPr>
              <w:adjustRightInd w:val="0"/>
              <w:snapToGrid w:val="0"/>
              <w:spacing w:line="240" w:lineRule="auto"/>
              <w:jc w:val="center"/>
              <w:rPr>
                <w:rFonts w:hint="eastAsia"/>
                <w:szCs w:val="21"/>
              </w:rPr>
            </w:pPr>
            <w:r>
              <w:rPr>
                <w:rFonts w:hint="eastAsia"/>
                <w:szCs w:val="21"/>
              </w:rPr>
              <w:t>第二节</w:t>
            </w:r>
          </w:p>
          <w:p w14:paraId="0345C99F">
            <w:pPr>
              <w:adjustRightInd w:val="0"/>
              <w:snapToGrid w:val="0"/>
              <w:spacing w:line="240" w:lineRule="auto"/>
              <w:jc w:val="center"/>
              <w:rPr>
                <w:rFonts w:hint="eastAsia"/>
                <w:szCs w:val="21"/>
              </w:rPr>
            </w:pPr>
            <w:r>
              <w:rPr>
                <w:rFonts w:hint="eastAsia"/>
                <w:szCs w:val="21"/>
              </w:rPr>
              <w:t>第15.4款</w:t>
            </w:r>
          </w:p>
        </w:tc>
        <w:tc>
          <w:tcPr>
            <w:tcW w:w="2233" w:type="dxa"/>
            <w:tcBorders>
              <w:left w:val="single" w:color="auto" w:sz="2" w:space="0"/>
              <w:bottom w:val="single" w:color="auto" w:sz="2" w:space="0"/>
              <w:right w:val="single" w:color="auto" w:sz="2" w:space="0"/>
            </w:tcBorders>
            <w:vAlign w:val="center"/>
          </w:tcPr>
          <w:p w14:paraId="275477C9">
            <w:pPr>
              <w:adjustRightInd w:val="0"/>
              <w:snapToGrid w:val="0"/>
              <w:spacing w:line="240" w:lineRule="auto"/>
              <w:rPr>
                <w:rFonts w:hint="eastAsia"/>
                <w:szCs w:val="21"/>
              </w:rPr>
            </w:pPr>
            <w:r>
              <w:rPr>
                <w:rFonts w:hint="eastAsia"/>
                <w:szCs w:val="21"/>
              </w:rPr>
              <w:t>其他违约责任</w:t>
            </w:r>
          </w:p>
        </w:tc>
        <w:tc>
          <w:tcPr>
            <w:tcW w:w="4316" w:type="dxa"/>
            <w:tcBorders>
              <w:left w:val="single" w:color="auto" w:sz="2" w:space="0"/>
              <w:bottom w:val="single" w:color="auto" w:sz="2" w:space="0"/>
            </w:tcBorders>
            <w:vAlign w:val="center"/>
          </w:tcPr>
          <w:p w14:paraId="6E841523">
            <w:pPr>
              <w:adjustRightInd w:val="0"/>
              <w:snapToGrid w:val="0"/>
              <w:rPr>
                <w:rFonts w:hint="eastAsia"/>
                <w:szCs w:val="21"/>
                <w:u w:val="single"/>
              </w:rPr>
            </w:pPr>
          </w:p>
        </w:tc>
      </w:tr>
      <w:tr w14:paraId="208618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07" w:type="dxa"/>
            <w:tcBorders>
              <w:top w:val="single" w:color="auto" w:sz="2" w:space="0"/>
              <w:right w:val="single" w:color="auto" w:sz="2" w:space="0"/>
            </w:tcBorders>
            <w:vAlign w:val="center"/>
          </w:tcPr>
          <w:p w14:paraId="19BB91D0">
            <w:pPr>
              <w:adjustRightInd w:val="0"/>
              <w:snapToGrid w:val="0"/>
              <w:spacing w:line="240" w:lineRule="auto"/>
              <w:jc w:val="center"/>
              <w:rPr>
                <w:rFonts w:hint="eastAsia"/>
                <w:szCs w:val="21"/>
              </w:rPr>
            </w:pPr>
            <w:r>
              <w:rPr>
                <w:rFonts w:hint="eastAsia"/>
                <w:szCs w:val="21"/>
              </w:rPr>
              <w:t>第二节</w:t>
            </w:r>
          </w:p>
          <w:p w14:paraId="4BD58811">
            <w:pPr>
              <w:adjustRightInd w:val="0"/>
              <w:snapToGrid w:val="0"/>
              <w:spacing w:line="240" w:lineRule="auto"/>
              <w:jc w:val="center"/>
              <w:rPr>
                <w:rFonts w:hint="eastAsia"/>
                <w:szCs w:val="21"/>
              </w:rPr>
            </w:pPr>
            <w:r>
              <w:rPr>
                <w:rFonts w:hint="eastAsia"/>
                <w:szCs w:val="21"/>
              </w:rPr>
              <w:t>第19.2款</w:t>
            </w:r>
          </w:p>
        </w:tc>
        <w:tc>
          <w:tcPr>
            <w:tcW w:w="2233" w:type="dxa"/>
            <w:tcBorders>
              <w:top w:val="single" w:color="auto" w:sz="2" w:space="0"/>
              <w:left w:val="single" w:color="auto" w:sz="2" w:space="0"/>
              <w:right w:val="single" w:color="auto" w:sz="2" w:space="0"/>
            </w:tcBorders>
            <w:vAlign w:val="center"/>
          </w:tcPr>
          <w:p w14:paraId="59D1D428">
            <w:pPr>
              <w:adjustRightInd w:val="0"/>
              <w:snapToGrid w:val="0"/>
              <w:spacing w:line="240" w:lineRule="auto"/>
              <w:rPr>
                <w:rFonts w:hint="eastAsia"/>
                <w:szCs w:val="21"/>
              </w:rPr>
            </w:pPr>
            <w:r>
              <w:rPr>
                <w:rFonts w:hint="eastAsia"/>
                <w:szCs w:val="21"/>
              </w:rPr>
              <w:t>解决争议的方法</w:t>
            </w:r>
          </w:p>
        </w:tc>
        <w:tc>
          <w:tcPr>
            <w:tcW w:w="4316" w:type="dxa"/>
            <w:tcBorders>
              <w:top w:val="single" w:color="auto" w:sz="2" w:space="0"/>
              <w:left w:val="single" w:color="auto" w:sz="2" w:space="0"/>
            </w:tcBorders>
            <w:vAlign w:val="center"/>
          </w:tcPr>
          <w:p w14:paraId="61C4F685">
            <w:pPr>
              <w:autoSpaceDE w:val="0"/>
              <w:autoSpaceDN w:val="0"/>
              <w:adjustRightInd w:val="0"/>
              <w:snapToGrid w:val="0"/>
              <w:spacing w:line="400" w:lineRule="exact"/>
              <w:rPr>
                <w:rFonts w:hint="eastAsia" w:cs="宋体"/>
                <w:iCs/>
                <w:szCs w:val="21"/>
              </w:rPr>
            </w:pPr>
            <w:r>
              <w:rPr>
                <w:rFonts w:hint="eastAsia" w:cs="宋体"/>
                <w:iCs/>
                <w:szCs w:val="21"/>
              </w:rPr>
              <w:t>因本合同及合同有关事项发生的争议，按下列第</w:t>
            </w:r>
            <w:r>
              <w:rPr>
                <w:rFonts w:hint="eastAsia" w:cs="宋体"/>
                <w:iCs/>
                <w:szCs w:val="21"/>
                <w:u w:val="single"/>
              </w:rPr>
              <w:t xml:space="preserve">   </w:t>
            </w:r>
            <w:r>
              <w:rPr>
                <w:rFonts w:hint="eastAsia" w:cs="宋体"/>
                <w:iCs/>
                <w:szCs w:val="21"/>
              </w:rPr>
              <w:t>种方式解决：</w:t>
            </w:r>
          </w:p>
          <w:p w14:paraId="5C322D0C">
            <w:pPr>
              <w:autoSpaceDE w:val="0"/>
              <w:autoSpaceDN w:val="0"/>
              <w:adjustRightInd w:val="0"/>
              <w:snapToGrid w:val="0"/>
              <w:spacing w:line="400" w:lineRule="exact"/>
              <w:rPr>
                <w:rFonts w:hint="eastAsia" w:cs="宋体"/>
                <w:iCs/>
                <w:szCs w:val="21"/>
              </w:rPr>
            </w:pPr>
            <w:r>
              <w:rPr>
                <w:rFonts w:hint="eastAsia" w:cs="宋体"/>
                <w:iCs/>
                <w:szCs w:val="21"/>
              </w:rPr>
              <w:t>（1）向</w:t>
            </w:r>
            <w:r>
              <w:rPr>
                <w:rFonts w:hint="eastAsia" w:cs="宋体"/>
                <w:iCs/>
                <w:szCs w:val="21"/>
                <w:u w:val="single"/>
              </w:rPr>
              <w:t xml:space="preserve">                    </w:t>
            </w:r>
            <w:r>
              <w:rPr>
                <w:rFonts w:hint="eastAsia" w:cs="宋体"/>
                <w:iCs/>
                <w:szCs w:val="21"/>
              </w:rPr>
              <w:t>仲裁委员会申请仲裁，仲裁地点为</w:t>
            </w:r>
            <w:r>
              <w:rPr>
                <w:rFonts w:hint="eastAsia" w:cs="宋体"/>
                <w:iCs/>
                <w:szCs w:val="21"/>
                <w:u w:val="single"/>
              </w:rPr>
              <w:t xml:space="preserve">           </w:t>
            </w:r>
            <w:r>
              <w:rPr>
                <w:rFonts w:hint="eastAsia" w:cs="宋体"/>
                <w:iCs/>
                <w:szCs w:val="21"/>
              </w:rPr>
              <w:t>；</w:t>
            </w:r>
          </w:p>
          <w:p w14:paraId="0BF7124F">
            <w:pPr>
              <w:adjustRightInd w:val="0"/>
              <w:snapToGrid w:val="0"/>
              <w:rPr>
                <w:rFonts w:hint="eastAsia"/>
                <w:szCs w:val="21"/>
                <w:u w:val="single"/>
              </w:rPr>
            </w:pPr>
            <w:r>
              <w:rPr>
                <w:rFonts w:hint="eastAsia" w:cs="宋体"/>
                <w:iCs/>
                <w:szCs w:val="21"/>
              </w:rPr>
              <w:t>（2）向</w:t>
            </w:r>
            <w:r>
              <w:rPr>
                <w:rFonts w:hint="eastAsia" w:cs="宋体"/>
                <w:iCs/>
                <w:szCs w:val="21"/>
                <w:u w:val="single"/>
              </w:rPr>
              <w:t xml:space="preserve">                    </w:t>
            </w:r>
            <w:r>
              <w:rPr>
                <w:rFonts w:hint="eastAsia" w:cs="宋体"/>
                <w:iCs/>
                <w:szCs w:val="21"/>
              </w:rPr>
              <w:t>人民法院起诉。</w:t>
            </w:r>
          </w:p>
        </w:tc>
      </w:tr>
      <w:tr w14:paraId="5975CB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535C0D09">
            <w:pPr>
              <w:adjustRightInd w:val="0"/>
              <w:snapToGrid w:val="0"/>
              <w:spacing w:line="240" w:lineRule="auto"/>
              <w:jc w:val="center"/>
              <w:rPr>
                <w:rFonts w:hint="eastAsia"/>
                <w:szCs w:val="21"/>
              </w:rPr>
            </w:pPr>
            <w:r>
              <w:rPr>
                <w:rFonts w:hint="eastAsia"/>
                <w:szCs w:val="21"/>
              </w:rPr>
              <w:t>第二节</w:t>
            </w:r>
          </w:p>
          <w:p w14:paraId="0D6CF34E">
            <w:pPr>
              <w:adjustRightInd w:val="0"/>
              <w:snapToGrid w:val="0"/>
              <w:spacing w:line="240" w:lineRule="auto"/>
              <w:jc w:val="center"/>
              <w:rPr>
                <w:rFonts w:hint="eastAsia"/>
                <w:szCs w:val="21"/>
              </w:rPr>
            </w:pPr>
            <w:r>
              <w:rPr>
                <w:rFonts w:hint="eastAsia"/>
                <w:szCs w:val="21"/>
              </w:rPr>
              <w:t>第23.1款</w:t>
            </w:r>
          </w:p>
        </w:tc>
        <w:tc>
          <w:tcPr>
            <w:tcW w:w="2233" w:type="dxa"/>
            <w:vAlign w:val="center"/>
          </w:tcPr>
          <w:p w14:paraId="27BEB36E">
            <w:pPr>
              <w:adjustRightInd w:val="0"/>
              <w:snapToGrid w:val="0"/>
              <w:spacing w:line="240" w:lineRule="auto"/>
              <w:rPr>
                <w:rFonts w:hint="eastAsia"/>
                <w:szCs w:val="21"/>
              </w:rPr>
            </w:pPr>
            <w:r>
              <w:rPr>
                <w:rFonts w:hint="eastAsia"/>
                <w:bCs/>
                <w:szCs w:val="21"/>
              </w:rPr>
              <w:t>其他专用条款</w:t>
            </w:r>
          </w:p>
        </w:tc>
        <w:tc>
          <w:tcPr>
            <w:tcW w:w="4316" w:type="dxa"/>
            <w:vAlign w:val="center"/>
          </w:tcPr>
          <w:p w14:paraId="59F6505C">
            <w:pPr>
              <w:adjustRightInd w:val="0"/>
              <w:snapToGrid w:val="0"/>
              <w:rPr>
                <w:rFonts w:hint="eastAsia"/>
                <w:szCs w:val="21"/>
              </w:rPr>
            </w:pPr>
          </w:p>
        </w:tc>
      </w:tr>
    </w:tbl>
    <w:p w14:paraId="171118FC">
      <w:pPr>
        <w:rPr>
          <w:rFonts w:hint="eastAsia"/>
        </w:rPr>
      </w:pPr>
    </w:p>
    <w:p w14:paraId="05F831F3">
      <w:pPr>
        <w:rPr>
          <w:rFonts w:hint="eastAsia"/>
        </w:rPr>
      </w:pPr>
    </w:p>
    <w:p w14:paraId="1DA0E5CF">
      <w:pPr>
        <w:rPr>
          <w:rFonts w:hint="eastAsia"/>
          <w:lang w:val="zh-CN"/>
        </w:rPr>
      </w:pPr>
    </w:p>
    <w:p w14:paraId="409D0852">
      <w:pPr>
        <w:rPr>
          <w:rFonts w:hint="eastAsia"/>
          <w:lang w:val="zh-CN"/>
        </w:rPr>
      </w:pPr>
    </w:p>
    <w:p w14:paraId="63550EA0">
      <w:pPr>
        <w:pStyle w:val="4"/>
        <w:rPr>
          <w:rFonts w:hint="eastAsia"/>
          <w:lang w:val="zh-CN"/>
        </w:rPr>
      </w:pPr>
    </w:p>
    <w:p w14:paraId="511EEBFD">
      <w:pPr>
        <w:rPr>
          <w:rFonts w:hint="eastAsia"/>
          <w:lang w:val="zh-CN"/>
        </w:rPr>
        <w:sectPr>
          <w:headerReference r:id="rId8" w:type="default"/>
          <w:footerReference r:id="rId9" w:type="default"/>
          <w:pgSz w:w="11906" w:h="16838"/>
          <w:pgMar w:top="1440" w:right="1800" w:bottom="1440" w:left="1800" w:header="851" w:footer="992" w:gutter="0"/>
          <w:pgNumType w:fmt="numberInDash"/>
          <w:cols w:space="425" w:num="1"/>
          <w:docGrid w:type="lines" w:linePitch="312" w:charSpace="0"/>
        </w:sectPr>
      </w:pPr>
    </w:p>
    <w:p w14:paraId="2A5016EA">
      <w:pPr>
        <w:pStyle w:val="3"/>
        <w:spacing w:before="100" w:after="90" w:line="360" w:lineRule="auto"/>
        <w:ind w:left="420" w:hanging="420"/>
        <w:rPr>
          <w:rFonts w:hint="eastAsia"/>
        </w:rPr>
      </w:pPr>
      <w:bookmarkStart w:id="380" w:name="_Toc155185919"/>
      <w:bookmarkStart w:id="381" w:name="_Toc163492913"/>
    </w:p>
    <w:p w14:paraId="5D8BC5DB">
      <w:pPr>
        <w:pStyle w:val="3"/>
        <w:spacing w:before="100" w:after="90" w:line="360" w:lineRule="auto"/>
        <w:ind w:left="420" w:hanging="420"/>
        <w:rPr>
          <w:rFonts w:hint="eastAsia"/>
        </w:rPr>
      </w:pPr>
    </w:p>
    <w:p w14:paraId="56323AE6">
      <w:pPr>
        <w:pStyle w:val="3"/>
        <w:spacing w:before="220" w:after="220" w:line="480" w:lineRule="auto"/>
        <w:ind w:left="420" w:hanging="420"/>
        <w:rPr>
          <w:rFonts w:hint="eastAsia" w:eastAsia="宋体" w:cs="宋体"/>
          <w:sz w:val="36"/>
          <w:szCs w:val="36"/>
        </w:rPr>
      </w:pPr>
      <w:bookmarkStart w:id="382" w:name="_Toc25596"/>
      <w:r>
        <w:rPr>
          <w:rFonts w:hint="eastAsia" w:eastAsia="宋体" w:cs="宋体"/>
          <w:sz w:val="36"/>
          <w:szCs w:val="36"/>
        </w:rPr>
        <w:t>第七章 投标文件格式</w:t>
      </w:r>
      <w:bookmarkEnd w:id="380"/>
      <w:bookmarkEnd w:id="381"/>
      <w:bookmarkEnd w:id="382"/>
    </w:p>
    <w:p w14:paraId="600A6950">
      <w:pPr>
        <w:ind w:left="240" w:leftChars="100" w:firstLine="480" w:firstLineChars="200"/>
        <w:rPr>
          <w:rFonts w:hint="eastAsia" w:cs="仿宋_GB2312"/>
          <w:szCs w:val="24"/>
        </w:rPr>
      </w:pPr>
    </w:p>
    <w:p w14:paraId="0A770126">
      <w:pPr>
        <w:pStyle w:val="63"/>
        <w:spacing w:line="360" w:lineRule="exact"/>
        <w:rPr>
          <w:rFonts w:hint="eastAsia" w:ascii="宋体" w:hAnsi="宋体" w:eastAsia="宋体" w:cs="宋体"/>
          <w:b/>
          <w:bCs/>
        </w:rPr>
      </w:pPr>
    </w:p>
    <w:p w14:paraId="1273D58A">
      <w:pPr>
        <w:pStyle w:val="63"/>
        <w:spacing w:line="360" w:lineRule="exact"/>
        <w:rPr>
          <w:rFonts w:hint="eastAsia" w:ascii="宋体" w:hAnsi="宋体" w:eastAsia="宋体" w:cs="宋体"/>
          <w:b/>
          <w:bCs/>
        </w:rPr>
      </w:pPr>
    </w:p>
    <w:p w14:paraId="00D3D498">
      <w:pPr>
        <w:pStyle w:val="63"/>
        <w:spacing w:line="360" w:lineRule="exact"/>
        <w:rPr>
          <w:rFonts w:hint="eastAsia" w:ascii="宋体" w:hAnsi="宋体" w:eastAsia="宋体" w:cs="宋体"/>
          <w:b/>
          <w:bCs/>
        </w:rPr>
      </w:pPr>
    </w:p>
    <w:p w14:paraId="598F8D4E">
      <w:pPr>
        <w:pStyle w:val="63"/>
        <w:spacing w:line="360" w:lineRule="exact"/>
        <w:rPr>
          <w:rFonts w:hint="eastAsia" w:ascii="宋体" w:hAnsi="宋体" w:eastAsia="宋体" w:cs="宋体"/>
          <w:b/>
          <w:bCs/>
        </w:rPr>
      </w:pPr>
    </w:p>
    <w:p w14:paraId="732CCB1E">
      <w:pPr>
        <w:pStyle w:val="63"/>
        <w:spacing w:line="360" w:lineRule="exact"/>
        <w:rPr>
          <w:rFonts w:hint="eastAsia" w:ascii="宋体" w:hAnsi="宋体" w:eastAsia="宋体" w:cs="宋体"/>
          <w:b/>
          <w:bCs/>
        </w:rPr>
      </w:pPr>
    </w:p>
    <w:p w14:paraId="187924C7">
      <w:pPr>
        <w:pStyle w:val="63"/>
        <w:spacing w:line="360" w:lineRule="exact"/>
        <w:rPr>
          <w:rFonts w:hint="eastAsia" w:ascii="宋体" w:hAnsi="宋体" w:eastAsia="宋体" w:cs="宋体"/>
          <w:b/>
          <w:bCs/>
        </w:rPr>
      </w:pPr>
    </w:p>
    <w:p w14:paraId="7A84A8E7">
      <w:pPr>
        <w:pStyle w:val="63"/>
        <w:spacing w:line="360" w:lineRule="exact"/>
        <w:rPr>
          <w:rFonts w:hint="eastAsia" w:ascii="宋体" w:hAnsi="宋体" w:eastAsia="宋体" w:cs="宋体"/>
          <w:b/>
          <w:bCs/>
        </w:rPr>
      </w:pPr>
    </w:p>
    <w:p w14:paraId="4E50921D">
      <w:pPr>
        <w:pStyle w:val="63"/>
        <w:spacing w:line="360" w:lineRule="exact"/>
        <w:rPr>
          <w:rFonts w:hint="eastAsia" w:ascii="宋体" w:hAnsi="宋体" w:eastAsia="宋体" w:cs="宋体"/>
          <w:b/>
          <w:bCs/>
        </w:rPr>
      </w:pPr>
    </w:p>
    <w:p w14:paraId="04024778">
      <w:pPr>
        <w:pStyle w:val="63"/>
        <w:spacing w:line="360" w:lineRule="exact"/>
        <w:rPr>
          <w:rFonts w:hint="eastAsia" w:ascii="宋体" w:hAnsi="宋体" w:eastAsia="宋体" w:cs="宋体"/>
          <w:b/>
          <w:bCs/>
        </w:rPr>
      </w:pPr>
    </w:p>
    <w:p w14:paraId="667C6D68">
      <w:pPr>
        <w:pStyle w:val="63"/>
        <w:spacing w:line="360" w:lineRule="exact"/>
        <w:rPr>
          <w:rFonts w:hint="eastAsia" w:ascii="宋体" w:hAnsi="宋体" w:eastAsia="宋体" w:cs="宋体"/>
          <w:b/>
          <w:bCs/>
        </w:rPr>
      </w:pPr>
    </w:p>
    <w:p w14:paraId="4E7E0C11">
      <w:pPr>
        <w:pStyle w:val="63"/>
        <w:spacing w:line="360" w:lineRule="exact"/>
        <w:rPr>
          <w:rFonts w:hint="eastAsia" w:ascii="宋体" w:hAnsi="宋体" w:eastAsia="宋体" w:cs="宋体"/>
          <w:b/>
          <w:bCs/>
        </w:rPr>
      </w:pPr>
    </w:p>
    <w:p w14:paraId="54A1C77C">
      <w:pPr>
        <w:pStyle w:val="63"/>
        <w:spacing w:line="360" w:lineRule="exact"/>
        <w:rPr>
          <w:rFonts w:hint="eastAsia" w:ascii="宋体" w:hAnsi="宋体" w:eastAsia="宋体" w:cs="宋体"/>
          <w:b/>
          <w:bCs/>
        </w:rPr>
      </w:pPr>
    </w:p>
    <w:p w14:paraId="5D6EBBAF">
      <w:pPr>
        <w:pStyle w:val="63"/>
        <w:spacing w:line="360" w:lineRule="exact"/>
        <w:rPr>
          <w:rFonts w:hint="eastAsia" w:ascii="宋体" w:hAnsi="宋体" w:eastAsia="宋体" w:cs="宋体"/>
          <w:b/>
          <w:bCs/>
        </w:rPr>
      </w:pPr>
    </w:p>
    <w:p w14:paraId="7C230808">
      <w:pPr>
        <w:pStyle w:val="63"/>
        <w:spacing w:line="360" w:lineRule="exact"/>
        <w:rPr>
          <w:rFonts w:hint="eastAsia" w:ascii="宋体" w:hAnsi="宋体" w:eastAsia="宋体" w:cs="宋体"/>
          <w:b/>
          <w:bCs/>
        </w:rPr>
      </w:pPr>
    </w:p>
    <w:p w14:paraId="66F8047A">
      <w:pPr>
        <w:pStyle w:val="63"/>
        <w:spacing w:line="360" w:lineRule="exact"/>
        <w:rPr>
          <w:rFonts w:hint="eastAsia" w:ascii="宋体" w:hAnsi="宋体" w:eastAsia="宋体" w:cs="宋体"/>
          <w:b/>
          <w:bCs/>
        </w:rPr>
      </w:pPr>
    </w:p>
    <w:p w14:paraId="53D0B9F9">
      <w:pPr>
        <w:pStyle w:val="63"/>
        <w:spacing w:line="360" w:lineRule="exact"/>
        <w:rPr>
          <w:rFonts w:hint="eastAsia" w:ascii="宋体" w:hAnsi="宋体" w:eastAsia="宋体" w:cs="宋体"/>
          <w:b/>
          <w:bCs/>
        </w:rPr>
      </w:pPr>
    </w:p>
    <w:p w14:paraId="097B76C1">
      <w:pPr>
        <w:pStyle w:val="63"/>
        <w:spacing w:line="360" w:lineRule="exact"/>
        <w:rPr>
          <w:rFonts w:hint="eastAsia" w:ascii="宋体" w:hAnsi="宋体" w:eastAsia="宋体" w:cs="宋体"/>
          <w:b/>
          <w:bCs/>
        </w:rPr>
      </w:pPr>
    </w:p>
    <w:p w14:paraId="60876FCD">
      <w:pPr>
        <w:pStyle w:val="63"/>
        <w:spacing w:line="360" w:lineRule="exact"/>
        <w:rPr>
          <w:rFonts w:hint="eastAsia" w:ascii="宋体" w:hAnsi="宋体" w:eastAsia="宋体" w:cs="宋体"/>
          <w:b/>
          <w:bCs/>
        </w:rPr>
      </w:pPr>
    </w:p>
    <w:p w14:paraId="46D8F353">
      <w:pPr>
        <w:pStyle w:val="63"/>
        <w:spacing w:line="360" w:lineRule="exact"/>
        <w:rPr>
          <w:rFonts w:hint="eastAsia" w:ascii="宋体" w:hAnsi="宋体" w:eastAsia="宋体" w:cs="宋体"/>
          <w:b/>
          <w:bCs/>
        </w:rPr>
      </w:pPr>
    </w:p>
    <w:p w14:paraId="0BFB878E">
      <w:pPr>
        <w:pStyle w:val="63"/>
        <w:spacing w:line="360" w:lineRule="exact"/>
        <w:rPr>
          <w:rFonts w:hint="eastAsia" w:ascii="宋体" w:hAnsi="宋体" w:eastAsia="宋体" w:cs="宋体"/>
          <w:b/>
          <w:bCs/>
        </w:rPr>
      </w:pPr>
    </w:p>
    <w:p w14:paraId="4B8C023D">
      <w:pPr>
        <w:pStyle w:val="63"/>
        <w:spacing w:line="360" w:lineRule="exact"/>
        <w:rPr>
          <w:rFonts w:hint="eastAsia" w:ascii="宋体" w:hAnsi="宋体" w:eastAsia="宋体" w:cs="宋体"/>
          <w:b/>
          <w:bCs/>
        </w:rPr>
      </w:pPr>
    </w:p>
    <w:p w14:paraId="553ECC14">
      <w:pPr>
        <w:pStyle w:val="63"/>
        <w:spacing w:line="360" w:lineRule="exact"/>
        <w:rPr>
          <w:rFonts w:hint="eastAsia" w:ascii="宋体" w:hAnsi="宋体" w:eastAsia="宋体" w:cs="宋体"/>
          <w:b/>
          <w:bCs/>
        </w:rPr>
      </w:pPr>
    </w:p>
    <w:p w14:paraId="65280703">
      <w:pPr>
        <w:pStyle w:val="63"/>
        <w:spacing w:line="360" w:lineRule="exact"/>
        <w:rPr>
          <w:rFonts w:hint="eastAsia" w:ascii="宋体" w:hAnsi="宋体" w:eastAsia="宋体" w:cs="宋体"/>
          <w:b/>
          <w:bCs/>
        </w:rPr>
      </w:pPr>
    </w:p>
    <w:p w14:paraId="4BA1DF92">
      <w:pPr>
        <w:pStyle w:val="63"/>
        <w:spacing w:line="360" w:lineRule="exact"/>
        <w:rPr>
          <w:rFonts w:hint="eastAsia" w:ascii="宋体" w:hAnsi="宋体" w:eastAsia="宋体" w:cs="宋体"/>
          <w:b/>
          <w:bCs/>
        </w:rPr>
      </w:pPr>
    </w:p>
    <w:p w14:paraId="1C0AC9F2">
      <w:pPr>
        <w:pStyle w:val="63"/>
        <w:spacing w:line="360" w:lineRule="exact"/>
        <w:rPr>
          <w:rFonts w:hint="eastAsia" w:ascii="宋体" w:hAnsi="宋体" w:eastAsia="宋体" w:cs="宋体"/>
          <w:b/>
          <w:bCs/>
        </w:rPr>
      </w:pPr>
    </w:p>
    <w:p w14:paraId="64F1FD96">
      <w:pPr>
        <w:pStyle w:val="63"/>
        <w:spacing w:line="360" w:lineRule="exact"/>
        <w:rPr>
          <w:rFonts w:hint="eastAsia" w:ascii="宋体" w:hAnsi="宋体" w:eastAsia="宋体" w:cs="宋体"/>
          <w:b/>
          <w:bCs/>
        </w:rPr>
      </w:pPr>
    </w:p>
    <w:p w14:paraId="329A57EF">
      <w:pPr>
        <w:pStyle w:val="63"/>
        <w:spacing w:line="360" w:lineRule="exact"/>
        <w:rPr>
          <w:rFonts w:hint="eastAsia" w:ascii="宋体" w:hAnsi="宋体" w:eastAsia="宋体" w:cs="宋体"/>
          <w:b/>
          <w:bCs/>
        </w:rPr>
      </w:pPr>
    </w:p>
    <w:p w14:paraId="662C29A3">
      <w:pPr>
        <w:ind w:firstLine="480" w:firstLineChars="200"/>
        <w:rPr>
          <w:rFonts w:hint="eastAsia" w:cs="仿宋_GB2312"/>
          <w:szCs w:val="24"/>
          <w:lang w:val="zh-CN"/>
        </w:rPr>
      </w:pPr>
      <w:bookmarkStart w:id="383" w:name="_Toc163492937"/>
    </w:p>
    <w:p w14:paraId="47464CCC">
      <w:pPr>
        <w:ind w:firstLine="480" w:firstLineChars="200"/>
        <w:rPr>
          <w:rFonts w:hint="eastAsia" w:cs="仿宋_GB2312"/>
          <w:szCs w:val="24"/>
          <w:lang w:val="zh-CN"/>
        </w:rPr>
      </w:pPr>
    </w:p>
    <w:p w14:paraId="6EFD0E3D">
      <w:pPr>
        <w:ind w:firstLine="480" w:firstLineChars="200"/>
        <w:rPr>
          <w:rFonts w:hint="eastAsia" w:cs="仿宋_GB2312"/>
          <w:szCs w:val="24"/>
          <w:lang w:val="zh-CN"/>
        </w:rPr>
      </w:pPr>
    </w:p>
    <w:p w14:paraId="7D183C15">
      <w:pPr>
        <w:ind w:firstLine="480" w:firstLineChars="200"/>
        <w:rPr>
          <w:rFonts w:hint="eastAsia" w:cs="仿宋_GB2312"/>
          <w:szCs w:val="24"/>
          <w:lang w:val="zh-CN"/>
        </w:rPr>
      </w:pPr>
      <w:r>
        <w:rPr>
          <w:rFonts w:hint="eastAsia" w:cs="仿宋_GB2312"/>
          <w:szCs w:val="24"/>
          <w:lang w:val="zh-CN"/>
        </w:rPr>
        <w:t>封面：</w:t>
      </w:r>
    </w:p>
    <w:p w14:paraId="25C5F0A2">
      <w:pPr>
        <w:autoSpaceDE w:val="0"/>
        <w:autoSpaceDN w:val="0"/>
        <w:adjustRightInd w:val="0"/>
        <w:rPr>
          <w:rFonts w:hint="eastAsia"/>
          <w:sz w:val="21"/>
          <w:szCs w:val="24"/>
        </w:rPr>
      </w:pPr>
    </w:p>
    <w:p w14:paraId="35AD4C32">
      <w:pPr>
        <w:autoSpaceDE w:val="0"/>
        <w:autoSpaceDN w:val="0"/>
        <w:adjustRightInd w:val="0"/>
        <w:rPr>
          <w:rFonts w:hint="eastAsia"/>
          <w:sz w:val="21"/>
          <w:szCs w:val="24"/>
        </w:rPr>
      </w:pPr>
    </w:p>
    <w:p w14:paraId="5450EFBB">
      <w:pPr>
        <w:autoSpaceDE w:val="0"/>
        <w:autoSpaceDN w:val="0"/>
        <w:adjustRightInd w:val="0"/>
        <w:jc w:val="center"/>
        <w:rPr>
          <w:rFonts w:hint="eastAsia"/>
          <w:sz w:val="21"/>
          <w:szCs w:val="24"/>
        </w:rPr>
      </w:pPr>
    </w:p>
    <w:p w14:paraId="4009C368">
      <w:pPr>
        <w:pStyle w:val="3"/>
        <w:rPr>
          <w:rFonts w:hint="eastAsia"/>
          <w:sz w:val="56"/>
          <w:szCs w:val="56"/>
        </w:rPr>
      </w:pPr>
      <w:bookmarkStart w:id="384" w:name="_Toc30192"/>
      <w:r>
        <w:rPr>
          <w:rFonts w:hint="eastAsia"/>
          <w:sz w:val="56"/>
          <w:szCs w:val="56"/>
        </w:rPr>
        <w:t>投 标 文 件</w:t>
      </w:r>
      <w:bookmarkEnd w:id="384"/>
    </w:p>
    <w:p w14:paraId="519A4AE4">
      <w:pPr>
        <w:pStyle w:val="3"/>
        <w:rPr>
          <w:rFonts w:hint="eastAsia"/>
          <w:sz w:val="56"/>
          <w:szCs w:val="56"/>
        </w:rPr>
      </w:pPr>
      <w:bookmarkStart w:id="385" w:name="_Toc29071"/>
      <w:r>
        <w:rPr>
          <w:rFonts w:hint="eastAsia"/>
          <w:sz w:val="56"/>
          <w:szCs w:val="56"/>
        </w:rPr>
        <w:t>资格证明文件</w:t>
      </w:r>
      <w:bookmarkEnd w:id="385"/>
    </w:p>
    <w:p w14:paraId="2737EC10">
      <w:pPr>
        <w:autoSpaceDE w:val="0"/>
        <w:autoSpaceDN w:val="0"/>
        <w:adjustRightInd w:val="0"/>
        <w:rPr>
          <w:rFonts w:hint="eastAsia"/>
          <w:b/>
          <w:bCs/>
          <w:sz w:val="22"/>
        </w:rPr>
      </w:pPr>
    </w:p>
    <w:p w14:paraId="2767F67C">
      <w:pPr>
        <w:autoSpaceDE w:val="0"/>
        <w:autoSpaceDN w:val="0"/>
        <w:adjustRightInd w:val="0"/>
        <w:jc w:val="center"/>
        <w:rPr>
          <w:rFonts w:hint="eastAsia"/>
          <w:sz w:val="36"/>
          <w:szCs w:val="36"/>
        </w:rPr>
      </w:pPr>
    </w:p>
    <w:p w14:paraId="5A67B043">
      <w:pPr>
        <w:autoSpaceDE w:val="0"/>
        <w:autoSpaceDN w:val="0"/>
        <w:adjustRightInd w:val="0"/>
        <w:rPr>
          <w:rFonts w:hint="eastAsia"/>
          <w:sz w:val="21"/>
          <w:szCs w:val="21"/>
        </w:rPr>
      </w:pPr>
    </w:p>
    <w:p w14:paraId="56E1E38A">
      <w:pPr>
        <w:pStyle w:val="4"/>
        <w:rPr>
          <w:rFonts w:hint="eastAsia"/>
        </w:rPr>
      </w:pPr>
    </w:p>
    <w:p w14:paraId="32E2FFDF">
      <w:pPr>
        <w:autoSpaceDE w:val="0"/>
        <w:autoSpaceDN w:val="0"/>
        <w:adjustRightInd w:val="0"/>
        <w:rPr>
          <w:rFonts w:hint="eastAsia"/>
          <w:sz w:val="21"/>
          <w:szCs w:val="21"/>
        </w:rPr>
      </w:pPr>
    </w:p>
    <w:p w14:paraId="497EE694">
      <w:pPr>
        <w:autoSpaceDE w:val="0"/>
        <w:autoSpaceDN w:val="0"/>
        <w:adjustRightInd w:val="0"/>
        <w:rPr>
          <w:rFonts w:hint="eastAsia"/>
          <w:sz w:val="21"/>
          <w:szCs w:val="21"/>
        </w:rPr>
      </w:pPr>
    </w:p>
    <w:p w14:paraId="24608A11">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269D80E6">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0366BF6A">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17CA0067">
      <w:pPr>
        <w:ind w:left="840" w:firstLine="420"/>
        <w:rPr>
          <w:rFonts w:hint="eastAsia"/>
          <w:b/>
          <w:bCs/>
          <w:sz w:val="28"/>
          <w:szCs w:val="28"/>
        </w:rPr>
      </w:pPr>
    </w:p>
    <w:p w14:paraId="3B7E406B">
      <w:pPr>
        <w:ind w:left="840" w:firstLine="420"/>
        <w:rPr>
          <w:rFonts w:hint="eastAsia"/>
          <w:b/>
          <w:bCs/>
          <w:sz w:val="28"/>
          <w:szCs w:val="28"/>
        </w:rPr>
      </w:pPr>
    </w:p>
    <w:p w14:paraId="757A09E8">
      <w:pPr>
        <w:ind w:left="840" w:firstLine="420"/>
        <w:rPr>
          <w:rFonts w:hint="eastAsia"/>
          <w:b/>
          <w:bCs/>
          <w:sz w:val="28"/>
          <w:szCs w:val="28"/>
        </w:rPr>
      </w:pPr>
    </w:p>
    <w:p w14:paraId="65DAFC98">
      <w:pPr>
        <w:jc w:val="center"/>
        <w:rPr>
          <w:rFonts w:hint="eastAsia" w:cs="宋体"/>
          <w:sz w:val="32"/>
          <w:szCs w:val="32"/>
        </w:rPr>
      </w:pPr>
      <w:r>
        <w:rPr>
          <w:rFonts w:hint="eastAsia" w:cs="宋体"/>
          <w:sz w:val="32"/>
          <w:szCs w:val="32"/>
        </w:rPr>
        <w:t>年   月    日</w:t>
      </w:r>
    </w:p>
    <w:p w14:paraId="1D19420A">
      <w:pPr>
        <w:rPr>
          <w:rFonts w:hint="eastAsia"/>
          <w:lang w:val="zh-CN"/>
        </w:rPr>
      </w:pPr>
      <w:r>
        <w:rPr>
          <w:lang w:val="zh-CN"/>
        </w:rPr>
        <w:br w:type="page"/>
      </w:r>
    </w:p>
    <w:p w14:paraId="6D0745E8">
      <w:pPr>
        <w:rPr>
          <w:rFonts w:hint="eastAsia"/>
          <w:lang w:val="zh-CN"/>
        </w:rPr>
      </w:pPr>
    </w:p>
    <w:p w14:paraId="4B11D209">
      <w:pPr>
        <w:pStyle w:val="4"/>
        <w:spacing w:before="100" w:after="100" w:line="360" w:lineRule="auto"/>
        <w:ind w:left="420" w:hanging="420"/>
        <w:rPr>
          <w:rFonts w:hint="eastAsia"/>
          <w:sz w:val="28"/>
          <w:szCs w:val="28"/>
        </w:rPr>
      </w:pPr>
      <w:bookmarkStart w:id="386" w:name="_Toc27759"/>
      <w:bookmarkStart w:id="387" w:name="_Toc163492921"/>
      <w:bookmarkStart w:id="388" w:name="_Toc155185927"/>
      <w:r>
        <w:rPr>
          <w:rFonts w:hint="eastAsia"/>
          <w:sz w:val="28"/>
          <w:szCs w:val="28"/>
        </w:rPr>
        <w:t>一、满足《中华人民共和国政府采购法》第二十二条规定</w:t>
      </w:r>
      <w:bookmarkEnd w:id="386"/>
    </w:p>
    <w:bookmarkEnd w:id="387"/>
    <w:bookmarkEnd w:id="388"/>
    <w:p w14:paraId="05B38DBF">
      <w:pPr>
        <w:pStyle w:val="5"/>
        <w:rPr>
          <w:rFonts w:hint="eastAsia"/>
        </w:rPr>
      </w:pPr>
      <w:bookmarkStart w:id="389" w:name="_Toc155185928"/>
      <w:bookmarkStart w:id="390" w:name="_Toc163492922"/>
      <w:r>
        <w:rPr>
          <w:rFonts w:hint="eastAsia"/>
        </w:rPr>
        <w:t>（一）法人、其他组织或者自然人的证明文件</w:t>
      </w:r>
    </w:p>
    <w:p w14:paraId="54519022">
      <w:pPr>
        <w:ind w:firstLine="480" w:firstLineChars="200"/>
        <w:rPr>
          <w:rFonts w:hint="eastAsia" w:cs="宋体"/>
          <w:kern w:val="0"/>
          <w:szCs w:val="24"/>
        </w:rPr>
      </w:pPr>
      <w:r>
        <w:rPr>
          <w:rFonts w:hint="eastAsia" w:cs="宋体"/>
          <w:kern w:val="0"/>
          <w:szCs w:val="24"/>
        </w:rPr>
        <w:t>1.投标人为企业（包括合伙企业）的，应提供有效的“营业执照”；</w:t>
      </w:r>
    </w:p>
    <w:p w14:paraId="58134796">
      <w:pPr>
        <w:ind w:firstLine="480" w:firstLineChars="200"/>
        <w:rPr>
          <w:rFonts w:hint="eastAsia" w:cs="宋体"/>
          <w:kern w:val="0"/>
          <w:szCs w:val="24"/>
        </w:rPr>
      </w:pPr>
      <w:r>
        <w:rPr>
          <w:rFonts w:hint="eastAsia" w:cs="宋体"/>
          <w:kern w:val="0"/>
          <w:szCs w:val="24"/>
        </w:rPr>
        <w:t>2.投标人为事业单位的，应提供有效的“事业单位法人证书”；</w:t>
      </w:r>
    </w:p>
    <w:p w14:paraId="76AE1A28">
      <w:pPr>
        <w:ind w:firstLine="480" w:firstLineChars="200"/>
        <w:rPr>
          <w:rFonts w:hint="eastAsia" w:cs="宋体"/>
          <w:kern w:val="0"/>
          <w:szCs w:val="24"/>
        </w:rPr>
      </w:pPr>
      <w:r>
        <w:rPr>
          <w:rFonts w:hint="eastAsia" w:cs="宋体"/>
          <w:kern w:val="0"/>
          <w:szCs w:val="24"/>
        </w:rPr>
        <w:t>3.投标人为非企业机构的，应提供有效的“执业许可证”、“登记证书”等证明文件；</w:t>
      </w:r>
    </w:p>
    <w:p w14:paraId="102E7A7A">
      <w:pPr>
        <w:ind w:firstLine="480" w:firstLineChars="200"/>
        <w:rPr>
          <w:rFonts w:hint="eastAsia" w:cs="宋体"/>
          <w:kern w:val="0"/>
          <w:szCs w:val="24"/>
        </w:rPr>
      </w:pPr>
      <w:r>
        <w:rPr>
          <w:rFonts w:hint="eastAsia" w:cs="宋体"/>
          <w:kern w:val="0"/>
          <w:szCs w:val="24"/>
        </w:rPr>
        <w:t>4.投标人是个体工商户的，应提供有效的“个体工商户营业执照”；</w:t>
      </w:r>
    </w:p>
    <w:p w14:paraId="621D5D3B">
      <w:pPr>
        <w:ind w:firstLine="480" w:firstLineChars="200"/>
        <w:rPr>
          <w:rFonts w:hint="eastAsia" w:cs="宋体"/>
          <w:kern w:val="0"/>
          <w:szCs w:val="24"/>
        </w:rPr>
      </w:pPr>
      <w:r>
        <w:rPr>
          <w:rFonts w:hint="eastAsia" w:cs="宋体"/>
          <w:kern w:val="0"/>
          <w:szCs w:val="24"/>
        </w:rPr>
        <w:t>5.投标人是自然人的，应提供有效的自然人身份证明。</w:t>
      </w:r>
    </w:p>
    <w:p w14:paraId="1B8E8225">
      <w:pPr>
        <w:ind w:firstLine="480" w:firstLineChars="200"/>
        <w:rPr>
          <w:rFonts w:hint="eastAsia" w:cs="宋体"/>
          <w:kern w:val="0"/>
          <w:szCs w:val="24"/>
        </w:rPr>
      </w:pPr>
    </w:p>
    <w:p w14:paraId="45237386">
      <w:pPr>
        <w:rPr>
          <w:rFonts w:hint="eastAsia" w:cs="宋体"/>
          <w:kern w:val="0"/>
          <w:szCs w:val="24"/>
        </w:rPr>
      </w:pPr>
      <w:r>
        <w:rPr>
          <w:rFonts w:hint="eastAsia" w:cs="宋体"/>
          <w:kern w:val="0"/>
          <w:szCs w:val="24"/>
        </w:rPr>
        <w:br w:type="page"/>
      </w:r>
    </w:p>
    <w:bookmarkEnd w:id="389"/>
    <w:bookmarkEnd w:id="390"/>
    <w:p w14:paraId="7C13AA5A">
      <w:pPr>
        <w:pStyle w:val="5"/>
        <w:rPr>
          <w:rFonts w:hint="eastAsia"/>
        </w:rPr>
      </w:pPr>
      <w:bookmarkStart w:id="391" w:name="_Toc16010"/>
      <w:r>
        <w:rPr>
          <w:rFonts w:hint="eastAsia"/>
        </w:rPr>
        <w:t>（二） 政府采购供应商信用承诺函</w:t>
      </w:r>
      <w:bookmarkEnd w:id="391"/>
    </w:p>
    <w:p w14:paraId="197B3443">
      <w:pPr>
        <w:spacing w:line="560" w:lineRule="exact"/>
        <w:rPr>
          <w:rFonts w:hint="eastAsia" w:cs="宋体"/>
          <w:kern w:val="0"/>
          <w:szCs w:val="24"/>
        </w:rPr>
      </w:pPr>
      <w:r>
        <w:rPr>
          <w:rFonts w:hint="eastAsia" w:cs="宋体"/>
          <w:kern w:val="0"/>
          <w:szCs w:val="24"/>
        </w:rPr>
        <w:t>单位名称（自然人姓名）：</w:t>
      </w:r>
    </w:p>
    <w:p w14:paraId="2690A1AB">
      <w:pPr>
        <w:spacing w:line="560" w:lineRule="exact"/>
        <w:rPr>
          <w:rFonts w:hint="eastAsia" w:cs="宋体"/>
          <w:kern w:val="0"/>
          <w:szCs w:val="24"/>
        </w:rPr>
      </w:pPr>
      <w:r>
        <w:rPr>
          <w:rFonts w:hint="eastAsia" w:cs="宋体"/>
          <w:kern w:val="0"/>
          <w:szCs w:val="24"/>
        </w:rPr>
        <w:t>统一社会信用代码（身份证号码）：</w:t>
      </w:r>
    </w:p>
    <w:p w14:paraId="1596E0DC">
      <w:pPr>
        <w:spacing w:line="560" w:lineRule="exact"/>
        <w:rPr>
          <w:rFonts w:hint="eastAsia" w:cs="宋体"/>
          <w:kern w:val="0"/>
          <w:szCs w:val="24"/>
        </w:rPr>
      </w:pPr>
      <w:r>
        <w:rPr>
          <w:rFonts w:hint="eastAsia" w:cs="宋体"/>
          <w:kern w:val="0"/>
          <w:szCs w:val="24"/>
        </w:rPr>
        <w:t>法定代表人（负责人）：</w:t>
      </w:r>
    </w:p>
    <w:p w14:paraId="583D1330">
      <w:pPr>
        <w:spacing w:line="560" w:lineRule="exact"/>
        <w:ind w:firstLine="480" w:firstLineChars="200"/>
        <w:rPr>
          <w:rFonts w:hint="eastAsia" w:cs="宋体"/>
          <w:kern w:val="0"/>
          <w:szCs w:val="24"/>
        </w:rPr>
      </w:pPr>
    </w:p>
    <w:p w14:paraId="3A160C47">
      <w:pPr>
        <w:spacing w:line="560" w:lineRule="exact"/>
        <w:ind w:firstLine="480" w:firstLineChars="200"/>
        <w:rPr>
          <w:rFonts w:hint="eastAsia" w:cs="宋体"/>
          <w:kern w:val="0"/>
          <w:szCs w:val="24"/>
        </w:rPr>
      </w:pPr>
      <w:r>
        <w:rPr>
          <w:rFonts w:hint="eastAsia" w:cs="宋体"/>
          <w:kern w:val="0"/>
          <w:szCs w:val="24"/>
        </w:rPr>
        <w:t xml:space="preserve">我单位（本人）自愿参加本次政府采购活动，严格遵守《中华人民共和国政府采购法》及相关法律法规，坚守公开、公平、公正和诚实信用等原则，依法诚信经营，并郑重承诺：    </w:t>
      </w:r>
    </w:p>
    <w:p w14:paraId="7AE1D296">
      <w:pPr>
        <w:spacing w:line="560" w:lineRule="exact"/>
        <w:ind w:firstLine="480" w:firstLineChars="200"/>
        <w:rPr>
          <w:rFonts w:hint="eastAsia" w:cs="宋体"/>
          <w:kern w:val="0"/>
          <w:szCs w:val="24"/>
        </w:rPr>
      </w:pPr>
      <w:r>
        <w:rPr>
          <w:rFonts w:hint="eastAsia" w:cs="宋体"/>
          <w:kern w:val="0"/>
          <w:szCs w:val="24"/>
        </w:rPr>
        <w:t>一、我单位（本人）符合《中华人民共和国政府采购法》第二十二条规定：</w:t>
      </w:r>
    </w:p>
    <w:p w14:paraId="4458B9AE">
      <w:pPr>
        <w:spacing w:line="560" w:lineRule="exact"/>
        <w:ind w:firstLine="480" w:firstLineChars="200"/>
        <w:rPr>
          <w:rFonts w:hint="eastAsia" w:cs="宋体"/>
          <w:kern w:val="0"/>
          <w:szCs w:val="24"/>
        </w:rPr>
      </w:pPr>
      <w:r>
        <w:rPr>
          <w:rFonts w:hint="eastAsia" w:cs="宋体"/>
          <w:kern w:val="0"/>
          <w:szCs w:val="24"/>
        </w:rPr>
        <w:t>（一）具有独立承担民事责任的能力；</w:t>
      </w:r>
    </w:p>
    <w:p w14:paraId="1AD82559">
      <w:pPr>
        <w:spacing w:line="560" w:lineRule="exact"/>
        <w:ind w:firstLine="480" w:firstLineChars="200"/>
        <w:rPr>
          <w:rFonts w:hint="eastAsia" w:cs="宋体"/>
          <w:kern w:val="0"/>
          <w:szCs w:val="24"/>
        </w:rPr>
      </w:pPr>
      <w:r>
        <w:rPr>
          <w:rFonts w:hint="eastAsia" w:cs="宋体"/>
          <w:kern w:val="0"/>
          <w:szCs w:val="24"/>
        </w:rPr>
        <w:t>（二）具有良好的商业信誉和健全的财务会计制度；</w:t>
      </w:r>
    </w:p>
    <w:p w14:paraId="711D98B4">
      <w:pPr>
        <w:spacing w:line="560" w:lineRule="exact"/>
        <w:ind w:firstLine="480" w:firstLineChars="200"/>
        <w:rPr>
          <w:rFonts w:hint="eastAsia" w:cs="宋体"/>
          <w:kern w:val="0"/>
          <w:szCs w:val="24"/>
        </w:rPr>
      </w:pPr>
      <w:r>
        <w:rPr>
          <w:rFonts w:hint="eastAsia" w:cs="宋体"/>
          <w:kern w:val="0"/>
          <w:szCs w:val="24"/>
        </w:rPr>
        <w:t>（三）具有履行合同所必需的设备和专业技术能力；</w:t>
      </w:r>
    </w:p>
    <w:p w14:paraId="17781546">
      <w:pPr>
        <w:spacing w:line="560" w:lineRule="exact"/>
        <w:ind w:firstLine="480" w:firstLineChars="200"/>
        <w:rPr>
          <w:rFonts w:hint="eastAsia" w:cs="宋体"/>
          <w:kern w:val="0"/>
          <w:szCs w:val="24"/>
        </w:rPr>
      </w:pPr>
      <w:r>
        <w:rPr>
          <w:rFonts w:hint="eastAsia" w:cs="宋体"/>
          <w:kern w:val="0"/>
          <w:szCs w:val="24"/>
        </w:rPr>
        <w:t>（四）有依法缴纳税收和社会保障资金的良好记录；</w:t>
      </w:r>
    </w:p>
    <w:p w14:paraId="74D4D6D9">
      <w:pPr>
        <w:spacing w:line="560" w:lineRule="exact"/>
        <w:ind w:firstLine="480" w:firstLineChars="200"/>
        <w:rPr>
          <w:rFonts w:hint="eastAsia" w:cs="宋体"/>
          <w:kern w:val="0"/>
          <w:szCs w:val="24"/>
        </w:rPr>
      </w:pPr>
      <w:r>
        <w:rPr>
          <w:rFonts w:hint="eastAsia" w:cs="宋体"/>
          <w:kern w:val="0"/>
          <w:szCs w:val="24"/>
        </w:rPr>
        <w:t>（五）参加政府采购活动前三年内，在经营活动中没有重大违法记录；</w:t>
      </w:r>
    </w:p>
    <w:p w14:paraId="24433A6B">
      <w:pPr>
        <w:spacing w:line="560" w:lineRule="exact"/>
        <w:ind w:firstLine="480" w:firstLineChars="200"/>
        <w:rPr>
          <w:rFonts w:hint="eastAsia" w:cs="宋体"/>
          <w:kern w:val="0"/>
          <w:szCs w:val="24"/>
        </w:rPr>
      </w:pPr>
      <w:r>
        <w:rPr>
          <w:rFonts w:hint="eastAsia" w:cs="宋体"/>
          <w:kern w:val="0"/>
          <w:szCs w:val="24"/>
        </w:rPr>
        <w:t>（六）符合法律、行政法规规定的其他条件。</w:t>
      </w:r>
    </w:p>
    <w:p w14:paraId="4224F0D0">
      <w:pPr>
        <w:spacing w:line="560" w:lineRule="exact"/>
        <w:ind w:firstLine="480" w:firstLineChars="200"/>
        <w:rPr>
          <w:rFonts w:hint="eastAsia" w:cs="宋体"/>
          <w:kern w:val="0"/>
          <w:szCs w:val="24"/>
        </w:rPr>
      </w:pPr>
      <w:r>
        <w:rPr>
          <w:rFonts w:hint="eastAsia" w:cs="宋体"/>
          <w:kern w:val="0"/>
          <w:szCs w:val="24"/>
        </w:rPr>
        <w:t>二、我单位（本人）未被列入严重违法失信名单、失信被执行人名单、重大税收违法失信主体、政府采购严重违法失信行为记录名单。</w:t>
      </w:r>
    </w:p>
    <w:p w14:paraId="1E374284">
      <w:pPr>
        <w:spacing w:line="560" w:lineRule="exact"/>
        <w:ind w:firstLine="480" w:firstLineChars="200"/>
        <w:rPr>
          <w:rFonts w:hint="eastAsia" w:cs="宋体"/>
          <w:kern w:val="0"/>
          <w:szCs w:val="24"/>
        </w:rPr>
      </w:pPr>
      <w:r>
        <w:rPr>
          <w:rFonts w:hint="eastAsia" w:cs="宋体"/>
          <w:kern w:val="0"/>
          <w:szCs w:val="24"/>
        </w:rPr>
        <w:t>三、如果本公司（本人）有幸中标（成交），在合同签订之前，采购单位有权要求本公司（本人）提供资格证明材料原件进行核验。</w:t>
      </w:r>
    </w:p>
    <w:p w14:paraId="48FF8B75">
      <w:pPr>
        <w:spacing w:line="560" w:lineRule="exact"/>
        <w:ind w:firstLine="480" w:firstLineChars="200"/>
        <w:rPr>
          <w:rFonts w:hint="eastAsia" w:cs="宋体"/>
          <w:kern w:val="0"/>
          <w:szCs w:val="24"/>
        </w:rPr>
      </w:pPr>
      <w:r>
        <w:rPr>
          <w:rFonts w:hint="eastAsia" w:cs="宋体"/>
          <w:kern w:val="0"/>
          <w:szCs w:val="24"/>
        </w:rPr>
        <w:t>四、我单位（本人）保证上述承诺事项的真实性。如有弄虚作假或其他违法违规行为，自愿按照规定将违背承诺行为作为失信行为记录到社会信用信息平台，并视同为“提供虚假材料谋取中标、成交”按照《</w:t>
      </w:r>
      <w:r>
        <w:rPr>
          <w:rFonts w:hint="eastAsia"/>
        </w:rPr>
        <w:t>中华人民共和国政府采购法</w:t>
      </w:r>
      <w:r>
        <w:rPr>
          <w:rFonts w:hint="eastAsia" w:cs="宋体"/>
          <w:kern w:val="0"/>
          <w:szCs w:val="24"/>
        </w:rPr>
        <w:t>》第七十七条、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0E95E89D">
      <w:pPr>
        <w:spacing w:line="560" w:lineRule="exact"/>
        <w:rPr>
          <w:rFonts w:hint="eastAsia" w:cs="宋体"/>
          <w:kern w:val="0"/>
          <w:szCs w:val="24"/>
        </w:rPr>
      </w:pPr>
    </w:p>
    <w:p w14:paraId="28099219">
      <w:pPr>
        <w:spacing w:line="560" w:lineRule="exact"/>
        <w:rPr>
          <w:rFonts w:hint="eastAsia" w:cs="宋体"/>
          <w:kern w:val="0"/>
          <w:szCs w:val="24"/>
        </w:rPr>
      </w:pPr>
    </w:p>
    <w:p w14:paraId="1236925D">
      <w:pPr>
        <w:spacing w:line="560" w:lineRule="exact"/>
        <w:rPr>
          <w:rFonts w:hint="eastAsia" w:cs="宋体"/>
          <w:kern w:val="0"/>
          <w:szCs w:val="24"/>
        </w:rPr>
      </w:pPr>
      <w:r>
        <w:rPr>
          <w:rFonts w:hint="eastAsia" w:cs="宋体"/>
          <w:kern w:val="0"/>
          <w:szCs w:val="24"/>
        </w:rPr>
        <w:t>供应商名称（公章）：</w:t>
      </w:r>
    </w:p>
    <w:p w14:paraId="5299C5FD">
      <w:pPr>
        <w:spacing w:line="560" w:lineRule="exact"/>
        <w:rPr>
          <w:rFonts w:hint="eastAsia" w:cs="宋体"/>
          <w:kern w:val="0"/>
          <w:szCs w:val="24"/>
        </w:rPr>
      </w:pPr>
      <w:r>
        <w:rPr>
          <w:rFonts w:hint="eastAsia" w:cs="宋体"/>
          <w:kern w:val="0"/>
          <w:szCs w:val="24"/>
        </w:rPr>
        <w:t>法定代表人（负责人或本人）或授权代表（签字或盖章）：</w:t>
      </w:r>
    </w:p>
    <w:p w14:paraId="704D4A55">
      <w:pPr>
        <w:spacing w:line="560" w:lineRule="exact"/>
        <w:rPr>
          <w:rFonts w:hint="eastAsia" w:cs="宋体"/>
          <w:kern w:val="0"/>
          <w:szCs w:val="24"/>
        </w:rPr>
      </w:pPr>
      <w:r>
        <w:rPr>
          <w:rFonts w:hint="eastAsia" w:cs="宋体"/>
          <w:kern w:val="0"/>
          <w:szCs w:val="24"/>
        </w:rPr>
        <w:t>日期： 年 月 日</w:t>
      </w:r>
    </w:p>
    <w:p w14:paraId="60298D66">
      <w:pPr>
        <w:widowControl/>
        <w:spacing w:line="560" w:lineRule="exact"/>
        <w:ind w:firstLine="630"/>
        <w:rPr>
          <w:rFonts w:hint="eastAsia" w:cs="宋体"/>
          <w:kern w:val="0"/>
          <w:szCs w:val="24"/>
        </w:rPr>
      </w:pPr>
    </w:p>
    <w:p w14:paraId="352258E6">
      <w:pPr>
        <w:rPr>
          <w:rFonts w:ascii="Arial" w:hAnsi="Arial" w:cs="Arial"/>
          <w:szCs w:val="21"/>
        </w:rPr>
      </w:pPr>
      <w:r>
        <w:rPr>
          <w:rFonts w:ascii="Arial" w:hAnsi="Arial" w:cs="Arial"/>
          <w:szCs w:val="21"/>
        </w:rPr>
        <w:br w:type="page"/>
      </w:r>
    </w:p>
    <w:p w14:paraId="01B9370A">
      <w:pPr>
        <w:pStyle w:val="4"/>
        <w:rPr>
          <w:rFonts w:hint="eastAsia"/>
          <w:sz w:val="28"/>
          <w:szCs w:val="28"/>
          <w:lang w:val="zh-CN"/>
        </w:rPr>
      </w:pPr>
      <w:bookmarkStart w:id="392" w:name="_Toc155185930"/>
      <w:bookmarkStart w:id="393" w:name="_Toc109899917"/>
      <w:bookmarkStart w:id="394" w:name="_Toc163492923"/>
      <w:bookmarkStart w:id="395" w:name="_Toc140132840"/>
      <w:bookmarkStart w:id="396" w:name="_Toc109899498"/>
      <w:bookmarkStart w:id="397" w:name="_Toc27648"/>
      <w:bookmarkStart w:id="398" w:name="_Toc109900336"/>
      <w:r>
        <w:rPr>
          <w:rFonts w:hint="eastAsia"/>
          <w:sz w:val="28"/>
          <w:szCs w:val="28"/>
        </w:rPr>
        <w:t>二、</w:t>
      </w:r>
      <w:bookmarkEnd w:id="392"/>
      <w:bookmarkEnd w:id="393"/>
      <w:bookmarkEnd w:id="394"/>
      <w:bookmarkEnd w:id="395"/>
      <w:bookmarkEnd w:id="396"/>
      <w:bookmarkEnd w:id="397"/>
      <w:bookmarkEnd w:id="398"/>
      <w:r>
        <w:rPr>
          <w:rFonts w:hint="eastAsia"/>
          <w:sz w:val="28"/>
          <w:szCs w:val="28"/>
          <w:lang w:val="en-US" w:eastAsia="zh-CN"/>
        </w:rPr>
        <w:t>中小企业声明函（货物）</w:t>
      </w:r>
    </w:p>
    <w:p w14:paraId="6394DA7D">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本公司(联合体)郑重声明， 根据《政府采购促进中小企业发展管理办法》 (财 库(2020) 46 号)的规定，本公司(联合体)参加</w:t>
      </w:r>
      <w:r>
        <w:rPr>
          <w:rFonts w:hint="eastAsia" w:ascii="宋体" w:hAnsi="宋体" w:eastAsia="宋体" w:cs="宋体"/>
          <w:kern w:val="0"/>
          <w:szCs w:val="24"/>
          <w:u w:val="single"/>
        </w:rPr>
        <w:t xml:space="preserve"> (单位名称) </w:t>
      </w:r>
      <w:r>
        <w:rPr>
          <w:rFonts w:hint="eastAsia" w:ascii="宋体" w:hAnsi="宋体" w:eastAsia="宋体" w:cs="宋体"/>
          <w:kern w:val="0"/>
          <w:szCs w:val="24"/>
        </w:rPr>
        <w:t>的</w:t>
      </w:r>
      <w:r>
        <w:rPr>
          <w:rFonts w:hint="eastAsia" w:ascii="宋体" w:hAnsi="宋体" w:eastAsia="宋体" w:cs="宋体"/>
          <w:kern w:val="0"/>
          <w:szCs w:val="24"/>
          <w:u w:val="single"/>
        </w:rPr>
        <w:t xml:space="preserve"> (项目名称)</w:t>
      </w:r>
      <w:r>
        <w:rPr>
          <w:rFonts w:hint="eastAsia" w:ascii="宋体" w:hAnsi="宋体" w:eastAsia="宋体" w:cs="宋体"/>
          <w:kern w:val="0"/>
          <w:szCs w:val="24"/>
        </w:rPr>
        <w:t xml:space="preserve">  采购活动，提供的货物全部由符合政策要求的中小企业制造。相关企业(含联合 体中的中小企业、签订分包意向协议的中小企业) 的具体情况如下：</w:t>
      </w:r>
    </w:p>
    <w:p w14:paraId="3ADF2588">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1.</w:t>
      </w:r>
      <w:r>
        <w:rPr>
          <w:rFonts w:hint="eastAsia" w:ascii="宋体" w:hAnsi="宋体" w:eastAsia="宋体" w:cs="宋体"/>
          <w:kern w:val="0"/>
          <w:szCs w:val="24"/>
          <w:u w:val="single"/>
        </w:rPr>
        <w:t xml:space="preserve"> (标的名称) </w:t>
      </w:r>
      <w:r>
        <w:rPr>
          <w:rFonts w:hint="eastAsia" w:ascii="宋体" w:hAnsi="宋体" w:eastAsia="宋体" w:cs="宋体"/>
          <w:kern w:val="0"/>
          <w:szCs w:val="24"/>
        </w:rPr>
        <w:t>，属于</w:t>
      </w:r>
      <w:r>
        <w:rPr>
          <w:rFonts w:hint="eastAsia" w:ascii="宋体" w:hAnsi="宋体" w:eastAsia="宋体" w:cs="宋体"/>
          <w:kern w:val="0"/>
          <w:szCs w:val="24"/>
          <w:u w:val="single"/>
        </w:rPr>
        <w:t xml:space="preserve"> (采购文件中明确的所属行业) </w:t>
      </w:r>
      <w:r>
        <w:rPr>
          <w:rFonts w:hint="eastAsia" w:ascii="宋体" w:hAnsi="宋体" w:eastAsia="宋体" w:cs="宋体"/>
          <w:kern w:val="0"/>
          <w:szCs w:val="24"/>
        </w:rPr>
        <w:t>行业；制造商为</w:t>
      </w:r>
      <w:r>
        <w:rPr>
          <w:rFonts w:hint="eastAsia" w:ascii="宋体" w:hAnsi="宋体" w:eastAsia="宋体" w:cs="宋体"/>
          <w:kern w:val="0"/>
          <w:szCs w:val="24"/>
          <w:u w:val="single"/>
        </w:rPr>
        <w:t xml:space="preserve"> (企 业名称) </w:t>
      </w:r>
      <w:r>
        <w:rPr>
          <w:rFonts w:hint="eastAsia" w:ascii="宋体" w:hAnsi="宋体" w:eastAsia="宋体" w:cs="宋体"/>
          <w:kern w:val="0"/>
          <w:szCs w:val="24"/>
        </w:rPr>
        <w:t>，  从业人员</w:t>
      </w:r>
      <w:r>
        <w:rPr>
          <w:rFonts w:hint="eastAsia" w:ascii="宋体" w:hAnsi="宋体" w:eastAsia="宋体" w:cs="宋体"/>
          <w:kern w:val="0"/>
          <w:szCs w:val="24"/>
          <w:u w:val="single"/>
        </w:rPr>
        <w:t xml:space="preserve">     </w:t>
      </w:r>
      <w:r>
        <w:rPr>
          <w:rFonts w:hint="eastAsia" w:ascii="宋体" w:hAnsi="宋体" w:eastAsia="宋体" w:cs="宋体"/>
          <w:kern w:val="0"/>
          <w:szCs w:val="24"/>
        </w:rPr>
        <w:t>人，营业收入为</w:t>
      </w:r>
      <w:r>
        <w:rPr>
          <w:rFonts w:hint="eastAsia" w:ascii="宋体" w:hAnsi="宋体" w:eastAsia="宋体" w:cs="宋体"/>
          <w:kern w:val="0"/>
          <w:szCs w:val="24"/>
          <w:u w:val="single"/>
        </w:rPr>
        <w:t xml:space="preserve">   </w:t>
      </w:r>
      <w:r>
        <w:rPr>
          <w:rFonts w:hint="eastAsia" w:ascii="宋体" w:hAnsi="宋体" w:eastAsia="宋体" w:cs="宋体"/>
          <w:kern w:val="0"/>
          <w:szCs w:val="24"/>
        </w:rPr>
        <w:t>万元，资产总额为</w:t>
      </w:r>
      <w:r>
        <w:rPr>
          <w:rFonts w:hint="eastAsia" w:ascii="宋体" w:hAnsi="宋体" w:eastAsia="宋体" w:cs="宋体"/>
          <w:kern w:val="0"/>
          <w:szCs w:val="24"/>
          <w:u w:val="single"/>
          <w:lang w:val="en-US" w:eastAsia="zh-CN"/>
        </w:rPr>
        <w:t xml:space="preserve">   </w:t>
      </w:r>
      <w:r>
        <w:rPr>
          <w:rFonts w:hint="eastAsia" w:ascii="宋体" w:hAnsi="宋体" w:eastAsia="宋体" w:cs="宋体"/>
          <w:kern w:val="0"/>
          <w:szCs w:val="24"/>
        </w:rPr>
        <w:t>万元，  属于</w:t>
      </w:r>
      <w:r>
        <w:rPr>
          <w:rFonts w:hint="eastAsia" w:ascii="宋体" w:hAnsi="宋体" w:eastAsia="宋体" w:cs="宋体"/>
          <w:kern w:val="0"/>
          <w:szCs w:val="24"/>
          <w:u w:val="single"/>
        </w:rPr>
        <w:t xml:space="preserve"> (中型企业、小型企业、微型企业) </w:t>
      </w:r>
      <w:r>
        <w:rPr>
          <w:rFonts w:hint="eastAsia" w:ascii="宋体" w:hAnsi="宋体" w:eastAsia="宋体" w:cs="宋体"/>
          <w:kern w:val="0"/>
          <w:szCs w:val="24"/>
        </w:rPr>
        <w:t>。</w:t>
      </w:r>
    </w:p>
    <w:p w14:paraId="2739FDA1">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2.</w:t>
      </w:r>
      <w:r>
        <w:rPr>
          <w:rFonts w:hint="eastAsia" w:ascii="宋体" w:hAnsi="宋体" w:eastAsia="宋体" w:cs="宋体"/>
          <w:kern w:val="0"/>
          <w:szCs w:val="24"/>
          <w:u w:val="single"/>
        </w:rPr>
        <w:t xml:space="preserve"> (标的名称) </w:t>
      </w:r>
      <w:r>
        <w:rPr>
          <w:rFonts w:hint="eastAsia" w:ascii="宋体" w:hAnsi="宋体" w:eastAsia="宋体" w:cs="宋体"/>
          <w:kern w:val="0"/>
          <w:szCs w:val="24"/>
        </w:rPr>
        <w:t>，属于</w:t>
      </w:r>
      <w:r>
        <w:rPr>
          <w:rFonts w:hint="eastAsia" w:ascii="宋体" w:hAnsi="宋体" w:eastAsia="宋体" w:cs="宋体"/>
          <w:kern w:val="0"/>
          <w:szCs w:val="24"/>
          <w:u w:val="single"/>
        </w:rPr>
        <w:t xml:space="preserve"> (采购文件中明确的所属行业) </w:t>
      </w:r>
      <w:r>
        <w:rPr>
          <w:rFonts w:hint="eastAsia" w:ascii="宋体" w:hAnsi="宋体" w:eastAsia="宋体" w:cs="宋体"/>
          <w:kern w:val="0"/>
          <w:szCs w:val="24"/>
        </w:rPr>
        <w:t>行业；制造商为</w:t>
      </w:r>
      <w:r>
        <w:rPr>
          <w:rFonts w:hint="eastAsia" w:ascii="宋体" w:hAnsi="宋体" w:eastAsia="宋体" w:cs="宋体"/>
          <w:kern w:val="0"/>
          <w:szCs w:val="24"/>
          <w:u w:val="single"/>
        </w:rPr>
        <w:t xml:space="preserve"> (企 业名称) </w:t>
      </w:r>
      <w:r>
        <w:rPr>
          <w:rFonts w:hint="eastAsia" w:ascii="宋体" w:hAnsi="宋体" w:eastAsia="宋体" w:cs="宋体"/>
          <w:kern w:val="0"/>
          <w:szCs w:val="24"/>
        </w:rPr>
        <w:t>，  从业人员</w:t>
      </w:r>
      <w:r>
        <w:rPr>
          <w:rFonts w:hint="eastAsia" w:ascii="宋体" w:hAnsi="宋体" w:eastAsia="宋体" w:cs="宋体"/>
          <w:kern w:val="0"/>
          <w:szCs w:val="24"/>
          <w:u w:val="single"/>
        </w:rPr>
        <w:t xml:space="preserve">      </w:t>
      </w:r>
      <w:r>
        <w:rPr>
          <w:rFonts w:hint="eastAsia" w:ascii="宋体" w:hAnsi="宋体" w:eastAsia="宋体" w:cs="宋体"/>
          <w:kern w:val="0"/>
          <w:szCs w:val="24"/>
        </w:rPr>
        <w:t>人， 营业收入为</w:t>
      </w:r>
      <w:r>
        <w:rPr>
          <w:rFonts w:hint="eastAsia" w:ascii="宋体" w:hAnsi="宋体" w:eastAsia="宋体" w:cs="宋体"/>
          <w:kern w:val="0"/>
          <w:szCs w:val="24"/>
          <w:u w:val="single"/>
        </w:rPr>
        <w:t xml:space="preserve">      </w:t>
      </w:r>
      <w:r>
        <w:rPr>
          <w:rFonts w:hint="eastAsia" w:ascii="宋体" w:hAnsi="宋体" w:eastAsia="宋体" w:cs="宋体"/>
          <w:kern w:val="0"/>
          <w:szCs w:val="24"/>
        </w:rPr>
        <w:t>万元，资产总额为</w:t>
      </w:r>
      <w:r>
        <w:rPr>
          <w:rFonts w:hint="eastAsia" w:ascii="宋体" w:hAnsi="宋体" w:eastAsia="宋体" w:cs="宋体"/>
          <w:kern w:val="0"/>
          <w:szCs w:val="24"/>
          <w:u w:val="single"/>
        </w:rPr>
        <w:t xml:space="preserve">     </w:t>
      </w:r>
      <w:r>
        <w:rPr>
          <w:rFonts w:hint="eastAsia" w:ascii="宋体" w:hAnsi="宋体" w:eastAsia="宋体" w:cs="宋体"/>
          <w:kern w:val="0"/>
          <w:szCs w:val="24"/>
        </w:rPr>
        <w:t>万元， 属于</w:t>
      </w:r>
      <w:r>
        <w:rPr>
          <w:rFonts w:hint="eastAsia" w:ascii="宋体" w:hAnsi="宋体" w:eastAsia="宋体" w:cs="宋体"/>
          <w:kern w:val="0"/>
          <w:szCs w:val="24"/>
          <w:u w:val="single"/>
        </w:rPr>
        <w:t xml:space="preserve"> (中型企业、小型企业、微型企业) </w:t>
      </w:r>
      <w:r>
        <w:rPr>
          <w:rFonts w:hint="eastAsia" w:ascii="宋体" w:hAnsi="宋体" w:eastAsia="宋体" w:cs="宋体"/>
          <w:kern w:val="0"/>
          <w:szCs w:val="24"/>
        </w:rPr>
        <w:t>；</w:t>
      </w:r>
    </w:p>
    <w:p w14:paraId="721C739A">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以上企业，不属于大企业的分支机构，不存在控股股东为大企业的情形，也 不存在与大企业的负责人为同一人的情形。</w:t>
      </w:r>
    </w:p>
    <w:p w14:paraId="63A61512">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本企业对上述声明内容的真实性负责。如有虚假，将依法承担相应责任。</w:t>
      </w:r>
    </w:p>
    <w:p w14:paraId="57C0BA97">
      <w:pPr>
        <w:spacing w:line="560" w:lineRule="exact"/>
        <w:ind w:firstLine="480" w:firstLineChars="200"/>
        <w:rPr>
          <w:rFonts w:hint="eastAsia" w:ascii="宋体" w:hAnsi="宋体" w:eastAsia="宋体" w:cs="宋体"/>
          <w:kern w:val="0"/>
          <w:szCs w:val="24"/>
        </w:rPr>
      </w:pPr>
    </w:p>
    <w:p w14:paraId="5A68B980">
      <w:pPr>
        <w:spacing w:line="560" w:lineRule="exact"/>
        <w:ind w:firstLine="480" w:firstLineChars="200"/>
        <w:rPr>
          <w:rFonts w:hint="eastAsia" w:ascii="宋体" w:hAnsi="宋体" w:eastAsia="宋体" w:cs="宋体"/>
          <w:kern w:val="0"/>
          <w:szCs w:val="24"/>
        </w:rPr>
      </w:pPr>
    </w:p>
    <w:p w14:paraId="4E834D98">
      <w:pPr>
        <w:spacing w:line="560" w:lineRule="exact"/>
        <w:ind w:firstLine="480" w:firstLineChars="200"/>
        <w:jc w:val="right"/>
        <w:rPr>
          <w:rFonts w:hint="eastAsia" w:ascii="宋体" w:hAnsi="宋体" w:eastAsia="宋体" w:cs="宋体"/>
          <w:kern w:val="0"/>
          <w:szCs w:val="24"/>
          <w:lang w:eastAsia="zh-CN"/>
        </w:rPr>
      </w:pPr>
      <w:r>
        <w:rPr>
          <w:rFonts w:hint="eastAsia" w:ascii="宋体" w:hAnsi="宋体" w:eastAsia="宋体" w:cs="宋体"/>
          <w:kern w:val="0"/>
          <w:szCs w:val="24"/>
        </w:rPr>
        <w:t>企业名称(盖章)</w:t>
      </w:r>
      <w:r>
        <w:rPr>
          <w:rFonts w:hint="eastAsia" w:ascii="宋体" w:hAnsi="宋体" w:eastAsia="宋体" w:cs="宋体"/>
          <w:kern w:val="0"/>
          <w:szCs w:val="24"/>
          <w:lang w:eastAsia="zh-CN"/>
        </w:rPr>
        <w:t>：</w:t>
      </w:r>
    </w:p>
    <w:p w14:paraId="691433EC">
      <w:pPr>
        <w:spacing w:line="560" w:lineRule="exact"/>
        <w:ind w:firstLine="480" w:firstLineChars="200"/>
        <w:jc w:val="right"/>
        <w:rPr>
          <w:rFonts w:hint="eastAsia" w:ascii="宋体" w:hAnsi="宋体" w:eastAsia="宋体" w:cs="宋体"/>
          <w:kern w:val="0"/>
          <w:szCs w:val="24"/>
        </w:rPr>
      </w:pPr>
      <w:r>
        <w:rPr>
          <w:rFonts w:hint="eastAsia" w:ascii="宋体" w:hAnsi="宋体" w:eastAsia="宋体" w:cs="宋体"/>
          <w:kern w:val="0"/>
          <w:szCs w:val="24"/>
        </w:rPr>
        <w:t>日期：</w:t>
      </w:r>
    </w:p>
    <w:p w14:paraId="307830B6">
      <w:pPr>
        <w:spacing w:line="560" w:lineRule="exact"/>
        <w:rPr>
          <w:rFonts w:hint="eastAsia" w:ascii="宋体" w:hAnsi="宋体" w:eastAsia="宋体" w:cs="宋体"/>
          <w:kern w:val="0"/>
          <w:szCs w:val="24"/>
        </w:rPr>
      </w:pPr>
    </w:p>
    <w:p w14:paraId="4AE789D7">
      <w:pPr>
        <w:spacing w:before="156" w:beforeLines="50" w:after="156" w:afterLines="50"/>
        <w:ind w:left="2520" w:leftChars="1050"/>
        <w:rPr>
          <w:rFonts w:hint="eastAsia" w:cs="Tahoma"/>
          <w:u w:val="single"/>
        </w:rPr>
      </w:pPr>
      <w:r>
        <w:rPr>
          <w:rFonts w:cs="Tahoma"/>
          <w:u w:val="single"/>
        </w:rPr>
        <w:br w:type="page"/>
      </w:r>
    </w:p>
    <w:p w14:paraId="2F9FCA0F">
      <w:pPr>
        <w:pStyle w:val="4"/>
        <w:rPr>
          <w:rFonts w:hint="eastAsia"/>
          <w:sz w:val="28"/>
          <w:szCs w:val="28"/>
          <w:lang w:val="zh-CN"/>
        </w:rPr>
      </w:pPr>
      <w:bookmarkStart w:id="399" w:name="_Toc156490356"/>
      <w:bookmarkStart w:id="400" w:name="_Toc21011"/>
      <w:bookmarkStart w:id="401" w:name="_Toc163492925"/>
      <w:bookmarkStart w:id="402" w:name="_Toc162299566"/>
      <w:r>
        <w:rPr>
          <w:rFonts w:hint="eastAsia"/>
          <w:sz w:val="28"/>
          <w:szCs w:val="28"/>
        </w:rPr>
        <w:t>三、</w:t>
      </w:r>
      <w:r>
        <w:rPr>
          <w:rFonts w:hint="eastAsia"/>
          <w:sz w:val="28"/>
          <w:szCs w:val="28"/>
          <w:lang w:val="zh-CN"/>
        </w:rPr>
        <w:t>分包意向协议书</w:t>
      </w:r>
      <w:bookmarkEnd w:id="399"/>
      <w:bookmarkEnd w:id="400"/>
      <w:bookmarkEnd w:id="401"/>
      <w:bookmarkEnd w:id="402"/>
    </w:p>
    <w:p w14:paraId="5E66F86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000000"/>
          <w:kern w:val="0"/>
          <w:sz w:val="32"/>
          <w:szCs w:val="32"/>
          <w:lang w:val="en-US" w:eastAsia="zh-CN" w:bidi="ar"/>
        </w:rPr>
      </w:pPr>
      <w:bookmarkStart w:id="403" w:name="_Toc27005"/>
      <w:bookmarkStart w:id="404" w:name="_Toc1771"/>
      <w:bookmarkStart w:id="405" w:name="_Hlk101169080"/>
      <w:r>
        <w:rPr>
          <w:rFonts w:hint="eastAsia" w:ascii="宋体" w:hAnsi="宋体" w:eastAsia="宋体" w:cs="宋体"/>
          <w:b/>
          <w:bCs/>
          <w:color w:val="000000"/>
          <w:kern w:val="0"/>
          <w:sz w:val="32"/>
          <w:szCs w:val="32"/>
          <w:lang w:val="en-US" w:eastAsia="zh-CN" w:bidi="ar"/>
        </w:rPr>
        <w:t>拟分包情况说明</w:t>
      </w:r>
    </w:p>
    <w:p w14:paraId="1DBC16C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000000"/>
          <w:kern w:val="0"/>
          <w:sz w:val="32"/>
          <w:szCs w:val="32"/>
          <w:lang w:val="en-US" w:eastAsia="zh-CN" w:bidi="ar"/>
        </w:rPr>
      </w:pPr>
    </w:p>
    <w:p w14:paraId="3DD718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致：</w:t>
      </w:r>
      <w:r>
        <w:rPr>
          <w:rFonts w:hint="eastAsia" w:ascii="宋体" w:hAnsi="宋体" w:eastAsia="宋体" w:cs="宋体"/>
          <w:color w:val="000000"/>
          <w:kern w:val="0"/>
          <w:sz w:val="24"/>
          <w:szCs w:val="24"/>
          <w:u w:val="single"/>
          <w:lang w:val="en-US" w:eastAsia="zh-CN" w:bidi="ar"/>
        </w:rPr>
        <w:t>（采购人或采购代理机构）</w:t>
      </w:r>
      <w:r>
        <w:rPr>
          <w:rFonts w:hint="eastAsia" w:ascii="宋体" w:hAnsi="宋体" w:eastAsia="宋体" w:cs="宋体"/>
          <w:color w:val="000000"/>
          <w:kern w:val="0"/>
          <w:sz w:val="24"/>
          <w:szCs w:val="24"/>
          <w:lang w:val="en-US" w:eastAsia="zh-CN" w:bidi="ar"/>
        </w:rPr>
        <w:t xml:space="preserve"> </w:t>
      </w:r>
    </w:p>
    <w:p w14:paraId="559AB5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我单位参加贵单位组织的项目编号为</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的</w:t>
      </w:r>
      <w:r>
        <w:rPr>
          <w:rFonts w:hint="eastAsia" w:ascii="宋体" w:hAnsi="宋体" w:eastAsia="宋体" w:cs="宋体"/>
          <w:color w:val="000000"/>
          <w:kern w:val="0"/>
          <w:sz w:val="24"/>
          <w:szCs w:val="24"/>
          <w:u w:val="single"/>
          <w:lang w:val="en-US" w:eastAsia="zh-CN" w:bidi="ar"/>
        </w:rPr>
        <w:t xml:space="preserve"> （填写采购项目名称）  </w:t>
      </w:r>
      <w:r>
        <w:rPr>
          <w:rFonts w:hint="eastAsia" w:ascii="宋体" w:hAnsi="宋体" w:eastAsia="宋体" w:cs="宋体"/>
          <w:color w:val="000000"/>
          <w:kern w:val="0"/>
          <w:sz w:val="24"/>
          <w:szCs w:val="24"/>
          <w:lang w:val="en-US" w:eastAsia="zh-CN" w:bidi="ar"/>
        </w:rPr>
        <w:t>项目中</w:t>
      </w:r>
      <w:r>
        <w:rPr>
          <w:rFonts w:hint="eastAsia" w:ascii="宋体" w:hAnsi="宋体" w:eastAsia="宋体" w:cs="宋体"/>
          <w:color w:val="000000"/>
          <w:kern w:val="0"/>
          <w:sz w:val="24"/>
          <w:szCs w:val="24"/>
          <w:u w:val="single"/>
          <w:lang w:val="en-US" w:eastAsia="zh-CN" w:bidi="ar"/>
        </w:rPr>
        <w:t xml:space="preserve"> （填写包号） </w:t>
      </w:r>
      <w:r>
        <w:rPr>
          <w:rFonts w:hint="eastAsia" w:ascii="宋体" w:hAnsi="宋体" w:eastAsia="宋体" w:cs="宋体"/>
          <w:color w:val="000000"/>
          <w:kern w:val="0"/>
          <w:sz w:val="24"/>
          <w:szCs w:val="24"/>
          <w:lang w:val="en-US" w:eastAsia="zh-CN" w:bidi="ar"/>
        </w:rPr>
        <w:t xml:space="preserve">包的采购活动。拟签订分包合同的单位情况如下表所示，我单 </w:t>
      </w:r>
    </w:p>
    <w:p w14:paraId="26A1036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位承诺一旦在该项目中获得采购合同将按下表所列情况进行分包，同时承诺分包承担主体不再次分包。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32F8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D97FAD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序号</w:t>
            </w:r>
          </w:p>
        </w:tc>
        <w:tc>
          <w:tcPr>
            <w:tcW w:w="1323" w:type="dxa"/>
            <w:vAlign w:val="center"/>
          </w:tcPr>
          <w:p w14:paraId="3C20B87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分包承担</w:t>
            </w:r>
          </w:p>
          <w:p w14:paraId="795A8C6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主体名称</w:t>
            </w:r>
          </w:p>
        </w:tc>
        <w:tc>
          <w:tcPr>
            <w:tcW w:w="1338" w:type="dxa"/>
            <w:vAlign w:val="center"/>
          </w:tcPr>
          <w:p w14:paraId="4E278B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分包承担</w:t>
            </w:r>
          </w:p>
          <w:p w14:paraId="26B00F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主体类型</w:t>
            </w:r>
          </w:p>
          <w:p w14:paraId="13A063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（勾选）</w:t>
            </w:r>
          </w:p>
        </w:tc>
        <w:tc>
          <w:tcPr>
            <w:tcW w:w="1123" w:type="dxa"/>
            <w:vAlign w:val="center"/>
          </w:tcPr>
          <w:p w14:paraId="7123ED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资质等级</w:t>
            </w:r>
          </w:p>
        </w:tc>
        <w:tc>
          <w:tcPr>
            <w:tcW w:w="1154" w:type="dxa"/>
            <w:vAlign w:val="center"/>
          </w:tcPr>
          <w:p w14:paraId="0C69D4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拟分包</w:t>
            </w:r>
          </w:p>
          <w:p w14:paraId="0B3B49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合同内容</w:t>
            </w:r>
          </w:p>
        </w:tc>
        <w:tc>
          <w:tcPr>
            <w:tcW w:w="1439" w:type="dxa"/>
            <w:vAlign w:val="center"/>
          </w:tcPr>
          <w:p w14:paraId="4C382C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拟分包</w:t>
            </w:r>
          </w:p>
          <w:p w14:paraId="18439A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合同金额</w:t>
            </w:r>
          </w:p>
          <w:p w14:paraId="36E013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（人民币元）</w:t>
            </w:r>
          </w:p>
        </w:tc>
        <w:tc>
          <w:tcPr>
            <w:tcW w:w="1422" w:type="dxa"/>
            <w:vAlign w:val="center"/>
          </w:tcPr>
          <w:p w14:paraId="2A967A3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占该采购包</w:t>
            </w:r>
            <w:r>
              <w:rPr>
                <w:rFonts w:hint="eastAsia" w:ascii="宋体" w:hAnsi="宋体" w:eastAsia="宋体" w:cs="宋体"/>
                <w:b/>
                <w:bCs/>
                <w:color w:val="000000"/>
                <w:kern w:val="0"/>
                <w:sz w:val="21"/>
                <w:szCs w:val="21"/>
                <w:lang w:val="en-US" w:eastAsia="zh-CN" w:bidi="ar"/>
              </w:rPr>
              <w:t>预算金额的</w:t>
            </w:r>
            <w:r>
              <w:rPr>
                <w:rFonts w:hint="eastAsia" w:ascii="宋体" w:hAnsi="宋体" w:eastAsia="宋体" w:cs="宋体"/>
                <w:color w:val="000000"/>
                <w:kern w:val="0"/>
                <w:sz w:val="21"/>
                <w:szCs w:val="21"/>
                <w:lang w:val="en-US" w:eastAsia="zh-CN" w:bidi="ar"/>
              </w:rPr>
              <w:t>比例（%）</w:t>
            </w:r>
          </w:p>
        </w:tc>
      </w:tr>
      <w:tr w14:paraId="666D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BD5651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1</w:t>
            </w:r>
          </w:p>
        </w:tc>
        <w:tc>
          <w:tcPr>
            <w:tcW w:w="1323" w:type="dxa"/>
            <w:vAlign w:val="center"/>
          </w:tcPr>
          <w:p w14:paraId="7CBEBC2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338" w:type="dxa"/>
            <w:vAlign w:val="center"/>
          </w:tcPr>
          <w:p w14:paraId="5FCE2383">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□中型企业</w:t>
            </w:r>
          </w:p>
          <w:p w14:paraId="639F6960">
            <w:pPr>
              <w:keepNext w:val="0"/>
              <w:keepLines w:val="0"/>
              <w:widowControl/>
              <w:suppressLineNumbers w:val="0"/>
              <w:jc w:val="center"/>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□小微企业</w:t>
            </w:r>
          </w:p>
        </w:tc>
        <w:tc>
          <w:tcPr>
            <w:tcW w:w="1123" w:type="dxa"/>
            <w:vAlign w:val="center"/>
          </w:tcPr>
          <w:p w14:paraId="14FA3DC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154" w:type="dxa"/>
            <w:vAlign w:val="center"/>
          </w:tcPr>
          <w:p w14:paraId="5370030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39" w:type="dxa"/>
            <w:vAlign w:val="center"/>
          </w:tcPr>
          <w:p w14:paraId="641DB67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22" w:type="dxa"/>
            <w:vAlign w:val="center"/>
          </w:tcPr>
          <w:p w14:paraId="21A695E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r>
      <w:tr w14:paraId="5E97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6644A2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2</w:t>
            </w:r>
          </w:p>
        </w:tc>
        <w:tc>
          <w:tcPr>
            <w:tcW w:w="1323" w:type="dxa"/>
            <w:vAlign w:val="center"/>
          </w:tcPr>
          <w:p w14:paraId="7C3E27D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338" w:type="dxa"/>
            <w:vAlign w:val="center"/>
          </w:tcPr>
          <w:p w14:paraId="0F9336FD">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□中型企业</w:t>
            </w:r>
          </w:p>
          <w:p w14:paraId="69E4CF75">
            <w:pPr>
              <w:keepNext w:val="0"/>
              <w:keepLines w:val="0"/>
              <w:widowControl/>
              <w:suppressLineNumbers w:val="0"/>
              <w:jc w:val="center"/>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□小微企业</w:t>
            </w:r>
          </w:p>
        </w:tc>
        <w:tc>
          <w:tcPr>
            <w:tcW w:w="1123" w:type="dxa"/>
            <w:vAlign w:val="center"/>
          </w:tcPr>
          <w:p w14:paraId="29BAF05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154" w:type="dxa"/>
            <w:vAlign w:val="center"/>
          </w:tcPr>
          <w:p w14:paraId="5AACE01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39" w:type="dxa"/>
            <w:vAlign w:val="center"/>
          </w:tcPr>
          <w:p w14:paraId="6A41420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22" w:type="dxa"/>
            <w:vAlign w:val="center"/>
          </w:tcPr>
          <w:p w14:paraId="19A9980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r>
      <w:tr w14:paraId="6B7E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127DB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w:t>
            </w:r>
          </w:p>
        </w:tc>
        <w:tc>
          <w:tcPr>
            <w:tcW w:w="1323" w:type="dxa"/>
            <w:vAlign w:val="center"/>
          </w:tcPr>
          <w:p w14:paraId="37B5839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338" w:type="dxa"/>
            <w:vAlign w:val="center"/>
          </w:tcPr>
          <w:p w14:paraId="3DC0AE8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123" w:type="dxa"/>
            <w:vAlign w:val="center"/>
          </w:tcPr>
          <w:p w14:paraId="4767AA7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154" w:type="dxa"/>
            <w:vAlign w:val="center"/>
          </w:tcPr>
          <w:p w14:paraId="3CE887C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39" w:type="dxa"/>
            <w:vAlign w:val="center"/>
          </w:tcPr>
          <w:p w14:paraId="67A8A9C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22" w:type="dxa"/>
            <w:vAlign w:val="center"/>
          </w:tcPr>
          <w:p w14:paraId="2FCED07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r>
      <w:tr w14:paraId="5E0F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1B0A9EA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合计</w:t>
            </w:r>
          </w:p>
        </w:tc>
        <w:tc>
          <w:tcPr>
            <w:tcW w:w="1439" w:type="dxa"/>
            <w:vAlign w:val="center"/>
          </w:tcPr>
          <w:p w14:paraId="12D48E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22" w:type="dxa"/>
            <w:vAlign w:val="center"/>
          </w:tcPr>
          <w:p w14:paraId="7BBAE84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r>
    </w:tbl>
    <w:p w14:paraId="06BCEC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u w:val="single"/>
          <w:lang w:val="en-US"/>
        </w:rPr>
      </w:pPr>
      <w:r>
        <w:rPr>
          <w:rFonts w:hint="eastAsia" w:ascii="宋体" w:hAnsi="宋体" w:eastAsia="宋体" w:cs="宋体"/>
          <w:color w:val="000000"/>
          <w:kern w:val="0"/>
          <w:sz w:val="24"/>
          <w:szCs w:val="24"/>
          <w:lang w:val="en-US" w:eastAsia="zh-CN" w:bidi="ar"/>
        </w:rPr>
        <w:t>供应商名称（加盖公章）：</w:t>
      </w:r>
      <w:r>
        <w:rPr>
          <w:rFonts w:hint="eastAsia" w:ascii="宋体" w:hAnsi="宋体" w:eastAsia="宋体" w:cs="宋体"/>
          <w:color w:val="000000"/>
          <w:kern w:val="0"/>
          <w:sz w:val="24"/>
          <w:szCs w:val="24"/>
          <w:u w:val="single"/>
          <w:lang w:val="en-US" w:eastAsia="zh-CN" w:bidi="ar"/>
        </w:rPr>
        <w:t xml:space="preserve">               </w:t>
      </w:r>
    </w:p>
    <w:p w14:paraId="552B01D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日期：</w:t>
      </w:r>
      <w:r>
        <w:rPr>
          <w:rFonts w:hint="eastAsia" w:ascii="宋体" w:hAnsi="宋体" w:eastAsia="宋体" w:cs="宋体"/>
          <w:color w:val="000000"/>
          <w:kern w:val="0"/>
          <w:sz w:val="24"/>
          <w:szCs w:val="24"/>
          <w:u w:val="single"/>
          <w:lang w:val="en-US" w:eastAsia="zh-CN" w:bidi="ar"/>
        </w:rPr>
        <w:t xml:space="preserve">      年     月    日</w:t>
      </w:r>
      <w:r>
        <w:rPr>
          <w:rFonts w:hint="eastAsia" w:ascii="宋体" w:hAnsi="宋体" w:eastAsia="宋体" w:cs="宋体"/>
          <w:color w:val="000000"/>
          <w:kern w:val="0"/>
          <w:sz w:val="24"/>
          <w:szCs w:val="24"/>
          <w:lang w:val="en-US" w:eastAsia="zh-CN" w:bidi="ar"/>
        </w:rPr>
        <w:t xml:space="preserve"> </w:t>
      </w:r>
    </w:p>
    <w:p w14:paraId="7DD5611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说明： </w:t>
      </w:r>
    </w:p>
    <w:p w14:paraId="4E5BD1F5">
      <w:pPr>
        <w:keepNext w:val="0"/>
        <w:keepLines w:val="0"/>
        <w:pageBreakBefore w:val="0"/>
        <w:widowControl/>
        <w:numPr>
          <w:ilvl w:val="0"/>
          <w:numId w:val="14"/>
        </w:numPr>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本表仅在供应商“为落实政府采购政策”而向中小企业分包时填写。</w:t>
      </w:r>
    </w:p>
    <w:p w14:paraId="4AF14DFA">
      <w:pPr>
        <w:keepNext w:val="0"/>
        <w:keepLines w:val="0"/>
        <w:pageBreakBefore w:val="0"/>
        <w:widowControl/>
        <w:numPr>
          <w:ilvl w:val="0"/>
          <w:numId w:val="14"/>
        </w:numPr>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如本采购文件《供应商须知资料表》载明本项目分包承担主体应具备的相应资质条件，则供应商须在本表中列明分包承担主体的资质等级，并后附资质证书复印件加盖供应商公章，否则</w:t>
      </w:r>
      <w:r>
        <w:rPr>
          <w:rFonts w:hint="eastAsia" w:ascii="宋体" w:hAnsi="宋体" w:eastAsia="宋体" w:cs="宋体"/>
          <w:b/>
          <w:bCs/>
          <w:color w:val="000000"/>
          <w:kern w:val="0"/>
          <w:sz w:val="24"/>
          <w:szCs w:val="24"/>
          <w:lang w:val="en-US" w:eastAsia="zh-CN" w:bidi="ar"/>
        </w:rPr>
        <w:t>响应无效</w:t>
      </w:r>
      <w:r>
        <w:rPr>
          <w:rFonts w:hint="eastAsia" w:ascii="宋体" w:hAnsi="宋体" w:eastAsia="宋体" w:cs="宋体"/>
          <w:color w:val="000000"/>
          <w:kern w:val="0"/>
          <w:sz w:val="24"/>
          <w:szCs w:val="24"/>
          <w:lang w:val="en-US" w:eastAsia="zh-CN" w:bidi="ar"/>
        </w:rPr>
        <w:t xml:space="preserve">。 </w:t>
      </w:r>
    </w:p>
    <w:p w14:paraId="2CF041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（3）投标人与上述拟分包承担主体签署的《分包意向协议》及相关资质证书（如有）后附。</w:t>
      </w:r>
    </w:p>
    <w:p w14:paraId="42141F9D">
      <w:pPr>
        <w:rPr>
          <w:rFonts w:hint="eastAsia" w:cs="宋体"/>
          <w:b/>
          <w:kern w:val="0"/>
          <w:sz w:val="32"/>
          <w:szCs w:val="32"/>
        </w:rPr>
      </w:pPr>
      <w:r>
        <w:rPr>
          <w:rFonts w:hint="eastAsia" w:ascii="宋体" w:hAnsi="宋体" w:eastAsia="宋体" w:cs="宋体"/>
          <w:b w:val="0"/>
          <w:bCs w:val="0"/>
          <w:color w:val="000000"/>
          <w:kern w:val="0"/>
          <w:sz w:val="24"/>
          <w:szCs w:val="24"/>
          <w:lang w:val="en-US" w:eastAsia="zh-CN" w:bidi="ar"/>
        </w:rPr>
        <w:t>附：分包意向协议书（参考格式）</w:t>
      </w:r>
      <w:r>
        <w:rPr>
          <w:rFonts w:hint="eastAsia" w:cs="宋体"/>
          <w:b/>
          <w:kern w:val="0"/>
          <w:sz w:val="32"/>
          <w:szCs w:val="32"/>
        </w:rPr>
        <w:br w:type="page"/>
      </w:r>
    </w:p>
    <w:p w14:paraId="201769D5">
      <w:pPr>
        <w:snapToGrid w:val="0"/>
        <w:jc w:val="center"/>
        <w:outlineLvl w:val="0"/>
        <w:rPr>
          <w:rFonts w:hint="eastAsia" w:cs="宋体"/>
          <w:b/>
          <w:kern w:val="0"/>
          <w:sz w:val="32"/>
          <w:szCs w:val="32"/>
        </w:rPr>
      </w:pPr>
      <w:r>
        <w:rPr>
          <w:rFonts w:hint="eastAsia" w:cs="宋体"/>
          <w:b/>
          <w:kern w:val="0"/>
          <w:sz w:val="32"/>
          <w:szCs w:val="32"/>
        </w:rPr>
        <w:t>分包意向协议书</w:t>
      </w:r>
      <w:bookmarkEnd w:id="403"/>
      <w:bookmarkEnd w:id="404"/>
    </w:p>
    <w:p w14:paraId="3D43D5B0">
      <w:pPr>
        <w:widowControl/>
        <w:ind w:firstLine="120" w:firstLineChars="50"/>
        <w:rPr>
          <w:rFonts w:hint="eastAsia" w:cs="宋体"/>
        </w:rPr>
      </w:pPr>
      <w:r>
        <w:rPr>
          <w:rFonts w:hint="eastAsia" w:cs="宋体"/>
        </w:rPr>
        <w:t>【</w:t>
      </w:r>
      <w:r>
        <w:rPr>
          <w:rFonts w:hint="eastAsia" w:cs="宋体"/>
          <w:b/>
        </w:rPr>
        <w:t>中标后以分包方式履行合同的，提供分包意向协议书；采购人不同意分包或者投标人中标后不以分包方式履行合同的，则不需要提供。</w:t>
      </w:r>
      <w:r>
        <w:rPr>
          <w:rFonts w:hint="eastAsia" w:cs="宋体"/>
        </w:rPr>
        <w:t>】</w:t>
      </w:r>
    </w:p>
    <w:p w14:paraId="6E699B73">
      <w:pPr>
        <w:snapToGrid w:val="0"/>
        <w:ind w:firstLine="576"/>
        <w:rPr>
          <w:rFonts w:hint="eastAsia" w:cs="宋体"/>
          <w:kern w:val="0"/>
          <w:lang w:val="zh-CN"/>
        </w:rPr>
      </w:pPr>
      <w:r>
        <w:rPr>
          <w:rFonts w:hint="eastAsia" w:cs="宋体"/>
          <w:kern w:val="0"/>
          <w:u w:val="single"/>
        </w:rPr>
        <w:t>（投标人名称）</w:t>
      </w:r>
      <w:r>
        <w:rPr>
          <w:rFonts w:hint="eastAsia" w:cs="宋体"/>
          <w:kern w:val="0"/>
          <w:lang w:val="zh-CN"/>
        </w:rPr>
        <w:t>若成为</w:t>
      </w:r>
      <w:r>
        <w:rPr>
          <w:rFonts w:hint="eastAsia" w:cs="宋体"/>
        </w:rPr>
        <w:t>（项目名称）【项目编号/包号：  】</w:t>
      </w:r>
      <w:r>
        <w:rPr>
          <w:rFonts w:hint="eastAsia" w:cs="宋体"/>
          <w:kern w:val="0"/>
          <w:lang w:val="zh-CN"/>
        </w:rPr>
        <w:t>的中标供应商，将依法采取分包方式履行合同。</w:t>
      </w:r>
      <w:r>
        <w:rPr>
          <w:rFonts w:hint="eastAsia" w:cs="宋体"/>
          <w:kern w:val="0"/>
          <w:u w:val="single"/>
        </w:rPr>
        <w:t>（投标人名称）</w:t>
      </w:r>
      <w:r>
        <w:rPr>
          <w:rFonts w:hint="eastAsia" w:cs="宋体"/>
          <w:kern w:val="0"/>
        </w:rPr>
        <w:t>与</w:t>
      </w:r>
      <w:r>
        <w:rPr>
          <w:rFonts w:hint="eastAsia" w:cs="宋体"/>
          <w:kern w:val="0"/>
          <w:u w:val="single"/>
        </w:rPr>
        <w:t>（所有分包供应商名称）</w:t>
      </w:r>
      <w:r>
        <w:rPr>
          <w:rFonts w:hint="eastAsia" w:cs="宋体"/>
          <w:kern w:val="0"/>
        </w:rPr>
        <w:t>达成分包意向协议书</w:t>
      </w:r>
      <w:r>
        <w:rPr>
          <w:rFonts w:hint="eastAsia" w:cs="宋体"/>
          <w:kern w:val="0"/>
          <w:lang w:val="zh-CN"/>
        </w:rPr>
        <w:t xml:space="preserve">。 </w:t>
      </w:r>
    </w:p>
    <w:p w14:paraId="647D74CD">
      <w:pPr>
        <w:snapToGrid w:val="0"/>
        <w:ind w:firstLine="576"/>
        <w:rPr>
          <w:rFonts w:hint="eastAsia" w:cs="宋体"/>
          <w:kern w:val="0"/>
          <w:lang w:val="zh-CN"/>
        </w:rPr>
      </w:pPr>
      <w:r>
        <w:rPr>
          <w:rFonts w:hint="eastAsia" w:cs="宋体"/>
          <w:kern w:val="0"/>
          <w:lang w:val="zh-CN"/>
        </w:rPr>
        <w:t>一、分包标的及数量</w:t>
      </w:r>
    </w:p>
    <w:p w14:paraId="3BF6B736">
      <w:pPr>
        <w:snapToGrid w:val="0"/>
        <w:ind w:firstLine="576"/>
        <w:rPr>
          <w:rFonts w:hint="eastAsia" w:cs="宋体"/>
          <w:kern w:val="0"/>
          <w:lang w:val="zh-CN"/>
        </w:rPr>
      </w:pPr>
      <w:r>
        <w:rPr>
          <w:rFonts w:hint="eastAsia" w:cs="宋体"/>
          <w:kern w:val="0"/>
          <w:u w:val="single"/>
        </w:rPr>
        <w:t>（投标人名称）</w:t>
      </w:r>
      <w:r>
        <w:rPr>
          <w:rFonts w:hint="eastAsia" w:cs="宋体"/>
          <w:kern w:val="0"/>
          <w:lang w:val="zh-CN"/>
        </w:rPr>
        <w:t>将</w:t>
      </w:r>
      <w:r>
        <w:rPr>
          <w:rFonts w:hint="eastAsia" w:cs="宋体"/>
          <w:u w:val="single"/>
        </w:rPr>
        <w:t xml:space="preserve"> </w:t>
      </w:r>
      <w:r>
        <w:rPr>
          <w:rFonts w:cs="宋体"/>
          <w:kern w:val="0"/>
          <w:u w:val="single"/>
        </w:rPr>
        <w:t xml:space="preserve">  XX工作内容   </w:t>
      </w:r>
      <w:r>
        <w:rPr>
          <w:rFonts w:hint="eastAsia" w:cs="宋体"/>
        </w:rPr>
        <w:t>分包给</w:t>
      </w:r>
      <w:r>
        <w:rPr>
          <w:rFonts w:hint="eastAsia" w:cs="宋体"/>
          <w:kern w:val="0"/>
          <w:u w:val="single"/>
        </w:rPr>
        <w:t>（分包供应商1名称）</w:t>
      </w:r>
      <w:r>
        <w:rPr>
          <w:rFonts w:hint="eastAsia" w:cs="宋体"/>
          <w:kern w:val="0"/>
          <w:lang w:val="zh-CN"/>
        </w:rPr>
        <w:t>，</w:t>
      </w:r>
      <w:r>
        <w:rPr>
          <w:rFonts w:hint="eastAsia" w:cs="宋体"/>
          <w:kern w:val="0"/>
          <w:u w:val="single"/>
        </w:rPr>
        <w:t>（分包供应商1名称），</w:t>
      </w:r>
      <w:r>
        <w:rPr>
          <w:rFonts w:hint="eastAsia" w:cs="宋体"/>
          <w:kern w:val="0"/>
          <w:lang w:val="zh-CN"/>
        </w:rPr>
        <w:t>具备承</w:t>
      </w:r>
      <w:r>
        <w:rPr>
          <w:rFonts w:hint="eastAsia" w:cs="宋体"/>
          <w:kern w:val="0"/>
        </w:rPr>
        <w:t>担</w:t>
      </w:r>
      <w:r>
        <w:rPr>
          <w:rFonts w:hint="eastAsia" w:cs="宋体"/>
          <w:kern w:val="0"/>
          <w:u w:val="single"/>
          <w:lang w:val="zh-CN"/>
        </w:rPr>
        <w:t>XX工作内容</w:t>
      </w:r>
      <w:r>
        <w:rPr>
          <w:rFonts w:hint="eastAsia" w:cs="宋体"/>
          <w:kern w:val="0"/>
          <w:lang w:val="zh-CN"/>
        </w:rPr>
        <w:t>相应资质条件且不得再次分包；</w:t>
      </w:r>
    </w:p>
    <w:p w14:paraId="02DF6B30">
      <w:pPr>
        <w:pStyle w:val="4"/>
        <w:tabs>
          <w:tab w:val="left" w:pos="432"/>
        </w:tabs>
        <w:ind w:left="758" w:leftChars="316" w:firstLine="229" w:firstLineChars="95"/>
        <w:rPr>
          <w:rFonts w:hint="eastAsia" w:ascii="宋体" w:hAnsi="宋体" w:cs="宋体"/>
          <w:kern w:val="0"/>
          <w:sz w:val="24"/>
          <w:szCs w:val="24"/>
        </w:rPr>
      </w:pPr>
      <w:bookmarkStart w:id="406" w:name="_Toc29506"/>
      <w:bookmarkStart w:id="407" w:name="_Toc22084"/>
      <w:bookmarkStart w:id="408" w:name="_Toc23351"/>
      <w:bookmarkStart w:id="409" w:name="_Toc8522"/>
      <w:bookmarkStart w:id="410" w:name="_Toc18946"/>
      <w:r>
        <w:rPr>
          <w:rFonts w:hint="eastAsia" w:ascii="宋体" w:hAnsi="宋体" w:cs="宋体"/>
          <w:kern w:val="0"/>
          <w:sz w:val="24"/>
          <w:szCs w:val="24"/>
        </w:rPr>
        <w:t>……</w:t>
      </w:r>
      <w:bookmarkEnd w:id="406"/>
      <w:bookmarkEnd w:id="407"/>
      <w:bookmarkEnd w:id="408"/>
      <w:bookmarkEnd w:id="409"/>
      <w:bookmarkEnd w:id="410"/>
    </w:p>
    <w:p w14:paraId="501FB860">
      <w:pPr>
        <w:snapToGrid w:val="0"/>
        <w:ind w:firstLine="576"/>
        <w:rPr>
          <w:rFonts w:hint="eastAsia" w:cs="宋体"/>
          <w:kern w:val="0"/>
          <w:lang w:val="zh-CN"/>
        </w:rPr>
      </w:pPr>
      <w:r>
        <w:rPr>
          <w:rFonts w:hint="eastAsia" w:cs="宋体"/>
          <w:kern w:val="0"/>
          <w:lang w:val="zh-CN"/>
        </w:rPr>
        <w:t>二、分包供应商中小企业合同份额</w:t>
      </w:r>
    </w:p>
    <w:p w14:paraId="6BF10D99">
      <w:pPr>
        <w:snapToGrid w:val="0"/>
        <w:ind w:firstLine="576"/>
        <w:rPr>
          <w:rFonts w:hint="eastAsia" w:cs="宋体"/>
          <w:b/>
          <w:kern w:val="0"/>
          <w:lang w:val="zh-CN"/>
        </w:rPr>
      </w:pPr>
      <w:r>
        <w:rPr>
          <w:rFonts w:hint="eastAsia" w:cs="宋体"/>
          <w:kern w:val="0"/>
        </w:rPr>
        <w:t>1.</w:t>
      </w:r>
      <w:r>
        <w:rPr>
          <w:rFonts w:hint="eastAsia" w:cs="宋体"/>
          <w:kern w:val="0"/>
          <w:u w:val="single"/>
        </w:rPr>
        <w:t>（分包供应商X</w:t>
      </w:r>
      <w:r>
        <w:rPr>
          <w:rFonts w:cs="宋体"/>
          <w:kern w:val="0"/>
          <w:u w:val="single"/>
        </w:rPr>
        <w:t>,</w:t>
      </w:r>
      <w:r>
        <w:rPr>
          <w:rFonts w:hint="eastAsia" w:cs="宋体"/>
          <w:kern w:val="0"/>
          <w:u w:val="single"/>
        </w:rPr>
        <w:t>……）提供的货物全部由小微企业制造，</w:t>
      </w:r>
      <w:r>
        <w:rPr>
          <w:rFonts w:hint="eastAsia" w:cs="宋体"/>
          <w:kern w:val="0"/>
        </w:rPr>
        <w:t>其合同份额占到合同总金额</w:t>
      </w:r>
      <w:r>
        <w:rPr>
          <w:rFonts w:hint="eastAsia" w:cs="宋体"/>
          <w:kern w:val="0"/>
          <w:u w:val="single"/>
        </w:rPr>
        <w:t xml:space="preserve">     </w:t>
      </w:r>
      <w:r>
        <w:rPr>
          <w:rFonts w:hint="eastAsia" w:cs="宋体"/>
          <w:kern w:val="0"/>
        </w:rPr>
        <w:t>%以上</w:t>
      </w:r>
      <w:r>
        <w:rPr>
          <w:rFonts w:hint="eastAsia" w:cs="宋体"/>
        </w:rPr>
        <w:t>。</w:t>
      </w:r>
      <w:r>
        <w:rPr>
          <w:rFonts w:hint="eastAsia" w:cs="宋体"/>
          <w:b/>
          <w:kern w:val="0"/>
          <w:lang w:val="zh-CN"/>
        </w:rPr>
        <w:t>（未预留份额专门面向中小企业采购的采购项目，以及预留份额中的非预留部分采购包，允许分包的，分包意向协议</w:t>
      </w:r>
      <w:r>
        <w:rPr>
          <w:rFonts w:hint="eastAsia" w:cs="宋体"/>
          <w:b/>
          <w:kern w:val="0"/>
        </w:rPr>
        <w:t>书</w:t>
      </w:r>
      <w:r>
        <w:rPr>
          <w:rFonts w:hint="eastAsia" w:cs="宋体"/>
          <w:b/>
          <w:kern w:val="0"/>
          <w:lang w:val="zh-CN"/>
        </w:rPr>
        <w:t>约定小微企业的合同份额占到合同总金额30%以上的，对大中型企业的报价按评标标准确定的比例给予扣除。供应商</w:t>
      </w:r>
      <w:r>
        <w:rPr>
          <w:rFonts w:hint="eastAsia" w:cs="宋体"/>
          <w:b/>
        </w:rPr>
        <w:t>拟享受以上价格扣除政策的，填写有关内容。</w:t>
      </w:r>
      <w:r>
        <w:rPr>
          <w:rFonts w:hint="eastAsia" w:cs="宋体"/>
          <w:b/>
          <w:kern w:val="0"/>
          <w:lang w:val="zh-CN"/>
        </w:rPr>
        <w:t>）</w:t>
      </w:r>
    </w:p>
    <w:p w14:paraId="19A38572">
      <w:pPr>
        <w:ind w:firstLine="480" w:firstLineChars="200"/>
        <w:rPr>
          <w:rFonts w:hint="eastAsia" w:cs="宋体"/>
          <w:b/>
          <w:bCs/>
          <w:kern w:val="0"/>
          <w:lang w:val="zh-CN"/>
        </w:rPr>
      </w:pPr>
      <w:r>
        <w:rPr>
          <w:rFonts w:hint="eastAsia" w:cs="宋体"/>
        </w:rPr>
        <w:t>2.</w:t>
      </w:r>
      <w:bookmarkStart w:id="411" w:name="_Hlk101133173"/>
      <w:r>
        <w:rPr>
          <w:rFonts w:hint="eastAsia" w:cs="宋体"/>
        </w:rPr>
        <w:t>中小企业合同金额达到</w:t>
      </w:r>
      <w:r>
        <w:rPr>
          <w:rFonts w:hint="eastAsia" w:cs="宋体"/>
          <w:u w:val="single"/>
        </w:rPr>
        <w:t xml:space="preserve">  </w:t>
      </w:r>
      <w:r>
        <w:rPr>
          <w:rFonts w:hint="eastAsia" w:cs="宋体"/>
        </w:rPr>
        <w:t>%，其中小微企业合同金额达到</w:t>
      </w:r>
      <w:r>
        <w:rPr>
          <w:rFonts w:hint="eastAsia" w:cs="宋体"/>
          <w:u w:val="single"/>
        </w:rPr>
        <w:t xml:space="preserve"> </w:t>
      </w:r>
      <w:r>
        <w:rPr>
          <w:rFonts w:hint="eastAsia" w:cs="宋体"/>
        </w:rPr>
        <w:t>%</w:t>
      </w:r>
      <w:r>
        <w:rPr>
          <w:rFonts w:hint="eastAsia" w:cs="宋体"/>
          <w:kern w:val="0"/>
          <w:lang w:val="zh-CN"/>
        </w:rPr>
        <w:t>。</w:t>
      </w:r>
      <w:r>
        <w:rPr>
          <w:rFonts w:hint="eastAsia" w:cs="宋体"/>
          <w:b/>
          <w:bCs/>
          <w:kern w:val="0"/>
          <w:lang w:val="zh-CN"/>
        </w:rPr>
        <w:t>（</w:t>
      </w:r>
      <w:r>
        <w:rPr>
          <w:rFonts w:hint="eastAsia" w:cs="宋体"/>
          <w:b/>
          <w:bCs/>
        </w:rPr>
        <w:t>要求合同分包形式参加的项目或采购包，供应商按招标文件第一部分招标公告申请人的资格要求中规定的</w:t>
      </w:r>
      <w:r>
        <w:rPr>
          <w:rFonts w:hint="eastAsia" w:cs="宋体"/>
          <w:b/>
          <w:kern w:val="0"/>
          <w:lang w:val="zh-CN"/>
        </w:rPr>
        <w:t>分包意向协议</w:t>
      </w:r>
      <w:r>
        <w:rPr>
          <w:rFonts w:hint="eastAsia" w:cs="宋体"/>
          <w:b/>
          <w:kern w:val="0"/>
        </w:rPr>
        <w:t>书</w:t>
      </w:r>
      <w:r>
        <w:rPr>
          <w:rFonts w:hint="eastAsia" w:cs="宋体"/>
          <w:b/>
          <w:bCs/>
        </w:rPr>
        <w:t>中中小企业、小微企业合同金额应当达到的比例要求填写。</w:t>
      </w:r>
      <w:r>
        <w:rPr>
          <w:rFonts w:hint="eastAsia" w:cs="宋体"/>
          <w:b/>
          <w:bCs/>
          <w:kern w:val="0"/>
          <w:lang w:val="zh-CN"/>
        </w:rPr>
        <w:t>）</w:t>
      </w:r>
      <w:bookmarkEnd w:id="411"/>
    </w:p>
    <w:p w14:paraId="31431864">
      <w:pPr>
        <w:snapToGrid w:val="0"/>
        <w:ind w:firstLine="576"/>
        <w:rPr>
          <w:rFonts w:hint="eastAsia" w:cs="宋体"/>
          <w:kern w:val="0"/>
          <w:lang w:val="zh-CN"/>
        </w:rPr>
      </w:pPr>
      <w:r>
        <w:rPr>
          <w:rFonts w:hint="eastAsia" w:cs="宋体"/>
          <w:kern w:val="0"/>
          <w:lang w:val="zh-CN"/>
        </w:rPr>
        <w:t>三、分包工作履行期限、地点、方式</w:t>
      </w:r>
    </w:p>
    <w:p w14:paraId="760B9415">
      <w:pPr>
        <w:snapToGrid w:val="0"/>
        <w:ind w:firstLine="576"/>
        <w:rPr>
          <w:rFonts w:hint="eastAsia" w:cs="宋体"/>
          <w:u w:val="single"/>
        </w:rPr>
      </w:pPr>
      <w:r>
        <w:rPr>
          <w:rFonts w:hint="eastAsia" w:cs="宋体"/>
          <w:u w:val="single"/>
        </w:rPr>
        <w:t xml:space="preserve">                                                   </w:t>
      </w:r>
    </w:p>
    <w:p w14:paraId="353CEF14">
      <w:pPr>
        <w:snapToGrid w:val="0"/>
        <w:ind w:firstLine="576"/>
        <w:rPr>
          <w:rFonts w:hint="eastAsia" w:cs="宋体"/>
          <w:kern w:val="0"/>
          <w:lang w:val="zh-CN"/>
        </w:rPr>
      </w:pPr>
      <w:r>
        <w:rPr>
          <w:rFonts w:hint="eastAsia" w:cs="宋体"/>
          <w:kern w:val="0"/>
          <w:lang w:val="zh-CN"/>
        </w:rPr>
        <w:t>四、质量</w:t>
      </w:r>
    </w:p>
    <w:p w14:paraId="7DAC9912">
      <w:pPr>
        <w:snapToGrid w:val="0"/>
        <w:ind w:firstLine="576"/>
        <w:rPr>
          <w:rFonts w:hint="eastAsia" w:cs="宋体"/>
          <w:kern w:val="0"/>
          <w:lang w:val="zh-CN"/>
        </w:rPr>
      </w:pPr>
      <w:r>
        <w:rPr>
          <w:rFonts w:hint="eastAsia" w:cs="宋体"/>
          <w:u w:val="single"/>
        </w:rPr>
        <w:t xml:space="preserve">                                                   </w:t>
      </w:r>
    </w:p>
    <w:p w14:paraId="61793A54">
      <w:pPr>
        <w:snapToGrid w:val="0"/>
        <w:ind w:firstLine="576"/>
        <w:rPr>
          <w:rFonts w:hint="eastAsia" w:cs="宋体"/>
          <w:kern w:val="0"/>
          <w:lang w:val="zh-CN"/>
        </w:rPr>
      </w:pPr>
      <w:r>
        <w:rPr>
          <w:rFonts w:hint="eastAsia" w:cs="宋体"/>
          <w:kern w:val="0"/>
          <w:lang w:val="zh-CN"/>
        </w:rPr>
        <w:t>五、价款或者报酬</w:t>
      </w:r>
    </w:p>
    <w:p w14:paraId="11508714">
      <w:pPr>
        <w:snapToGrid w:val="0"/>
        <w:ind w:left="655" w:leftChars="273"/>
        <w:rPr>
          <w:rFonts w:hint="eastAsia" w:cs="宋体"/>
          <w:u w:val="single"/>
        </w:rPr>
      </w:pPr>
      <w:r>
        <w:rPr>
          <w:rFonts w:hint="eastAsia" w:cs="宋体"/>
          <w:u w:val="single"/>
        </w:rPr>
        <w:t xml:space="preserve">                                                   </w:t>
      </w:r>
    </w:p>
    <w:p w14:paraId="098B1CA1">
      <w:pPr>
        <w:snapToGrid w:val="0"/>
        <w:ind w:left="655" w:leftChars="273"/>
        <w:rPr>
          <w:rFonts w:hint="eastAsia" w:cs="宋体"/>
          <w:kern w:val="0"/>
          <w:lang w:val="zh-CN"/>
        </w:rPr>
      </w:pPr>
      <w:r>
        <w:rPr>
          <w:rFonts w:hint="eastAsia" w:cs="宋体"/>
          <w:kern w:val="0"/>
          <w:lang w:val="zh-CN"/>
        </w:rPr>
        <w:t>六、违约责任</w:t>
      </w:r>
    </w:p>
    <w:p w14:paraId="11D1EA58">
      <w:pPr>
        <w:snapToGrid w:val="0"/>
        <w:ind w:firstLine="576"/>
        <w:rPr>
          <w:rFonts w:hint="eastAsia" w:cs="宋体"/>
          <w:u w:val="single"/>
        </w:rPr>
      </w:pPr>
      <w:r>
        <w:rPr>
          <w:rFonts w:hint="eastAsia" w:cs="宋体"/>
          <w:u w:val="single"/>
        </w:rPr>
        <w:t xml:space="preserve">                                                   </w:t>
      </w:r>
    </w:p>
    <w:p w14:paraId="047ED2C3">
      <w:pPr>
        <w:snapToGrid w:val="0"/>
        <w:ind w:firstLine="576"/>
        <w:rPr>
          <w:rFonts w:hint="eastAsia" w:cs="宋体"/>
          <w:kern w:val="0"/>
          <w:lang w:val="zh-CN"/>
        </w:rPr>
      </w:pPr>
      <w:r>
        <w:rPr>
          <w:rFonts w:hint="eastAsia" w:cs="宋体"/>
          <w:kern w:val="0"/>
          <w:lang w:val="zh-CN"/>
        </w:rPr>
        <w:t>七、争议解决的办法</w:t>
      </w:r>
    </w:p>
    <w:p w14:paraId="10683BF0">
      <w:pPr>
        <w:snapToGrid w:val="0"/>
        <w:ind w:firstLine="576"/>
        <w:rPr>
          <w:rFonts w:hint="eastAsia" w:cs="宋体"/>
          <w:kern w:val="0"/>
          <w:lang w:val="zh-CN"/>
        </w:rPr>
      </w:pPr>
      <w:r>
        <w:rPr>
          <w:rFonts w:hint="eastAsia" w:cs="宋体"/>
          <w:u w:val="single"/>
        </w:rPr>
        <w:t xml:space="preserve">                                              </w:t>
      </w:r>
    </w:p>
    <w:p w14:paraId="181CEEA2">
      <w:pPr>
        <w:snapToGrid w:val="0"/>
        <w:ind w:left="5861" w:leftChars="342" w:hanging="5040" w:hangingChars="2100"/>
        <w:rPr>
          <w:rFonts w:hint="eastAsia" w:cs="宋体"/>
          <w:kern w:val="0"/>
          <w:lang w:val="zh-CN"/>
        </w:rPr>
      </w:pPr>
      <w:r>
        <w:rPr>
          <w:rFonts w:hint="eastAsia" w:cs="宋体"/>
          <w:kern w:val="0"/>
          <w:lang w:val="zh-CN"/>
        </w:rPr>
        <w:t xml:space="preserve">                                          </w:t>
      </w:r>
    </w:p>
    <w:p w14:paraId="1FB49F4D">
      <w:pPr>
        <w:snapToGrid w:val="0"/>
        <w:ind w:left="5861" w:leftChars="342" w:hanging="5040" w:hangingChars="2100"/>
        <w:rPr>
          <w:rFonts w:hint="eastAsia" w:cs="宋体"/>
          <w:kern w:val="0"/>
          <w:lang w:val="zh-CN"/>
        </w:rPr>
      </w:pPr>
    </w:p>
    <w:p w14:paraId="09D02967">
      <w:pPr>
        <w:snapToGrid w:val="0"/>
        <w:ind w:left="5861" w:leftChars="2342" w:hanging="240" w:hangingChars="100"/>
        <w:rPr>
          <w:rFonts w:hint="eastAsia" w:cs="宋体"/>
          <w:kern w:val="0"/>
          <w:lang w:val="zh-CN"/>
        </w:rPr>
      </w:pPr>
      <w:r>
        <w:rPr>
          <w:rFonts w:hint="eastAsia" w:cs="宋体"/>
          <w:kern w:val="0"/>
          <w:lang w:val="zh-CN"/>
        </w:rPr>
        <w:t>投标人名称</w:t>
      </w:r>
      <w:r>
        <w:rPr>
          <w:rFonts w:hint="eastAsia" w:cs="仿宋_GB2312"/>
          <w:szCs w:val="24"/>
        </w:rPr>
        <w:t>（</w:t>
      </w:r>
      <w:r>
        <w:rPr>
          <w:rFonts w:hint="eastAsia" w:cs="宋体"/>
          <w:kern w:val="0"/>
          <w:szCs w:val="24"/>
        </w:rPr>
        <w:t>公章）</w:t>
      </w:r>
      <w:r>
        <w:rPr>
          <w:rFonts w:hint="eastAsia" w:cs="宋体"/>
          <w:kern w:val="0"/>
          <w:lang w:val="zh-CN"/>
        </w:rPr>
        <w:t>：</w:t>
      </w:r>
    </w:p>
    <w:p w14:paraId="11D10546">
      <w:pPr>
        <w:snapToGrid w:val="0"/>
        <w:jc w:val="right"/>
        <w:rPr>
          <w:rFonts w:hint="eastAsia" w:cs="宋体"/>
          <w:kern w:val="0"/>
          <w:lang w:val="zh-CN"/>
        </w:rPr>
      </w:pPr>
      <w:r>
        <w:rPr>
          <w:rFonts w:hint="eastAsia" w:cs="宋体"/>
          <w:kern w:val="0"/>
          <w:lang w:val="zh-CN"/>
        </w:rPr>
        <w:t>分包供应商名称</w:t>
      </w:r>
      <w:r>
        <w:rPr>
          <w:rFonts w:hint="eastAsia" w:cs="仿宋_GB2312"/>
          <w:szCs w:val="24"/>
        </w:rPr>
        <w:t>（</w:t>
      </w:r>
      <w:r>
        <w:rPr>
          <w:rFonts w:hint="eastAsia" w:cs="宋体"/>
          <w:kern w:val="0"/>
          <w:szCs w:val="24"/>
        </w:rPr>
        <w:t>公章）</w:t>
      </w:r>
      <w:r>
        <w:rPr>
          <w:rFonts w:hint="eastAsia" w:cs="宋体"/>
          <w:kern w:val="0"/>
          <w:lang w:val="zh-CN"/>
        </w:rPr>
        <w:t>：</w:t>
      </w:r>
    </w:p>
    <w:p w14:paraId="1AC41264">
      <w:pPr>
        <w:snapToGrid w:val="0"/>
        <w:ind w:firstLine="5760" w:firstLineChars="2400"/>
        <w:rPr>
          <w:rFonts w:hint="eastAsia" w:cs="宋体"/>
        </w:rPr>
      </w:pPr>
      <w:r>
        <w:rPr>
          <w:rFonts w:hint="eastAsia" w:cs="宋体"/>
          <w:kern w:val="0"/>
          <w:lang w:val="zh-CN"/>
        </w:rPr>
        <w:t>……</w:t>
      </w:r>
    </w:p>
    <w:p w14:paraId="6F025680">
      <w:pPr>
        <w:jc w:val="center"/>
        <w:rPr>
          <w:rFonts w:hint="eastAsia" w:cs="宋体"/>
          <w:kern w:val="0"/>
          <w:lang w:val="zh-CN"/>
        </w:rPr>
      </w:pPr>
      <w:r>
        <w:rPr>
          <w:rFonts w:hint="eastAsia" w:cs="宋体"/>
          <w:kern w:val="0"/>
          <w:lang w:val="zh-CN"/>
        </w:rPr>
        <w:t xml:space="preserve">                                        日期：  年  月   日</w:t>
      </w:r>
    </w:p>
    <w:p w14:paraId="47BD53FA">
      <w:pPr>
        <w:ind w:right="420"/>
        <w:rPr>
          <w:rFonts w:hint="eastAsia" w:cs="宋体"/>
          <w:sz w:val="21"/>
          <w:szCs w:val="21"/>
        </w:rPr>
      </w:pPr>
      <w:r>
        <w:rPr>
          <w:rFonts w:hint="eastAsia" w:cs="宋体"/>
          <w:sz w:val="21"/>
          <w:szCs w:val="21"/>
        </w:rPr>
        <w:t>注：按本格式和要求提供。</w:t>
      </w:r>
    </w:p>
    <w:p w14:paraId="454B71D1">
      <w:pPr>
        <w:topLinePunct/>
        <w:ind w:firstLine="480" w:firstLineChars="200"/>
        <w:rPr>
          <w:rFonts w:hint="eastAsia"/>
          <w:szCs w:val="32"/>
        </w:rPr>
      </w:pPr>
    </w:p>
    <w:p w14:paraId="7A5A2A27">
      <w:pPr>
        <w:topLinePunct/>
        <w:ind w:firstLine="480" w:firstLineChars="200"/>
        <w:rPr>
          <w:rFonts w:hint="eastAsia"/>
          <w:szCs w:val="32"/>
        </w:rPr>
      </w:pPr>
    </w:p>
    <w:p w14:paraId="70100217">
      <w:pPr>
        <w:topLinePunct/>
        <w:ind w:firstLine="480" w:firstLineChars="200"/>
        <w:rPr>
          <w:rFonts w:hint="eastAsia"/>
          <w:szCs w:val="32"/>
        </w:rPr>
      </w:pPr>
    </w:p>
    <w:p w14:paraId="312D2A29">
      <w:pPr>
        <w:topLinePunct/>
        <w:ind w:firstLine="480" w:firstLineChars="200"/>
        <w:rPr>
          <w:rFonts w:hint="eastAsia"/>
          <w:szCs w:val="32"/>
        </w:rPr>
      </w:pPr>
    </w:p>
    <w:bookmarkEnd w:id="405"/>
    <w:p w14:paraId="2CB73FD6">
      <w:pPr>
        <w:ind w:left="2520" w:leftChars="1050"/>
        <w:rPr>
          <w:rFonts w:hint="eastAsia"/>
        </w:rPr>
      </w:pPr>
      <w:r>
        <w:rPr>
          <w:rFonts w:cs="Courier New"/>
          <w:szCs w:val="24"/>
        </w:rPr>
        <w:br w:type="page"/>
      </w:r>
    </w:p>
    <w:p w14:paraId="0D18BF86">
      <w:pPr>
        <w:pStyle w:val="4"/>
        <w:rPr>
          <w:rFonts w:hint="eastAsia"/>
          <w:sz w:val="28"/>
          <w:szCs w:val="28"/>
        </w:rPr>
      </w:pPr>
      <w:bookmarkStart w:id="412" w:name="_Toc155185932"/>
      <w:bookmarkStart w:id="413" w:name="_Toc163492926"/>
      <w:bookmarkStart w:id="414" w:name="_Toc17433"/>
      <w:r>
        <w:rPr>
          <w:rFonts w:hint="eastAsia"/>
          <w:sz w:val="28"/>
          <w:szCs w:val="28"/>
        </w:rPr>
        <w:t>四、</w:t>
      </w:r>
      <w:bookmarkEnd w:id="412"/>
      <w:bookmarkEnd w:id="413"/>
      <w:r>
        <w:rPr>
          <w:rFonts w:hint="eastAsia"/>
          <w:sz w:val="28"/>
          <w:szCs w:val="28"/>
        </w:rPr>
        <w:t>落实政府采购政策相关证明文件</w:t>
      </w:r>
      <w:bookmarkEnd w:id="383"/>
      <w:bookmarkEnd w:id="414"/>
    </w:p>
    <w:p w14:paraId="097835CD">
      <w:pPr>
        <w:pStyle w:val="5"/>
        <w:rPr>
          <w:rFonts w:hint="eastAsia"/>
          <w:sz w:val="24"/>
          <w:szCs w:val="24"/>
        </w:rPr>
      </w:pPr>
      <w:bookmarkStart w:id="415" w:name="_Toc163492938"/>
      <w:r>
        <w:rPr>
          <w:rFonts w:hint="eastAsia"/>
          <w:sz w:val="24"/>
          <w:szCs w:val="24"/>
        </w:rPr>
        <w:t>（一）节能环保产品清单及证明材料【如适用】</w:t>
      </w:r>
      <w:bookmarkEnd w:id="415"/>
    </w:p>
    <w:p w14:paraId="63B49CD6">
      <w:pPr>
        <w:spacing w:line="300" w:lineRule="auto"/>
        <w:rPr>
          <w:rFonts w:hint="eastAsia" w:cs="宋体"/>
          <w:szCs w:val="24"/>
          <w:u w:val="single"/>
        </w:rPr>
      </w:pPr>
      <w:r>
        <w:rPr>
          <w:rFonts w:hint="eastAsia" w:cs="宋体"/>
          <w:szCs w:val="24"/>
        </w:rPr>
        <w:t>项目名称：             项目编号/包号：</w:t>
      </w:r>
    </w:p>
    <w:p w14:paraId="22F1B3C2">
      <w:pPr>
        <w:spacing w:line="300" w:lineRule="auto"/>
        <w:rPr>
          <w:rFonts w:hint="eastAsia" w:cs="宋体"/>
          <w:szCs w:val="24"/>
        </w:rPr>
      </w:pPr>
      <w:r>
        <w:rPr>
          <w:rFonts w:hint="eastAsia" w:cs="宋体"/>
          <w:szCs w:val="24"/>
        </w:rPr>
        <w:t>1.节能产品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04AB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D89D02D">
            <w:pPr>
              <w:pStyle w:val="51"/>
              <w:jc w:val="center"/>
              <w:rPr>
                <w:rFonts w:hint="eastAsia"/>
                <w:sz w:val="21"/>
                <w:szCs w:val="21"/>
              </w:rPr>
            </w:pPr>
            <w:r>
              <w:rPr>
                <w:rFonts w:hint="eastAsia"/>
                <w:sz w:val="21"/>
                <w:szCs w:val="21"/>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1B0418C1">
            <w:pPr>
              <w:pStyle w:val="51"/>
              <w:jc w:val="center"/>
              <w:rPr>
                <w:rFonts w:hint="eastAsia"/>
                <w:sz w:val="21"/>
                <w:szCs w:val="21"/>
              </w:rPr>
            </w:pPr>
            <w:r>
              <w:rPr>
                <w:rFonts w:hint="eastAsia"/>
                <w:sz w:val="21"/>
                <w:szCs w:val="21"/>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073665C1">
            <w:pPr>
              <w:pStyle w:val="51"/>
              <w:jc w:val="center"/>
              <w:rPr>
                <w:rFonts w:hint="eastAsia"/>
                <w:sz w:val="21"/>
                <w:szCs w:val="21"/>
              </w:rPr>
            </w:pPr>
            <w:r>
              <w:rPr>
                <w:rFonts w:hint="eastAsia"/>
                <w:sz w:val="21"/>
                <w:szCs w:val="21"/>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4CEA5516">
            <w:pPr>
              <w:pStyle w:val="51"/>
              <w:jc w:val="center"/>
              <w:rPr>
                <w:rFonts w:hint="eastAsia"/>
                <w:sz w:val="21"/>
                <w:szCs w:val="21"/>
              </w:rPr>
            </w:pPr>
            <w:r>
              <w:rPr>
                <w:rFonts w:hint="eastAsia"/>
                <w:sz w:val="21"/>
                <w:szCs w:val="21"/>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54CEFAC4">
            <w:pPr>
              <w:pStyle w:val="51"/>
              <w:jc w:val="center"/>
              <w:rPr>
                <w:rFonts w:hint="eastAsia"/>
                <w:sz w:val="21"/>
                <w:szCs w:val="21"/>
              </w:rPr>
            </w:pPr>
            <w:r>
              <w:rPr>
                <w:rFonts w:hint="eastAsia"/>
                <w:sz w:val="21"/>
                <w:szCs w:val="21"/>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23771FE0">
            <w:pPr>
              <w:pStyle w:val="51"/>
              <w:jc w:val="center"/>
              <w:rPr>
                <w:rFonts w:hint="eastAsia"/>
                <w:sz w:val="21"/>
                <w:szCs w:val="21"/>
              </w:rPr>
            </w:pPr>
            <w:r>
              <w:rPr>
                <w:rFonts w:hint="eastAsia"/>
                <w:sz w:val="21"/>
                <w:szCs w:val="21"/>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2C0E92B8">
            <w:pPr>
              <w:pStyle w:val="51"/>
              <w:jc w:val="center"/>
              <w:rPr>
                <w:rFonts w:hint="eastAsia"/>
                <w:sz w:val="21"/>
                <w:szCs w:val="21"/>
              </w:rPr>
            </w:pPr>
            <w:r>
              <w:rPr>
                <w:rFonts w:hint="eastAsia"/>
                <w:sz w:val="21"/>
                <w:szCs w:val="21"/>
              </w:rPr>
              <w:t>单价</w:t>
            </w:r>
          </w:p>
          <w:p w14:paraId="461F551D">
            <w:pPr>
              <w:pStyle w:val="51"/>
              <w:jc w:val="center"/>
              <w:rPr>
                <w:rFonts w:hint="eastAsia"/>
                <w:sz w:val="21"/>
                <w:szCs w:val="21"/>
              </w:rPr>
            </w:pPr>
            <w:r>
              <w:rPr>
                <w:rFonts w:hint="eastAsia"/>
                <w:sz w:val="21"/>
                <w:szCs w:val="21"/>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3B11232F">
            <w:pPr>
              <w:pStyle w:val="51"/>
              <w:jc w:val="center"/>
              <w:rPr>
                <w:rFonts w:hint="eastAsia"/>
                <w:sz w:val="21"/>
                <w:szCs w:val="21"/>
              </w:rPr>
            </w:pPr>
            <w:r>
              <w:rPr>
                <w:rFonts w:hint="eastAsia"/>
                <w:sz w:val="21"/>
                <w:szCs w:val="21"/>
              </w:rPr>
              <w:t>总价</w:t>
            </w:r>
          </w:p>
          <w:p w14:paraId="1B7FA043">
            <w:pPr>
              <w:pStyle w:val="51"/>
              <w:jc w:val="center"/>
              <w:rPr>
                <w:rFonts w:hint="eastAsia"/>
                <w:sz w:val="21"/>
                <w:szCs w:val="21"/>
              </w:rPr>
            </w:pPr>
            <w:r>
              <w:rPr>
                <w:rFonts w:hint="eastAsia"/>
                <w:sz w:val="21"/>
                <w:szCs w:val="21"/>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0A33EA2F">
            <w:pPr>
              <w:pStyle w:val="51"/>
              <w:jc w:val="center"/>
              <w:rPr>
                <w:rFonts w:hint="eastAsia"/>
                <w:sz w:val="21"/>
                <w:szCs w:val="21"/>
              </w:rPr>
            </w:pPr>
            <w:r>
              <w:rPr>
                <w:rFonts w:hint="eastAsia"/>
                <w:sz w:val="21"/>
                <w:szCs w:val="21"/>
              </w:rPr>
              <w:t>属强制采购或优先采购</w:t>
            </w:r>
          </w:p>
        </w:tc>
      </w:tr>
      <w:tr w14:paraId="6246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AA242EE">
            <w:pPr>
              <w:pStyle w:val="51"/>
              <w:numPr>
                <w:ilvl w:val="0"/>
                <w:numId w:val="15"/>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4DEE8A23">
            <w:pPr>
              <w:pStyle w:val="51"/>
              <w:jc w:val="center"/>
              <w:rPr>
                <w:rFonts w:hint="eastAsia"/>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53364D36">
            <w:pPr>
              <w:pStyle w:val="51"/>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653CEB0E">
            <w:pPr>
              <w:pStyle w:val="51"/>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6D125B24">
            <w:pPr>
              <w:pStyle w:val="51"/>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743F52DC">
            <w:pPr>
              <w:pStyle w:val="51"/>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3C5AB995">
            <w:pPr>
              <w:pStyle w:val="51"/>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7F8E661D">
            <w:pPr>
              <w:pStyle w:val="51"/>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14F05056">
            <w:pPr>
              <w:pStyle w:val="51"/>
              <w:jc w:val="center"/>
              <w:rPr>
                <w:rFonts w:hint="eastAsia"/>
                <w:sz w:val="21"/>
                <w:szCs w:val="21"/>
              </w:rPr>
            </w:pPr>
          </w:p>
        </w:tc>
      </w:tr>
      <w:tr w14:paraId="1E0F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E3412F6">
            <w:pPr>
              <w:pStyle w:val="51"/>
              <w:numPr>
                <w:ilvl w:val="0"/>
                <w:numId w:val="15"/>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3EC838AA">
            <w:pPr>
              <w:pStyle w:val="51"/>
              <w:jc w:val="center"/>
              <w:rPr>
                <w:rFonts w:hint="eastAsia"/>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2232AEAC">
            <w:pPr>
              <w:pStyle w:val="51"/>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0D63B8F4">
            <w:pPr>
              <w:pStyle w:val="51"/>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45BB3285">
            <w:pPr>
              <w:pStyle w:val="51"/>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398DF5E7">
            <w:pPr>
              <w:pStyle w:val="51"/>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161F73BD">
            <w:pPr>
              <w:pStyle w:val="51"/>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4FA7E4D0">
            <w:pPr>
              <w:pStyle w:val="51"/>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7701E084">
            <w:pPr>
              <w:pStyle w:val="51"/>
              <w:jc w:val="center"/>
              <w:rPr>
                <w:rFonts w:hint="eastAsia"/>
                <w:sz w:val="21"/>
                <w:szCs w:val="21"/>
              </w:rPr>
            </w:pPr>
          </w:p>
        </w:tc>
      </w:tr>
      <w:tr w14:paraId="16CA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6C3956F">
            <w:pPr>
              <w:pStyle w:val="51"/>
              <w:numPr>
                <w:ilvl w:val="0"/>
                <w:numId w:val="15"/>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584895BF">
            <w:pPr>
              <w:pStyle w:val="51"/>
              <w:jc w:val="center"/>
              <w:rPr>
                <w:rFonts w:hint="eastAsia"/>
                <w:sz w:val="21"/>
                <w:szCs w:val="21"/>
              </w:rPr>
            </w:pPr>
            <w:r>
              <w:rPr>
                <w:sz w:val="21"/>
                <w:szCs w:val="21"/>
              </w:rPr>
              <w:t>……</w:t>
            </w:r>
          </w:p>
        </w:tc>
        <w:tc>
          <w:tcPr>
            <w:tcW w:w="972" w:type="dxa"/>
            <w:tcBorders>
              <w:top w:val="single" w:color="auto" w:sz="4" w:space="0"/>
              <w:left w:val="single" w:color="auto" w:sz="4" w:space="0"/>
              <w:bottom w:val="single" w:color="auto" w:sz="4" w:space="0"/>
              <w:right w:val="single" w:color="auto" w:sz="4" w:space="0"/>
            </w:tcBorders>
            <w:vAlign w:val="center"/>
          </w:tcPr>
          <w:p w14:paraId="73A592BB">
            <w:pPr>
              <w:pStyle w:val="51"/>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31FB01AD">
            <w:pPr>
              <w:pStyle w:val="51"/>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057C1980">
            <w:pPr>
              <w:pStyle w:val="51"/>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04EAFA34">
            <w:pPr>
              <w:pStyle w:val="51"/>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458D40EE">
            <w:pPr>
              <w:pStyle w:val="51"/>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5700D276">
            <w:pPr>
              <w:pStyle w:val="51"/>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5596D733">
            <w:pPr>
              <w:pStyle w:val="51"/>
              <w:jc w:val="center"/>
              <w:rPr>
                <w:rFonts w:hint="eastAsia"/>
                <w:sz w:val="21"/>
                <w:szCs w:val="21"/>
              </w:rPr>
            </w:pPr>
          </w:p>
        </w:tc>
      </w:tr>
    </w:tbl>
    <w:p w14:paraId="795B6F6C">
      <w:pPr>
        <w:spacing w:line="300" w:lineRule="auto"/>
        <w:rPr>
          <w:rFonts w:ascii="Arial" w:hAnsi="Arial" w:cs="Arial"/>
          <w:szCs w:val="21"/>
        </w:rPr>
      </w:pPr>
    </w:p>
    <w:p w14:paraId="43CE8D4D">
      <w:pPr>
        <w:spacing w:line="300" w:lineRule="auto"/>
        <w:rPr>
          <w:rFonts w:hint="eastAsia" w:cs="宋体"/>
          <w:szCs w:val="21"/>
        </w:rPr>
      </w:pPr>
      <w:r>
        <w:rPr>
          <w:rFonts w:hint="eastAsia" w:cs="宋体"/>
          <w:szCs w:val="21"/>
        </w:rPr>
        <w:t>2.环保产品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7C4E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60FA19B">
            <w:pPr>
              <w:pStyle w:val="51"/>
              <w:jc w:val="center"/>
              <w:rPr>
                <w:rFonts w:hint="eastAsia"/>
                <w:sz w:val="21"/>
                <w:szCs w:val="21"/>
              </w:rPr>
            </w:pPr>
            <w:r>
              <w:rPr>
                <w:rFonts w:hint="eastAsia"/>
                <w:sz w:val="21"/>
                <w:szCs w:val="21"/>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00B7A0F6">
            <w:pPr>
              <w:pStyle w:val="51"/>
              <w:jc w:val="center"/>
              <w:rPr>
                <w:rFonts w:hint="eastAsia"/>
                <w:sz w:val="21"/>
                <w:szCs w:val="21"/>
              </w:rPr>
            </w:pPr>
            <w:r>
              <w:rPr>
                <w:rFonts w:hint="eastAsia"/>
                <w:sz w:val="21"/>
                <w:szCs w:val="21"/>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1FA6B531">
            <w:pPr>
              <w:pStyle w:val="51"/>
              <w:jc w:val="center"/>
              <w:rPr>
                <w:rFonts w:hint="eastAsia"/>
                <w:sz w:val="21"/>
                <w:szCs w:val="21"/>
              </w:rPr>
            </w:pPr>
            <w:r>
              <w:rPr>
                <w:rFonts w:hint="eastAsia"/>
                <w:sz w:val="21"/>
                <w:szCs w:val="21"/>
              </w:rPr>
              <w:t>制造商</w:t>
            </w:r>
          </w:p>
          <w:p w14:paraId="5981D8A4">
            <w:pPr>
              <w:pStyle w:val="51"/>
              <w:jc w:val="center"/>
              <w:rPr>
                <w:rFonts w:hint="eastAsia"/>
                <w:sz w:val="21"/>
                <w:szCs w:val="21"/>
              </w:rPr>
            </w:pPr>
            <w:r>
              <w:rPr>
                <w:rFonts w:hint="eastAsia"/>
                <w:sz w:val="21"/>
                <w:szCs w:val="21"/>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6560E7A0">
            <w:pPr>
              <w:pStyle w:val="51"/>
              <w:jc w:val="center"/>
              <w:rPr>
                <w:rFonts w:hint="eastAsia"/>
                <w:sz w:val="21"/>
                <w:szCs w:val="21"/>
              </w:rPr>
            </w:pPr>
            <w:r>
              <w:rPr>
                <w:rFonts w:hint="eastAsia"/>
                <w:sz w:val="21"/>
                <w:szCs w:val="21"/>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51A2D7C4">
            <w:pPr>
              <w:pStyle w:val="51"/>
              <w:jc w:val="center"/>
              <w:rPr>
                <w:rFonts w:hint="eastAsia"/>
                <w:sz w:val="21"/>
                <w:szCs w:val="21"/>
              </w:rPr>
            </w:pPr>
            <w:r>
              <w:rPr>
                <w:rFonts w:hint="eastAsia"/>
                <w:sz w:val="21"/>
                <w:szCs w:val="21"/>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6F3C5098">
            <w:pPr>
              <w:pStyle w:val="51"/>
              <w:jc w:val="center"/>
              <w:rPr>
                <w:rFonts w:hint="eastAsia"/>
                <w:sz w:val="21"/>
                <w:szCs w:val="21"/>
              </w:rPr>
            </w:pPr>
            <w:r>
              <w:rPr>
                <w:rFonts w:hint="eastAsia"/>
                <w:sz w:val="21"/>
                <w:szCs w:val="21"/>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77ECC19D">
            <w:pPr>
              <w:pStyle w:val="51"/>
              <w:jc w:val="center"/>
              <w:rPr>
                <w:rFonts w:hint="eastAsia"/>
                <w:sz w:val="21"/>
                <w:szCs w:val="21"/>
              </w:rPr>
            </w:pPr>
            <w:r>
              <w:rPr>
                <w:rFonts w:hint="eastAsia"/>
                <w:sz w:val="21"/>
                <w:szCs w:val="21"/>
              </w:rPr>
              <w:t>单价</w:t>
            </w:r>
          </w:p>
          <w:p w14:paraId="50CCA18A">
            <w:pPr>
              <w:pStyle w:val="51"/>
              <w:jc w:val="center"/>
              <w:rPr>
                <w:rFonts w:hint="eastAsia"/>
                <w:sz w:val="21"/>
                <w:szCs w:val="21"/>
              </w:rPr>
            </w:pPr>
            <w:r>
              <w:rPr>
                <w:rFonts w:hint="eastAsia"/>
                <w:sz w:val="21"/>
                <w:szCs w:val="21"/>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555E0E90">
            <w:pPr>
              <w:pStyle w:val="51"/>
              <w:jc w:val="center"/>
              <w:rPr>
                <w:rFonts w:hint="eastAsia"/>
                <w:sz w:val="21"/>
                <w:szCs w:val="21"/>
              </w:rPr>
            </w:pPr>
            <w:r>
              <w:rPr>
                <w:rFonts w:hint="eastAsia"/>
                <w:sz w:val="21"/>
                <w:szCs w:val="21"/>
              </w:rPr>
              <w:t>总价</w:t>
            </w:r>
          </w:p>
          <w:p w14:paraId="14618594">
            <w:pPr>
              <w:pStyle w:val="51"/>
              <w:jc w:val="center"/>
              <w:rPr>
                <w:rFonts w:hint="eastAsia"/>
                <w:sz w:val="21"/>
                <w:szCs w:val="21"/>
              </w:rPr>
            </w:pPr>
            <w:r>
              <w:rPr>
                <w:rFonts w:hint="eastAsia"/>
                <w:sz w:val="21"/>
                <w:szCs w:val="21"/>
              </w:rPr>
              <w:t>（万元）</w:t>
            </w:r>
          </w:p>
        </w:tc>
      </w:tr>
      <w:tr w14:paraId="0A0B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048F66A">
            <w:pPr>
              <w:pStyle w:val="51"/>
              <w:numPr>
                <w:ilvl w:val="0"/>
                <w:numId w:val="16"/>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6A223C36">
            <w:pPr>
              <w:pStyle w:val="51"/>
              <w:jc w:val="center"/>
              <w:rPr>
                <w:rFonts w:hint="eastAsia"/>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3E6CDF8D">
            <w:pPr>
              <w:pStyle w:val="51"/>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71C8E854">
            <w:pPr>
              <w:pStyle w:val="51"/>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4385E2FD">
            <w:pPr>
              <w:pStyle w:val="51"/>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0261E326">
            <w:pPr>
              <w:pStyle w:val="51"/>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0053D71D">
            <w:pPr>
              <w:pStyle w:val="51"/>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2B7030C1">
            <w:pPr>
              <w:pStyle w:val="51"/>
              <w:jc w:val="center"/>
              <w:rPr>
                <w:rFonts w:hint="eastAsia"/>
                <w:sz w:val="21"/>
                <w:szCs w:val="21"/>
              </w:rPr>
            </w:pPr>
          </w:p>
        </w:tc>
      </w:tr>
      <w:tr w14:paraId="41F8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B216CB0">
            <w:pPr>
              <w:pStyle w:val="51"/>
              <w:numPr>
                <w:ilvl w:val="0"/>
                <w:numId w:val="16"/>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7C538BBA">
            <w:pPr>
              <w:pStyle w:val="51"/>
              <w:jc w:val="center"/>
              <w:rPr>
                <w:rFonts w:hint="eastAsia"/>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2C245F13">
            <w:pPr>
              <w:pStyle w:val="51"/>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0A60232A">
            <w:pPr>
              <w:pStyle w:val="51"/>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2531ABC5">
            <w:pPr>
              <w:pStyle w:val="51"/>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7D97702A">
            <w:pPr>
              <w:pStyle w:val="51"/>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35B70607">
            <w:pPr>
              <w:pStyle w:val="51"/>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496EFD4E">
            <w:pPr>
              <w:pStyle w:val="51"/>
              <w:jc w:val="center"/>
              <w:rPr>
                <w:rFonts w:hint="eastAsia"/>
                <w:sz w:val="21"/>
                <w:szCs w:val="21"/>
              </w:rPr>
            </w:pPr>
          </w:p>
        </w:tc>
      </w:tr>
      <w:tr w14:paraId="325A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27E817E">
            <w:pPr>
              <w:pStyle w:val="51"/>
              <w:numPr>
                <w:ilvl w:val="0"/>
                <w:numId w:val="16"/>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7A3AB30F">
            <w:pPr>
              <w:pStyle w:val="51"/>
              <w:jc w:val="center"/>
              <w:rPr>
                <w:rFonts w:hint="eastAsia"/>
                <w:sz w:val="21"/>
                <w:szCs w:val="21"/>
              </w:rPr>
            </w:pPr>
            <w:r>
              <w:rPr>
                <w:sz w:val="21"/>
                <w:szCs w:val="21"/>
              </w:rPr>
              <w:t>……</w:t>
            </w:r>
          </w:p>
        </w:tc>
        <w:tc>
          <w:tcPr>
            <w:tcW w:w="1272" w:type="dxa"/>
            <w:tcBorders>
              <w:top w:val="single" w:color="auto" w:sz="4" w:space="0"/>
              <w:left w:val="single" w:color="auto" w:sz="4" w:space="0"/>
              <w:bottom w:val="single" w:color="auto" w:sz="4" w:space="0"/>
              <w:right w:val="single" w:color="auto" w:sz="4" w:space="0"/>
            </w:tcBorders>
            <w:vAlign w:val="center"/>
          </w:tcPr>
          <w:p w14:paraId="38F4430E">
            <w:pPr>
              <w:pStyle w:val="51"/>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0DBD4CA0">
            <w:pPr>
              <w:pStyle w:val="51"/>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3231561D">
            <w:pPr>
              <w:pStyle w:val="51"/>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29C17505">
            <w:pPr>
              <w:pStyle w:val="51"/>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7DB31C86">
            <w:pPr>
              <w:pStyle w:val="51"/>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5B5A4D78">
            <w:pPr>
              <w:pStyle w:val="51"/>
              <w:jc w:val="center"/>
              <w:rPr>
                <w:rFonts w:hint="eastAsia"/>
                <w:sz w:val="21"/>
                <w:szCs w:val="21"/>
              </w:rPr>
            </w:pPr>
          </w:p>
        </w:tc>
      </w:tr>
    </w:tbl>
    <w:p w14:paraId="626EB5D2">
      <w:pPr>
        <w:spacing w:line="300" w:lineRule="auto"/>
        <w:rPr>
          <w:rFonts w:ascii="Arial" w:hAnsi="Arial" w:cs="Arial"/>
          <w:szCs w:val="21"/>
        </w:rPr>
      </w:pPr>
    </w:p>
    <w:p w14:paraId="4C421BF8">
      <w:pPr>
        <w:rPr>
          <w:rFonts w:ascii="Arial" w:hAnsi="Arial" w:cs="Arial"/>
          <w:b/>
          <w:sz w:val="21"/>
          <w:szCs w:val="21"/>
        </w:rPr>
      </w:pPr>
      <w:r>
        <w:rPr>
          <w:rFonts w:hint="eastAsia" w:ascii="Arial" w:hAnsi="Arial" w:cs="Arial"/>
          <w:b/>
          <w:sz w:val="21"/>
          <w:szCs w:val="21"/>
        </w:rPr>
        <w:t>特别说明：投标人应将所投产品中节能、环保产品分别列入上表中，并按本招标文件“第二章投标人须知”提供相关证明材料，未填写本表或未提供有效认证证书</w:t>
      </w:r>
      <w:r>
        <w:rPr>
          <w:rFonts w:ascii="Arial" w:hAnsi="Arial" w:cs="Arial"/>
          <w:b/>
          <w:sz w:val="21"/>
          <w:szCs w:val="21"/>
        </w:rPr>
        <w:t>的</w:t>
      </w:r>
      <w:r>
        <w:rPr>
          <w:rFonts w:hint="eastAsia" w:ascii="Arial" w:hAnsi="Arial" w:cs="Arial"/>
          <w:b/>
          <w:sz w:val="21"/>
          <w:szCs w:val="21"/>
        </w:rPr>
        <w:t>不给予评审优惠。</w:t>
      </w:r>
    </w:p>
    <w:p w14:paraId="1F37DB67">
      <w:pPr>
        <w:spacing w:line="300" w:lineRule="auto"/>
        <w:rPr>
          <w:rFonts w:ascii="Arial" w:hAnsi="Arial" w:cs="Arial"/>
          <w:szCs w:val="21"/>
        </w:rPr>
      </w:pPr>
    </w:p>
    <w:p w14:paraId="3CE8BDE2">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47C95B2C">
      <w:pPr>
        <w:rPr>
          <w:rFonts w:ascii="Arial" w:hAnsi="Arial" w:cs="Arial"/>
          <w:szCs w:val="21"/>
        </w:rPr>
      </w:pPr>
      <w:r>
        <w:rPr>
          <w:rFonts w:ascii="Arial" w:hAnsi="Arial" w:cs="Arial"/>
          <w:szCs w:val="21"/>
        </w:rPr>
        <w:t>日期：</w:t>
      </w:r>
    </w:p>
    <w:p w14:paraId="12BB792F">
      <w:pPr>
        <w:rPr>
          <w:rFonts w:hint="eastAsia" w:ascii="方正小标宋_GBK" w:hAnsi="方正小标宋_GBK" w:eastAsia="方正小标宋_GBK" w:cs="方正小标宋_GBK"/>
          <w:bCs/>
          <w:sz w:val="36"/>
          <w:szCs w:val="36"/>
        </w:rPr>
      </w:pPr>
      <w:r>
        <w:rPr>
          <w:rFonts w:ascii="Arial" w:hAnsi="Arial" w:cs="Arial"/>
          <w:szCs w:val="21"/>
        </w:rPr>
        <w:br w:type="page"/>
      </w:r>
      <w:bookmarkStart w:id="416" w:name="_Toc163492940"/>
    </w:p>
    <w:p w14:paraId="3D24BD84">
      <w:pPr>
        <w:pStyle w:val="5"/>
        <w:spacing w:before="80" w:after="80" w:line="240" w:lineRule="auto"/>
        <w:ind w:left="420" w:hanging="420"/>
        <w:rPr>
          <w:rFonts w:hint="eastAsia"/>
          <w:sz w:val="24"/>
          <w:szCs w:val="24"/>
        </w:rPr>
      </w:pPr>
      <w:r>
        <w:rPr>
          <w:rFonts w:hint="eastAsia" w:asciiTheme="majorHAnsi" w:hAnsiTheme="majorHAnsi" w:cstheme="majorBidi"/>
          <w:sz w:val="28"/>
          <w:szCs w:val="28"/>
        </w:rPr>
        <w:t>（二）监狱企业证明文件</w:t>
      </w:r>
      <w:r>
        <w:rPr>
          <w:rFonts w:hint="eastAsia"/>
          <w:b w:val="0"/>
          <w:bCs w:val="0"/>
          <w:sz w:val="24"/>
          <w:szCs w:val="24"/>
        </w:rPr>
        <w:t>【如适用】</w:t>
      </w:r>
      <w:bookmarkEnd w:id="416"/>
    </w:p>
    <w:p w14:paraId="458748B2">
      <w:pPr>
        <w:rPr>
          <w:rFonts w:hint="eastAsia" w:cs="仿宋_GB2312"/>
          <w:b/>
          <w:sz w:val="28"/>
          <w:szCs w:val="28"/>
        </w:rPr>
      </w:pPr>
    </w:p>
    <w:p w14:paraId="71FCA309">
      <w:pPr>
        <w:adjustRightInd w:val="0"/>
        <w:snapToGrid w:val="0"/>
        <w:ind w:firstLine="480" w:firstLineChars="200"/>
        <w:rPr>
          <w:rFonts w:hint="eastAsia" w:cs="宋体"/>
          <w:szCs w:val="24"/>
        </w:rPr>
      </w:pPr>
      <w:r>
        <w:rPr>
          <w:rFonts w:hint="eastAsia" w:cs="宋体"/>
          <w:szCs w:val="24"/>
        </w:rPr>
        <w:t>【监狱企业应当提供由省级及以上监狱管理局、戒毒管理局出具的监狱企业的证明文件，格式如下】。</w:t>
      </w:r>
    </w:p>
    <w:p w14:paraId="04079053">
      <w:pPr>
        <w:pStyle w:val="18"/>
        <w:jc w:val="center"/>
        <w:rPr>
          <w:rFonts w:hint="eastAsia" w:hAnsi="宋体" w:cs="宋体"/>
          <w:b/>
          <w:sz w:val="32"/>
          <w:szCs w:val="32"/>
        </w:rPr>
      </w:pPr>
    </w:p>
    <w:p w14:paraId="313883F7">
      <w:pPr>
        <w:pStyle w:val="18"/>
        <w:jc w:val="center"/>
        <w:rPr>
          <w:rFonts w:hint="eastAsia" w:hAnsi="宋体" w:cs="宋体"/>
          <w:b/>
          <w:sz w:val="32"/>
          <w:szCs w:val="32"/>
        </w:rPr>
      </w:pPr>
      <w:r>
        <w:rPr>
          <w:rFonts w:hint="eastAsia" w:hAnsi="宋体" w:cs="宋体"/>
          <w:b/>
          <w:sz w:val="32"/>
          <w:szCs w:val="32"/>
        </w:rPr>
        <w:t>监狱企业证明函</w:t>
      </w:r>
    </w:p>
    <w:p w14:paraId="602B5CF7">
      <w:pPr>
        <w:rPr>
          <w:rFonts w:hint="eastAsia" w:ascii="仿宋_GB2312" w:hAnsi="仿宋_GB2312" w:eastAsia="仿宋_GB2312" w:cs="仿宋_GB2312"/>
          <w:sz w:val="32"/>
          <w:szCs w:val="32"/>
        </w:rPr>
      </w:pPr>
    </w:p>
    <w:p w14:paraId="7A9A5F72">
      <w:pPr>
        <w:ind w:firstLine="504" w:firstLineChars="200"/>
        <w:rPr>
          <w:rFonts w:hint="eastAsia" w:cs="宋体"/>
          <w:spacing w:val="6"/>
          <w:szCs w:val="24"/>
        </w:rPr>
      </w:pPr>
      <w:r>
        <w:rPr>
          <w:rFonts w:hint="eastAsia" w:cs="宋体"/>
          <w:spacing w:val="6"/>
          <w:szCs w:val="24"/>
        </w:rPr>
        <w:t>本公司郑重声明，根据财政部、司法部《关于政府采购支持监狱企业发展有关问题的通知》（财库〔2014〕68号）的规定，本公司为监狱企业。</w:t>
      </w:r>
    </w:p>
    <w:p w14:paraId="0F4C91F3">
      <w:pPr>
        <w:rPr>
          <w:rFonts w:hint="eastAsia" w:cs="宋体"/>
          <w:szCs w:val="24"/>
        </w:rPr>
      </w:pPr>
    </w:p>
    <w:p w14:paraId="0787E2BC">
      <w:pPr>
        <w:ind w:firstLine="4440" w:firstLineChars="1850"/>
        <w:rPr>
          <w:rFonts w:hint="eastAsia" w:cs="宋体"/>
          <w:szCs w:val="24"/>
        </w:rPr>
      </w:pPr>
    </w:p>
    <w:p w14:paraId="0311F668">
      <w:pPr>
        <w:ind w:firstLine="4440" w:firstLineChars="1850"/>
        <w:rPr>
          <w:rFonts w:hint="eastAsia" w:cs="宋体"/>
          <w:szCs w:val="24"/>
        </w:rPr>
      </w:pPr>
    </w:p>
    <w:p w14:paraId="6326986B">
      <w:pPr>
        <w:ind w:right="1008" w:firstLine="4284" w:firstLineChars="1700"/>
        <w:rPr>
          <w:rFonts w:hint="eastAsia" w:cs="宋体"/>
          <w:spacing w:val="6"/>
          <w:szCs w:val="24"/>
        </w:rPr>
      </w:pPr>
      <w:r>
        <w:rPr>
          <w:rFonts w:hint="eastAsia" w:cs="宋体"/>
          <w:spacing w:val="6"/>
          <w:szCs w:val="24"/>
        </w:rPr>
        <w:t>投标人名称</w:t>
      </w:r>
      <w:r>
        <w:rPr>
          <w:rFonts w:hint="eastAsia" w:cs="宋体"/>
          <w:szCs w:val="24"/>
        </w:rPr>
        <w:t>（</w:t>
      </w:r>
      <w:r>
        <w:rPr>
          <w:rFonts w:hint="eastAsia" w:cs="宋体"/>
          <w:kern w:val="0"/>
          <w:szCs w:val="24"/>
        </w:rPr>
        <w:t>公章）</w:t>
      </w:r>
      <w:r>
        <w:rPr>
          <w:rFonts w:hint="eastAsia" w:cs="宋体"/>
          <w:spacing w:val="6"/>
          <w:szCs w:val="24"/>
        </w:rPr>
        <w:t>：</w:t>
      </w:r>
    </w:p>
    <w:p w14:paraId="5AB23A42">
      <w:pPr>
        <w:ind w:right="1008" w:firstLine="4284" w:firstLineChars="1700"/>
        <w:rPr>
          <w:rFonts w:hint="eastAsia" w:cs="宋体"/>
          <w:spacing w:val="6"/>
          <w:szCs w:val="24"/>
        </w:rPr>
      </w:pPr>
      <w:r>
        <w:rPr>
          <w:rFonts w:hint="eastAsia" w:cs="宋体"/>
          <w:spacing w:val="6"/>
          <w:szCs w:val="24"/>
        </w:rPr>
        <w:t>日期：   年  月  日</w:t>
      </w:r>
    </w:p>
    <w:p w14:paraId="0271CA5A">
      <w:pPr>
        <w:ind w:firstLine="240" w:firstLineChars="100"/>
        <w:rPr>
          <w:rFonts w:hint="eastAsia" w:cs="宋体"/>
          <w:szCs w:val="24"/>
        </w:rPr>
      </w:pPr>
    </w:p>
    <w:p w14:paraId="626C8009">
      <w:pPr>
        <w:ind w:firstLine="240" w:firstLineChars="100"/>
        <w:rPr>
          <w:rFonts w:hint="eastAsia" w:cs="宋体"/>
          <w:szCs w:val="24"/>
        </w:rPr>
      </w:pPr>
    </w:p>
    <w:p w14:paraId="7778D2F4">
      <w:pPr>
        <w:ind w:firstLine="3360" w:firstLineChars="1400"/>
        <w:rPr>
          <w:rFonts w:hint="eastAsia" w:cs="宋体"/>
          <w:szCs w:val="24"/>
        </w:rPr>
      </w:pPr>
      <w:r>
        <w:rPr>
          <w:rFonts w:hint="eastAsia" w:cs="宋体"/>
          <w:szCs w:val="24"/>
        </w:rPr>
        <w:t>省级以上监狱管理局、戒毒管理局</w:t>
      </w:r>
    </w:p>
    <w:p w14:paraId="7141CAE1">
      <w:pPr>
        <w:ind w:firstLine="3360" w:firstLineChars="1400"/>
        <w:rPr>
          <w:rFonts w:hint="eastAsia" w:cs="宋体"/>
          <w:szCs w:val="24"/>
        </w:rPr>
      </w:pPr>
      <w:r>
        <w:rPr>
          <w:rFonts w:hint="eastAsia" w:cs="宋体"/>
          <w:szCs w:val="24"/>
        </w:rPr>
        <w:t>（</w:t>
      </w:r>
      <w:r>
        <w:rPr>
          <w:rFonts w:hint="eastAsia" w:cs="宋体"/>
          <w:kern w:val="0"/>
          <w:szCs w:val="24"/>
        </w:rPr>
        <w:t>盖章）</w:t>
      </w:r>
      <w:r>
        <w:rPr>
          <w:rFonts w:hint="eastAsia" w:cs="宋体"/>
          <w:szCs w:val="24"/>
        </w:rPr>
        <w:t xml:space="preserve">：  </w:t>
      </w:r>
    </w:p>
    <w:p w14:paraId="04111DD7">
      <w:pPr>
        <w:ind w:firstLine="4320" w:firstLineChars="1800"/>
        <w:rPr>
          <w:rFonts w:hint="eastAsia" w:cs="宋体"/>
          <w:szCs w:val="24"/>
        </w:rPr>
      </w:pPr>
      <w:r>
        <w:rPr>
          <w:rFonts w:hint="eastAsia" w:cs="宋体"/>
          <w:szCs w:val="24"/>
        </w:rPr>
        <w:t>日期：</w:t>
      </w:r>
      <w:r>
        <w:rPr>
          <w:rFonts w:hint="eastAsia" w:cs="宋体"/>
          <w:spacing w:val="6"/>
          <w:szCs w:val="24"/>
        </w:rPr>
        <w:t xml:space="preserve">   年  月  日</w:t>
      </w:r>
    </w:p>
    <w:p w14:paraId="1FB27D93">
      <w:pPr>
        <w:ind w:firstLine="240" w:firstLineChars="100"/>
        <w:rPr>
          <w:rFonts w:hint="eastAsia" w:cs="宋体"/>
          <w:szCs w:val="24"/>
        </w:rPr>
      </w:pPr>
    </w:p>
    <w:p w14:paraId="1D883A49">
      <w:pPr>
        <w:ind w:firstLine="4000" w:firstLineChars="1250"/>
        <w:rPr>
          <w:rFonts w:hint="eastAsia" w:ascii="仿宋_GB2312" w:hAnsi="仿宋_GB2312" w:eastAsia="仿宋_GB2312" w:cs="仿宋_GB2312"/>
          <w:sz w:val="32"/>
          <w:szCs w:val="32"/>
        </w:rPr>
      </w:pPr>
    </w:p>
    <w:p w14:paraId="0E30B9BF">
      <w:pPr>
        <w:rPr>
          <w:rFonts w:hint="eastAsia" w:ascii="仿宋_GB2312" w:hAnsi="仿宋_GB2312" w:eastAsia="仿宋_GB2312" w:cs="仿宋_GB2312"/>
          <w:sz w:val="32"/>
          <w:szCs w:val="32"/>
        </w:rPr>
      </w:pPr>
    </w:p>
    <w:p w14:paraId="7E5282D7">
      <w:pPr>
        <w:widowControl/>
        <w:spacing w:before="100" w:beforeAutospacing="1" w:after="100" w:afterAutospacing="1"/>
        <w:rPr>
          <w:rFonts w:ascii="Arial" w:hAnsi="Arial" w:cs="Arial"/>
          <w:sz w:val="21"/>
          <w:szCs w:val="21"/>
        </w:rPr>
      </w:pPr>
    </w:p>
    <w:p w14:paraId="3E72639F">
      <w:pPr>
        <w:widowControl/>
        <w:spacing w:before="100" w:beforeAutospacing="1" w:after="100" w:afterAutospacing="1"/>
        <w:rPr>
          <w:rFonts w:ascii="Arial" w:hAnsi="Arial" w:cs="Arial"/>
          <w:sz w:val="21"/>
          <w:szCs w:val="21"/>
        </w:rPr>
      </w:pPr>
    </w:p>
    <w:p w14:paraId="4564ABCB">
      <w:pPr>
        <w:pStyle w:val="5"/>
        <w:spacing w:before="80" w:after="80" w:line="240" w:lineRule="auto"/>
        <w:ind w:left="420" w:hanging="420"/>
        <w:rPr>
          <w:rFonts w:hint="eastAsia"/>
          <w:sz w:val="24"/>
          <w:szCs w:val="24"/>
        </w:rPr>
      </w:pPr>
      <w:bookmarkStart w:id="417" w:name="_Toc163492941"/>
      <w:r>
        <w:rPr>
          <w:rFonts w:hint="eastAsia"/>
          <w:sz w:val="24"/>
          <w:szCs w:val="24"/>
        </w:rPr>
        <w:t>（三）残疾人福利性单位声明函</w:t>
      </w:r>
      <w:r>
        <w:rPr>
          <w:rFonts w:hint="eastAsia"/>
          <w:b w:val="0"/>
          <w:bCs w:val="0"/>
          <w:sz w:val="24"/>
          <w:szCs w:val="24"/>
        </w:rPr>
        <w:t>【如适用】</w:t>
      </w:r>
      <w:bookmarkEnd w:id="417"/>
    </w:p>
    <w:p w14:paraId="421F6D34">
      <w:pPr>
        <w:pStyle w:val="41"/>
        <w:numPr>
          <w:ilvl w:val="0"/>
          <w:numId w:val="0"/>
        </w:numPr>
        <w:ind w:left="420" w:hanging="420"/>
        <w:jc w:val="center"/>
        <w:rPr>
          <w:rFonts w:hint="eastAsia"/>
          <w:b/>
          <w:bCs/>
          <w:sz w:val="32"/>
          <w:szCs w:val="32"/>
        </w:rPr>
      </w:pPr>
    </w:p>
    <w:p w14:paraId="4AAD314B">
      <w:pPr>
        <w:pStyle w:val="41"/>
        <w:numPr>
          <w:ilvl w:val="0"/>
          <w:numId w:val="0"/>
        </w:numPr>
        <w:ind w:left="420" w:hanging="420"/>
        <w:jc w:val="center"/>
        <w:rPr>
          <w:rFonts w:hint="eastAsia"/>
          <w:b/>
          <w:bCs/>
          <w:sz w:val="32"/>
          <w:szCs w:val="32"/>
        </w:rPr>
      </w:pPr>
      <w:r>
        <w:rPr>
          <w:rFonts w:hint="eastAsia"/>
          <w:b/>
          <w:bCs/>
          <w:sz w:val="32"/>
          <w:szCs w:val="32"/>
        </w:rPr>
        <w:t>残疾人福利性单位声明函</w:t>
      </w:r>
    </w:p>
    <w:p w14:paraId="7148D612">
      <w:pPr>
        <w:wordWrap w:val="0"/>
        <w:ind w:firstLine="480" w:firstLineChars="200"/>
        <w:rPr>
          <w:rFonts w:hint="eastAsia"/>
          <w:szCs w:val="24"/>
        </w:rPr>
      </w:pPr>
    </w:p>
    <w:p w14:paraId="124969DA">
      <w:pPr>
        <w:wordWrap w:val="0"/>
        <w:ind w:firstLine="480" w:firstLineChars="200"/>
        <w:rPr>
          <w:rFonts w:hint="eastAsia"/>
          <w:szCs w:val="24"/>
        </w:rPr>
      </w:pPr>
      <w:r>
        <w:rPr>
          <w:rFonts w:hint="eastAsia"/>
          <w:szCs w:val="24"/>
        </w:rPr>
        <w:t>本公司（联合体）郑重声明，根据《财政部 民政部 中国残疾人联合会关于促进残疾人就业政府采购政策的通知》（财库〔2017〕141号）的规定，本公司（联合体）参加</w:t>
      </w:r>
      <w:r>
        <w:rPr>
          <w:rFonts w:hint="eastAsia"/>
          <w:szCs w:val="24"/>
          <w:u w:val="single"/>
        </w:rPr>
        <w:t xml:space="preserve"> （单位名称） </w:t>
      </w:r>
      <w:r>
        <w:rPr>
          <w:rFonts w:hint="eastAsia"/>
          <w:szCs w:val="24"/>
        </w:rPr>
        <w:t>的</w:t>
      </w:r>
      <w:r>
        <w:rPr>
          <w:rFonts w:hint="eastAsia"/>
          <w:szCs w:val="24"/>
          <w:u w:val="single"/>
        </w:rPr>
        <w:t xml:space="preserve"> （项目名称） </w:t>
      </w:r>
      <w:r>
        <w:rPr>
          <w:rFonts w:hint="eastAsia"/>
          <w:szCs w:val="24"/>
        </w:rPr>
        <w:t>采购活动，提供的货物</w:t>
      </w:r>
      <w:r>
        <w:rPr>
          <w:rFonts w:hint="eastAsia"/>
          <w:b/>
          <w:szCs w:val="24"/>
        </w:rPr>
        <w:t>全部由</w:t>
      </w:r>
      <w:r>
        <w:rPr>
          <w:rFonts w:hint="eastAsia"/>
          <w:szCs w:val="24"/>
        </w:rPr>
        <w:t>符合政策要求的</w:t>
      </w:r>
      <w:r>
        <w:rPr>
          <w:rFonts w:hint="eastAsia"/>
          <w:b/>
          <w:szCs w:val="24"/>
        </w:rPr>
        <w:t>残疾人福利性单位制造</w:t>
      </w:r>
      <w:r>
        <w:rPr>
          <w:rFonts w:hint="eastAsia"/>
          <w:szCs w:val="24"/>
        </w:rPr>
        <w:t>。相关企业（含联合体中的残疾人福利性单位、签订分包意向协议书的残疾人福利性单位）的具体情况如下：</w:t>
      </w:r>
    </w:p>
    <w:p w14:paraId="256E86AC">
      <w:pPr>
        <w:wordWrap w:val="0"/>
        <w:ind w:firstLine="480" w:firstLineChars="200"/>
        <w:rPr>
          <w:rFonts w:hint="eastAsia"/>
          <w:szCs w:val="24"/>
        </w:rPr>
      </w:pPr>
      <w:r>
        <w:rPr>
          <w:rFonts w:hint="eastAsia"/>
          <w:szCs w:val="24"/>
        </w:rPr>
        <w:t>1.</w:t>
      </w:r>
      <w:r>
        <w:rPr>
          <w:rFonts w:hint="eastAsia"/>
          <w:szCs w:val="24"/>
          <w:u w:val="single"/>
        </w:rPr>
        <w:t xml:space="preserve"> （标的名称） </w:t>
      </w:r>
      <w:r>
        <w:rPr>
          <w:rFonts w:hint="eastAsia"/>
          <w:szCs w:val="24"/>
        </w:rPr>
        <w:t xml:space="preserve">，制造商为 </w:t>
      </w:r>
      <w:r>
        <w:rPr>
          <w:szCs w:val="24"/>
          <w:u w:val="single"/>
        </w:rPr>
        <w:t xml:space="preserve">  </w:t>
      </w:r>
      <w:r>
        <w:rPr>
          <w:rFonts w:hint="eastAsia"/>
          <w:szCs w:val="24"/>
          <w:u w:val="single"/>
        </w:rPr>
        <w:t xml:space="preserve">（企业名称） </w:t>
      </w:r>
      <w:r>
        <w:rPr>
          <w:rFonts w:hint="eastAsia"/>
          <w:szCs w:val="24"/>
        </w:rPr>
        <w:t>，属于残疾人福利性单位；</w:t>
      </w:r>
    </w:p>
    <w:p w14:paraId="1C3129FC">
      <w:pPr>
        <w:wordWrap w:val="0"/>
        <w:ind w:firstLine="480" w:firstLineChars="200"/>
        <w:rPr>
          <w:rFonts w:hint="eastAsia"/>
          <w:szCs w:val="24"/>
        </w:rPr>
      </w:pPr>
      <w:r>
        <w:rPr>
          <w:rFonts w:hint="eastAsia"/>
          <w:szCs w:val="24"/>
        </w:rPr>
        <w:t xml:space="preserve">2. </w:t>
      </w:r>
      <w:r>
        <w:rPr>
          <w:rFonts w:hint="eastAsia"/>
          <w:szCs w:val="24"/>
          <w:u w:val="single"/>
        </w:rPr>
        <w:t xml:space="preserve">（标的名称） </w:t>
      </w:r>
      <w:r>
        <w:rPr>
          <w:rFonts w:hint="eastAsia"/>
          <w:szCs w:val="24"/>
        </w:rPr>
        <w:t xml:space="preserve">，制造商为 </w:t>
      </w:r>
      <w:r>
        <w:rPr>
          <w:szCs w:val="24"/>
          <w:u w:val="single"/>
        </w:rPr>
        <w:t xml:space="preserve">  </w:t>
      </w:r>
      <w:r>
        <w:rPr>
          <w:rFonts w:hint="eastAsia"/>
          <w:szCs w:val="24"/>
          <w:u w:val="single"/>
        </w:rPr>
        <w:t xml:space="preserve">（企业名称） </w:t>
      </w:r>
      <w:r>
        <w:rPr>
          <w:rFonts w:hint="eastAsia"/>
          <w:szCs w:val="24"/>
        </w:rPr>
        <w:t>，属于残疾人福利性单位；</w:t>
      </w:r>
    </w:p>
    <w:p w14:paraId="2524768D">
      <w:pPr>
        <w:wordWrap w:val="0"/>
        <w:ind w:firstLine="480" w:firstLineChars="200"/>
        <w:rPr>
          <w:rFonts w:hint="eastAsia"/>
          <w:szCs w:val="24"/>
        </w:rPr>
      </w:pPr>
      <w:r>
        <w:rPr>
          <w:rFonts w:hint="eastAsia"/>
          <w:szCs w:val="24"/>
        </w:rPr>
        <w:t>……</w:t>
      </w:r>
    </w:p>
    <w:p w14:paraId="02E4B613">
      <w:pPr>
        <w:wordWrap w:val="0"/>
        <w:ind w:firstLine="480" w:firstLineChars="200"/>
        <w:rPr>
          <w:rFonts w:hint="eastAsia"/>
          <w:szCs w:val="24"/>
        </w:rPr>
      </w:pPr>
      <w:r>
        <w:rPr>
          <w:rFonts w:hint="eastAsia"/>
          <w:szCs w:val="24"/>
        </w:rPr>
        <w:t>以上企业，不属于大企业的分支机构，不存在控股股东为大企业的情形，也不存在与大企业的负责人为同一人的情形。</w:t>
      </w:r>
    </w:p>
    <w:p w14:paraId="1B29A8E2">
      <w:pPr>
        <w:wordWrap w:val="0"/>
        <w:ind w:left="1087" w:leftChars="200" w:hanging="607" w:hangingChars="253"/>
        <w:rPr>
          <w:rFonts w:hint="eastAsia"/>
          <w:szCs w:val="24"/>
        </w:rPr>
      </w:pPr>
      <w:r>
        <w:rPr>
          <w:rFonts w:hint="eastAsia"/>
          <w:szCs w:val="24"/>
        </w:rPr>
        <w:t>本企业对上述声明内容的真实性负责。如有虚假，将依法承担相应责任。</w:t>
      </w:r>
    </w:p>
    <w:p w14:paraId="28409F80">
      <w:pPr>
        <w:wordWrap w:val="0"/>
        <w:ind w:left="1091" w:hanging="1091" w:hangingChars="453"/>
        <w:rPr>
          <w:rFonts w:hint="eastAsia"/>
          <w:b/>
          <w:bCs/>
          <w:szCs w:val="24"/>
        </w:rPr>
      </w:pPr>
    </w:p>
    <w:p w14:paraId="5233C139">
      <w:pPr>
        <w:wordWrap w:val="0"/>
        <w:ind w:left="1091" w:hanging="1091" w:hangingChars="453"/>
        <w:rPr>
          <w:rFonts w:hint="eastAsia"/>
          <w:bCs/>
          <w:szCs w:val="24"/>
        </w:rPr>
      </w:pPr>
      <w:r>
        <w:rPr>
          <w:rFonts w:hint="eastAsia"/>
          <w:b/>
          <w:bCs/>
          <w:szCs w:val="24"/>
        </w:rPr>
        <w:t>说明：</w:t>
      </w:r>
      <w:r>
        <w:rPr>
          <w:rFonts w:hint="eastAsia"/>
          <w:bCs/>
          <w:szCs w:val="24"/>
        </w:rPr>
        <w:t>1、</w:t>
      </w:r>
      <w:r>
        <w:rPr>
          <w:rFonts w:hint="eastAsia"/>
          <w:bCs/>
          <w:szCs w:val="21"/>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26888BBD">
      <w:pPr>
        <w:wordWrap w:val="0"/>
        <w:ind w:left="1087" w:hanging="1087" w:hangingChars="453"/>
        <w:rPr>
          <w:rFonts w:hint="eastAsia" w:cs="Courier New"/>
          <w:szCs w:val="21"/>
        </w:rPr>
      </w:pPr>
      <w:r>
        <w:rPr>
          <w:rFonts w:hint="eastAsia"/>
          <w:bCs/>
          <w:szCs w:val="21"/>
          <w:lang w:val="zh-CN"/>
        </w:rPr>
        <w:t xml:space="preserve">      2、</w:t>
      </w:r>
      <w:r>
        <w:rPr>
          <w:rFonts w:hint="eastAsia" w:cs="Courier New"/>
          <w:szCs w:val="21"/>
        </w:rPr>
        <w:t>以联合体形式参加的，应</w:t>
      </w:r>
      <w:r>
        <w:rPr>
          <w:rFonts w:hint="eastAsia"/>
          <w:bCs/>
          <w:szCs w:val="21"/>
          <w:lang w:val="zh-CN"/>
        </w:rPr>
        <w:t>当</w:t>
      </w:r>
      <w:r>
        <w:rPr>
          <w:rFonts w:hint="eastAsia" w:cs="Courier New"/>
          <w:szCs w:val="21"/>
        </w:rPr>
        <w:t>由联合体各方盖章。</w:t>
      </w:r>
    </w:p>
    <w:p w14:paraId="5F6597F1">
      <w:pPr>
        <w:wordWrap w:val="0"/>
        <w:spacing w:before="100" w:beforeAutospacing="1" w:after="100" w:afterAutospacing="1"/>
        <w:ind w:firstLine="3316" w:firstLineChars="1382"/>
        <w:rPr>
          <w:rFonts w:hint="eastAsia"/>
          <w:bCs/>
          <w:szCs w:val="21"/>
          <w:lang w:val="zh-CN"/>
        </w:rPr>
      </w:pPr>
      <w:r>
        <w:rPr>
          <w:rFonts w:hint="eastAsia"/>
          <w:bCs/>
          <w:szCs w:val="21"/>
          <w:lang w:val="zh-CN"/>
        </w:rPr>
        <w:t>投标人</w:t>
      </w:r>
      <w:r>
        <w:rPr>
          <w:rFonts w:hint="eastAsia"/>
          <w:bCs/>
          <w:szCs w:val="21"/>
        </w:rPr>
        <w:t>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bCs/>
          <w:szCs w:val="21"/>
          <w:lang w:val="zh-CN"/>
        </w:rPr>
        <w:t>：</w:t>
      </w:r>
      <w:r>
        <w:rPr>
          <w:rFonts w:hint="eastAsia"/>
          <w:bCs/>
          <w:szCs w:val="21"/>
          <w:u w:val="single"/>
          <w:lang w:val="zh-CN"/>
        </w:rPr>
        <w:t xml:space="preserve">              </w:t>
      </w:r>
    </w:p>
    <w:p w14:paraId="5782E0ED">
      <w:pPr>
        <w:wordWrap w:val="0"/>
        <w:spacing w:before="100" w:beforeAutospacing="1" w:after="100" w:afterAutospacing="1"/>
        <w:ind w:firstLine="3316" w:firstLineChars="1382"/>
        <w:rPr>
          <w:rFonts w:hint="eastAsia"/>
        </w:rPr>
      </w:pPr>
      <w:r>
        <w:rPr>
          <w:rFonts w:hint="eastAsia"/>
          <w:szCs w:val="24"/>
        </w:rPr>
        <w:t>日</w:t>
      </w:r>
      <w:r>
        <w:rPr>
          <w:szCs w:val="24"/>
        </w:rPr>
        <w:t xml:space="preserve">  </w:t>
      </w:r>
      <w:r>
        <w:rPr>
          <w:rFonts w:hint="eastAsia"/>
          <w:szCs w:val="24"/>
        </w:rPr>
        <w:t>期：</w:t>
      </w:r>
      <w:r>
        <w:rPr>
          <w:bCs/>
          <w:szCs w:val="24"/>
          <w:u w:val="single"/>
        </w:rPr>
        <w:t xml:space="preserve">                         </w:t>
      </w:r>
    </w:p>
    <w:p w14:paraId="52FBBEE9">
      <w:pPr>
        <w:rPr>
          <w:rFonts w:hint="eastAsia"/>
          <w:b/>
          <w:bCs/>
          <w:szCs w:val="24"/>
        </w:rPr>
      </w:pPr>
      <w:r>
        <w:rPr>
          <w:rFonts w:hint="eastAsia"/>
          <w:b/>
          <w:bCs/>
          <w:szCs w:val="24"/>
        </w:rPr>
        <w:br w:type="page"/>
      </w:r>
    </w:p>
    <w:p w14:paraId="1ED7D02E">
      <w:pPr>
        <w:pStyle w:val="4"/>
        <w:spacing w:before="100" w:after="100" w:line="360" w:lineRule="auto"/>
        <w:ind w:left="420" w:hanging="420"/>
        <w:rPr>
          <w:rFonts w:hint="eastAsia"/>
          <w:sz w:val="28"/>
          <w:szCs w:val="28"/>
        </w:rPr>
      </w:pPr>
      <w:bookmarkStart w:id="418" w:name="_Toc4882"/>
      <w:bookmarkStart w:id="419" w:name="_Toc163492942"/>
      <w:r>
        <w:rPr>
          <w:rFonts w:hint="eastAsia"/>
          <w:sz w:val="28"/>
          <w:szCs w:val="28"/>
        </w:rPr>
        <w:t>五、不参与围标串标承诺书</w:t>
      </w:r>
      <w:bookmarkEnd w:id="418"/>
    </w:p>
    <w:p w14:paraId="585A3EE4">
      <w:pPr>
        <w:pStyle w:val="4"/>
        <w:spacing w:before="100" w:after="100" w:line="240" w:lineRule="auto"/>
        <w:ind w:left="420" w:hanging="420"/>
        <w:rPr>
          <w:rFonts w:hint="eastAsia"/>
        </w:rPr>
      </w:pPr>
    </w:p>
    <w:p w14:paraId="192B83ED">
      <w:pPr>
        <w:jc w:val="center"/>
        <w:rPr>
          <w:rFonts w:hint="eastAsia"/>
        </w:rPr>
      </w:pPr>
      <w:r>
        <w:rPr>
          <w:rFonts w:hint="eastAsia" w:cstheme="majorBidi"/>
          <w:b/>
          <w:bCs/>
          <w:sz w:val="32"/>
          <w:szCs w:val="32"/>
        </w:rPr>
        <w:t>不参与围标串标承诺书</w:t>
      </w:r>
    </w:p>
    <w:p w14:paraId="3570DF6F">
      <w:pPr>
        <w:rPr>
          <w:rFonts w:hint="eastAsia"/>
        </w:rPr>
      </w:pPr>
      <w:r>
        <w:rPr>
          <w:rFonts w:hint="eastAsia"/>
        </w:rPr>
        <w:t>  </w:t>
      </w:r>
    </w:p>
    <w:p w14:paraId="463871FA">
      <w:pPr>
        <w:ind w:firstLine="480" w:firstLineChars="200"/>
        <w:rPr>
          <w:rFonts w:hint="eastAsia"/>
        </w:rPr>
      </w:pPr>
      <w:r>
        <w:rPr>
          <w:rFonts w:hint="eastAsia"/>
        </w:rPr>
        <w:t>本人作为经授权的投标人代表,清楚知晓我单位本项目投标活动,对以下事项作出承诺：</w:t>
      </w:r>
    </w:p>
    <w:p w14:paraId="7E7956B0">
      <w:pPr>
        <w:ind w:firstLine="480" w:firstLineChars="200"/>
        <w:rPr>
          <w:rFonts w:hint="eastAsia"/>
        </w:rPr>
      </w:pPr>
    </w:p>
    <w:p w14:paraId="0FFF9A19">
      <w:pPr>
        <w:ind w:firstLine="480" w:firstLineChars="200"/>
        <w:rPr>
          <w:rFonts w:hint="eastAsia"/>
        </w:rPr>
      </w:pPr>
      <w:r>
        <w:rPr>
          <w:rFonts w:hint="eastAsia"/>
        </w:rPr>
        <w:t>一、我单位和我本人遵循公开透明、公平竞争、公正和诚实信用的原则,依法依规参与本项目竞标。</w:t>
      </w:r>
    </w:p>
    <w:p w14:paraId="5BC763CF">
      <w:pPr>
        <w:ind w:firstLine="480" w:firstLineChars="200"/>
        <w:rPr>
          <w:rFonts w:hint="eastAsia"/>
        </w:rPr>
      </w:pPr>
      <w:r>
        <w:rPr>
          <w:rFonts w:hint="eastAsia"/>
        </w:rPr>
        <w:t>二、我单位和我本人在本项目政府采购投标活动中,未参与围标串标。</w:t>
      </w:r>
    </w:p>
    <w:p w14:paraId="0B4CD4EB">
      <w:pPr>
        <w:ind w:firstLine="480" w:firstLineChars="200"/>
        <w:rPr>
          <w:rFonts w:hint="eastAsia"/>
        </w:rPr>
      </w:pPr>
      <w:r>
        <w:rPr>
          <w:rFonts w:hint="eastAsia"/>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1D90F13F">
      <w:pPr>
        <w:pStyle w:val="14"/>
        <w:rPr>
          <w:rFonts w:hint="eastAsia"/>
        </w:rPr>
      </w:pPr>
    </w:p>
    <w:p w14:paraId="5C83C85D">
      <w:pPr>
        <w:spacing w:line="560" w:lineRule="exact"/>
        <w:rPr>
          <w:rFonts w:hint="eastAsia" w:cs="宋体"/>
          <w:kern w:val="0"/>
          <w:szCs w:val="24"/>
        </w:rPr>
      </w:pPr>
    </w:p>
    <w:p w14:paraId="46AA86C1">
      <w:pPr>
        <w:spacing w:line="560" w:lineRule="exact"/>
        <w:rPr>
          <w:rFonts w:hint="eastAsia" w:cs="宋体"/>
          <w:kern w:val="0"/>
          <w:szCs w:val="24"/>
        </w:rPr>
      </w:pPr>
      <w:r>
        <w:rPr>
          <w:rFonts w:hint="eastAsia" w:cs="宋体"/>
          <w:kern w:val="0"/>
          <w:szCs w:val="24"/>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cs="宋体"/>
          <w:kern w:val="0"/>
          <w:szCs w:val="24"/>
        </w:rPr>
        <w:t>：</w:t>
      </w:r>
    </w:p>
    <w:p w14:paraId="17007454">
      <w:pPr>
        <w:spacing w:line="560" w:lineRule="exact"/>
        <w:rPr>
          <w:rFonts w:hint="eastAsia" w:cs="宋体"/>
          <w:kern w:val="0"/>
          <w:szCs w:val="24"/>
        </w:rPr>
      </w:pPr>
      <w:r>
        <w:rPr>
          <w:rFonts w:hint="eastAsia" w:cs="宋体"/>
          <w:kern w:val="0"/>
          <w:szCs w:val="24"/>
        </w:rPr>
        <w:t>法定代表人（负责人或本人）或授权代表（签字或盖章）：</w:t>
      </w:r>
    </w:p>
    <w:p w14:paraId="077B88AB">
      <w:pPr>
        <w:spacing w:line="560" w:lineRule="exact"/>
        <w:rPr>
          <w:rFonts w:hint="eastAsia" w:cs="宋体"/>
          <w:kern w:val="0"/>
          <w:szCs w:val="24"/>
        </w:rPr>
      </w:pPr>
      <w:r>
        <w:rPr>
          <w:rFonts w:hint="eastAsia" w:cs="宋体"/>
          <w:kern w:val="0"/>
          <w:szCs w:val="24"/>
        </w:rPr>
        <w:t>日期： 年 月 日</w:t>
      </w:r>
    </w:p>
    <w:p w14:paraId="2936CCE8">
      <w:pPr>
        <w:widowControl/>
        <w:spacing w:line="560" w:lineRule="exact"/>
        <w:ind w:firstLine="630"/>
        <w:rPr>
          <w:rFonts w:hint="eastAsia" w:cs="宋体"/>
          <w:kern w:val="0"/>
          <w:szCs w:val="24"/>
        </w:rPr>
      </w:pPr>
    </w:p>
    <w:p w14:paraId="365FB061">
      <w:pPr>
        <w:pStyle w:val="14"/>
        <w:rPr>
          <w:rFonts w:hint="eastAsia"/>
        </w:rPr>
      </w:pPr>
    </w:p>
    <w:p w14:paraId="0FFE59C0">
      <w:pPr>
        <w:pStyle w:val="14"/>
        <w:rPr>
          <w:rFonts w:hint="eastAsia"/>
        </w:rPr>
      </w:pPr>
    </w:p>
    <w:p w14:paraId="2BC5CC6E">
      <w:pPr>
        <w:pStyle w:val="14"/>
        <w:rPr>
          <w:rFonts w:hint="eastAsia"/>
        </w:rPr>
      </w:pPr>
    </w:p>
    <w:p w14:paraId="5E405BD8">
      <w:pPr>
        <w:pStyle w:val="14"/>
        <w:rPr>
          <w:rFonts w:hint="eastAsia"/>
        </w:rPr>
      </w:pPr>
    </w:p>
    <w:p w14:paraId="66105D09">
      <w:pPr>
        <w:pStyle w:val="14"/>
        <w:rPr>
          <w:rFonts w:hint="eastAsia"/>
        </w:rPr>
      </w:pPr>
    </w:p>
    <w:p w14:paraId="1CCE0DDE">
      <w:pPr>
        <w:pStyle w:val="14"/>
        <w:rPr>
          <w:rFonts w:hint="eastAsia"/>
        </w:rPr>
      </w:pPr>
    </w:p>
    <w:p w14:paraId="27F6D132">
      <w:pPr>
        <w:pStyle w:val="5"/>
        <w:spacing w:before="0" w:after="0" w:line="240" w:lineRule="auto"/>
        <w:rPr>
          <w:rFonts w:hint="eastAsia"/>
          <w:sz w:val="24"/>
          <w:szCs w:val="24"/>
        </w:rPr>
      </w:pPr>
    </w:p>
    <w:p w14:paraId="42C432F2">
      <w:pPr>
        <w:pStyle w:val="4"/>
        <w:spacing w:before="100" w:after="100" w:line="360" w:lineRule="auto"/>
        <w:ind w:left="420" w:hanging="420"/>
        <w:rPr>
          <w:rFonts w:hint="eastAsia"/>
          <w:sz w:val="28"/>
          <w:szCs w:val="28"/>
          <w:lang w:val="zh-CN"/>
        </w:rPr>
      </w:pPr>
      <w:bookmarkStart w:id="420" w:name="_Toc32223"/>
      <w:r>
        <w:rPr>
          <w:rFonts w:hint="eastAsia"/>
          <w:sz w:val="28"/>
          <w:szCs w:val="28"/>
        </w:rPr>
        <w:t>六、</w:t>
      </w:r>
      <w:bookmarkEnd w:id="419"/>
      <w:r>
        <w:rPr>
          <w:rFonts w:hint="eastAsia"/>
          <w:sz w:val="28"/>
          <w:szCs w:val="28"/>
          <w:lang w:val="zh-CN"/>
        </w:rPr>
        <w:t>其他资格证明文件</w:t>
      </w:r>
      <w:bookmarkEnd w:id="420"/>
    </w:p>
    <w:p w14:paraId="7BE34833">
      <w:pPr>
        <w:pStyle w:val="39"/>
        <w:rPr>
          <w:rFonts w:hint="eastAsia"/>
        </w:rPr>
      </w:pPr>
      <w:r>
        <w:rPr>
          <w:rFonts w:hint="eastAsia" w:cs="Courier New"/>
          <w:szCs w:val="24"/>
        </w:rPr>
        <w:t>投标人认为需提供的其它相关资格证明材料</w:t>
      </w:r>
    </w:p>
    <w:p w14:paraId="5955C802">
      <w:pPr>
        <w:pStyle w:val="39"/>
        <w:rPr>
          <w:rFonts w:hint="eastAsia"/>
        </w:rPr>
      </w:pPr>
    </w:p>
    <w:p w14:paraId="4AE6DBC1">
      <w:pPr>
        <w:pStyle w:val="39"/>
        <w:rPr>
          <w:rFonts w:hint="eastAsia"/>
        </w:rPr>
      </w:pPr>
    </w:p>
    <w:p w14:paraId="15894B97">
      <w:pPr>
        <w:pStyle w:val="39"/>
        <w:rPr>
          <w:rFonts w:hint="eastAsia"/>
        </w:rPr>
      </w:pPr>
    </w:p>
    <w:p w14:paraId="4F25967A">
      <w:pPr>
        <w:pStyle w:val="39"/>
        <w:rPr>
          <w:rFonts w:hint="eastAsia"/>
        </w:rPr>
      </w:pPr>
    </w:p>
    <w:p w14:paraId="700AB01E">
      <w:pPr>
        <w:pStyle w:val="39"/>
        <w:rPr>
          <w:rFonts w:hint="eastAsia"/>
        </w:rPr>
      </w:pPr>
    </w:p>
    <w:p w14:paraId="65135B05">
      <w:pPr>
        <w:pStyle w:val="39"/>
        <w:rPr>
          <w:rFonts w:hint="eastAsia"/>
        </w:rPr>
      </w:pPr>
    </w:p>
    <w:p w14:paraId="3297ACDA">
      <w:pPr>
        <w:pStyle w:val="39"/>
        <w:rPr>
          <w:rFonts w:hint="eastAsia"/>
        </w:rPr>
      </w:pPr>
    </w:p>
    <w:p w14:paraId="7FCEFF75">
      <w:pPr>
        <w:pStyle w:val="39"/>
        <w:rPr>
          <w:rFonts w:hint="eastAsia"/>
        </w:rPr>
      </w:pPr>
    </w:p>
    <w:p w14:paraId="432B2AA8">
      <w:pPr>
        <w:pStyle w:val="39"/>
        <w:rPr>
          <w:rFonts w:hint="eastAsia"/>
        </w:rPr>
      </w:pPr>
    </w:p>
    <w:p w14:paraId="6A10524F">
      <w:pPr>
        <w:pStyle w:val="39"/>
        <w:rPr>
          <w:rFonts w:hint="eastAsia"/>
        </w:rPr>
      </w:pPr>
    </w:p>
    <w:p w14:paraId="0F329464">
      <w:pPr>
        <w:pStyle w:val="39"/>
        <w:rPr>
          <w:rFonts w:hint="eastAsia"/>
        </w:rPr>
      </w:pPr>
    </w:p>
    <w:p w14:paraId="22738530">
      <w:pPr>
        <w:pStyle w:val="39"/>
        <w:rPr>
          <w:rFonts w:hint="eastAsia"/>
        </w:rPr>
      </w:pPr>
    </w:p>
    <w:p w14:paraId="44C95981">
      <w:pPr>
        <w:pStyle w:val="39"/>
        <w:rPr>
          <w:rFonts w:hint="eastAsia"/>
        </w:rPr>
      </w:pPr>
    </w:p>
    <w:p w14:paraId="7B7B863F">
      <w:pPr>
        <w:pStyle w:val="39"/>
        <w:rPr>
          <w:rFonts w:hint="eastAsia"/>
        </w:rPr>
      </w:pPr>
    </w:p>
    <w:p w14:paraId="4CDA1DAA">
      <w:pPr>
        <w:pStyle w:val="39"/>
        <w:rPr>
          <w:rFonts w:hint="eastAsia"/>
        </w:rPr>
      </w:pPr>
    </w:p>
    <w:p w14:paraId="66B0E97C">
      <w:pPr>
        <w:pStyle w:val="39"/>
        <w:rPr>
          <w:rFonts w:hint="eastAsia"/>
        </w:rPr>
      </w:pPr>
    </w:p>
    <w:p w14:paraId="2BFA1503">
      <w:pPr>
        <w:pStyle w:val="39"/>
        <w:rPr>
          <w:rFonts w:hint="eastAsia"/>
        </w:rPr>
      </w:pPr>
    </w:p>
    <w:p w14:paraId="3404DB33">
      <w:pPr>
        <w:pStyle w:val="39"/>
        <w:rPr>
          <w:rFonts w:hint="eastAsia"/>
        </w:rPr>
      </w:pPr>
    </w:p>
    <w:p w14:paraId="3959F577">
      <w:pPr>
        <w:pStyle w:val="39"/>
        <w:rPr>
          <w:rFonts w:hint="eastAsia"/>
        </w:rPr>
      </w:pPr>
    </w:p>
    <w:p w14:paraId="4B2AAA13">
      <w:pPr>
        <w:pStyle w:val="39"/>
        <w:rPr>
          <w:rFonts w:hint="eastAsia"/>
        </w:rPr>
      </w:pPr>
    </w:p>
    <w:p w14:paraId="3ECB7E8F">
      <w:pPr>
        <w:pStyle w:val="39"/>
        <w:rPr>
          <w:rFonts w:hint="eastAsia"/>
        </w:rPr>
      </w:pPr>
    </w:p>
    <w:p w14:paraId="1FC2FDC2">
      <w:pPr>
        <w:pStyle w:val="39"/>
        <w:rPr>
          <w:rFonts w:hint="eastAsia"/>
        </w:rPr>
      </w:pPr>
    </w:p>
    <w:p w14:paraId="168DABBC">
      <w:pPr>
        <w:pStyle w:val="39"/>
        <w:rPr>
          <w:rFonts w:hint="eastAsia"/>
        </w:rPr>
      </w:pPr>
    </w:p>
    <w:p w14:paraId="5401FDDF">
      <w:pPr>
        <w:pStyle w:val="39"/>
        <w:rPr>
          <w:rFonts w:hint="eastAsia"/>
        </w:rPr>
      </w:pPr>
    </w:p>
    <w:p w14:paraId="6B754527">
      <w:pPr>
        <w:pStyle w:val="39"/>
        <w:rPr>
          <w:rFonts w:hint="eastAsia"/>
        </w:rPr>
      </w:pPr>
    </w:p>
    <w:p w14:paraId="0CEACDA6">
      <w:pPr>
        <w:pStyle w:val="39"/>
        <w:rPr>
          <w:rFonts w:hint="eastAsia"/>
        </w:rPr>
      </w:pPr>
    </w:p>
    <w:p w14:paraId="26E0231C">
      <w:pPr>
        <w:pStyle w:val="63"/>
        <w:spacing w:line="360" w:lineRule="exact"/>
        <w:rPr>
          <w:rFonts w:hint="eastAsia" w:ascii="宋体" w:hAnsi="宋体" w:eastAsia="宋体" w:cs="宋体"/>
          <w:b/>
          <w:bCs/>
        </w:rPr>
      </w:pPr>
    </w:p>
    <w:p w14:paraId="7FAFBFC9">
      <w:pPr>
        <w:ind w:firstLine="480" w:firstLineChars="200"/>
        <w:rPr>
          <w:rFonts w:hint="eastAsia" w:cs="仿宋_GB2312"/>
          <w:szCs w:val="24"/>
          <w:lang w:val="zh-CN"/>
        </w:rPr>
      </w:pPr>
      <w:r>
        <w:rPr>
          <w:rFonts w:hint="eastAsia" w:cs="仿宋_GB2312"/>
          <w:szCs w:val="24"/>
          <w:lang w:val="zh-CN"/>
        </w:rPr>
        <w:t>封面：</w:t>
      </w:r>
    </w:p>
    <w:p w14:paraId="145D8153">
      <w:pPr>
        <w:autoSpaceDE w:val="0"/>
        <w:autoSpaceDN w:val="0"/>
        <w:adjustRightInd w:val="0"/>
        <w:rPr>
          <w:rFonts w:hint="eastAsia"/>
          <w:sz w:val="21"/>
          <w:szCs w:val="24"/>
        </w:rPr>
      </w:pPr>
    </w:p>
    <w:p w14:paraId="62371801">
      <w:pPr>
        <w:autoSpaceDE w:val="0"/>
        <w:autoSpaceDN w:val="0"/>
        <w:adjustRightInd w:val="0"/>
        <w:rPr>
          <w:rFonts w:hint="eastAsia"/>
          <w:sz w:val="21"/>
          <w:szCs w:val="24"/>
        </w:rPr>
      </w:pPr>
    </w:p>
    <w:p w14:paraId="76A0C9CF">
      <w:pPr>
        <w:autoSpaceDE w:val="0"/>
        <w:autoSpaceDN w:val="0"/>
        <w:adjustRightInd w:val="0"/>
        <w:jc w:val="center"/>
        <w:rPr>
          <w:rFonts w:hint="eastAsia"/>
          <w:sz w:val="21"/>
          <w:szCs w:val="24"/>
        </w:rPr>
      </w:pPr>
    </w:p>
    <w:p w14:paraId="116AF62D">
      <w:pPr>
        <w:pStyle w:val="3"/>
        <w:rPr>
          <w:rFonts w:hint="eastAsia"/>
          <w:sz w:val="56"/>
          <w:szCs w:val="56"/>
        </w:rPr>
      </w:pPr>
      <w:bookmarkStart w:id="421" w:name="_Toc18431"/>
      <w:r>
        <w:rPr>
          <w:rFonts w:hint="eastAsia"/>
          <w:sz w:val="56"/>
          <w:szCs w:val="56"/>
        </w:rPr>
        <w:t>投 标 文 件</w:t>
      </w:r>
      <w:bookmarkEnd w:id="421"/>
    </w:p>
    <w:p w14:paraId="4F72C615">
      <w:pPr>
        <w:pStyle w:val="3"/>
        <w:rPr>
          <w:rFonts w:hint="eastAsia"/>
          <w:sz w:val="56"/>
          <w:szCs w:val="56"/>
        </w:rPr>
      </w:pPr>
      <w:bookmarkStart w:id="422" w:name="_Toc21756"/>
      <w:r>
        <w:rPr>
          <w:rFonts w:hint="eastAsia"/>
          <w:sz w:val="56"/>
          <w:szCs w:val="56"/>
        </w:rPr>
        <w:t>报价文件</w:t>
      </w:r>
      <w:bookmarkEnd w:id="422"/>
    </w:p>
    <w:p w14:paraId="0125F424">
      <w:pPr>
        <w:autoSpaceDE w:val="0"/>
        <w:autoSpaceDN w:val="0"/>
        <w:adjustRightInd w:val="0"/>
        <w:jc w:val="center"/>
        <w:rPr>
          <w:rFonts w:hint="eastAsia"/>
          <w:sz w:val="36"/>
          <w:szCs w:val="36"/>
        </w:rPr>
      </w:pPr>
    </w:p>
    <w:p w14:paraId="2813BAC2">
      <w:pPr>
        <w:pStyle w:val="4"/>
        <w:rPr>
          <w:rFonts w:hint="eastAsia"/>
          <w:sz w:val="21"/>
          <w:szCs w:val="21"/>
        </w:rPr>
      </w:pPr>
    </w:p>
    <w:p w14:paraId="17F0685E">
      <w:pPr>
        <w:rPr>
          <w:rFonts w:hint="eastAsia"/>
          <w:sz w:val="21"/>
          <w:szCs w:val="21"/>
        </w:rPr>
      </w:pPr>
    </w:p>
    <w:p w14:paraId="7CE08C7D">
      <w:pPr>
        <w:rPr>
          <w:rFonts w:hint="eastAsia"/>
        </w:rPr>
      </w:pPr>
    </w:p>
    <w:p w14:paraId="4D7A91A8">
      <w:pPr>
        <w:autoSpaceDE w:val="0"/>
        <w:autoSpaceDN w:val="0"/>
        <w:adjustRightInd w:val="0"/>
        <w:rPr>
          <w:rFonts w:hint="eastAsia"/>
          <w:sz w:val="21"/>
          <w:szCs w:val="21"/>
        </w:rPr>
      </w:pPr>
    </w:p>
    <w:p w14:paraId="7232AE06">
      <w:pPr>
        <w:autoSpaceDE w:val="0"/>
        <w:autoSpaceDN w:val="0"/>
        <w:adjustRightInd w:val="0"/>
        <w:rPr>
          <w:rFonts w:hint="eastAsia"/>
          <w:sz w:val="21"/>
          <w:szCs w:val="21"/>
        </w:rPr>
      </w:pPr>
    </w:p>
    <w:p w14:paraId="1D4B0DC6">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635C267D">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613D8723">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107641FA">
      <w:pPr>
        <w:ind w:left="840" w:firstLine="420"/>
        <w:rPr>
          <w:rFonts w:hint="eastAsia"/>
          <w:b/>
          <w:bCs/>
          <w:sz w:val="28"/>
          <w:szCs w:val="28"/>
        </w:rPr>
      </w:pPr>
    </w:p>
    <w:p w14:paraId="23CDDBC1">
      <w:pPr>
        <w:ind w:left="840" w:firstLine="420"/>
        <w:rPr>
          <w:rFonts w:hint="eastAsia"/>
          <w:b/>
          <w:bCs/>
          <w:sz w:val="28"/>
          <w:szCs w:val="28"/>
        </w:rPr>
      </w:pPr>
    </w:p>
    <w:p w14:paraId="2B743CFA">
      <w:pPr>
        <w:jc w:val="center"/>
        <w:rPr>
          <w:rFonts w:hint="eastAsia" w:cs="宋体"/>
          <w:sz w:val="32"/>
          <w:szCs w:val="32"/>
        </w:rPr>
      </w:pPr>
      <w:r>
        <w:rPr>
          <w:rFonts w:hint="eastAsia" w:cs="宋体"/>
          <w:sz w:val="32"/>
          <w:szCs w:val="32"/>
        </w:rPr>
        <w:t>年   月    日</w:t>
      </w:r>
    </w:p>
    <w:p w14:paraId="25540FB3">
      <w:pPr>
        <w:rPr>
          <w:rFonts w:hint="eastAsia"/>
          <w:lang w:val="zh-CN"/>
        </w:rPr>
      </w:pPr>
      <w:r>
        <w:rPr>
          <w:lang w:val="zh-CN"/>
        </w:rPr>
        <w:br w:type="page"/>
      </w:r>
    </w:p>
    <w:p w14:paraId="24EB0771">
      <w:pPr>
        <w:pStyle w:val="4"/>
        <w:spacing w:before="100" w:after="100" w:line="360" w:lineRule="auto"/>
        <w:ind w:left="420" w:hanging="420"/>
        <w:jc w:val="center"/>
        <w:rPr>
          <w:rFonts w:hint="eastAsia"/>
        </w:rPr>
      </w:pPr>
    </w:p>
    <w:p w14:paraId="6789437A">
      <w:pPr>
        <w:pStyle w:val="4"/>
        <w:spacing w:before="100" w:after="100" w:line="360" w:lineRule="auto"/>
        <w:ind w:left="420" w:hanging="420"/>
        <w:jc w:val="center"/>
        <w:rPr>
          <w:rFonts w:hint="eastAsia"/>
        </w:rPr>
      </w:pPr>
      <w:bookmarkStart w:id="423" w:name="_Toc2842"/>
      <w:r>
        <w:rPr>
          <w:rFonts w:hint="eastAsia"/>
        </w:rPr>
        <w:t>一、开标一览表</w:t>
      </w:r>
      <w:bookmarkEnd w:id="423"/>
    </w:p>
    <w:p w14:paraId="17EE9FD3">
      <w:pPr>
        <w:spacing w:line="300" w:lineRule="auto"/>
        <w:rPr>
          <w:rFonts w:hint="eastAsia" w:cs="仿宋_GB2312"/>
          <w:szCs w:val="24"/>
        </w:rPr>
      </w:pPr>
    </w:p>
    <w:p w14:paraId="387628D6">
      <w:pPr>
        <w:rPr>
          <w:rFonts w:hint="eastAsia"/>
          <w:bCs/>
          <w:szCs w:val="21"/>
          <w:lang w:val="zh-CN"/>
        </w:rPr>
      </w:pPr>
      <w:r>
        <w:rPr>
          <w:rFonts w:hint="eastAsia"/>
          <w:bCs/>
          <w:szCs w:val="21"/>
          <w:lang w:val="zh-CN"/>
        </w:rPr>
        <w:t>项目名称：</w:t>
      </w:r>
      <w:r>
        <w:rPr>
          <w:rFonts w:hint="eastAsia"/>
          <w:bCs/>
          <w:szCs w:val="21"/>
          <w:u w:val="single"/>
          <w:lang w:val="zh-CN"/>
        </w:rPr>
        <w:t xml:space="preserve">                     </w:t>
      </w:r>
    </w:p>
    <w:p w14:paraId="280962A6">
      <w:pPr>
        <w:rPr>
          <w:rFonts w:hint="eastAsia"/>
          <w:bCs/>
          <w:szCs w:val="21"/>
          <w:u w:val="single"/>
          <w:lang w:val="zh-CN"/>
        </w:rPr>
      </w:pPr>
      <w:r>
        <w:rPr>
          <w:rFonts w:hint="eastAsia"/>
          <w:bCs/>
          <w:szCs w:val="21"/>
          <w:lang w:val="zh-CN"/>
        </w:rPr>
        <w:t>项目编号</w:t>
      </w:r>
      <w:r>
        <w:rPr>
          <w:rFonts w:hint="eastAsia"/>
          <w:bCs/>
          <w:szCs w:val="21"/>
        </w:rPr>
        <w:t>/</w:t>
      </w:r>
      <w:r>
        <w:rPr>
          <w:rFonts w:hint="eastAsia"/>
          <w:bCs/>
          <w:szCs w:val="21"/>
          <w:lang w:val="zh-CN"/>
        </w:rPr>
        <w:t>包号：</w:t>
      </w:r>
      <w:r>
        <w:rPr>
          <w:rFonts w:hint="eastAsia"/>
          <w:bCs/>
          <w:szCs w:val="21"/>
          <w:u w:val="single"/>
          <w:lang w:val="zh-CN"/>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798"/>
        <w:gridCol w:w="1865"/>
        <w:gridCol w:w="2033"/>
        <w:gridCol w:w="1751"/>
      </w:tblGrid>
      <w:tr w14:paraId="22DA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629" w:type="pct"/>
            <w:vAlign w:val="center"/>
          </w:tcPr>
          <w:p w14:paraId="36A6DE03">
            <w:pPr>
              <w:widowControl/>
              <w:autoSpaceDE w:val="0"/>
              <w:autoSpaceDN w:val="0"/>
              <w:spacing w:line="240" w:lineRule="auto"/>
              <w:jc w:val="center"/>
              <w:textAlignment w:val="bottom"/>
              <w:rPr>
                <w:rFonts w:hint="eastAsia"/>
                <w:szCs w:val="24"/>
              </w:rPr>
            </w:pPr>
            <w:r>
              <w:rPr>
                <w:rFonts w:hint="eastAsia"/>
                <w:szCs w:val="24"/>
              </w:rPr>
              <w:t>序号</w:t>
            </w:r>
          </w:p>
        </w:tc>
        <w:tc>
          <w:tcPr>
            <w:tcW w:w="1055" w:type="pct"/>
            <w:vAlign w:val="center"/>
          </w:tcPr>
          <w:p w14:paraId="3A9FE657">
            <w:pPr>
              <w:widowControl/>
              <w:autoSpaceDE w:val="0"/>
              <w:autoSpaceDN w:val="0"/>
              <w:spacing w:line="240" w:lineRule="auto"/>
              <w:ind w:left="851" w:hanging="851"/>
              <w:jc w:val="center"/>
              <w:textAlignment w:val="bottom"/>
              <w:rPr>
                <w:rFonts w:hint="eastAsia"/>
                <w:szCs w:val="24"/>
              </w:rPr>
            </w:pPr>
            <w:r>
              <w:rPr>
                <w:rFonts w:hint="eastAsia"/>
                <w:szCs w:val="24"/>
              </w:rPr>
              <w:t>投标报价</w:t>
            </w:r>
          </w:p>
        </w:tc>
        <w:tc>
          <w:tcPr>
            <w:tcW w:w="1094" w:type="pct"/>
            <w:vAlign w:val="center"/>
          </w:tcPr>
          <w:p w14:paraId="23547BDD">
            <w:pPr>
              <w:widowControl/>
              <w:autoSpaceDE w:val="0"/>
              <w:autoSpaceDN w:val="0"/>
              <w:spacing w:line="240" w:lineRule="auto"/>
              <w:ind w:left="851" w:hanging="851"/>
              <w:jc w:val="center"/>
              <w:textAlignment w:val="bottom"/>
              <w:rPr>
                <w:rFonts w:hint="default" w:eastAsia="宋体"/>
                <w:szCs w:val="24"/>
                <w:lang w:val="en-US" w:eastAsia="zh-CN"/>
              </w:rPr>
            </w:pPr>
            <w:r>
              <w:rPr>
                <w:rFonts w:hint="eastAsia"/>
                <w:szCs w:val="24"/>
                <w:lang w:val="en-US" w:eastAsia="zh-CN"/>
              </w:rPr>
              <w:t>合同履约期限</w:t>
            </w:r>
          </w:p>
        </w:tc>
        <w:tc>
          <w:tcPr>
            <w:tcW w:w="1193" w:type="pct"/>
            <w:vAlign w:val="center"/>
          </w:tcPr>
          <w:p w14:paraId="7B20821B">
            <w:pPr>
              <w:widowControl/>
              <w:autoSpaceDE w:val="0"/>
              <w:autoSpaceDN w:val="0"/>
              <w:spacing w:line="240" w:lineRule="auto"/>
              <w:ind w:left="851" w:hanging="851"/>
              <w:jc w:val="center"/>
              <w:textAlignment w:val="bottom"/>
              <w:rPr>
                <w:rFonts w:hint="eastAsia"/>
                <w:szCs w:val="24"/>
              </w:rPr>
            </w:pPr>
            <w:r>
              <w:rPr>
                <w:rFonts w:hint="eastAsia"/>
                <w:szCs w:val="24"/>
              </w:rPr>
              <w:t>保证金缴纳方式</w:t>
            </w:r>
          </w:p>
        </w:tc>
        <w:tc>
          <w:tcPr>
            <w:tcW w:w="1027" w:type="pct"/>
            <w:vAlign w:val="center"/>
          </w:tcPr>
          <w:p w14:paraId="292C482F">
            <w:pPr>
              <w:widowControl/>
              <w:autoSpaceDE w:val="0"/>
              <w:autoSpaceDN w:val="0"/>
              <w:spacing w:line="240" w:lineRule="auto"/>
              <w:jc w:val="center"/>
              <w:textAlignment w:val="bottom"/>
              <w:rPr>
                <w:rFonts w:hint="eastAsia"/>
                <w:szCs w:val="24"/>
              </w:rPr>
            </w:pPr>
            <w:r>
              <w:rPr>
                <w:rFonts w:hint="eastAsia"/>
                <w:szCs w:val="24"/>
              </w:rPr>
              <w:t>备注（如有）</w:t>
            </w:r>
          </w:p>
        </w:tc>
      </w:tr>
      <w:tr w14:paraId="2486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629" w:type="pct"/>
            <w:vAlign w:val="center"/>
          </w:tcPr>
          <w:p w14:paraId="227EBB10">
            <w:pPr>
              <w:widowControl/>
              <w:autoSpaceDE w:val="0"/>
              <w:autoSpaceDN w:val="0"/>
              <w:spacing w:line="240" w:lineRule="auto"/>
              <w:ind w:left="851" w:hanging="851"/>
              <w:jc w:val="center"/>
              <w:textAlignment w:val="bottom"/>
              <w:rPr>
                <w:rFonts w:hint="eastAsia"/>
                <w:szCs w:val="24"/>
              </w:rPr>
            </w:pPr>
          </w:p>
        </w:tc>
        <w:tc>
          <w:tcPr>
            <w:tcW w:w="1055" w:type="pct"/>
            <w:vAlign w:val="center"/>
          </w:tcPr>
          <w:p w14:paraId="72DB0789">
            <w:pPr>
              <w:widowControl/>
              <w:autoSpaceDE w:val="0"/>
              <w:autoSpaceDN w:val="0"/>
              <w:spacing w:line="240" w:lineRule="auto"/>
              <w:ind w:left="851" w:hanging="851"/>
              <w:jc w:val="both"/>
              <w:textAlignment w:val="bottom"/>
              <w:rPr>
                <w:rFonts w:hint="eastAsia"/>
                <w:szCs w:val="24"/>
              </w:rPr>
            </w:pPr>
            <w:r>
              <w:rPr>
                <w:rFonts w:hint="eastAsia"/>
                <w:szCs w:val="24"/>
              </w:rPr>
              <w:t>小写：</w:t>
            </w:r>
          </w:p>
          <w:p w14:paraId="57BD11D9">
            <w:pPr>
              <w:widowControl/>
              <w:autoSpaceDE w:val="0"/>
              <w:autoSpaceDN w:val="0"/>
              <w:spacing w:line="240" w:lineRule="auto"/>
              <w:ind w:left="851" w:hanging="851"/>
              <w:jc w:val="both"/>
              <w:textAlignment w:val="bottom"/>
              <w:rPr>
                <w:rFonts w:hint="eastAsia"/>
                <w:szCs w:val="24"/>
              </w:rPr>
            </w:pPr>
            <w:r>
              <w:rPr>
                <w:rFonts w:hint="eastAsia"/>
                <w:szCs w:val="24"/>
              </w:rPr>
              <w:t>大写：</w:t>
            </w:r>
          </w:p>
        </w:tc>
        <w:tc>
          <w:tcPr>
            <w:tcW w:w="1094" w:type="pct"/>
            <w:vAlign w:val="center"/>
          </w:tcPr>
          <w:p w14:paraId="0B628E13">
            <w:pPr>
              <w:widowControl/>
              <w:autoSpaceDE w:val="0"/>
              <w:autoSpaceDN w:val="0"/>
              <w:spacing w:line="240" w:lineRule="auto"/>
              <w:ind w:left="851" w:hanging="851"/>
              <w:jc w:val="center"/>
              <w:textAlignment w:val="bottom"/>
              <w:rPr>
                <w:rFonts w:hint="eastAsia"/>
                <w:szCs w:val="24"/>
              </w:rPr>
            </w:pPr>
          </w:p>
        </w:tc>
        <w:tc>
          <w:tcPr>
            <w:tcW w:w="1193" w:type="pct"/>
            <w:vAlign w:val="center"/>
          </w:tcPr>
          <w:p w14:paraId="5EF11304">
            <w:pPr>
              <w:widowControl/>
              <w:autoSpaceDE w:val="0"/>
              <w:autoSpaceDN w:val="0"/>
              <w:spacing w:line="240" w:lineRule="auto"/>
              <w:ind w:left="851" w:hanging="851"/>
              <w:jc w:val="center"/>
              <w:textAlignment w:val="bottom"/>
              <w:rPr>
                <w:rFonts w:hint="eastAsia"/>
                <w:szCs w:val="24"/>
              </w:rPr>
            </w:pPr>
          </w:p>
        </w:tc>
        <w:tc>
          <w:tcPr>
            <w:tcW w:w="1027" w:type="pct"/>
            <w:vAlign w:val="center"/>
          </w:tcPr>
          <w:p w14:paraId="61736F6C">
            <w:pPr>
              <w:widowControl/>
              <w:autoSpaceDE w:val="0"/>
              <w:autoSpaceDN w:val="0"/>
              <w:spacing w:line="240" w:lineRule="auto"/>
              <w:ind w:left="851" w:hanging="851"/>
              <w:jc w:val="center"/>
              <w:textAlignment w:val="bottom"/>
              <w:rPr>
                <w:rFonts w:hint="eastAsia"/>
                <w:szCs w:val="24"/>
              </w:rPr>
            </w:pPr>
          </w:p>
        </w:tc>
      </w:tr>
    </w:tbl>
    <w:p w14:paraId="79937687">
      <w:pPr>
        <w:spacing w:line="300" w:lineRule="auto"/>
        <w:rPr>
          <w:rFonts w:ascii="Arial" w:hAnsi="Arial" w:cs="Arial"/>
          <w:szCs w:val="21"/>
          <w:u w:val="single"/>
        </w:rPr>
      </w:pPr>
    </w:p>
    <w:p w14:paraId="58ACE660">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7C0ECFBB">
      <w:pPr>
        <w:spacing w:line="300" w:lineRule="auto"/>
        <w:rPr>
          <w:rFonts w:ascii="Arial" w:hAnsi="Arial" w:cs="Arial"/>
          <w:szCs w:val="21"/>
          <w:u w:val="single"/>
        </w:rPr>
      </w:pPr>
      <w:r>
        <w:rPr>
          <w:rFonts w:ascii="Arial" w:hAnsi="Arial" w:cs="Arial"/>
          <w:szCs w:val="21"/>
        </w:rPr>
        <w:t>日期：</w:t>
      </w:r>
    </w:p>
    <w:p w14:paraId="5F44377C">
      <w:pPr>
        <w:rPr>
          <w:rFonts w:hint="eastAsia" w:cs="Arial"/>
          <w:szCs w:val="24"/>
        </w:rPr>
      </w:pPr>
    </w:p>
    <w:p w14:paraId="5711884E">
      <w:pPr>
        <w:pStyle w:val="14"/>
        <w:rPr>
          <w:rFonts w:hint="eastAsia" w:cs="Arial"/>
        </w:rPr>
      </w:pPr>
    </w:p>
    <w:p w14:paraId="56A706A1">
      <w:pPr>
        <w:pStyle w:val="14"/>
        <w:rPr>
          <w:rFonts w:hint="eastAsia" w:cs="Arial"/>
        </w:rPr>
      </w:pPr>
    </w:p>
    <w:p w14:paraId="60B636B6">
      <w:pPr>
        <w:pStyle w:val="14"/>
        <w:rPr>
          <w:rFonts w:hint="eastAsia" w:cs="Arial"/>
        </w:rPr>
      </w:pPr>
    </w:p>
    <w:p w14:paraId="495DD75B">
      <w:pPr>
        <w:pStyle w:val="14"/>
        <w:rPr>
          <w:rFonts w:hint="eastAsia" w:cs="Arial"/>
        </w:rPr>
      </w:pPr>
    </w:p>
    <w:p w14:paraId="301BA5D6">
      <w:pPr>
        <w:rPr>
          <w:rFonts w:hint="eastAsia" w:cs="宋体"/>
          <w:b/>
          <w:sz w:val="21"/>
          <w:szCs w:val="21"/>
        </w:rPr>
      </w:pPr>
      <w:r>
        <w:rPr>
          <w:rFonts w:hint="eastAsia" w:cs="宋体"/>
          <w:b/>
          <w:sz w:val="21"/>
          <w:szCs w:val="21"/>
        </w:rPr>
        <w:t>注：</w:t>
      </w:r>
    </w:p>
    <w:p w14:paraId="2FB5CC2C">
      <w:pPr>
        <w:ind w:firstLine="435"/>
        <w:rPr>
          <w:rFonts w:hint="eastAsia" w:cs="宋体"/>
          <w:sz w:val="21"/>
          <w:szCs w:val="21"/>
        </w:rPr>
      </w:pPr>
      <w:r>
        <w:rPr>
          <w:rFonts w:hint="eastAsia" w:cs="宋体"/>
          <w:sz w:val="21"/>
          <w:szCs w:val="21"/>
        </w:rPr>
        <w:t>1.此表用于开标唱标之用。</w:t>
      </w:r>
    </w:p>
    <w:p w14:paraId="6C668E1F">
      <w:pPr>
        <w:ind w:firstLine="435"/>
        <w:rPr>
          <w:rFonts w:hint="eastAsia" w:cs="宋体"/>
          <w:sz w:val="21"/>
          <w:szCs w:val="21"/>
        </w:rPr>
      </w:pPr>
      <w:r>
        <w:rPr>
          <w:rFonts w:hint="eastAsia" w:cs="宋体"/>
          <w:sz w:val="21"/>
          <w:szCs w:val="21"/>
        </w:rPr>
        <w:t>2.表中投标报价即为优惠后报价，并作为评审及定标依据。任何有选择或有条件的投标报价，或者表中某一包填写多个报价，均为无效报价。</w:t>
      </w:r>
    </w:p>
    <w:p w14:paraId="356728CF">
      <w:pPr>
        <w:pStyle w:val="14"/>
        <w:ind w:firstLine="420" w:firstLineChars="200"/>
        <w:rPr>
          <w:rFonts w:hint="eastAsia" w:eastAsia="宋体" w:cs="宋体"/>
          <w:szCs w:val="21"/>
        </w:rPr>
      </w:pPr>
      <w:r>
        <w:rPr>
          <w:rFonts w:hint="eastAsia" w:eastAsia="宋体" w:cs="宋体"/>
          <w:szCs w:val="21"/>
        </w:rPr>
        <w:t>3.表中大写与小写不一致的，以大写为准。</w:t>
      </w:r>
    </w:p>
    <w:p w14:paraId="51955641">
      <w:pPr>
        <w:pStyle w:val="14"/>
        <w:ind w:firstLine="480" w:firstLineChars="200"/>
        <w:rPr>
          <w:rFonts w:hint="eastAsia" w:eastAsia="宋体" w:cs="宋体"/>
          <w:sz w:val="24"/>
        </w:rPr>
      </w:pPr>
    </w:p>
    <w:p w14:paraId="691AD945">
      <w:pPr>
        <w:pStyle w:val="14"/>
        <w:ind w:firstLine="480" w:firstLineChars="200"/>
        <w:rPr>
          <w:rFonts w:hint="eastAsia" w:eastAsia="宋体" w:cs="宋体"/>
          <w:sz w:val="24"/>
        </w:rPr>
      </w:pPr>
    </w:p>
    <w:p w14:paraId="460E2E38">
      <w:pPr>
        <w:pStyle w:val="14"/>
        <w:ind w:firstLine="480" w:firstLineChars="200"/>
        <w:rPr>
          <w:rFonts w:hint="eastAsia" w:eastAsia="宋体" w:cs="宋体"/>
          <w:sz w:val="24"/>
        </w:rPr>
      </w:pPr>
    </w:p>
    <w:p w14:paraId="290FE161">
      <w:pPr>
        <w:pStyle w:val="4"/>
        <w:spacing w:before="100" w:after="100" w:line="360" w:lineRule="auto"/>
        <w:ind w:left="420" w:hanging="420"/>
        <w:jc w:val="center"/>
        <w:rPr>
          <w:rFonts w:hint="eastAsia"/>
        </w:rPr>
        <w:sectPr>
          <w:footerReference r:id="rId10" w:type="default"/>
          <w:pgSz w:w="11906" w:h="16838"/>
          <w:pgMar w:top="1440" w:right="1800" w:bottom="1440" w:left="1800" w:header="851" w:footer="992" w:gutter="0"/>
          <w:pgNumType w:fmt="numberInDash"/>
          <w:cols w:space="425" w:num="1"/>
          <w:docGrid w:type="lines" w:linePitch="312" w:charSpace="0"/>
        </w:sectPr>
      </w:pPr>
    </w:p>
    <w:p w14:paraId="61460135">
      <w:pPr>
        <w:pStyle w:val="4"/>
        <w:spacing w:before="100" w:after="100" w:line="360" w:lineRule="auto"/>
        <w:ind w:left="420" w:hanging="420"/>
        <w:jc w:val="center"/>
        <w:rPr>
          <w:rFonts w:hint="eastAsia"/>
        </w:rPr>
      </w:pPr>
      <w:bookmarkStart w:id="424" w:name="_Toc13294"/>
      <w:r>
        <w:rPr>
          <w:rFonts w:hint="eastAsia"/>
        </w:rPr>
        <w:t>二、分项报价表</w:t>
      </w:r>
      <w:bookmarkEnd w:id="424"/>
    </w:p>
    <w:p w14:paraId="55A92638">
      <w:pPr>
        <w:rPr>
          <w:rFonts w:hint="eastAsia"/>
          <w:bCs/>
          <w:szCs w:val="21"/>
          <w:lang w:val="zh-CN"/>
        </w:rPr>
      </w:pPr>
      <w:r>
        <w:rPr>
          <w:rFonts w:hint="eastAsia"/>
          <w:bCs/>
          <w:szCs w:val="21"/>
          <w:lang w:val="zh-CN"/>
        </w:rPr>
        <w:t>项目名称：</w:t>
      </w:r>
      <w:r>
        <w:rPr>
          <w:rFonts w:hint="eastAsia"/>
          <w:bCs/>
          <w:szCs w:val="21"/>
          <w:u w:val="single"/>
          <w:lang w:val="zh-CN"/>
        </w:rPr>
        <w:t xml:space="preserve">                  </w:t>
      </w:r>
      <w:r>
        <w:rPr>
          <w:rFonts w:hint="eastAsia"/>
          <w:bCs/>
          <w:szCs w:val="21"/>
          <w:u w:val="single"/>
        </w:rPr>
        <w:t xml:space="preserve">     </w:t>
      </w:r>
      <w:r>
        <w:rPr>
          <w:rFonts w:hint="eastAsia"/>
          <w:bCs/>
          <w:szCs w:val="21"/>
          <w:u w:val="single"/>
          <w:lang w:val="zh-CN"/>
        </w:rPr>
        <w:t xml:space="preserve">   </w:t>
      </w:r>
    </w:p>
    <w:p w14:paraId="552C159F">
      <w:pPr>
        <w:rPr>
          <w:rFonts w:hint="eastAsia"/>
          <w:bCs/>
          <w:szCs w:val="21"/>
          <w:u w:val="single"/>
          <w:lang w:val="zh-CN"/>
        </w:rPr>
      </w:pPr>
      <w:r>
        <w:rPr>
          <w:rFonts w:hint="eastAsia"/>
          <w:bCs/>
          <w:szCs w:val="21"/>
          <w:lang w:val="zh-CN"/>
        </w:rPr>
        <w:t>项目编号</w:t>
      </w:r>
      <w:r>
        <w:rPr>
          <w:rFonts w:hint="eastAsia"/>
          <w:bCs/>
          <w:szCs w:val="21"/>
        </w:rPr>
        <w:t>/</w:t>
      </w:r>
      <w:r>
        <w:rPr>
          <w:rFonts w:hint="eastAsia"/>
          <w:bCs/>
          <w:szCs w:val="21"/>
          <w:lang w:val="zh-CN"/>
        </w:rPr>
        <w:t>包号：</w:t>
      </w:r>
      <w:r>
        <w:rPr>
          <w:rFonts w:hint="eastAsia"/>
          <w:bCs/>
          <w:szCs w:val="21"/>
          <w:u w:val="single"/>
          <w:lang w:val="zh-CN"/>
        </w:rPr>
        <w:t xml:space="preserve">                     </w:t>
      </w:r>
      <w:r>
        <w:rPr>
          <w:rFonts w:hint="eastAsia"/>
          <w:bCs/>
          <w:szCs w:val="21"/>
          <w:lang w:val="zh-CN"/>
        </w:rPr>
        <w:t xml:space="preserve">      </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976"/>
        <w:gridCol w:w="977"/>
        <w:gridCol w:w="952"/>
        <w:gridCol w:w="790"/>
        <w:gridCol w:w="1212"/>
        <w:gridCol w:w="938"/>
        <w:gridCol w:w="844"/>
        <w:gridCol w:w="1007"/>
      </w:tblGrid>
      <w:tr w14:paraId="436F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17466874">
            <w:pPr>
              <w:spacing w:line="240" w:lineRule="auto"/>
              <w:jc w:val="center"/>
              <w:rPr>
                <w:rFonts w:hint="eastAsia" w:cs="宋体"/>
                <w:bCs/>
                <w:sz w:val="21"/>
                <w:szCs w:val="21"/>
                <w:lang w:val="zh-CN"/>
              </w:rPr>
            </w:pPr>
            <w:r>
              <w:rPr>
                <w:rFonts w:hint="eastAsia" w:cs="宋体"/>
                <w:bCs/>
                <w:sz w:val="21"/>
                <w:szCs w:val="21"/>
              </w:rPr>
              <w:t>序号</w:t>
            </w:r>
          </w:p>
        </w:tc>
        <w:tc>
          <w:tcPr>
            <w:tcW w:w="573" w:type="pct"/>
            <w:vAlign w:val="center"/>
          </w:tcPr>
          <w:p w14:paraId="0321EF01">
            <w:pPr>
              <w:spacing w:line="240" w:lineRule="auto"/>
              <w:jc w:val="center"/>
              <w:rPr>
                <w:rFonts w:hint="eastAsia" w:cs="宋体"/>
                <w:bCs/>
                <w:sz w:val="21"/>
                <w:szCs w:val="21"/>
                <w:lang w:val="zh-CN"/>
              </w:rPr>
            </w:pPr>
            <w:r>
              <w:rPr>
                <w:rFonts w:hint="eastAsia" w:cs="宋体"/>
                <w:bCs/>
                <w:sz w:val="21"/>
                <w:szCs w:val="21"/>
              </w:rPr>
              <w:t>分项名称</w:t>
            </w:r>
          </w:p>
        </w:tc>
        <w:tc>
          <w:tcPr>
            <w:tcW w:w="574" w:type="pct"/>
            <w:vAlign w:val="center"/>
          </w:tcPr>
          <w:p w14:paraId="47DAAA11">
            <w:pPr>
              <w:spacing w:line="240" w:lineRule="auto"/>
              <w:jc w:val="center"/>
              <w:rPr>
                <w:rFonts w:hint="eastAsia" w:cs="宋体"/>
                <w:bCs/>
                <w:sz w:val="21"/>
                <w:szCs w:val="21"/>
                <w:lang w:val="zh-CN"/>
              </w:rPr>
            </w:pPr>
            <w:r>
              <w:rPr>
                <w:rFonts w:hint="eastAsia" w:cs="宋体"/>
                <w:bCs/>
                <w:sz w:val="21"/>
                <w:szCs w:val="21"/>
              </w:rPr>
              <w:t>制造商</w:t>
            </w:r>
          </w:p>
        </w:tc>
        <w:tc>
          <w:tcPr>
            <w:tcW w:w="559" w:type="pct"/>
            <w:vAlign w:val="center"/>
          </w:tcPr>
          <w:p w14:paraId="2ABB2A91">
            <w:pPr>
              <w:spacing w:line="240" w:lineRule="auto"/>
              <w:jc w:val="center"/>
              <w:rPr>
                <w:rFonts w:hint="eastAsia" w:cs="宋体"/>
                <w:bCs/>
                <w:sz w:val="21"/>
                <w:szCs w:val="21"/>
                <w:lang w:val="zh-CN"/>
              </w:rPr>
            </w:pPr>
            <w:r>
              <w:rPr>
                <w:rFonts w:hint="eastAsia" w:cs="宋体"/>
                <w:bCs/>
                <w:sz w:val="21"/>
                <w:szCs w:val="21"/>
              </w:rPr>
              <w:t>产地/国别</w:t>
            </w:r>
          </w:p>
        </w:tc>
        <w:tc>
          <w:tcPr>
            <w:tcW w:w="464" w:type="pct"/>
            <w:vAlign w:val="center"/>
          </w:tcPr>
          <w:p w14:paraId="0E14F22B">
            <w:pPr>
              <w:spacing w:line="240" w:lineRule="auto"/>
              <w:jc w:val="center"/>
              <w:rPr>
                <w:rFonts w:hint="eastAsia" w:cs="宋体"/>
                <w:bCs/>
                <w:sz w:val="21"/>
                <w:szCs w:val="21"/>
                <w:lang w:val="zh-CN"/>
              </w:rPr>
            </w:pPr>
            <w:r>
              <w:rPr>
                <w:rFonts w:hint="eastAsia" w:cs="宋体"/>
                <w:bCs/>
                <w:sz w:val="21"/>
                <w:szCs w:val="21"/>
              </w:rPr>
              <w:t>品牌</w:t>
            </w:r>
          </w:p>
        </w:tc>
        <w:tc>
          <w:tcPr>
            <w:tcW w:w="712" w:type="pct"/>
            <w:vAlign w:val="center"/>
          </w:tcPr>
          <w:p w14:paraId="549B1889">
            <w:pPr>
              <w:spacing w:line="240" w:lineRule="auto"/>
              <w:jc w:val="center"/>
              <w:rPr>
                <w:rFonts w:hint="eastAsia" w:cs="宋体"/>
                <w:bCs/>
                <w:sz w:val="21"/>
                <w:szCs w:val="21"/>
                <w:lang w:val="zh-CN"/>
              </w:rPr>
            </w:pPr>
            <w:r>
              <w:rPr>
                <w:rFonts w:hint="eastAsia" w:cs="宋体"/>
                <w:bCs/>
                <w:sz w:val="21"/>
                <w:szCs w:val="21"/>
              </w:rPr>
              <w:t>规格、型号</w:t>
            </w:r>
          </w:p>
        </w:tc>
        <w:tc>
          <w:tcPr>
            <w:tcW w:w="551" w:type="pct"/>
            <w:vAlign w:val="center"/>
          </w:tcPr>
          <w:p w14:paraId="5D093375">
            <w:pPr>
              <w:spacing w:line="240" w:lineRule="auto"/>
              <w:jc w:val="center"/>
              <w:rPr>
                <w:rFonts w:hint="eastAsia" w:cs="宋体"/>
                <w:bCs/>
                <w:sz w:val="21"/>
                <w:szCs w:val="21"/>
              </w:rPr>
            </w:pPr>
            <w:r>
              <w:rPr>
                <w:rFonts w:hint="eastAsia" w:cs="宋体"/>
                <w:bCs/>
                <w:sz w:val="21"/>
                <w:szCs w:val="21"/>
              </w:rPr>
              <w:t>单价</w:t>
            </w:r>
          </w:p>
          <w:p w14:paraId="4507FABA">
            <w:pPr>
              <w:spacing w:line="240" w:lineRule="auto"/>
              <w:jc w:val="center"/>
              <w:rPr>
                <w:rFonts w:hint="eastAsia" w:cs="宋体"/>
                <w:bCs/>
                <w:sz w:val="21"/>
                <w:szCs w:val="21"/>
                <w:lang w:val="zh-CN"/>
              </w:rPr>
            </w:pPr>
            <w:r>
              <w:rPr>
                <w:rFonts w:hint="eastAsia" w:cs="宋体"/>
                <w:bCs/>
                <w:sz w:val="21"/>
                <w:szCs w:val="21"/>
              </w:rPr>
              <w:t>（元）</w:t>
            </w:r>
          </w:p>
        </w:tc>
        <w:tc>
          <w:tcPr>
            <w:tcW w:w="496" w:type="pct"/>
            <w:vAlign w:val="center"/>
          </w:tcPr>
          <w:p w14:paraId="5E2A88A3">
            <w:pPr>
              <w:spacing w:line="240" w:lineRule="auto"/>
              <w:jc w:val="center"/>
              <w:rPr>
                <w:rFonts w:hint="eastAsia" w:cs="宋体"/>
                <w:bCs/>
                <w:sz w:val="21"/>
                <w:szCs w:val="21"/>
                <w:lang w:val="zh-CN"/>
              </w:rPr>
            </w:pPr>
            <w:r>
              <w:rPr>
                <w:rFonts w:hint="eastAsia" w:cs="宋体"/>
                <w:bCs/>
                <w:sz w:val="21"/>
                <w:szCs w:val="21"/>
              </w:rPr>
              <w:t>数量</w:t>
            </w:r>
          </w:p>
        </w:tc>
        <w:tc>
          <w:tcPr>
            <w:tcW w:w="586" w:type="pct"/>
            <w:vAlign w:val="center"/>
          </w:tcPr>
          <w:p w14:paraId="20C8B19B">
            <w:pPr>
              <w:spacing w:line="240" w:lineRule="auto"/>
              <w:jc w:val="center"/>
              <w:rPr>
                <w:rFonts w:hint="eastAsia" w:cs="宋体"/>
                <w:bCs/>
                <w:sz w:val="21"/>
                <w:szCs w:val="21"/>
              </w:rPr>
            </w:pPr>
            <w:r>
              <w:rPr>
                <w:rFonts w:hint="eastAsia" w:cs="宋体"/>
                <w:bCs/>
                <w:sz w:val="21"/>
                <w:szCs w:val="21"/>
              </w:rPr>
              <w:t>合价</w:t>
            </w:r>
          </w:p>
          <w:p w14:paraId="4E52395C">
            <w:pPr>
              <w:spacing w:line="240" w:lineRule="auto"/>
              <w:jc w:val="center"/>
              <w:rPr>
                <w:rFonts w:hint="eastAsia" w:cs="宋体"/>
                <w:bCs/>
                <w:sz w:val="21"/>
                <w:szCs w:val="21"/>
                <w:lang w:val="zh-CN"/>
              </w:rPr>
            </w:pPr>
            <w:r>
              <w:rPr>
                <w:rFonts w:hint="eastAsia" w:cs="宋体"/>
                <w:bCs/>
                <w:sz w:val="21"/>
                <w:szCs w:val="21"/>
              </w:rPr>
              <w:t>（元）</w:t>
            </w:r>
          </w:p>
        </w:tc>
      </w:tr>
      <w:tr w14:paraId="4886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23883DC5">
            <w:pPr>
              <w:jc w:val="center"/>
              <w:rPr>
                <w:rFonts w:hint="eastAsia" w:cs="宋体"/>
                <w:bCs/>
                <w:sz w:val="21"/>
                <w:szCs w:val="21"/>
              </w:rPr>
            </w:pPr>
            <w:r>
              <w:rPr>
                <w:rFonts w:hint="eastAsia" w:cs="宋体"/>
                <w:bCs/>
                <w:sz w:val="21"/>
                <w:szCs w:val="21"/>
              </w:rPr>
              <w:t>1</w:t>
            </w:r>
          </w:p>
        </w:tc>
        <w:tc>
          <w:tcPr>
            <w:tcW w:w="573" w:type="pct"/>
            <w:vAlign w:val="center"/>
          </w:tcPr>
          <w:p w14:paraId="3CB675AD">
            <w:pPr>
              <w:jc w:val="center"/>
              <w:rPr>
                <w:rFonts w:hint="eastAsia" w:cs="宋体"/>
                <w:bCs/>
                <w:sz w:val="21"/>
                <w:szCs w:val="21"/>
                <w:lang w:val="zh-CN"/>
              </w:rPr>
            </w:pPr>
          </w:p>
        </w:tc>
        <w:tc>
          <w:tcPr>
            <w:tcW w:w="574" w:type="pct"/>
            <w:vAlign w:val="center"/>
          </w:tcPr>
          <w:p w14:paraId="3ECD2FC9">
            <w:pPr>
              <w:jc w:val="center"/>
              <w:rPr>
                <w:rFonts w:hint="eastAsia" w:cs="宋体"/>
                <w:bCs/>
                <w:sz w:val="21"/>
                <w:szCs w:val="21"/>
                <w:lang w:val="zh-CN"/>
              </w:rPr>
            </w:pPr>
          </w:p>
        </w:tc>
        <w:tc>
          <w:tcPr>
            <w:tcW w:w="559" w:type="pct"/>
            <w:vAlign w:val="center"/>
          </w:tcPr>
          <w:p w14:paraId="60AF05DD">
            <w:pPr>
              <w:jc w:val="center"/>
              <w:rPr>
                <w:rFonts w:hint="eastAsia" w:cs="宋体"/>
                <w:bCs/>
                <w:sz w:val="21"/>
                <w:szCs w:val="21"/>
                <w:lang w:val="zh-CN"/>
              </w:rPr>
            </w:pPr>
          </w:p>
        </w:tc>
        <w:tc>
          <w:tcPr>
            <w:tcW w:w="464" w:type="pct"/>
            <w:vAlign w:val="center"/>
          </w:tcPr>
          <w:p w14:paraId="37B29729">
            <w:pPr>
              <w:jc w:val="center"/>
              <w:rPr>
                <w:rFonts w:hint="eastAsia" w:cs="宋体"/>
                <w:bCs/>
                <w:sz w:val="21"/>
                <w:szCs w:val="21"/>
                <w:lang w:val="zh-CN"/>
              </w:rPr>
            </w:pPr>
          </w:p>
        </w:tc>
        <w:tc>
          <w:tcPr>
            <w:tcW w:w="712" w:type="pct"/>
            <w:vAlign w:val="center"/>
          </w:tcPr>
          <w:p w14:paraId="595DE486">
            <w:pPr>
              <w:jc w:val="center"/>
              <w:rPr>
                <w:rFonts w:hint="eastAsia" w:cs="宋体"/>
                <w:bCs/>
                <w:sz w:val="21"/>
                <w:szCs w:val="21"/>
                <w:lang w:val="zh-CN"/>
              </w:rPr>
            </w:pPr>
          </w:p>
        </w:tc>
        <w:tc>
          <w:tcPr>
            <w:tcW w:w="551" w:type="pct"/>
            <w:vAlign w:val="center"/>
          </w:tcPr>
          <w:p w14:paraId="0214C05A">
            <w:pPr>
              <w:jc w:val="center"/>
              <w:rPr>
                <w:rFonts w:hint="eastAsia" w:cs="宋体"/>
                <w:bCs/>
                <w:sz w:val="21"/>
                <w:szCs w:val="21"/>
                <w:lang w:val="zh-CN"/>
              </w:rPr>
            </w:pPr>
          </w:p>
        </w:tc>
        <w:tc>
          <w:tcPr>
            <w:tcW w:w="496" w:type="pct"/>
            <w:vAlign w:val="center"/>
          </w:tcPr>
          <w:p w14:paraId="7123DDBC">
            <w:pPr>
              <w:jc w:val="center"/>
              <w:rPr>
                <w:rFonts w:hint="eastAsia" w:cs="宋体"/>
                <w:bCs/>
                <w:sz w:val="21"/>
                <w:szCs w:val="21"/>
                <w:lang w:val="zh-CN"/>
              </w:rPr>
            </w:pPr>
          </w:p>
        </w:tc>
        <w:tc>
          <w:tcPr>
            <w:tcW w:w="586" w:type="pct"/>
            <w:vAlign w:val="center"/>
          </w:tcPr>
          <w:p w14:paraId="07FE797A">
            <w:pPr>
              <w:jc w:val="center"/>
              <w:rPr>
                <w:rFonts w:hint="eastAsia" w:cs="宋体"/>
                <w:bCs/>
                <w:sz w:val="21"/>
                <w:szCs w:val="21"/>
                <w:lang w:val="zh-CN"/>
              </w:rPr>
            </w:pPr>
          </w:p>
        </w:tc>
      </w:tr>
      <w:tr w14:paraId="21E2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7BE792BE">
            <w:pPr>
              <w:jc w:val="center"/>
              <w:rPr>
                <w:rFonts w:hint="eastAsia" w:cs="宋体"/>
                <w:bCs/>
                <w:sz w:val="21"/>
                <w:szCs w:val="21"/>
              </w:rPr>
            </w:pPr>
            <w:r>
              <w:rPr>
                <w:rFonts w:hint="eastAsia" w:cs="宋体"/>
                <w:bCs/>
                <w:sz w:val="21"/>
                <w:szCs w:val="21"/>
              </w:rPr>
              <w:t>2</w:t>
            </w:r>
          </w:p>
        </w:tc>
        <w:tc>
          <w:tcPr>
            <w:tcW w:w="573" w:type="pct"/>
            <w:vAlign w:val="center"/>
          </w:tcPr>
          <w:p w14:paraId="7DF5882B">
            <w:pPr>
              <w:jc w:val="center"/>
              <w:rPr>
                <w:rFonts w:hint="eastAsia" w:cs="宋体"/>
                <w:bCs/>
                <w:sz w:val="21"/>
                <w:szCs w:val="21"/>
                <w:lang w:val="zh-CN"/>
              </w:rPr>
            </w:pPr>
          </w:p>
        </w:tc>
        <w:tc>
          <w:tcPr>
            <w:tcW w:w="574" w:type="pct"/>
            <w:vAlign w:val="center"/>
          </w:tcPr>
          <w:p w14:paraId="4F75D148">
            <w:pPr>
              <w:jc w:val="center"/>
              <w:rPr>
                <w:rFonts w:hint="eastAsia" w:cs="宋体"/>
                <w:bCs/>
                <w:sz w:val="21"/>
                <w:szCs w:val="21"/>
                <w:lang w:val="zh-CN"/>
              </w:rPr>
            </w:pPr>
          </w:p>
        </w:tc>
        <w:tc>
          <w:tcPr>
            <w:tcW w:w="559" w:type="pct"/>
            <w:vAlign w:val="center"/>
          </w:tcPr>
          <w:p w14:paraId="75EA9424">
            <w:pPr>
              <w:jc w:val="center"/>
              <w:rPr>
                <w:rFonts w:hint="eastAsia" w:cs="宋体"/>
                <w:bCs/>
                <w:sz w:val="21"/>
                <w:szCs w:val="21"/>
                <w:lang w:val="zh-CN"/>
              </w:rPr>
            </w:pPr>
          </w:p>
        </w:tc>
        <w:tc>
          <w:tcPr>
            <w:tcW w:w="464" w:type="pct"/>
            <w:vAlign w:val="center"/>
          </w:tcPr>
          <w:p w14:paraId="77186F25">
            <w:pPr>
              <w:jc w:val="center"/>
              <w:rPr>
                <w:rFonts w:hint="eastAsia" w:cs="宋体"/>
                <w:bCs/>
                <w:sz w:val="21"/>
                <w:szCs w:val="21"/>
                <w:lang w:val="zh-CN"/>
              </w:rPr>
            </w:pPr>
          </w:p>
        </w:tc>
        <w:tc>
          <w:tcPr>
            <w:tcW w:w="712" w:type="pct"/>
            <w:vAlign w:val="center"/>
          </w:tcPr>
          <w:p w14:paraId="7F6CE7A2">
            <w:pPr>
              <w:jc w:val="center"/>
              <w:rPr>
                <w:rFonts w:hint="eastAsia" w:cs="宋体"/>
                <w:bCs/>
                <w:sz w:val="21"/>
                <w:szCs w:val="21"/>
                <w:lang w:val="zh-CN"/>
              </w:rPr>
            </w:pPr>
          </w:p>
        </w:tc>
        <w:tc>
          <w:tcPr>
            <w:tcW w:w="551" w:type="pct"/>
            <w:vAlign w:val="center"/>
          </w:tcPr>
          <w:p w14:paraId="0FFF222C">
            <w:pPr>
              <w:jc w:val="center"/>
              <w:rPr>
                <w:rFonts w:hint="eastAsia" w:cs="宋体"/>
                <w:bCs/>
                <w:sz w:val="21"/>
                <w:szCs w:val="21"/>
                <w:lang w:val="zh-CN"/>
              </w:rPr>
            </w:pPr>
          </w:p>
        </w:tc>
        <w:tc>
          <w:tcPr>
            <w:tcW w:w="496" w:type="pct"/>
            <w:vAlign w:val="center"/>
          </w:tcPr>
          <w:p w14:paraId="49CEB040">
            <w:pPr>
              <w:jc w:val="center"/>
              <w:rPr>
                <w:rFonts w:hint="eastAsia" w:cs="宋体"/>
                <w:bCs/>
                <w:sz w:val="21"/>
                <w:szCs w:val="21"/>
                <w:lang w:val="zh-CN"/>
              </w:rPr>
            </w:pPr>
          </w:p>
        </w:tc>
        <w:tc>
          <w:tcPr>
            <w:tcW w:w="586" w:type="pct"/>
            <w:vAlign w:val="center"/>
          </w:tcPr>
          <w:p w14:paraId="194C5EEB">
            <w:pPr>
              <w:jc w:val="center"/>
              <w:rPr>
                <w:rFonts w:hint="eastAsia" w:cs="宋体"/>
                <w:bCs/>
                <w:sz w:val="21"/>
                <w:szCs w:val="21"/>
                <w:lang w:val="zh-CN"/>
              </w:rPr>
            </w:pPr>
          </w:p>
        </w:tc>
      </w:tr>
      <w:tr w14:paraId="0262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7BA9C41A">
            <w:pPr>
              <w:jc w:val="center"/>
              <w:rPr>
                <w:rFonts w:hint="eastAsia" w:cs="宋体"/>
                <w:bCs/>
                <w:sz w:val="21"/>
                <w:szCs w:val="21"/>
              </w:rPr>
            </w:pPr>
            <w:r>
              <w:rPr>
                <w:rFonts w:hint="eastAsia" w:cs="宋体"/>
                <w:bCs/>
                <w:sz w:val="21"/>
                <w:szCs w:val="21"/>
              </w:rPr>
              <w:t>3</w:t>
            </w:r>
          </w:p>
        </w:tc>
        <w:tc>
          <w:tcPr>
            <w:tcW w:w="573" w:type="pct"/>
            <w:vAlign w:val="center"/>
          </w:tcPr>
          <w:p w14:paraId="3AD5032B">
            <w:pPr>
              <w:jc w:val="center"/>
              <w:rPr>
                <w:rFonts w:hint="eastAsia" w:cs="宋体"/>
                <w:bCs/>
                <w:sz w:val="21"/>
                <w:szCs w:val="21"/>
                <w:lang w:val="zh-CN"/>
              </w:rPr>
            </w:pPr>
          </w:p>
        </w:tc>
        <w:tc>
          <w:tcPr>
            <w:tcW w:w="574" w:type="pct"/>
            <w:vAlign w:val="center"/>
          </w:tcPr>
          <w:p w14:paraId="18E76DDA">
            <w:pPr>
              <w:jc w:val="center"/>
              <w:rPr>
                <w:rFonts w:hint="eastAsia" w:cs="宋体"/>
                <w:bCs/>
                <w:sz w:val="21"/>
                <w:szCs w:val="21"/>
                <w:lang w:val="zh-CN"/>
              </w:rPr>
            </w:pPr>
          </w:p>
        </w:tc>
        <w:tc>
          <w:tcPr>
            <w:tcW w:w="559" w:type="pct"/>
            <w:vAlign w:val="center"/>
          </w:tcPr>
          <w:p w14:paraId="016E06E3">
            <w:pPr>
              <w:jc w:val="center"/>
              <w:rPr>
                <w:rFonts w:hint="eastAsia" w:cs="宋体"/>
                <w:bCs/>
                <w:sz w:val="21"/>
                <w:szCs w:val="21"/>
                <w:lang w:val="zh-CN"/>
              </w:rPr>
            </w:pPr>
          </w:p>
        </w:tc>
        <w:tc>
          <w:tcPr>
            <w:tcW w:w="464" w:type="pct"/>
            <w:vAlign w:val="center"/>
          </w:tcPr>
          <w:p w14:paraId="34675069">
            <w:pPr>
              <w:jc w:val="center"/>
              <w:rPr>
                <w:rFonts w:hint="eastAsia" w:cs="宋体"/>
                <w:bCs/>
                <w:sz w:val="21"/>
                <w:szCs w:val="21"/>
                <w:lang w:val="zh-CN"/>
              </w:rPr>
            </w:pPr>
          </w:p>
        </w:tc>
        <w:tc>
          <w:tcPr>
            <w:tcW w:w="712" w:type="pct"/>
            <w:vAlign w:val="center"/>
          </w:tcPr>
          <w:p w14:paraId="7A84969F">
            <w:pPr>
              <w:jc w:val="center"/>
              <w:rPr>
                <w:rFonts w:hint="eastAsia" w:cs="宋体"/>
                <w:bCs/>
                <w:sz w:val="21"/>
                <w:szCs w:val="21"/>
                <w:lang w:val="zh-CN"/>
              </w:rPr>
            </w:pPr>
          </w:p>
        </w:tc>
        <w:tc>
          <w:tcPr>
            <w:tcW w:w="551" w:type="pct"/>
            <w:vAlign w:val="center"/>
          </w:tcPr>
          <w:p w14:paraId="4B9340BB">
            <w:pPr>
              <w:jc w:val="center"/>
              <w:rPr>
                <w:rFonts w:hint="eastAsia" w:cs="宋体"/>
                <w:bCs/>
                <w:sz w:val="21"/>
                <w:szCs w:val="21"/>
                <w:lang w:val="zh-CN"/>
              </w:rPr>
            </w:pPr>
          </w:p>
        </w:tc>
        <w:tc>
          <w:tcPr>
            <w:tcW w:w="496" w:type="pct"/>
            <w:vAlign w:val="center"/>
          </w:tcPr>
          <w:p w14:paraId="6B272038">
            <w:pPr>
              <w:jc w:val="center"/>
              <w:rPr>
                <w:rFonts w:hint="eastAsia" w:cs="宋体"/>
                <w:bCs/>
                <w:sz w:val="21"/>
                <w:szCs w:val="21"/>
                <w:lang w:val="zh-CN"/>
              </w:rPr>
            </w:pPr>
          </w:p>
        </w:tc>
        <w:tc>
          <w:tcPr>
            <w:tcW w:w="586" w:type="pct"/>
            <w:vAlign w:val="center"/>
          </w:tcPr>
          <w:p w14:paraId="570BFFD3">
            <w:pPr>
              <w:jc w:val="center"/>
              <w:rPr>
                <w:rFonts w:hint="eastAsia" w:cs="宋体"/>
                <w:bCs/>
                <w:sz w:val="21"/>
                <w:szCs w:val="21"/>
                <w:lang w:val="zh-CN"/>
              </w:rPr>
            </w:pPr>
          </w:p>
        </w:tc>
      </w:tr>
      <w:tr w14:paraId="35FC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0ABF6BB0">
            <w:pPr>
              <w:jc w:val="center"/>
              <w:rPr>
                <w:rFonts w:hint="eastAsia" w:cs="宋体"/>
                <w:bCs/>
                <w:sz w:val="21"/>
                <w:szCs w:val="21"/>
              </w:rPr>
            </w:pPr>
            <w:r>
              <w:rPr>
                <w:rFonts w:hint="eastAsia" w:cs="宋体"/>
                <w:bCs/>
                <w:sz w:val="21"/>
                <w:szCs w:val="21"/>
              </w:rPr>
              <w:t>4</w:t>
            </w:r>
          </w:p>
        </w:tc>
        <w:tc>
          <w:tcPr>
            <w:tcW w:w="573" w:type="pct"/>
            <w:vAlign w:val="center"/>
          </w:tcPr>
          <w:p w14:paraId="6C92F58F">
            <w:pPr>
              <w:jc w:val="center"/>
              <w:rPr>
                <w:rFonts w:hint="eastAsia" w:cs="宋体"/>
                <w:bCs/>
                <w:sz w:val="21"/>
                <w:szCs w:val="21"/>
                <w:lang w:val="zh-CN"/>
              </w:rPr>
            </w:pPr>
          </w:p>
        </w:tc>
        <w:tc>
          <w:tcPr>
            <w:tcW w:w="574" w:type="pct"/>
            <w:vAlign w:val="center"/>
          </w:tcPr>
          <w:p w14:paraId="5CE36FBD">
            <w:pPr>
              <w:jc w:val="center"/>
              <w:rPr>
                <w:rFonts w:hint="eastAsia" w:cs="宋体"/>
                <w:bCs/>
                <w:sz w:val="21"/>
                <w:szCs w:val="21"/>
                <w:lang w:val="zh-CN"/>
              </w:rPr>
            </w:pPr>
          </w:p>
        </w:tc>
        <w:tc>
          <w:tcPr>
            <w:tcW w:w="559" w:type="pct"/>
            <w:vAlign w:val="center"/>
          </w:tcPr>
          <w:p w14:paraId="1C429FDF">
            <w:pPr>
              <w:jc w:val="center"/>
              <w:rPr>
                <w:rFonts w:hint="eastAsia" w:cs="宋体"/>
                <w:bCs/>
                <w:sz w:val="21"/>
                <w:szCs w:val="21"/>
                <w:lang w:val="zh-CN"/>
              </w:rPr>
            </w:pPr>
          </w:p>
        </w:tc>
        <w:tc>
          <w:tcPr>
            <w:tcW w:w="464" w:type="pct"/>
            <w:vAlign w:val="center"/>
          </w:tcPr>
          <w:p w14:paraId="321EE62A">
            <w:pPr>
              <w:jc w:val="center"/>
              <w:rPr>
                <w:rFonts w:hint="eastAsia" w:cs="宋体"/>
                <w:bCs/>
                <w:sz w:val="21"/>
                <w:szCs w:val="21"/>
                <w:lang w:val="zh-CN"/>
              </w:rPr>
            </w:pPr>
          </w:p>
        </w:tc>
        <w:tc>
          <w:tcPr>
            <w:tcW w:w="712" w:type="pct"/>
            <w:vAlign w:val="center"/>
          </w:tcPr>
          <w:p w14:paraId="66709E57">
            <w:pPr>
              <w:jc w:val="center"/>
              <w:rPr>
                <w:rFonts w:hint="eastAsia" w:cs="宋体"/>
                <w:bCs/>
                <w:sz w:val="21"/>
                <w:szCs w:val="21"/>
                <w:lang w:val="zh-CN"/>
              </w:rPr>
            </w:pPr>
          </w:p>
        </w:tc>
        <w:tc>
          <w:tcPr>
            <w:tcW w:w="551" w:type="pct"/>
            <w:vAlign w:val="center"/>
          </w:tcPr>
          <w:p w14:paraId="09775B95">
            <w:pPr>
              <w:jc w:val="center"/>
              <w:rPr>
                <w:rFonts w:hint="eastAsia" w:cs="宋体"/>
                <w:bCs/>
                <w:sz w:val="21"/>
                <w:szCs w:val="21"/>
                <w:lang w:val="zh-CN"/>
              </w:rPr>
            </w:pPr>
          </w:p>
        </w:tc>
        <w:tc>
          <w:tcPr>
            <w:tcW w:w="496" w:type="pct"/>
            <w:vAlign w:val="center"/>
          </w:tcPr>
          <w:p w14:paraId="43010CCA">
            <w:pPr>
              <w:jc w:val="center"/>
              <w:rPr>
                <w:rFonts w:hint="eastAsia" w:cs="宋体"/>
                <w:bCs/>
                <w:sz w:val="21"/>
                <w:szCs w:val="21"/>
                <w:lang w:val="zh-CN"/>
              </w:rPr>
            </w:pPr>
          </w:p>
        </w:tc>
        <w:tc>
          <w:tcPr>
            <w:tcW w:w="586" w:type="pct"/>
            <w:vAlign w:val="center"/>
          </w:tcPr>
          <w:p w14:paraId="1A547AED">
            <w:pPr>
              <w:jc w:val="center"/>
              <w:rPr>
                <w:rFonts w:hint="eastAsia" w:cs="宋体"/>
                <w:bCs/>
                <w:sz w:val="21"/>
                <w:szCs w:val="21"/>
                <w:lang w:val="zh-CN"/>
              </w:rPr>
            </w:pPr>
          </w:p>
        </w:tc>
      </w:tr>
      <w:tr w14:paraId="026E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348FBA11">
            <w:pPr>
              <w:jc w:val="center"/>
              <w:rPr>
                <w:rFonts w:hint="eastAsia" w:cs="宋体"/>
                <w:bCs/>
                <w:sz w:val="21"/>
                <w:szCs w:val="21"/>
              </w:rPr>
            </w:pPr>
            <w:r>
              <w:rPr>
                <w:rFonts w:hint="eastAsia" w:cs="宋体"/>
                <w:bCs/>
                <w:sz w:val="21"/>
                <w:szCs w:val="21"/>
              </w:rPr>
              <w:t>5</w:t>
            </w:r>
          </w:p>
        </w:tc>
        <w:tc>
          <w:tcPr>
            <w:tcW w:w="573" w:type="pct"/>
            <w:vAlign w:val="center"/>
          </w:tcPr>
          <w:p w14:paraId="08E1EAE8">
            <w:pPr>
              <w:jc w:val="center"/>
              <w:rPr>
                <w:rFonts w:hint="eastAsia" w:cs="宋体"/>
                <w:bCs/>
                <w:sz w:val="21"/>
                <w:szCs w:val="21"/>
                <w:lang w:val="zh-CN"/>
              </w:rPr>
            </w:pPr>
          </w:p>
        </w:tc>
        <w:tc>
          <w:tcPr>
            <w:tcW w:w="574" w:type="pct"/>
            <w:vAlign w:val="center"/>
          </w:tcPr>
          <w:p w14:paraId="5DFD79C1">
            <w:pPr>
              <w:jc w:val="center"/>
              <w:rPr>
                <w:rFonts w:hint="eastAsia" w:cs="宋体"/>
                <w:bCs/>
                <w:sz w:val="21"/>
                <w:szCs w:val="21"/>
                <w:lang w:val="zh-CN"/>
              </w:rPr>
            </w:pPr>
          </w:p>
        </w:tc>
        <w:tc>
          <w:tcPr>
            <w:tcW w:w="559" w:type="pct"/>
            <w:vAlign w:val="center"/>
          </w:tcPr>
          <w:p w14:paraId="6034D926">
            <w:pPr>
              <w:jc w:val="center"/>
              <w:rPr>
                <w:rFonts w:hint="eastAsia" w:cs="宋体"/>
                <w:bCs/>
                <w:sz w:val="21"/>
                <w:szCs w:val="21"/>
                <w:lang w:val="zh-CN"/>
              </w:rPr>
            </w:pPr>
          </w:p>
        </w:tc>
        <w:tc>
          <w:tcPr>
            <w:tcW w:w="464" w:type="pct"/>
            <w:vAlign w:val="center"/>
          </w:tcPr>
          <w:p w14:paraId="264B8C31">
            <w:pPr>
              <w:jc w:val="center"/>
              <w:rPr>
                <w:rFonts w:hint="eastAsia" w:cs="宋体"/>
                <w:bCs/>
                <w:sz w:val="21"/>
                <w:szCs w:val="21"/>
                <w:lang w:val="zh-CN"/>
              </w:rPr>
            </w:pPr>
          </w:p>
        </w:tc>
        <w:tc>
          <w:tcPr>
            <w:tcW w:w="712" w:type="pct"/>
            <w:vAlign w:val="center"/>
          </w:tcPr>
          <w:p w14:paraId="3B4E0852">
            <w:pPr>
              <w:jc w:val="center"/>
              <w:rPr>
                <w:rFonts w:hint="eastAsia" w:cs="宋体"/>
                <w:bCs/>
                <w:sz w:val="21"/>
                <w:szCs w:val="21"/>
                <w:lang w:val="zh-CN"/>
              </w:rPr>
            </w:pPr>
          </w:p>
        </w:tc>
        <w:tc>
          <w:tcPr>
            <w:tcW w:w="551" w:type="pct"/>
            <w:vAlign w:val="center"/>
          </w:tcPr>
          <w:p w14:paraId="3BA2076F">
            <w:pPr>
              <w:jc w:val="center"/>
              <w:rPr>
                <w:rFonts w:hint="eastAsia" w:cs="宋体"/>
                <w:bCs/>
                <w:sz w:val="21"/>
                <w:szCs w:val="21"/>
                <w:lang w:val="zh-CN"/>
              </w:rPr>
            </w:pPr>
          </w:p>
        </w:tc>
        <w:tc>
          <w:tcPr>
            <w:tcW w:w="496" w:type="pct"/>
            <w:vAlign w:val="center"/>
          </w:tcPr>
          <w:p w14:paraId="5203F867">
            <w:pPr>
              <w:jc w:val="center"/>
              <w:rPr>
                <w:rFonts w:hint="eastAsia" w:cs="宋体"/>
                <w:bCs/>
                <w:sz w:val="21"/>
                <w:szCs w:val="21"/>
                <w:lang w:val="zh-CN"/>
              </w:rPr>
            </w:pPr>
          </w:p>
        </w:tc>
        <w:tc>
          <w:tcPr>
            <w:tcW w:w="586" w:type="pct"/>
            <w:vAlign w:val="center"/>
          </w:tcPr>
          <w:p w14:paraId="7D5D6167">
            <w:pPr>
              <w:jc w:val="center"/>
              <w:rPr>
                <w:rFonts w:hint="eastAsia" w:cs="宋体"/>
                <w:bCs/>
                <w:sz w:val="21"/>
                <w:szCs w:val="21"/>
                <w:lang w:val="zh-CN"/>
              </w:rPr>
            </w:pPr>
          </w:p>
        </w:tc>
      </w:tr>
      <w:tr w14:paraId="43E9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6BBE7779">
            <w:pPr>
              <w:jc w:val="center"/>
              <w:rPr>
                <w:rFonts w:hint="eastAsia" w:cs="宋体"/>
                <w:bCs/>
                <w:sz w:val="21"/>
                <w:szCs w:val="21"/>
              </w:rPr>
            </w:pPr>
            <w:r>
              <w:rPr>
                <w:rFonts w:hint="eastAsia" w:cs="宋体"/>
                <w:bCs/>
                <w:sz w:val="21"/>
                <w:szCs w:val="21"/>
              </w:rPr>
              <w:t>6</w:t>
            </w:r>
          </w:p>
        </w:tc>
        <w:tc>
          <w:tcPr>
            <w:tcW w:w="573" w:type="pct"/>
            <w:vAlign w:val="center"/>
          </w:tcPr>
          <w:p w14:paraId="04FA524D">
            <w:pPr>
              <w:jc w:val="center"/>
              <w:rPr>
                <w:rFonts w:hint="eastAsia" w:cs="宋体"/>
                <w:bCs/>
                <w:sz w:val="21"/>
                <w:szCs w:val="21"/>
                <w:lang w:val="zh-CN"/>
              </w:rPr>
            </w:pPr>
          </w:p>
        </w:tc>
        <w:tc>
          <w:tcPr>
            <w:tcW w:w="574" w:type="pct"/>
            <w:vAlign w:val="center"/>
          </w:tcPr>
          <w:p w14:paraId="12340966">
            <w:pPr>
              <w:jc w:val="center"/>
              <w:rPr>
                <w:rFonts w:hint="eastAsia" w:cs="宋体"/>
                <w:bCs/>
                <w:sz w:val="21"/>
                <w:szCs w:val="21"/>
                <w:lang w:val="zh-CN"/>
              </w:rPr>
            </w:pPr>
          </w:p>
        </w:tc>
        <w:tc>
          <w:tcPr>
            <w:tcW w:w="559" w:type="pct"/>
            <w:vAlign w:val="center"/>
          </w:tcPr>
          <w:p w14:paraId="71595516">
            <w:pPr>
              <w:jc w:val="center"/>
              <w:rPr>
                <w:rFonts w:hint="eastAsia" w:cs="宋体"/>
                <w:bCs/>
                <w:sz w:val="21"/>
                <w:szCs w:val="21"/>
                <w:lang w:val="zh-CN"/>
              </w:rPr>
            </w:pPr>
          </w:p>
        </w:tc>
        <w:tc>
          <w:tcPr>
            <w:tcW w:w="464" w:type="pct"/>
            <w:vAlign w:val="center"/>
          </w:tcPr>
          <w:p w14:paraId="3F1C06B2">
            <w:pPr>
              <w:jc w:val="center"/>
              <w:rPr>
                <w:rFonts w:hint="eastAsia" w:cs="宋体"/>
                <w:bCs/>
                <w:sz w:val="21"/>
                <w:szCs w:val="21"/>
                <w:lang w:val="zh-CN"/>
              </w:rPr>
            </w:pPr>
          </w:p>
        </w:tc>
        <w:tc>
          <w:tcPr>
            <w:tcW w:w="712" w:type="pct"/>
            <w:vAlign w:val="center"/>
          </w:tcPr>
          <w:p w14:paraId="3139AE36">
            <w:pPr>
              <w:jc w:val="center"/>
              <w:rPr>
                <w:rFonts w:hint="eastAsia" w:cs="宋体"/>
                <w:bCs/>
                <w:sz w:val="21"/>
                <w:szCs w:val="21"/>
                <w:lang w:val="zh-CN"/>
              </w:rPr>
            </w:pPr>
          </w:p>
        </w:tc>
        <w:tc>
          <w:tcPr>
            <w:tcW w:w="551" w:type="pct"/>
            <w:vAlign w:val="center"/>
          </w:tcPr>
          <w:p w14:paraId="0CDD1567">
            <w:pPr>
              <w:jc w:val="center"/>
              <w:rPr>
                <w:rFonts w:hint="eastAsia" w:cs="宋体"/>
                <w:bCs/>
                <w:sz w:val="21"/>
                <w:szCs w:val="21"/>
                <w:lang w:val="zh-CN"/>
              </w:rPr>
            </w:pPr>
          </w:p>
        </w:tc>
        <w:tc>
          <w:tcPr>
            <w:tcW w:w="496" w:type="pct"/>
            <w:vAlign w:val="center"/>
          </w:tcPr>
          <w:p w14:paraId="188AC459">
            <w:pPr>
              <w:jc w:val="center"/>
              <w:rPr>
                <w:rFonts w:hint="eastAsia" w:cs="宋体"/>
                <w:bCs/>
                <w:sz w:val="21"/>
                <w:szCs w:val="21"/>
                <w:lang w:val="zh-CN"/>
              </w:rPr>
            </w:pPr>
          </w:p>
        </w:tc>
        <w:tc>
          <w:tcPr>
            <w:tcW w:w="586" w:type="pct"/>
            <w:vAlign w:val="center"/>
          </w:tcPr>
          <w:p w14:paraId="1E9B3917">
            <w:pPr>
              <w:jc w:val="center"/>
              <w:rPr>
                <w:rFonts w:hint="eastAsia" w:cs="宋体"/>
                <w:bCs/>
                <w:sz w:val="21"/>
                <w:szCs w:val="21"/>
                <w:lang w:val="zh-CN"/>
              </w:rPr>
            </w:pPr>
          </w:p>
        </w:tc>
      </w:tr>
      <w:tr w14:paraId="0107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7F76D849">
            <w:pPr>
              <w:jc w:val="center"/>
              <w:rPr>
                <w:rFonts w:hint="eastAsia" w:cs="宋体"/>
                <w:bCs/>
                <w:sz w:val="21"/>
                <w:szCs w:val="21"/>
                <w:lang w:val="zh-CN"/>
              </w:rPr>
            </w:pPr>
            <w:r>
              <w:rPr>
                <w:rFonts w:hint="eastAsia" w:cs="宋体"/>
                <w:bCs/>
                <w:sz w:val="21"/>
                <w:szCs w:val="21"/>
                <w:lang w:val="zh-CN"/>
              </w:rPr>
              <w:t>…</w:t>
            </w:r>
          </w:p>
        </w:tc>
        <w:tc>
          <w:tcPr>
            <w:tcW w:w="573" w:type="pct"/>
            <w:vAlign w:val="center"/>
          </w:tcPr>
          <w:p w14:paraId="0D546BDF">
            <w:pPr>
              <w:jc w:val="center"/>
              <w:rPr>
                <w:rFonts w:hint="eastAsia" w:cs="宋体"/>
                <w:bCs/>
                <w:sz w:val="21"/>
                <w:szCs w:val="21"/>
                <w:lang w:val="zh-CN"/>
              </w:rPr>
            </w:pPr>
          </w:p>
        </w:tc>
        <w:tc>
          <w:tcPr>
            <w:tcW w:w="574" w:type="pct"/>
            <w:vAlign w:val="center"/>
          </w:tcPr>
          <w:p w14:paraId="7ABB0D85">
            <w:pPr>
              <w:jc w:val="center"/>
              <w:rPr>
                <w:rFonts w:hint="eastAsia" w:cs="宋体"/>
                <w:bCs/>
                <w:sz w:val="21"/>
                <w:szCs w:val="21"/>
                <w:lang w:val="zh-CN"/>
              </w:rPr>
            </w:pPr>
          </w:p>
        </w:tc>
        <w:tc>
          <w:tcPr>
            <w:tcW w:w="559" w:type="pct"/>
            <w:vAlign w:val="center"/>
          </w:tcPr>
          <w:p w14:paraId="75029A67">
            <w:pPr>
              <w:jc w:val="center"/>
              <w:rPr>
                <w:rFonts w:hint="eastAsia" w:cs="宋体"/>
                <w:bCs/>
                <w:sz w:val="21"/>
                <w:szCs w:val="21"/>
                <w:lang w:val="zh-CN"/>
              </w:rPr>
            </w:pPr>
          </w:p>
        </w:tc>
        <w:tc>
          <w:tcPr>
            <w:tcW w:w="464" w:type="pct"/>
            <w:vAlign w:val="center"/>
          </w:tcPr>
          <w:p w14:paraId="38E7B49A">
            <w:pPr>
              <w:jc w:val="center"/>
              <w:rPr>
                <w:rFonts w:hint="eastAsia" w:cs="宋体"/>
                <w:bCs/>
                <w:sz w:val="21"/>
                <w:szCs w:val="21"/>
                <w:lang w:val="zh-CN"/>
              </w:rPr>
            </w:pPr>
          </w:p>
        </w:tc>
        <w:tc>
          <w:tcPr>
            <w:tcW w:w="712" w:type="pct"/>
            <w:vAlign w:val="center"/>
          </w:tcPr>
          <w:p w14:paraId="2C0840C7">
            <w:pPr>
              <w:jc w:val="center"/>
              <w:rPr>
                <w:rFonts w:hint="eastAsia" w:cs="宋体"/>
                <w:bCs/>
                <w:sz w:val="21"/>
                <w:szCs w:val="21"/>
                <w:lang w:val="zh-CN"/>
              </w:rPr>
            </w:pPr>
          </w:p>
        </w:tc>
        <w:tc>
          <w:tcPr>
            <w:tcW w:w="551" w:type="pct"/>
            <w:vAlign w:val="center"/>
          </w:tcPr>
          <w:p w14:paraId="53A9DB0C">
            <w:pPr>
              <w:jc w:val="center"/>
              <w:rPr>
                <w:rFonts w:hint="eastAsia" w:cs="宋体"/>
                <w:bCs/>
                <w:sz w:val="21"/>
                <w:szCs w:val="21"/>
                <w:lang w:val="zh-CN"/>
              </w:rPr>
            </w:pPr>
          </w:p>
        </w:tc>
        <w:tc>
          <w:tcPr>
            <w:tcW w:w="496" w:type="pct"/>
            <w:vAlign w:val="center"/>
          </w:tcPr>
          <w:p w14:paraId="36454383">
            <w:pPr>
              <w:jc w:val="center"/>
              <w:rPr>
                <w:rFonts w:hint="eastAsia" w:cs="宋体"/>
                <w:bCs/>
                <w:sz w:val="21"/>
                <w:szCs w:val="21"/>
                <w:lang w:val="zh-CN"/>
              </w:rPr>
            </w:pPr>
          </w:p>
        </w:tc>
        <w:tc>
          <w:tcPr>
            <w:tcW w:w="586" w:type="pct"/>
            <w:vAlign w:val="center"/>
          </w:tcPr>
          <w:p w14:paraId="1A3BBE80">
            <w:pPr>
              <w:jc w:val="center"/>
              <w:rPr>
                <w:rFonts w:hint="eastAsia" w:cs="宋体"/>
                <w:bCs/>
                <w:sz w:val="21"/>
                <w:szCs w:val="21"/>
                <w:lang w:val="zh-CN"/>
              </w:rPr>
            </w:pPr>
          </w:p>
        </w:tc>
      </w:tr>
      <w:tr w14:paraId="0E75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center"/>
          </w:tcPr>
          <w:p w14:paraId="411CF1D0">
            <w:pPr>
              <w:jc w:val="center"/>
              <w:rPr>
                <w:rFonts w:hint="eastAsia" w:eastAsia="宋体" w:cs="宋体"/>
                <w:bCs/>
                <w:sz w:val="21"/>
                <w:szCs w:val="21"/>
                <w:lang w:val="en-US" w:eastAsia="zh-CN"/>
              </w:rPr>
            </w:pPr>
            <w:r>
              <w:rPr>
                <w:rFonts w:hint="eastAsia" w:cs="宋体"/>
                <w:bCs/>
                <w:sz w:val="21"/>
                <w:szCs w:val="21"/>
                <w:lang w:val="en-US" w:eastAsia="zh-CN"/>
              </w:rPr>
              <w:t>总价（元）</w:t>
            </w:r>
          </w:p>
        </w:tc>
      </w:tr>
    </w:tbl>
    <w:p w14:paraId="518243EA">
      <w:pPr>
        <w:spacing w:line="300" w:lineRule="auto"/>
        <w:rPr>
          <w:rFonts w:ascii="Arial" w:hAnsi="Arial" w:cs="Arial"/>
          <w:szCs w:val="21"/>
        </w:rPr>
      </w:pPr>
    </w:p>
    <w:p w14:paraId="0D743A0F">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3EE400F4">
      <w:pPr>
        <w:spacing w:line="300" w:lineRule="auto"/>
        <w:rPr>
          <w:rFonts w:ascii="Arial" w:hAnsi="Arial" w:cs="Arial"/>
          <w:szCs w:val="21"/>
        </w:rPr>
      </w:pPr>
      <w:r>
        <w:rPr>
          <w:rFonts w:ascii="Arial" w:hAnsi="Arial" w:cs="Arial"/>
          <w:szCs w:val="21"/>
        </w:rPr>
        <w:t>日期：</w:t>
      </w:r>
    </w:p>
    <w:p w14:paraId="4C0570A0">
      <w:pPr>
        <w:spacing w:line="300" w:lineRule="auto"/>
        <w:rPr>
          <w:rFonts w:hint="eastAsia" w:cs="宋体"/>
          <w:szCs w:val="24"/>
        </w:rPr>
      </w:pPr>
    </w:p>
    <w:p w14:paraId="07BE77C1">
      <w:pPr>
        <w:rPr>
          <w:rFonts w:hint="eastAsia" w:cs="宋体"/>
          <w:sz w:val="21"/>
          <w:szCs w:val="21"/>
        </w:rPr>
      </w:pPr>
      <w:r>
        <w:rPr>
          <w:rFonts w:hint="eastAsia" w:cs="宋体"/>
          <w:b/>
          <w:sz w:val="21"/>
          <w:szCs w:val="21"/>
        </w:rPr>
        <w:t>注：</w:t>
      </w:r>
      <w:r>
        <w:rPr>
          <w:rFonts w:hint="eastAsia" w:cs="宋体"/>
          <w:sz w:val="21"/>
          <w:szCs w:val="21"/>
        </w:rPr>
        <w:t>1.</w:t>
      </w:r>
      <w:r>
        <w:rPr>
          <w:rFonts w:cs="宋体"/>
          <w:sz w:val="21"/>
          <w:szCs w:val="21"/>
        </w:rPr>
        <w:t>按照本表填写的</w:t>
      </w:r>
      <w:r>
        <w:rPr>
          <w:rFonts w:hint="eastAsia" w:cs="宋体"/>
          <w:sz w:val="21"/>
          <w:szCs w:val="21"/>
        </w:rPr>
        <w:t>总</w:t>
      </w:r>
      <w:r>
        <w:rPr>
          <w:rFonts w:cs="宋体"/>
          <w:sz w:val="21"/>
          <w:szCs w:val="21"/>
        </w:rPr>
        <w:t>价填写到</w:t>
      </w:r>
      <w:r>
        <w:rPr>
          <w:rFonts w:hint="eastAsia" w:cs="宋体"/>
          <w:sz w:val="21"/>
          <w:szCs w:val="21"/>
        </w:rPr>
        <w:t>“开标一览表”</w:t>
      </w:r>
      <w:r>
        <w:rPr>
          <w:rFonts w:cs="宋体"/>
          <w:sz w:val="21"/>
          <w:szCs w:val="21"/>
        </w:rPr>
        <w:t>中对应的</w:t>
      </w:r>
      <w:r>
        <w:rPr>
          <w:rFonts w:hint="eastAsia" w:cs="宋体"/>
          <w:sz w:val="21"/>
          <w:szCs w:val="21"/>
        </w:rPr>
        <w:t>“投标报价”</w:t>
      </w:r>
      <w:r>
        <w:rPr>
          <w:rFonts w:cs="宋体"/>
          <w:sz w:val="21"/>
          <w:szCs w:val="21"/>
        </w:rPr>
        <w:t>栏中。</w:t>
      </w:r>
    </w:p>
    <w:p w14:paraId="12FCB660">
      <w:pPr>
        <w:ind w:firstLine="420" w:firstLineChars="200"/>
        <w:rPr>
          <w:rFonts w:hint="eastAsia" w:cs="宋体"/>
          <w:b/>
          <w:bCs/>
          <w:kern w:val="0"/>
          <w:sz w:val="21"/>
          <w:szCs w:val="21"/>
          <w:lang w:bidi="ar"/>
        </w:rPr>
      </w:pPr>
      <w:r>
        <w:rPr>
          <w:rFonts w:hint="eastAsia" w:cs="宋体"/>
          <w:sz w:val="21"/>
          <w:szCs w:val="21"/>
        </w:rPr>
        <w:t>2.表中所列货物为对应本项目需求的全部货物及所需附件购置费、包装费、运输费、人工费、保险费、安装调试费、各种税费、资料费、售后服务费及完成项目应有的全部费用。如有漏项或缺项，投标人承担全部责任。</w:t>
      </w:r>
    </w:p>
    <w:p w14:paraId="753E1ED5">
      <w:pPr>
        <w:rPr>
          <w:rFonts w:hint="eastAsia"/>
        </w:rPr>
      </w:pPr>
      <w:bookmarkStart w:id="425" w:name="_Toc28824"/>
      <w:r>
        <w:rPr>
          <w:rFonts w:hint="eastAsia"/>
        </w:rPr>
        <w:br w:type="page"/>
      </w:r>
    </w:p>
    <w:p w14:paraId="06CF1F35">
      <w:pPr>
        <w:pStyle w:val="4"/>
        <w:spacing w:before="100" w:after="100" w:line="360" w:lineRule="auto"/>
        <w:ind w:left="420" w:hanging="420"/>
        <w:jc w:val="center"/>
        <w:rPr>
          <w:rFonts w:hint="eastAsia"/>
        </w:rPr>
      </w:pPr>
      <w:r>
        <w:rPr>
          <w:rFonts w:hint="eastAsia"/>
        </w:rPr>
        <w:t>三、关于符合本国产品标准的声明函或财政部规定的其他</w:t>
      </w:r>
      <w:bookmarkEnd w:id="425"/>
    </w:p>
    <w:p w14:paraId="52ECD9B8">
      <w:pPr>
        <w:pStyle w:val="4"/>
        <w:spacing w:before="100" w:after="100" w:line="360" w:lineRule="auto"/>
        <w:ind w:left="420" w:hanging="420"/>
        <w:jc w:val="center"/>
        <w:rPr>
          <w:rFonts w:hint="eastAsia"/>
        </w:rPr>
      </w:pPr>
      <w:bookmarkStart w:id="426" w:name="_Toc2844"/>
      <w:r>
        <w:rPr>
          <w:rFonts w:hint="eastAsia"/>
        </w:rPr>
        <w:t>证明文件</w:t>
      </w:r>
      <w:bookmarkEnd w:id="426"/>
    </w:p>
    <w:p w14:paraId="63693ACA">
      <w:pPr>
        <w:rPr>
          <w:rFonts w:hint="eastAsia" w:cs="宋体"/>
          <w:spacing w:val="6"/>
          <w:sz w:val="21"/>
          <w:szCs w:val="21"/>
        </w:rPr>
      </w:pPr>
      <w:r>
        <w:rPr>
          <w:rFonts w:hint="eastAsia" w:cs="宋体"/>
          <w:spacing w:val="6"/>
          <w:sz w:val="21"/>
          <w:szCs w:val="21"/>
        </w:rPr>
        <w:t>附件1</w:t>
      </w:r>
    </w:p>
    <w:p w14:paraId="57013425">
      <w:pPr>
        <w:widowControl/>
        <w:ind w:firstLine="482" w:firstLineChars="200"/>
        <w:jc w:val="center"/>
        <w:rPr>
          <w:rFonts w:hint="eastAsia" w:cs="宋体"/>
          <w:kern w:val="0"/>
          <w:szCs w:val="24"/>
          <w:lang w:bidi="ar"/>
        </w:rPr>
      </w:pPr>
      <w:r>
        <w:rPr>
          <w:rFonts w:hint="eastAsia" w:cs="宋体"/>
          <w:b/>
          <w:bCs/>
          <w:kern w:val="0"/>
          <w:szCs w:val="24"/>
          <w:lang w:bidi="ar"/>
        </w:rPr>
        <w:t>（一）关于符合本国产品标准的声明函</w:t>
      </w:r>
    </w:p>
    <w:p w14:paraId="643A4455">
      <w:pPr>
        <w:widowControl/>
        <w:ind w:firstLine="420" w:firstLineChars="200"/>
        <w:jc w:val="both"/>
        <w:rPr>
          <w:rFonts w:hint="eastAsia" w:cs="宋体"/>
          <w:kern w:val="0"/>
          <w:sz w:val="21"/>
          <w:szCs w:val="21"/>
          <w:lang w:bidi="ar"/>
        </w:rPr>
      </w:pPr>
      <w:r>
        <w:rPr>
          <w:rFonts w:hint="eastAsia" w:cs="宋体"/>
          <w:kern w:val="0"/>
          <w:sz w:val="21"/>
          <w:szCs w:val="21"/>
          <w:lang w:bidi="ar"/>
        </w:rPr>
        <w:t>本公司（单位）郑重声明，根据《国务院办公厅关于在政府采购中实施本国产品标准及相关政策的通知》（国办发〔2025〕34号）的规定，本公司（单位）提供的以下产品属于本国产品。具体情况如下：</w:t>
      </w:r>
    </w:p>
    <w:p w14:paraId="2A5C695E">
      <w:pPr>
        <w:widowControl/>
        <w:ind w:firstLine="420" w:firstLineChars="200"/>
        <w:jc w:val="both"/>
        <w:rPr>
          <w:rFonts w:hint="eastAsia" w:cs="宋体"/>
          <w:kern w:val="0"/>
          <w:sz w:val="21"/>
          <w:szCs w:val="21"/>
          <w:lang w:bidi="ar"/>
        </w:rPr>
      </w:pPr>
      <w:r>
        <w:rPr>
          <w:rFonts w:hint="eastAsia" w:cs="宋体"/>
          <w:kern w:val="0"/>
          <w:sz w:val="21"/>
          <w:szCs w:val="21"/>
          <w:lang w:bidi="ar"/>
        </w:rPr>
        <w:t>1.</w:t>
      </w:r>
      <w:r>
        <w:rPr>
          <w:rFonts w:hint="eastAsia" w:cs="宋体"/>
          <w:kern w:val="0"/>
          <w:sz w:val="21"/>
          <w:szCs w:val="21"/>
          <w:u w:val="single"/>
          <w:lang w:bidi="ar"/>
        </w:rPr>
        <w:t>（产品名称1）</w:t>
      </w:r>
      <w:r>
        <w:rPr>
          <w:rFonts w:hint="eastAsia" w:cs="宋体"/>
          <w:kern w:val="0"/>
          <w:sz w:val="21"/>
          <w:szCs w:val="21"/>
          <w:lang w:bidi="ar"/>
        </w:rPr>
        <w:t>1，生产厂为</w:t>
      </w:r>
      <w:r>
        <w:rPr>
          <w:rFonts w:hint="eastAsia" w:cs="宋体"/>
          <w:kern w:val="0"/>
          <w:sz w:val="21"/>
          <w:szCs w:val="21"/>
          <w:u w:val="single"/>
          <w:lang w:bidi="ar"/>
        </w:rPr>
        <w:t>（厂名）</w:t>
      </w:r>
      <w:r>
        <w:rPr>
          <w:rFonts w:hint="eastAsia" w:cs="宋体"/>
          <w:kern w:val="0"/>
          <w:sz w:val="21"/>
          <w:szCs w:val="21"/>
          <w:lang w:bidi="ar"/>
        </w:rPr>
        <w:t>2，厂址为</w:t>
      </w:r>
      <w:r>
        <w:rPr>
          <w:rFonts w:hint="eastAsia" w:cs="宋体"/>
          <w:kern w:val="0"/>
          <w:sz w:val="21"/>
          <w:szCs w:val="21"/>
          <w:u w:val="single"/>
          <w:lang w:bidi="ar"/>
        </w:rPr>
        <w:t>（生产厂址）</w:t>
      </w:r>
      <w:r>
        <w:rPr>
          <w:rFonts w:hint="eastAsia" w:cs="宋体"/>
          <w:kern w:val="0"/>
          <w:sz w:val="21"/>
          <w:szCs w:val="21"/>
          <w:lang w:bidi="ar"/>
        </w:rPr>
        <w:t>。</w:t>
      </w:r>
      <w:r>
        <w:rPr>
          <w:rFonts w:hint="eastAsia" w:cs="宋体"/>
          <w:kern w:val="0"/>
          <w:sz w:val="21"/>
          <w:szCs w:val="21"/>
          <w:u w:val="single"/>
          <w:lang w:bidi="ar"/>
        </w:rPr>
        <w:t>（产品名称1）</w:t>
      </w:r>
      <w:r>
        <w:rPr>
          <w:rFonts w:hint="eastAsia" w:cs="宋体"/>
          <w:kern w:val="0"/>
          <w:sz w:val="21"/>
          <w:szCs w:val="21"/>
          <w:lang w:bidi="ar"/>
        </w:rPr>
        <w:t>的中国境内生产的组件成本占比≥</w:t>
      </w:r>
      <w:r>
        <w:rPr>
          <w:rFonts w:hint="eastAsia" w:cs="宋体"/>
          <w:kern w:val="0"/>
          <w:sz w:val="21"/>
          <w:szCs w:val="21"/>
          <w:u w:val="single"/>
          <w:lang w:bidi="ar"/>
        </w:rPr>
        <w:t>（规定比例）</w:t>
      </w:r>
      <w:r>
        <w:rPr>
          <w:rFonts w:hint="eastAsia" w:cs="宋体"/>
          <w:kern w:val="0"/>
          <w:sz w:val="21"/>
          <w:szCs w:val="21"/>
          <w:lang w:bidi="ar"/>
        </w:rPr>
        <w:t>3。</w:t>
      </w:r>
      <w:r>
        <w:rPr>
          <w:rFonts w:hint="eastAsia" w:cs="宋体"/>
          <w:kern w:val="0"/>
          <w:sz w:val="21"/>
          <w:szCs w:val="21"/>
          <w:u w:val="single"/>
          <w:lang w:bidi="ar"/>
        </w:rPr>
        <w:t>（产品名称1）</w:t>
      </w:r>
      <w:r>
        <w:rPr>
          <w:rFonts w:hint="eastAsia" w:cs="宋体"/>
          <w:kern w:val="0"/>
          <w:sz w:val="21"/>
          <w:szCs w:val="21"/>
          <w:lang w:bidi="ar"/>
        </w:rPr>
        <w:t>的</w:t>
      </w:r>
      <w:r>
        <w:rPr>
          <w:rFonts w:hint="eastAsia" w:cs="宋体"/>
          <w:kern w:val="0"/>
          <w:sz w:val="21"/>
          <w:szCs w:val="21"/>
          <w:u w:val="single"/>
          <w:lang w:bidi="ar"/>
        </w:rPr>
        <w:t>（关键组件）</w:t>
      </w:r>
      <w:r>
        <w:rPr>
          <w:rFonts w:hint="eastAsia" w:cs="宋体"/>
          <w:kern w:val="0"/>
          <w:sz w:val="21"/>
          <w:szCs w:val="21"/>
          <w:lang w:bidi="ar"/>
        </w:rPr>
        <w:t>4在中国境内生产。</w:t>
      </w:r>
      <w:r>
        <w:rPr>
          <w:rFonts w:hint="eastAsia" w:cs="宋体"/>
          <w:kern w:val="0"/>
          <w:sz w:val="21"/>
          <w:szCs w:val="21"/>
          <w:u w:val="single"/>
          <w:lang w:bidi="ar"/>
        </w:rPr>
        <w:t>（产品名称1）</w:t>
      </w:r>
      <w:r>
        <w:rPr>
          <w:rFonts w:hint="eastAsia" w:cs="宋体"/>
          <w:kern w:val="0"/>
          <w:sz w:val="21"/>
          <w:szCs w:val="21"/>
          <w:lang w:bidi="ar"/>
        </w:rPr>
        <w:t>的</w:t>
      </w:r>
      <w:r>
        <w:rPr>
          <w:rFonts w:hint="eastAsia" w:cs="宋体"/>
          <w:kern w:val="0"/>
          <w:sz w:val="21"/>
          <w:szCs w:val="21"/>
          <w:u w:val="single"/>
          <w:lang w:bidi="ar"/>
        </w:rPr>
        <w:t>（关键工序）</w:t>
      </w:r>
      <w:r>
        <w:rPr>
          <w:rFonts w:hint="eastAsia" w:cs="宋体"/>
          <w:kern w:val="0"/>
          <w:sz w:val="21"/>
          <w:szCs w:val="21"/>
          <w:lang w:bidi="ar"/>
        </w:rPr>
        <w:t>5在中国境内完成。</w:t>
      </w:r>
    </w:p>
    <w:p w14:paraId="3642F19F">
      <w:pPr>
        <w:widowControl/>
        <w:ind w:firstLine="420" w:firstLineChars="200"/>
        <w:jc w:val="both"/>
        <w:rPr>
          <w:rFonts w:hint="eastAsia" w:cs="宋体"/>
          <w:kern w:val="0"/>
          <w:sz w:val="21"/>
          <w:szCs w:val="21"/>
          <w:lang w:bidi="ar"/>
        </w:rPr>
      </w:pPr>
      <w:r>
        <w:rPr>
          <w:rFonts w:hint="eastAsia" w:cs="宋体"/>
          <w:kern w:val="0"/>
          <w:sz w:val="21"/>
          <w:szCs w:val="21"/>
          <w:lang w:bidi="ar"/>
        </w:rPr>
        <w:t>2.</w:t>
      </w:r>
      <w:r>
        <w:rPr>
          <w:rFonts w:hint="eastAsia" w:cs="宋体"/>
          <w:kern w:val="0"/>
          <w:sz w:val="21"/>
          <w:szCs w:val="21"/>
          <w:u w:val="single"/>
          <w:lang w:bidi="ar"/>
        </w:rPr>
        <w:t>（产品名称2）</w:t>
      </w:r>
      <w:r>
        <w:rPr>
          <w:rFonts w:hint="eastAsia" w:cs="宋体"/>
          <w:kern w:val="0"/>
          <w:sz w:val="21"/>
          <w:szCs w:val="21"/>
          <w:lang w:bidi="ar"/>
        </w:rPr>
        <w:t>，生产厂为</w:t>
      </w:r>
      <w:r>
        <w:rPr>
          <w:rFonts w:hint="eastAsia" w:cs="宋体"/>
          <w:kern w:val="0"/>
          <w:sz w:val="21"/>
          <w:szCs w:val="21"/>
          <w:u w:val="single"/>
          <w:lang w:bidi="ar"/>
        </w:rPr>
        <w:t>（厂名）</w:t>
      </w:r>
      <w:r>
        <w:rPr>
          <w:rFonts w:hint="eastAsia" w:cs="宋体"/>
          <w:kern w:val="0"/>
          <w:sz w:val="21"/>
          <w:szCs w:val="21"/>
          <w:lang w:bidi="ar"/>
        </w:rPr>
        <w:t>，厂址为</w:t>
      </w:r>
      <w:r>
        <w:rPr>
          <w:rFonts w:hint="eastAsia" w:cs="宋体"/>
          <w:kern w:val="0"/>
          <w:sz w:val="21"/>
          <w:szCs w:val="21"/>
          <w:u w:val="single"/>
          <w:lang w:bidi="ar"/>
        </w:rPr>
        <w:t>（生产厂址）</w:t>
      </w:r>
      <w:r>
        <w:rPr>
          <w:rFonts w:hint="eastAsia" w:cs="宋体"/>
          <w:kern w:val="0"/>
          <w:sz w:val="21"/>
          <w:szCs w:val="21"/>
          <w:lang w:bidi="ar"/>
        </w:rPr>
        <w:t>。</w:t>
      </w:r>
      <w:r>
        <w:rPr>
          <w:rFonts w:hint="eastAsia" w:cs="宋体"/>
          <w:kern w:val="0"/>
          <w:sz w:val="21"/>
          <w:szCs w:val="21"/>
          <w:u w:val="single"/>
          <w:lang w:bidi="ar"/>
        </w:rPr>
        <w:t>（产品名称2）</w:t>
      </w:r>
      <w:r>
        <w:rPr>
          <w:rFonts w:hint="eastAsia" w:cs="宋体"/>
          <w:kern w:val="0"/>
          <w:sz w:val="21"/>
          <w:szCs w:val="21"/>
          <w:lang w:bidi="ar"/>
        </w:rPr>
        <w:t>的中国境内生产的组件成本占比≥</w:t>
      </w:r>
      <w:r>
        <w:rPr>
          <w:rFonts w:hint="eastAsia" w:cs="宋体"/>
          <w:kern w:val="0"/>
          <w:sz w:val="21"/>
          <w:szCs w:val="21"/>
          <w:u w:val="single"/>
          <w:lang w:bidi="ar"/>
        </w:rPr>
        <w:t>（规定比例）</w:t>
      </w:r>
      <w:r>
        <w:rPr>
          <w:rFonts w:hint="eastAsia" w:cs="宋体"/>
          <w:kern w:val="0"/>
          <w:sz w:val="21"/>
          <w:szCs w:val="21"/>
          <w:lang w:bidi="ar"/>
        </w:rPr>
        <w:t>。</w:t>
      </w:r>
      <w:r>
        <w:rPr>
          <w:rFonts w:hint="eastAsia" w:cs="宋体"/>
          <w:kern w:val="0"/>
          <w:sz w:val="21"/>
          <w:szCs w:val="21"/>
          <w:u w:val="single"/>
          <w:lang w:bidi="ar"/>
        </w:rPr>
        <w:t>（产品名称2）</w:t>
      </w:r>
      <w:r>
        <w:rPr>
          <w:rFonts w:hint="eastAsia" w:cs="宋体"/>
          <w:kern w:val="0"/>
          <w:sz w:val="21"/>
          <w:szCs w:val="21"/>
          <w:lang w:bidi="ar"/>
        </w:rPr>
        <w:t>的</w:t>
      </w:r>
      <w:r>
        <w:rPr>
          <w:rFonts w:hint="eastAsia" w:cs="宋体"/>
          <w:kern w:val="0"/>
          <w:sz w:val="21"/>
          <w:szCs w:val="21"/>
          <w:u w:val="single"/>
          <w:lang w:bidi="ar"/>
        </w:rPr>
        <w:t>（关键组件）</w:t>
      </w:r>
      <w:r>
        <w:rPr>
          <w:rFonts w:hint="eastAsia" w:cs="宋体"/>
          <w:kern w:val="0"/>
          <w:sz w:val="21"/>
          <w:szCs w:val="21"/>
          <w:lang w:bidi="ar"/>
        </w:rPr>
        <w:t>在中国境内生产。</w:t>
      </w:r>
      <w:r>
        <w:rPr>
          <w:rFonts w:hint="eastAsia" w:cs="宋体"/>
          <w:kern w:val="0"/>
          <w:sz w:val="21"/>
          <w:szCs w:val="21"/>
          <w:u w:val="single"/>
          <w:lang w:bidi="ar"/>
        </w:rPr>
        <w:t>（产品名称2）</w:t>
      </w:r>
      <w:r>
        <w:rPr>
          <w:rFonts w:hint="eastAsia" w:cs="宋体"/>
          <w:kern w:val="0"/>
          <w:sz w:val="21"/>
          <w:szCs w:val="21"/>
          <w:lang w:bidi="ar"/>
        </w:rPr>
        <w:t>的（关键工序）在中国境内完成。</w:t>
      </w:r>
    </w:p>
    <w:p w14:paraId="413C3CA0">
      <w:pPr>
        <w:widowControl/>
        <w:ind w:firstLine="420" w:firstLineChars="200"/>
        <w:jc w:val="both"/>
        <w:rPr>
          <w:rFonts w:hint="eastAsia" w:cs="宋体"/>
          <w:kern w:val="0"/>
          <w:sz w:val="21"/>
          <w:szCs w:val="21"/>
          <w:lang w:bidi="ar"/>
        </w:rPr>
      </w:pPr>
      <w:r>
        <w:rPr>
          <w:rFonts w:hint="eastAsia" w:cs="宋体"/>
          <w:kern w:val="0"/>
          <w:sz w:val="21"/>
          <w:szCs w:val="21"/>
          <w:lang w:bidi="ar"/>
        </w:rPr>
        <w:t>……</w:t>
      </w:r>
    </w:p>
    <w:p w14:paraId="3EEE9420">
      <w:pPr>
        <w:widowControl/>
        <w:ind w:firstLine="420" w:firstLineChars="200"/>
        <w:jc w:val="both"/>
        <w:rPr>
          <w:rFonts w:hint="eastAsia" w:cs="宋体"/>
          <w:kern w:val="0"/>
          <w:sz w:val="21"/>
          <w:szCs w:val="21"/>
          <w:lang w:bidi="ar"/>
        </w:rPr>
      </w:pPr>
      <w:r>
        <w:rPr>
          <w:rFonts w:hint="eastAsia" w:cs="宋体"/>
          <w:kern w:val="0"/>
          <w:sz w:val="21"/>
          <w:szCs w:val="21"/>
          <w:lang w:bidi="ar"/>
        </w:rPr>
        <w:t>本公司（单位）对上述声明内容的真实性负责。如有虚假，愿承担相应法律责任。</w:t>
      </w:r>
    </w:p>
    <w:p w14:paraId="61B56CD6">
      <w:pPr>
        <w:widowControl/>
        <w:ind w:firstLine="420" w:firstLineChars="200"/>
        <w:jc w:val="both"/>
        <w:rPr>
          <w:rFonts w:hint="eastAsia" w:cs="宋体"/>
          <w:kern w:val="0"/>
          <w:sz w:val="21"/>
          <w:szCs w:val="21"/>
          <w:lang w:bidi="ar"/>
        </w:rPr>
      </w:pPr>
    </w:p>
    <w:p w14:paraId="081D2616">
      <w:pPr>
        <w:widowControl/>
        <w:ind w:firstLine="420" w:firstLineChars="200"/>
        <w:jc w:val="both"/>
        <w:rPr>
          <w:rFonts w:hint="eastAsia" w:cs="宋体"/>
          <w:kern w:val="0"/>
          <w:sz w:val="21"/>
          <w:szCs w:val="21"/>
          <w:lang w:bidi="ar"/>
        </w:rPr>
      </w:pPr>
      <w:r>
        <w:rPr>
          <w:rFonts w:hint="eastAsia" w:cs="宋体"/>
          <w:kern w:val="0"/>
          <w:sz w:val="21"/>
          <w:szCs w:val="21"/>
          <w:lang w:bidi="ar"/>
        </w:rPr>
        <w:t>公司（单位）名称（盖章）：　        </w:t>
      </w:r>
    </w:p>
    <w:p w14:paraId="614AD363">
      <w:pPr>
        <w:widowControl/>
        <w:ind w:firstLine="420" w:firstLineChars="200"/>
        <w:jc w:val="both"/>
        <w:rPr>
          <w:rFonts w:hint="eastAsia" w:cs="宋体"/>
          <w:kern w:val="0"/>
          <w:sz w:val="21"/>
          <w:szCs w:val="21"/>
          <w:lang w:bidi="ar"/>
        </w:rPr>
      </w:pPr>
      <w:r>
        <w:rPr>
          <w:rFonts w:hint="eastAsia" w:cs="宋体"/>
          <w:kern w:val="0"/>
          <w:sz w:val="21"/>
          <w:szCs w:val="21"/>
          <w:lang w:bidi="ar"/>
        </w:rPr>
        <w:t>日期：　     年　  月　  日         </w:t>
      </w:r>
    </w:p>
    <w:p w14:paraId="0E9C5C0D">
      <w:pPr>
        <w:widowControl/>
        <w:ind w:firstLine="420" w:firstLineChars="200"/>
        <w:rPr>
          <w:rFonts w:hint="eastAsia" w:cs="宋体"/>
          <w:kern w:val="0"/>
          <w:sz w:val="21"/>
          <w:szCs w:val="21"/>
          <w:lang w:bidi="ar"/>
        </w:rPr>
      </w:pPr>
    </w:p>
    <w:p w14:paraId="1F842575">
      <w:pPr>
        <w:widowControl/>
        <w:rPr>
          <w:rFonts w:hint="eastAsia" w:cs="宋体"/>
          <w:kern w:val="0"/>
          <w:sz w:val="21"/>
          <w:szCs w:val="21"/>
          <w:lang w:bidi="ar"/>
        </w:rPr>
      </w:pPr>
      <w:r>
        <w:rPr>
          <w:rFonts w:hint="eastAsia" w:cs="宋体"/>
          <w:b/>
          <w:bCs/>
          <w:kern w:val="0"/>
          <w:sz w:val="21"/>
          <w:szCs w:val="21"/>
          <w:lang w:bidi="ar"/>
        </w:rPr>
        <w:t>注：</w:t>
      </w:r>
      <w:r>
        <w:rPr>
          <w:rFonts w:hint="eastAsia" w:cs="宋体"/>
          <w:kern w:val="0"/>
          <w:sz w:val="21"/>
          <w:szCs w:val="21"/>
          <w:lang w:bidi="ar"/>
        </w:rPr>
        <w:t>1.产品如有型号，请在“产品名称”栏一并填写。</w:t>
      </w:r>
    </w:p>
    <w:p w14:paraId="2B9DBEF7">
      <w:pPr>
        <w:widowControl/>
        <w:ind w:firstLine="420" w:firstLineChars="200"/>
        <w:rPr>
          <w:rFonts w:hint="eastAsia" w:cs="宋体"/>
          <w:kern w:val="0"/>
          <w:sz w:val="21"/>
          <w:szCs w:val="21"/>
          <w:lang w:bidi="ar"/>
        </w:rPr>
      </w:pPr>
      <w:r>
        <w:rPr>
          <w:rFonts w:hint="eastAsia" w:cs="宋体"/>
          <w:kern w:val="0"/>
          <w:sz w:val="21"/>
          <w:szCs w:val="21"/>
          <w:lang w:bidi="ar"/>
        </w:rPr>
        <w:t>2.生产厂名与厂址应与生产厂营业执照载明的相关信息保持一致。</w:t>
      </w:r>
    </w:p>
    <w:p w14:paraId="5DB3CBD1">
      <w:pPr>
        <w:widowControl/>
        <w:ind w:firstLine="420" w:firstLineChars="200"/>
        <w:rPr>
          <w:rFonts w:hint="eastAsia" w:cs="宋体"/>
          <w:kern w:val="0"/>
          <w:sz w:val="21"/>
          <w:szCs w:val="21"/>
          <w:lang w:bidi="ar"/>
        </w:rPr>
      </w:pPr>
      <w:r>
        <w:rPr>
          <w:rFonts w:hint="eastAsia" w:cs="宋体"/>
          <w:kern w:val="0"/>
          <w:sz w:val="21"/>
          <w:szCs w:val="21"/>
          <w:lang w:bidi="ar"/>
        </w:rPr>
        <w:t>3.该产品的中国境内生产的组件成本占比相关要求实施前，“规定比例”栏可不填，下同。</w:t>
      </w:r>
    </w:p>
    <w:p w14:paraId="559EF2B5">
      <w:pPr>
        <w:widowControl/>
        <w:ind w:firstLine="420" w:firstLineChars="200"/>
        <w:rPr>
          <w:rFonts w:hint="eastAsia" w:cs="宋体"/>
          <w:kern w:val="0"/>
          <w:sz w:val="21"/>
          <w:szCs w:val="21"/>
          <w:lang w:bidi="ar"/>
        </w:rPr>
      </w:pPr>
      <w:r>
        <w:rPr>
          <w:rFonts w:hint="eastAsia" w:cs="宋体"/>
          <w:kern w:val="0"/>
          <w:sz w:val="21"/>
          <w:szCs w:val="21"/>
          <w:lang w:bidi="ar"/>
        </w:rPr>
        <w:t>4.该产品的关键组件要求实施前，“关键组件”栏可不填，下同。</w:t>
      </w:r>
    </w:p>
    <w:p w14:paraId="4DD1E52A">
      <w:pPr>
        <w:widowControl/>
        <w:ind w:firstLine="420" w:firstLineChars="200"/>
        <w:rPr>
          <w:rFonts w:hint="eastAsia" w:cs="宋体"/>
          <w:kern w:val="0"/>
          <w:sz w:val="21"/>
          <w:szCs w:val="21"/>
          <w:lang w:bidi="ar"/>
        </w:rPr>
      </w:pPr>
      <w:r>
        <w:rPr>
          <w:rFonts w:hint="eastAsia" w:cs="宋体"/>
          <w:kern w:val="0"/>
          <w:sz w:val="21"/>
          <w:szCs w:val="21"/>
          <w:lang w:bidi="ar"/>
        </w:rPr>
        <w:t>5.该产品的关键工序要求实施前，“关键工序”栏可不填，下同。</w:t>
      </w:r>
    </w:p>
    <w:p w14:paraId="08516D2E">
      <w:pPr>
        <w:rPr>
          <w:rFonts w:hint="eastAsia" w:cs="宋体"/>
          <w:kern w:val="0"/>
          <w:sz w:val="21"/>
          <w:szCs w:val="21"/>
          <w:lang w:bidi="ar"/>
        </w:rPr>
      </w:pPr>
      <w:r>
        <w:rPr>
          <w:rFonts w:hint="eastAsia" w:cs="宋体"/>
          <w:kern w:val="0"/>
          <w:sz w:val="21"/>
          <w:szCs w:val="21"/>
          <w:lang w:bidi="ar"/>
        </w:rPr>
        <w:br w:type="page"/>
      </w:r>
    </w:p>
    <w:p w14:paraId="36D626EC">
      <w:pPr>
        <w:rPr>
          <w:rFonts w:hint="eastAsia" w:cs="宋体"/>
          <w:spacing w:val="6"/>
          <w:sz w:val="21"/>
          <w:szCs w:val="21"/>
        </w:rPr>
      </w:pPr>
      <w:r>
        <w:rPr>
          <w:rFonts w:hint="eastAsia" w:cs="宋体"/>
          <w:spacing w:val="6"/>
          <w:sz w:val="21"/>
          <w:szCs w:val="21"/>
        </w:rPr>
        <w:t>附件2</w:t>
      </w:r>
    </w:p>
    <w:p w14:paraId="50A001D4">
      <w:pPr>
        <w:jc w:val="center"/>
        <w:rPr>
          <w:rFonts w:hint="eastAsia" w:cs="宋体"/>
          <w:b/>
          <w:bCs/>
          <w:kern w:val="0"/>
          <w:szCs w:val="24"/>
          <w:lang w:bidi="ar"/>
        </w:rPr>
      </w:pPr>
      <w:r>
        <w:rPr>
          <w:rFonts w:hint="eastAsia" w:cs="宋体"/>
          <w:b/>
          <w:bCs/>
          <w:kern w:val="0"/>
          <w:szCs w:val="24"/>
          <w:lang w:bidi="ar"/>
        </w:rPr>
        <w:t>（二）本国产品成本占比承诺函</w:t>
      </w:r>
    </w:p>
    <w:p w14:paraId="2572F08B">
      <w:pPr>
        <w:spacing w:line="640" w:lineRule="exact"/>
        <w:rPr>
          <w:rFonts w:hint="eastAsia"/>
          <w:szCs w:val="24"/>
        </w:rPr>
      </w:pPr>
    </w:p>
    <w:p w14:paraId="4582C5C2">
      <w:pPr>
        <w:widowControl/>
        <w:ind w:firstLine="420" w:firstLineChars="200"/>
        <w:jc w:val="both"/>
        <w:rPr>
          <w:rFonts w:hint="eastAsia" w:cs="宋体"/>
          <w:kern w:val="0"/>
          <w:sz w:val="21"/>
          <w:szCs w:val="21"/>
          <w:lang w:bidi="ar"/>
        </w:rPr>
      </w:pPr>
      <w:r>
        <w:rPr>
          <w:rFonts w:hint="eastAsia" w:cs="宋体"/>
          <w:kern w:val="0"/>
          <w:sz w:val="21"/>
          <w:szCs w:val="21"/>
          <w:lang w:bidi="ar"/>
        </w:rPr>
        <w:t>致:[采购人/采购代理机构名称]</w:t>
      </w:r>
    </w:p>
    <w:p w14:paraId="44E98555">
      <w:pPr>
        <w:widowControl/>
        <w:ind w:firstLine="420" w:firstLineChars="200"/>
        <w:jc w:val="both"/>
        <w:rPr>
          <w:rFonts w:hint="eastAsia" w:cs="宋体"/>
          <w:kern w:val="0"/>
          <w:sz w:val="21"/>
          <w:szCs w:val="21"/>
          <w:lang w:bidi="ar"/>
        </w:rPr>
      </w:pPr>
      <w:r>
        <w:rPr>
          <w:rFonts w:hint="eastAsia" w:cs="宋体"/>
          <w:kern w:val="0"/>
          <w:sz w:val="21"/>
          <w:szCs w:val="21"/>
          <w:lang w:bidi="ar"/>
        </w:rPr>
        <w:t>本单位就参与[项目名称      、编号      ]政府采购项目，郑重承诺如下:</w:t>
      </w:r>
    </w:p>
    <w:p w14:paraId="4DACF042">
      <w:pPr>
        <w:widowControl/>
        <w:ind w:firstLine="420" w:firstLineChars="200"/>
        <w:jc w:val="both"/>
        <w:rPr>
          <w:rFonts w:hint="eastAsia" w:cs="宋体"/>
          <w:kern w:val="0"/>
          <w:sz w:val="21"/>
          <w:szCs w:val="21"/>
          <w:lang w:bidi="ar"/>
        </w:rPr>
      </w:pPr>
      <w:r>
        <w:rPr>
          <w:rFonts w:hint="eastAsia" w:cs="宋体"/>
          <w:kern w:val="0"/>
          <w:sz w:val="21"/>
          <w:szCs w:val="21"/>
          <w:lang w:bidi="ar"/>
        </w:rPr>
        <w:t>本单位为该项目(或采购包)提供的符合本国产品标准的产品成本之和，占所提供全部产品成本之和的比例为</w:t>
      </w:r>
      <w:r>
        <w:rPr>
          <w:rFonts w:hint="eastAsia" w:cs="宋体"/>
          <w:kern w:val="0"/>
          <w:sz w:val="21"/>
          <w:szCs w:val="21"/>
          <w:u w:val="single"/>
          <w:lang w:bidi="ar"/>
        </w:rPr>
        <w:t xml:space="preserve">     </w:t>
      </w:r>
      <w:r>
        <w:rPr>
          <w:rFonts w:hint="eastAsia" w:cs="宋体"/>
          <w:kern w:val="0"/>
          <w:sz w:val="21"/>
          <w:szCs w:val="21"/>
          <w:lang w:bidi="ar"/>
        </w:rPr>
        <w:t>%。本承诺内容真实有效，若存在虚假承诺，愿意承担相应法律责任，放弃中标(成交)资格，并接受政府采购监管部门处罚。</w:t>
      </w:r>
    </w:p>
    <w:p w14:paraId="7E8A00C5">
      <w:pPr>
        <w:widowControl/>
        <w:ind w:firstLine="420" w:firstLineChars="200"/>
        <w:jc w:val="both"/>
        <w:rPr>
          <w:rFonts w:hint="eastAsia" w:cs="宋体"/>
          <w:kern w:val="0"/>
          <w:sz w:val="21"/>
          <w:szCs w:val="21"/>
          <w:lang w:bidi="ar"/>
        </w:rPr>
      </w:pPr>
    </w:p>
    <w:p w14:paraId="0F4C7BE2">
      <w:pPr>
        <w:widowControl/>
        <w:ind w:firstLine="420" w:firstLineChars="200"/>
        <w:jc w:val="both"/>
        <w:rPr>
          <w:rFonts w:hint="eastAsia" w:cs="宋体"/>
          <w:kern w:val="0"/>
          <w:sz w:val="21"/>
          <w:szCs w:val="21"/>
          <w:lang w:bidi="ar"/>
        </w:rPr>
      </w:pPr>
      <w:r>
        <w:rPr>
          <w:rFonts w:hint="eastAsia" w:cs="宋体"/>
          <w:kern w:val="0"/>
          <w:sz w:val="21"/>
          <w:szCs w:val="21"/>
          <w:lang w:bidi="ar"/>
        </w:rPr>
        <w:t>承诺人(供应商公章):</w:t>
      </w:r>
    </w:p>
    <w:p w14:paraId="04393963">
      <w:pPr>
        <w:widowControl/>
        <w:ind w:firstLine="420" w:firstLineChars="200"/>
        <w:jc w:val="both"/>
        <w:rPr>
          <w:rFonts w:hint="eastAsia" w:cs="宋体"/>
          <w:kern w:val="0"/>
          <w:sz w:val="21"/>
          <w:szCs w:val="21"/>
          <w:lang w:bidi="ar"/>
        </w:rPr>
      </w:pPr>
      <w:r>
        <w:rPr>
          <w:rFonts w:hint="eastAsia" w:cs="宋体"/>
          <w:kern w:val="0"/>
          <w:sz w:val="21"/>
          <w:szCs w:val="21"/>
          <w:lang w:bidi="ar"/>
        </w:rPr>
        <w:t>法定代表人或授权代表签字:</w:t>
      </w:r>
    </w:p>
    <w:p w14:paraId="225B4BDB">
      <w:pPr>
        <w:widowControl/>
        <w:ind w:firstLine="420" w:firstLineChars="200"/>
        <w:jc w:val="both"/>
        <w:rPr>
          <w:rFonts w:hint="eastAsia" w:cs="宋体"/>
          <w:kern w:val="0"/>
          <w:sz w:val="21"/>
          <w:szCs w:val="21"/>
          <w:lang w:bidi="ar"/>
        </w:rPr>
      </w:pPr>
      <w:r>
        <w:rPr>
          <w:rFonts w:hint="eastAsia" w:cs="宋体"/>
          <w:kern w:val="0"/>
          <w:sz w:val="21"/>
          <w:szCs w:val="21"/>
          <w:lang w:bidi="ar"/>
        </w:rPr>
        <w:t>日期:  年  月  日</w:t>
      </w:r>
    </w:p>
    <w:p w14:paraId="2379CF93">
      <w:pPr>
        <w:widowControl/>
        <w:ind w:firstLine="420" w:firstLineChars="200"/>
        <w:jc w:val="both"/>
        <w:rPr>
          <w:rFonts w:hint="eastAsia" w:cs="宋体"/>
          <w:kern w:val="0"/>
          <w:sz w:val="21"/>
          <w:szCs w:val="21"/>
          <w:lang w:bidi="ar"/>
        </w:rPr>
      </w:pPr>
    </w:p>
    <w:p w14:paraId="131D0B07">
      <w:pPr>
        <w:widowControl/>
        <w:ind w:firstLine="420" w:firstLineChars="200"/>
        <w:jc w:val="both"/>
        <w:rPr>
          <w:rFonts w:hint="eastAsia" w:cs="宋体"/>
          <w:kern w:val="0"/>
          <w:sz w:val="21"/>
          <w:szCs w:val="21"/>
          <w:lang w:bidi="ar"/>
        </w:rPr>
      </w:pPr>
    </w:p>
    <w:p w14:paraId="5C3CD01A">
      <w:pPr>
        <w:widowControl/>
        <w:ind w:firstLine="420" w:firstLineChars="200"/>
        <w:jc w:val="both"/>
        <w:rPr>
          <w:rFonts w:hint="eastAsia" w:cs="宋体"/>
          <w:kern w:val="0"/>
          <w:sz w:val="21"/>
          <w:szCs w:val="21"/>
          <w:lang w:bidi="ar"/>
        </w:rPr>
      </w:pPr>
    </w:p>
    <w:p w14:paraId="24085701">
      <w:pPr>
        <w:widowControl/>
        <w:ind w:firstLine="420" w:firstLineChars="200"/>
        <w:jc w:val="both"/>
        <w:rPr>
          <w:rFonts w:hint="eastAsia" w:cs="宋体"/>
          <w:kern w:val="0"/>
          <w:sz w:val="21"/>
          <w:szCs w:val="21"/>
          <w:lang w:bidi="ar"/>
        </w:rPr>
      </w:pPr>
    </w:p>
    <w:p w14:paraId="6EFE87DE">
      <w:pPr>
        <w:widowControl/>
        <w:ind w:firstLine="420" w:firstLineChars="200"/>
        <w:jc w:val="both"/>
        <w:rPr>
          <w:rFonts w:hint="eastAsia" w:cs="宋体"/>
          <w:kern w:val="0"/>
          <w:sz w:val="21"/>
          <w:szCs w:val="21"/>
          <w:lang w:bidi="ar"/>
        </w:rPr>
      </w:pPr>
    </w:p>
    <w:p w14:paraId="35AF4CEE">
      <w:pPr>
        <w:widowControl/>
        <w:ind w:firstLine="420" w:firstLineChars="200"/>
        <w:jc w:val="both"/>
        <w:rPr>
          <w:rFonts w:hint="eastAsia" w:cs="宋体"/>
          <w:kern w:val="0"/>
          <w:sz w:val="21"/>
          <w:szCs w:val="21"/>
          <w:lang w:bidi="ar"/>
        </w:rPr>
      </w:pPr>
    </w:p>
    <w:p w14:paraId="212714EA">
      <w:pPr>
        <w:widowControl/>
        <w:ind w:firstLine="420" w:firstLineChars="200"/>
        <w:jc w:val="both"/>
        <w:rPr>
          <w:rFonts w:hint="eastAsia" w:cs="宋体"/>
          <w:kern w:val="0"/>
          <w:sz w:val="21"/>
          <w:szCs w:val="21"/>
          <w:lang w:bidi="ar"/>
        </w:rPr>
      </w:pPr>
    </w:p>
    <w:p w14:paraId="735A0F4D">
      <w:pPr>
        <w:widowControl/>
        <w:ind w:firstLine="420" w:firstLineChars="200"/>
        <w:jc w:val="both"/>
        <w:rPr>
          <w:rFonts w:hint="eastAsia" w:cs="宋体"/>
          <w:kern w:val="0"/>
          <w:sz w:val="21"/>
          <w:szCs w:val="21"/>
          <w:lang w:bidi="ar"/>
        </w:rPr>
      </w:pPr>
    </w:p>
    <w:p w14:paraId="6109E2F3">
      <w:pPr>
        <w:widowControl/>
        <w:ind w:firstLine="420" w:firstLineChars="200"/>
        <w:jc w:val="both"/>
        <w:rPr>
          <w:rFonts w:hint="eastAsia" w:cs="宋体"/>
          <w:kern w:val="0"/>
          <w:sz w:val="21"/>
          <w:szCs w:val="21"/>
          <w:lang w:bidi="ar"/>
        </w:rPr>
      </w:pPr>
    </w:p>
    <w:p w14:paraId="5354665C">
      <w:pPr>
        <w:widowControl/>
        <w:ind w:firstLine="420" w:firstLineChars="200"/>
        <w:jc w:val="both"/>
        <w:rPr>
          <w:rFonts w:hint="eastAsia" w:cs="宋体"/>
          <w:kern w:val="0"/>
          <w:sz w:val="21"/>
          <w:szCs w:val="21"/>
          <w:lang w:bidi="ar"/>
        </w:rPr>
      </w:pPr>
    </w:p>
    <w:p w14:paraId="67E7A858">
      <w:pPr>
        <w:widowControl/>
        <w:jc w:val="both"/>
        <w:rPr>
          <w:rFonts w:hint="eastAsia" w:cs="宋体"/>
          <w:kern w:val="0"/>
          <w:sz w:val="21"/>
          <w:szCs w:val="21"/>
          <w:lang w:bidi="ar"/>
        </w:rPr>
        <w:sectPr>
          <w:pgSz w:w="11906" w:h="16838"/>
          <w:pgMar w:top="1440" w:right="1803" w:bottom="1440" w:left="1803" w:header="851" w:footer="992" w:gutter="0"/>
          <w:pgNumType w:fmt="numberInDash"/>
          <w:cols w:space="0" w:num="1"/>
          <w:docGrid w:type="lines" w:linePitch="332" w:charSpace="0"/>
        </w:sectPr>
      </w:pPr>
      <w:r>
        <w:rPr>
          <w:rFonts w:hint="eastAsia" w:cs="宋体"/>
          <w:b/>
          <w:bCs/>
          <w:kern w:val="0"/>
          <w:sz w:val="21"/>
          <w:szCs w:val="21"/>
          <w:lang w:bidi="ar"/>
        </w:rPr>
        <w:t>注：</w:t>
      </w:r>
      <w:r>
        <w:rPr>
          <w:rFonts w:hint="eastAsia" w:cs="宋体"/>
          <w:kern w:val="0"/>
          <w:sz w:val="21"/>
          <w:szCs w:val="21"/>
          <w:lang w:bidi="ar"/>
        </w:rPr>
        <w:t>若供应商所投产品均符合本国产品标准，且已提供《声明函》，可不填写《承诺函》。</w:t>
      </w:r>
    </w:p>
    <w:p w14:paraId="3D321867">
      <w:pPr>
        <w:pStyle w:val="63"/>
        <w:spacing w:line="360" w:lineRule="exact"/>
        <w:rPr>
          <w:rFonts w:hint="eastAsia" w:ascii="宋体" w:hAnsi="宋体" w:eastAsia="宋体" w:cs="宋体"/>
          <w:b/>
          <w:bCs/>
        </w:rPr>
      </w:pPr>
    </w:p>
    <w:p w14:paraId="45DEF87E">
      <w:pPr>
        <w:ind w:firstLine="480" w:firstLineChars="200"/>
        <w:rPr>
          <w:rFonts w:hint="eastAsia" w:cs="仿宋_GB2312"/>
          <w:szCs w:val="24"/>
          <w:lang w:val="zh-CN"/>
        </w:rPr>
      </w:pPr>
      <w:r>
        <w:rPr>
          <w:rFonts w:hint="eastAsia" w:cs="仿宋_GB2312"/>
          <w:szCs w:val="24"/>
          <w:lang w:val="zh-CN"/>
        </w:rPr>
        <w:t>封面：</w:t>
      </w:r>
    </w:p>
    <w:p w14:paraId="15EFC1C8">
      <w:pPr>
        <w:autoSpaceDE w:val="0"/>
        <w:autoSpaceDN w:val="0"/>
        <w:adjustRightInd w:val="0"/>
        <w:rPr>
          <w:rFonts w:hint="eastAsia"/>
          <w:sz w:val="21"/>
          <w:szCs w:val="24"/>
        </w:rPr>
      </w:pPr>
    </w:p>
    <w:p w14:paraId="29E9DE7D">
      <w:pPr>
        <w:autoSpaceDE w:val="0"/>
        <w:autoSpaceDN w:val="0"/>
        <w:adjustRightInd w:val="0"/>
        <w:rPr>
          <w:rFonts w:hint="eastAsia"/>
          <w:sz w:val="21"/>
          <w:szCs w:val="24"/>
        </w:rPr>
      </w:pPr>
    </w:p>
    <w:p w14:paraId="0C092A2B">
      <w:pPr>
        <w:autoSpaceDE w:val="0"/>
        <w:autoSpaceDN w:val="0"/>
        <w:adjustRightInd w:val="0"/>
        <w:jc w:val="center"/>
        <w:rPr>
          <w:rFonts w:hint="eastAsia"/>
          <w:sz w:val="21"/>
          <w:szCs w:val="24"/>
        </w:rPr>
      </w:pPr>
    </w:p>
    <w:p w14:paraId="56A37568">
      <w:pPr>
        <w:pStyle w:val="3"/>
        <w:rPr>
          <w:rFonts w:hint="eastAsia"/>
          <w:sz w:val="56"/>
          <w:szCs w:val="56"/>
        </w:rPr>
      </w:pPr>
      <w:bookmarkStart w:id="427" w:name="_Toc10297"/>
      <w:r>
        <w:rPr>
          <w:rFonts w:hint="eastAsia"/>
          <w:sz w:val="56"/>
          <w:szCs w:val="56"/>
        </w:rPr>
        <w:t>投 标 文 件</w:t>
      </w:r>
      <w:bookmarkEnd w:id="427"/>
    </w:p>
    <w:p w14:paraId="57DC030D">
      <w:pPr>
        <w:pStyle w:val="3"/>
        <w:rPr>
          <w:rFonts w:hint="eastAsia"/>
          <w:sz w:val="56"/>
          <w:szCs w:val="56"/>
        </w:rPr>
      </w:pPr>
      <w:bookmarkStart w:id="428" w:name="_Toc12371"/>
      <w:r>
        <w:rPr>
          <w:rFonts w:hint="eastAsia"/>
          <w:sz w:val="56"/>
          <w:szCs w:val="56"/>
        </w:rPr>
        <w:t>商务技术文件</w:t>
      </w:r>
      <w:bookmarkEnd w:id="428"/>
    </w:p>
    <w:p w14:paraId="2E6DF59F">
      <w:pPr>
        <w:autoSpaceDE w:val="0"/>
        <w:autoSpaceDN w:val="0"/>
        <w:adjustRightInd w:val="0"/>
        <w:jc w:val="center"/>
        <w:rPr>
          <w:rFonts w:hint="eastAsia"/>
          <w:sz w:val="36"/>
          <w:szCs w:val="36"/>
        </w:rPr>
      </w:pPr>
    </w:p>
    <w:p w14:paraId="4B749DD1">
      <w:pPr>
        <w:pStyle w:val="4"/>
        <w:rPr>
          <w:rFonts w:hint="eastAsia"/>
          <w:sz w:val="21"/>
          <w:szCs w:val="21"/>
        </w:rPr>
      </w:pPr>
    </w:p>
    <w:p w14:paraId="53D73896">
      <w:pPr>
        <w:rPr>
          <w:rFonts w:hint="eastAsia"/>
          <w:sz w:val="21"/>
          <w:szCs w:val="21"/>
        </w:rPr>
      </w:pPr>
    </w:p>
    <w:p w14:paraId="02A2AE49">
      <w:pPr>
        <w:rPr>
          <w:rFonts w:hint="eastAsia"/>
        </w:rPr>
      </w:pPr>
    </w:p>
    <w:p w14:paraId="3604C730">
      <w:pPr>
        <w:autoSpaceDE w:val="0"/>
        <w:autoSpaceDN w:val="0"/>
        <w:adjustRightInd w:val="0"/>
        <w:rPr>
          <w:rFonts w:hint="eastAsia"/>
          <w:sz w:val="21"/>
          <w:szCs w:val="21"/>
        </w:rPr>
      </w:pPr>
    </w:p>
    <w:p w14:paraId="705A5DC5">
      <w:pPr>
        <w:autoSpaceDE w:val="0"/>
        <w:autoSpaceDN w:val="0"/>
        <w:adjustRightInd w:val="0"/>
        <w:rPr>
          <w:rFonts w:hint="eastAsia"/>
          <w:sz w:val="21"/>
          <w:szCs w:val="21"/>
        </w:rPr>
      </w:pPr>
    </w:p>
    <w:p w14:paraId="55CC3D89">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17618B10">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14209392">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40CA08B4">
      <w:pPr>
        <w:ind w:left="420" w:leftChars="175"/>
        <w:rPr>
          <w:rFonts w:hint="eastAsia" w:ascii="黑体" w:hAnsi="黑体" w:eastAsia="黑体"/>
          <w:sz w:val="32"/>
          <w:szCs w:val="32"/>
        </w:rPr>
      </w:pPr>
    </w:p>
    <w:p w14:paraId="21BCB1DE">
      <w:pPr>
        <w:ind w:left="840" w:firstLine="420"/>
        <w:rPr>
          <w:rFonts w:hint="eastAsia"/>
          <w:b/>
          <w:bCs/>
          <w:sz w:val="28"/>
          <w:szCs w:val="28"/>
        </w:rPr>
      </w:pPr>
    </w:p>
    <w:p w14:paraId="5F004845">
      <w:pPr>
        <w:ind w:left="840" w:firstLine="420"/>
        <w:rPr>
          <w:rFonts w:hint="eastAsia"/>
          <w:b/>
          <w:bCs/>
          <w:sz w:val="28"/>
          <w:szCs w:val="28"/>
        </w:rPr>
      </w:pPr>
    </w:p>
    <w:p w14:paraId="28E168DE">
      <w:pPr>
        <w:jc w:val="center"/>
        <w:rPr>
          <w:rFonts w:hint="eastAsia" w:cs="宋体"/>
          <w:sz w:val="32"/>
          <w:szCs w:val="32"/>
        </w:rPr>
      </w:pPr>
      <w:r>
        <w:rPr>
          <w:rFonts w:hint="eastAsia" w:cs="宋体"/>
          <w:sz w:val="32"/>
          <w:szCs w:val="32"/>
        </w:rPr>
        <w:t>年   月    日</w:t>
      </w:r>
    </w:p>
    <w:p w14:paraId="6A80D268">
      <w:pPr>
        <w:rPr>
          <w:rFonts w:hint="eastAsia"/>
          <w:lang w:val="zh-CN"/>
        </w:rPr>
      </w:pPr>
      <w:r>
        <w:rPr>
          <w:lang w:val="zh-CN"/>
        </w:rPr>
        <w:br w:type="page"/>
      </w:r>
    </w:p>
    <w:p w14:paraId="6B14BDBD">
      <w:pPr>
        <w:pStyle w:val="4"/>
        <w:spacing w:before="100" w:after="100" w:line="360" w:lineRule="auto"/>
        <w:ind w:left="420" w:hanging="420"/>
        <w:jc w:val="center"/>
        <w:rPr>
          <w:rFonts w:hint="eastAsia"/>
        </w:rPr>
      </w:pPr>
      <w:bookmarkStart w:id="429" w:name="_Toc163492915"/>
      <w:bookmarkStart w:id="430" w:name="_Toc25402"/>
      <w:bookmarkStart w:id="431" w:name="_Toc109899489"/>
      <w:bookmarkStart w:id="432" w:name="_Toc18790"/>
      <w:bookmarkStart w:id="433" w:name="_Toc109900327"/>
      <w:bookmarkStart w:id="434" w:name="_Toc3577"/>
      <w:bookmarkStart w:id="435" w:name="_Toc140132831"/>
      <w:bookmarkStart w:id="436" w:name="_Toc155185921"/>
      <w:bookmarkStart w:id="437" w:name="_Toc109899908"/>
      <w:r>
        <w:rPr>
          <w:rFonts w:hint="eastAsia"/>
        </w:rPr>
        <w:t>一、投标函</w:t>
      </w:r>
      <w:bookmarkEnd w:id="429"/>
      <w:bookmarkEnd w:id="430"/>
      <w:bookmarkEnd w:id="431"/>
      <w:bookmarkEnd w:id="432"/>
      <w:bookmarkEnd w:id="433"/>
      <w:bookmarkEnd w:id="434"/>
      <w:bookmarkEnd w:id="435"/>
      <w:bookmarkEnd w:id="436"/>
      <w:bookmarkEnd w:id="437"/>
    </w:p>
    <w:p w14:paraId="15BFF353">
      <w:pPr>
        <w:rPr>
          <w:rFonts w:hint="eastAsia"/>
        </w:rPr>
      </w:pPr>
      <w:r>
        <w:rPr>
          <w:rFonts w:hint="eastAsia"/>
        </w:rPr>
        <w:t>致：（采购人）</w:t>
      </w:r>
    </w:p>
    <w:p w14:paraId="7FE66DC6">
      <w:pPr>
        <w:ind w:firstLine="480" w:firstLineChars="200"/>
        <w:rPr>
          <w:rFonts w:hint="eastAsia" w:cs="仿宋_GB2312"/>
          <w:b/>
          <w:bCs/>
          <w:szCs w:val="24"/>
        </w:rPr>
      </w:pPr>
      <w:r>
        <w:rPr>
          <w:rFonts w:hint="eastAsia" w:cs="仿宋_GB2312"/>
          <w:szCs w:val="24"/>
        </w:rPr>
        <w:t>根据贵方</w:t>
      </w:r>
      <w:r>
        <w:rPr>
          <w:rFonts w:hint="eastAsia" w:cs="仿宋_GB2312"/>
          <w:szCs w:val="24"/>
          <w:u w:val="single"/>
        </w:rPr>
        <w:t>（项目名称）（项目编号/包号）</w:t>
      </w:r>
      <w:r>
        <w:rPr>
          <w:rFonts w:hint="eastAsia" w:cs="仿宋_GB2312"/>
          <w:szCs w:val="24"/>
        </w:rPr>
        <w:t>项目的招标公告，签字代表</w:t>
      </w:r>
      <w:r>
        <w:rPr>
          <w:rFonts w:hint="eastAsia" w:cs="仿宋_GB2312"/>
          <w:szCs w:val="24"/>
          <w:u w:val="single"/>
        </w:rPr>
        <w:t>（姓名、职务）</w:t>
      </w:r>
      <w:r>
        <w:rPr>
          <w:rFonts w:hint="eastAsia" w:cs="仿宋_GB2312"/>
          <w:szCs w:val="24"/>
        </w:rPr>
        <w:t>经正式授权并代表投标人</w:t>
      </w:r>
      <w:r>
        <w:rPr>
          <w:rFonts w:hint="eastAsia" w:cs="仿宋_GB2312"/>
          <w:szCs w:val="24"/>
          <w:u w:val="single"/>
        </w:rPr>
        <w:t>（投标人名称、地址）</w:t>
      </w:r>
      <w:r>
        <w:rPr>
          <w:rFonts w:hint="eastAsia" w:cs="仿宋_GB2312"/>
          <w:szCs w:val="24"/>
        </w:rPr>
        <w:t>提交下述文件</w:t>
      </w:r>
      <w:r>
        <w:rPr>
          <w:rFonts w:hint="eastAsia" w:cs="仿宋_GB2312"/>
          <w:b/>
          <w:bCs/>
          <w:szCs w:val="24"/>
        </w:rPr>
        <w:t>：</w:t>
      </w:r>
    </w:p>
    <w:p w14:paraId="460E2EBA">
      <w:pPr>
        <w:spacing w:line="324" w:lineRule="auto"/>
        <w:ind w:firstLine="480" w:firstLineChars="200"/>
        <w:jc w:val="both"/>
        <w:rPr>
          <w:rFonts w:hint="eastAsia" w:cs="Arial"/>
          <w:szCs w:val="24"/>
        </w:rPr>
      </w:pPr>
      <w:r>
        <w:rPr>
          <w:rFonts w:hint="eastAsia" w:cs="Arial"/>
          <w:szCs w:val="24"/>
        </w:rPr>
        <w:t>1.资格证明文件</w:t>
      </w:r>
      <w:r>
        <w:rPr>
          <w:rFonts w:cs="Arial"/>
          <w:szCs w:val="24"/>
        </w:rPr>
        <w:t>；</w:t>
      </w:r>
    </w:p>
    <w:p w14:paraId="292381B2">
      <w:pPr>
        <w:spacing w:line="324" w:lineRule="auto"/>
        <w:ind w:firstLine="480" w:firstLineChars="200"/>
        <w:jc w:val="both"/>
        <w:rPr>
          <w:rFonts w:hint="eastAsia" w:cs="Arial"/>
          <w:szCs w:val="24"/>
        </w:rPr>
      </w:pPr>
      <w:r>
        <w:rPr>
          <w:rFonts w:hint="eastAsia" w:cs="Arial"/>
          <w:szCs w:val="24"/>
        </w:rPr>
        <w:t>2.投标报价</w:t>
      </w:r>
      <w:r>
        <w:rPr>
          <w:rFonts w:cs="Arial"/>
          <w:szCs w:val="24"/>
        </w:rPr>
        <w:t>文件</w:t>
      </w:r>
      <w:r>
        <w:rPr>
          <w:rFonts w:hint="eastAsia" w:cs="Arial"/>
          <w:szCs w:val="24"/>
        </w:rPr>
        <w:t>；</w:t>
      </w:r>
    </w:p>
    <w:p w14:paraId="52334143">
      <w:pPr>
        <w:spacing w:line="324" w:lineRule="auto"/>
        <w:ind w:firstLine="480" w:firstLineChars="200"/>
        <w:jc w:val="both"/>
        <w:rPr>
          <w:rFonts w:hint="eastAsia" w:cs="Arial"/>
          <w:szCs w:val="24"/>
        </w:rPr>
      </w:pPr>
      <w:r>
        <w:rPr>
          <w:rFonts w:hint="eastAsia" w:cs="Arial"/>
          <w:szCs w:val="24"/>
        </w:rPr>
        <w:t>3.商务技术文件</w:t>
      </w:r>
      <w:r>
        <w:rPr>
          <w:rFonts w:cs="Arial"/>
          <w:szCs w:val="24"/>
        </w:rPr>
        <w:t>。</w:t>
      </w:r>
    </w:p>
    <w:p w14:paraId="135B78A4">
      <w:pPr>
        <w:spacing w:line="324" w:lineRule="auto"/>
        <w:ind w:firstLine="480" w:firstLineChars="200"/>
        <w:rPr>
          <w:rFonts w:hint="eastAsia" w:cs="Arial"/>
          <w:szCs w:val="24"/>
        </w:rPr>
      </w:pPr>
      <w:r>
        <w:rPr>
          <w:rFonts w:cs="Arial"/>
          <w:szCs w:val="24"/>
        </w:rPr>
        <w:t>根据此函，签字代表宣布同意如下：</w:t>
      </w:r>
    </w:p>
    <w:p w14:paraId="372FE220">
      <w:pPr>
        <w:spacing w:line="324" w:lineRule="auto"/>
        <w:ind w:firstLine="480" w:firstLineChars="200"/>
        <w:jc w:val="both"/>
        <w:rPr>
          <w:rFonts w:hint="eastAsia" w:cs="Arial"/>
          <w:szCs w:val="24"/>
        </w:rPr>
      </w:pPr>
      <w:r>
        <w:rPr>
          <w:rFonts w:hint="eastAsia" w:cs="Arial"/>
          <w:szCs w:val="24"/>
        </w:rPr>
        <w:t>1.</w:t>
      </w:r>
      <w:r>
        <w:rPr>
          <w:rFonts w:cs="Arial"/>
          <w:szCs w:val="24"/>
        </w:rPr>
        <w:t>所附投标价格表中规定的应提交和交付的</w:t>
      </w:r>
      <w:r>
        <w:rPr>
          <w:rFonts w:hint="eastAsia" w:cs="Arial"/>
          <w:szCs w:val="24"/>
        </w:rPr>
        <w:t>货物</w:t>
      </w:r>
      <w:r>
        <w:rPr>
          <w:rFonts w:cs="Arial"/>
          <w:szCs w:val="24"/>
        </w:rPr>
        <w:t>和</w:t>
      </w:r>
      <w:r>
        <w:rPr>
          <w:rFonts w:hint="eastAsia" w:cs="Arial"/>
          <w:szCs w:val="24"/>
        </w:rPr>
        <w:t>相关</w:t>
      </w:r>
      <w:r>
        <w:rPr>
          <w:rFonts w:cs="Arial"/>
          <w:szCs w:val="24"/>
        </w:rPr>
        <w:t>服务</w:t>
      </w:r>
      <w:r>
        <w:rPr>
          <w:rFonts w:hint="eastAsia" w:cs="Arial"/>
          <w:szCs w:val="24"/>
        </w:rPr>
        <w:t>（如有）</w:t>
      </w:r>
      <w:r>
        <w:rPr>
          <w:rFonts w:cs="Arial"/>
          <w:szCs w:val="24"/>
        </w:rPr>
        <w:t>的</w:t>
      </w:r>
      <w:r>
        <w:rPr>
          <w:rFonts w:hint="eastAsia" w:cs="Arial"/>
          <w:szCs w:val="24"/>
        </w:rPr>
        <w:t>投标报价</w:t>
      </w:r>
      <w:r>
        <w:rPr>
          <w:rFonts w:cs="Arial"/>
          <w:szCs w:val="24"/>
        </w:rPr>
        <w:t>为</w:t>
      </w:r>
      <w:r>
        <w:rPr>
          <w:rFonts w:hint="eastAsia" w:cs="Arial"/>
          <w:szCs w:val="24"/>
        </w:rPr>
        <w:t xml:space="preserve"> </w:t>
      </w:r>
      <w:r>
        <w:rPr>
          <w:rFonts w:hint="eastAsia" w:cs="Arial"/>
          <w:szCs w:val="24"/>
          <w:u w:val="single"/>
        </w:rPr>
        <w:t xml:space="preserve">                  </w:t>
      </w:r>
      <w:r>
        <w:rPr>
          <w:rFonts w:cs="Arial"/>
          <w:szCs w:val="24"/>
        </w:rPr>
        <w:t>。</w:t>
      </w:r>
    </w:p>
    <w:p w14:paraId="4302C875">
      <w:pPr>
        <w:spacing w:line="324" w:lineRule="auto"/>
        <w:ind w:firstLine="480" w:firstLineChars="200"/>
        <w:jc w:val="both"/>
        <w:rPr>
          <w:rFonts w:hint="eastAsia" w:cs="Arial"/>
          <w:szCs w:val="24"/>
        </w:rPr>
      </w:pPr>
      <w:r>
        <w:rPr>
          <w:rFonts w:hint="eastAsia" w:cs="Arial"/>
          <w:szCs w:val="24"/>
        </w:rPr>
        <w:t>2.我方</w:t>
      </w:r>
      <w:r>
        <w:rPr>
          <w:rFonts w:cs="Arial"/>
          <w:szCs w:val="24"/>
        </w:rPr>
        <w:t>将按招标文件的规定履行合同责任和义务。</w:t>
      </w:r>
    </w:p>
    <w:p w14:paraId="5CD0FA62">
      <w:pPr>
        <w:spacing w:line="324" w:lineRule="auto"/>
        <w:ind w:firstLine="480" w:firstLineChars="200"/>
        <w:jc w:val="both"/>
        <w:rPr>
          <w:rFonts w:hint="eastAsia" w:cs="Arial"/>
          <w:szCs w:val="24"/>
        </w:rPr>
      </w:pPr>
      <w:r>
        <w:rPr>
          <w:rFonts w:hint="eastAsia" w:cs="Arial"/>
          <w:szCs w:val="24"/>
        </w:rPr>
        <w:t>3.我方</w:t>
      </w:r>
      <w:r>
        <w:rPr>
          <w:rFonts w:cs="Arial"/>
          <w:szCs w:val="24"/>
        </w:rPr>
        <w:t>已详细审查全部招标文件，包括第</w:t>
      </w:r>
      <w:r>
        <w:rPr>
          <w:rFonts w:cs="Arial"/>
          <w:iCs/>
          <w:szCs w:val="24"/>
          <w:u w:val="single"/>
        </w:rPr>
        <w:t>（编号、补遗书）（如果有的话）</w:t>
      </w:r>
      <w:r>
        <w:rPr>
          <w:rFonts w:cs="Arial"/>
          <w:szCs w:val="24"/>
        </w:rPr>
        <w:t>。我</w:t>
      </w:r>
      <w:r>
        <w:rPr>
          <w:rFonts w:hint="eastAsia" w:cs="Arial"/>
          <w:szCs w:val="24"/>
        </w:rPr>
        <w:t>方</w:t>
      </w:r>
      <w:r>
        <w:rPr>
          <w:rFonts w:cs="Arial"/>
          <w:szCs w:val="24"/>
        </w:rPr>
        <w:t>完全理解并同意放弃对这方面有不明及误解的权力。</w:t>
      </w:r>
    </w:p>
    <w:p w14:paraId="58225F30">
      <w:pPr>
        <w:spacing w:line="324" w:lineRule="auto"/>
        <w:ind w:firstLine="480" w:firstLineChars="200"/>
        <w:jc w:val="both"/>
        <w:rPr>
          <w:rFonts w:hint="eastAsia" w:cs="Arial"/>
          <w:szCs w:val="24"/>
        </w:rPr>
      </w:pPr>
      <w:r>
        <w:rPr>
          <w:rFonts w:hint="eastAsia" w:cs="Arial"/>
          <w:szCs w:val="24"/>
        </w:rPr>
        <w:t>4.投标有效期为自提交投标文件的截止之日起</w:t>
      </w:r>
      <w:r>
        <w:rPr>
          <w:rFonts w:hint="eastAsia" w:cs="Arial"/>
          <w:i/>
          <w:szCs w:val="24"/>
          <w:u w:val="single"/>
        </w:rPr>
        <w:t xml:space="preserve"> </w:t>
      </w:r>
      <w:r>
        <w:rPr>
          <w:rFonts w:hint="eastAsia" w:cs="Arial"/>
          <w:iCs/>
          <w:szCs w:val="24"/>
          <w:u w:val="single"/>
        </w:rPr>
        <w:t>（由投标人填写）</w:t>
      </w:r>
      <w:r>
        <w:rPr>
          <w:rFonts w:cs="Arial"/>
          <w:szCs w:val="24"/>
        </w:rPr>
        <w:t>个日历天。</w:t>
      </w:r>
    </w:p>
    <w:p w14:paraId="39AA8942">
      <w:pPr>
        <w:spacing w:line="324" w:lineRule="auto"/>
        <w:ind w:firstLine="480" w:firstLineChars="200"/>
        <w:jc w:val="both"/>
        <w:rPr>
          <w:rFonts w:hint="eastAsia" w:cs="Arial"/>
          <w:szCs w:val="24"/>
        </w:rPr>
      </w:pPr>
      <w:r>
        <w:rPr>
          <w:rFonts w:hint="eastAsia" w:cs="Arial"/>
          <w:szCs w:val="24"/>
        </w:rPr>
        <w:t>5.我方</w:t>
      </w:r>
      <w:r>
        <w:rPr>
          <w:rFonts w:cs="Arial"/>
          <w:szCs w:val="24"/>
        </w:rPr>
        <w:t>同意提供按照贵方</w:t>
      </w:r>
      <w:r>
        <w:rPr>
          <w:rFonts w:hint="eastAsia" w:cs="Arial"/>
          <w:szCs w:val="24"/>
        </w:rPr>
        <w:t>招标文件</w:t>
      </w:r>
      <w:r>
        <w:rPr>
          <w:rFonts w:cs="Arial"/>
          <w:szCs w:val="24"/>
        </w:rPr>
        <w:t>要求的与投标有关的一切数据或资料，</w:t>
      </w:r>
      <w:r>
        <w:rPr>
          <w:rFonts w:hint="eastAsia" w:cs="Arial"/>
          <w:szCs w:val="24"/>
        </w:rPr>
        <w:t>采用综合评分法时，我方</w:t>
      </w:r>
      <w:r>
        <w:rPr>
          <w:rFonts w:cs="Arial"/>
          <w:szCs w:val="24"/>
        </w:rPr>
        <w:t>完全理解贵方不一定接受最低价的投标。</w:t>
      </w:r>
    </w:p>
    <w:p w14:paraId="5E607421">
      <w:pPr>
        <w:spacing w:line="324" w:lineRule="auto"/>
        <w:ind w:firstLine="480" w:firstLineChars="200"/>
        <w:jc w:val="both"/>
        <w:rPr>
          <w:rFonts w:hint="eastAsia" w:cs="Arial"/>
          <w:szCs w:val="24"/>
        </w:rPr>
      </w:pPr>
      <w:r>
        <w:rPr>
          <w:rFonts w:hint="eastAsia" w:cs="Arial"/>
          <w:szCs w:val="24"/>
        </w:rPr>
        <w:t>6.本项目如由中标人支付采购代理服务费，我方同意按投标人须知前附表中规定向采购代理机构支付采购代理服务费。</w:t>
      </w:r>
    </w:p>
    <w:p w14:paraId="3553F6F2">
      <w:pPr>
        <w:snapToGrid w:val="0"/>
        <w:spacing w:line="324" w:lineRule="auto"/>
        <w:ind w:firstLine="480" w:firstLineChars="200"/>
        <w:jc w:val="both"/>
        <w:rPr>
          <w:rFonts w:hint="eastAsia" w:cs="Arial"/>
          <w:szCs w:val="24"/>
        </w:rPr>
      </w:pPr>
      <w:r>
        <w:rPr>
          <w:rFonts w:hint="eastAsia" w:cs="Arial"/>
          <w:szCs w:val="24"/>
        </w:rPr>
        <w:t>7.重要声明：</w:t>
      </w:r>
    </w:p>
    <w:p w14:paraId="71357D66">
      <w:pPr>
        <w:snapToGrid w:val="0"/>
        <w:spacing w:line="324" w:lineRule="auto"/>
        <w:ind w:firstLine="480" w:firstLineChars="200"/>
        <w:rPr>
          <w:rFonts w:hint="eastAsia"/>
          <w:szCs w:val="24"/>
        </w:rPr>
      </w:pPr>
      <w:r>
        <w:rPr>
          <w:rFonts w:hint="eastAsia"/>
          <w:szCs w:val="24"/>
        </w:rPr>
        <w:t>1）与我方单位负责人为同一人的其他单位名称：</w:t>
      </w:r>
    </w:p>
    <w:p w14:paraId="2C18A9F1">
      <w:pPr>
        <w:snapToGrid w:val="0"/>
        <w:spacing w:line="324" w:lineRule="auto"/>
        <w:ind w:left="456" w:leftChars="190" w:firstLine="355" w:firstLineChars="148"/>
        <w:rPr>
          <w:rFonts w:hint="eastAsia"/>
          <w:iCs/>
          <w:szCs w:val="24"/>
        </w:rPr>
      </w:pPr>
      <w:r>
        <w:rPr>
          <w:rFonts w:hint="eastAsia"/>
          <w:szCs w:val="24"/>
        </w:rPr>
        <w:t>□无；□有，具体单位名称为：</w:t>
      </w:r>
      <w:r>
        <w:rPr>
          <w:rFonts w:hint="eastAsia" w:cs="Arial"/>
          <w:iCs/>
          <w:szCs w:val="24"/>
          <w:u w:val="single"/>
        </w:rPr>
        <w:t>（由投标人如实填写）</w:t>
      </w:r>
      <w:r>
        <w:rPr>
          <w:rFonts w:hint="eastAsia"/>
          <w:iCs/>
          <w:szCs w:val="24"/>
        </w:rPr>
        <w:t>。</w:t>
      </w:r>
    </w:p>
    <w:p w14:paraId="493C4E01">
      <w:pPr>
        <w:snapToGrid w:val="0"/>
        <w:spacing w:line="324" w:lineRule="auto"/>
        <w:ind w:firstLine="480" w:firstLineChars="200"/>
        <w:rPr>
          <w:rFonts w:hint="eastAsia"/>
          <w:iCs/>
          <w:szCs w:val="24"/>
        </w:rPr>
      </w:pPr>
      <w:r>
        <w:rPr>
          <w:rFonts w:hint="eastAsia"/>
          <w:iCs/>
          <w:szCs w:val="24"/>
        </w:rPr>
        <w:t>2）与我方存在控股、管理关系的其他单位的名称：</w:t>
      </w:r>
    </w:p>
    <w:p w14:paraId="298952D5">
      <w:pPr>
        <w:snapToGrid w:val="0"/>
        <w:spacing w:line="324" w:lineRule="auto"/>
        <w:ind w:left="456" w:leftChars="190" w:firstLine="355" w:firstLineChars="148"/>
        <w:rPr>
          <w:rFonts w:hint="eastAsia"/>
          <w:szCs w:val="24"/>
        </w:rPr>
      </w:pPr>
      <w:r>
        <w:rPr>
          <w:rFonts w:hint="eastAsia"/>
          <w:iCs/>
          <w:szCs w:val="24"/>
        </w:rPr>
        <w:t xml:space="preserve">□无；□有，具体单位名称为： </w:t>
      </w:r>
      <w:r>
        <w:rPr>
          <w:rFonts w:hint="eastAsia" w:cs="Arial"/>
          <w:iCs/>
          <w:szCs w:val="24"/>
          <w:u w:val="single"/>
        </w:rPr>
        <w:t>（由投标人如实填写）</w:t>
      </w:r>
      <w:r>
        <w:rPr>
          <w:rFonts w:hint="eastAsia"/>
          <w:szCs w:val="24"/>
        </w:rPr>
        <w:t>。</w:t>
      </w:r>
    </w:p>
    <w:p w14:paraId="143B8063">
      <w:pPr>
        <w:snapToGrid w:val="0"/>
        <w:spacing w:line="324" w:lineRule="auto"/>
        <w:ind w:firstLine="480" w:firstLineChars="200"/>
        <w:rPr>
          <w:rFonts w:hint="eastAsia"/>
          <w:szCs w:val="24"/>
        </w:rPr>
      </w:pPr>
      <w:r>
        <w:rPr>
          <w:rFonts w:hint="eastAsia"/>
          <w:szCs w:val="24"/>
        </w:rPr>
        <w:t>3）参与本项目采购活动前，是否为本项目前期准备提供过整体设计、规范编制或者项目管理、监理、检测等服务：</w:t>
      </w:r>
    </w:p>
    <w:p w14:paraId="49B9029F">
      <w:pPr>
        <w:snapToGrid w:val="0"/>
        <w:spacing w:line="324" w:lineRule="auto"/>
        <w:ind w:left="456" w:leftChars="190" w:firstLine="355" w:firstLineChars="148"/>
        <w:rPr>
          <w:rFonts w:hint="eastAsia"/>
          <w:szCs w:val="24"/>
        </w:rPr>
      </w:pPr>
      <w:r>
        <w:rPr>
          <w:rFonts w:hint="eastAsia"/>
          <w:szCs w:val="24"/>
        </w:rPr>
        <w:t xml:space="preserve">□无；□有，已提供的具体服务内容为： </w:t>
      </w:r>
      <w:r>
        <w:rPr>
          <w:rFonts w:hint="eastAsia" w:cs="Arial"/>
          <w:szCs w:val="24"/>
          <w:u w:val="single"/>
        </w:rPr>
        <w:t>（由投标人如实填写）</w:t>
      </w:r>
      <w:r>
        <w:rPr>
          <w:rFonts w:hint="eastAsia"/>
          <w:szCs w:val="24"/>
        </w:rPr>
        <w:t>。</w:t>
      </w:r>
    </w:p>
    <w:p w14:paraId="59A6717D">
      <w:pPr>
        <w:spacing w:line="324" w:lineRule="auto"/>
        <w:ind w:firstLine="480" w:firstLineChars="200"/>
        <w:rPr>
          <w:rFonts w:hint="eastAsia"/>
          <w:szCs w:val="24"/>
        </w:rPr>
      </w:pPr>
      <w:r>
        <w:rPr>
          <w:rFonts w:hint="eastAsia"/>
          <w:szCs w:val="24"/>
        </w:rPr>
        <w:t>（备注：以上</w:t>
      </w:r>
      <w:r>
        <w:rPr>
          <w:szCs w:val="24"/>
        </w:rPr>
        <w:t>3</w:t>
      </w:r>
      <w:r>
        <w:rPr>
          <w:rFonts w:hint="eastAsia"/>
          <w:szCs w:val="24"/>
        </w:rPr>
        <w:t>项声明，必须如实选择，选中项用☑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615CBF8B">
      <w:pPr>
        <w:snapToGrid w:val="0"/>
        <w:spacing w:line="324" w:lineRule="auto"/>
        <w:ind w:firstLine="480" w:firstLineChars="200"/>
        <w:rPr>
          <w:rFonts w:hint="eastAsia"/>
          <w:szCs w:val="24"/>
        </w:rPr>
      </w:pPr>
      <w:r>
        <w:rPr>
          <w:rFonts w:hint="eastAsia"/>
          <w:szCs w:val="24"/>
        </w:rPr>
        <w:t>4）我方在本投标文件中所提供的全部资料均真实有效，我方承诺对其真实性负责并承担相应后果。</w:t>
      </w:r>
    </w:p>
    <w:p w14:paraId="3E2D305B">
      <w:pPr>
        <w:snapToGrid w:val="0"/>
        <w:spacing w:line="324" w:lineRule="auto"/>
        <w:ind w:firstLine="480" w:firstLineChars="200"/>
        <w:rPr>
          <w:rFonts w:hint="eastAsia"/>
          <w:szCs w:val="24"/>
        </w:rPr>
      </w:pPr>
      <w:r>
        <w:rPr>
          <w:rFonts w:hint="eastAsia"/>
          <w:szCs w:val="24"/>
        </w:rPr>
        <w:t>5）</w:t>
      </w:r>
      <w:bookmarkStart w:id="438" w:name="_Hlk161604053"/>
      <w:r>
        <w:rPr>
          <w:rFonts w:hint="eastAsia"/>
          <w:szCs w:val="24"/>
        </w:rPr>
        <w:t>我方承诺本《投标函》的签章对本投标文件全部内容具有约束力并承担法律责任。</w:t>
      </w:r>
      <w:bookmarkEnd w:id="438"/>
    </w:p>
    <w:p w14:paraId="66A4EC5F">
      <w:pPr>
        <w:spacing w:line="300" w:lineRule="auto"/>
        <w:rPr>
          <w:rFonts w:hint="eastAsia" w:cs="Arial"/>
          <w:szCs w:val="24"/>
        </w:rPr>
      </w:pPr>
    </w:p>
    <w:p w14:paraId="600CE621">
      <w:pPr>
        <w:spacing w:line="300" w:lineRule="auto"/>
        <w:rPr>
          <w:rFonts w:hint="eastAsia" w:cs="Arial"/>
          <w:szCs w:val="24"/>
        </w:rPr>
      </w:pPr>
    </w:p>
    <w:p w14:paraId="69E57639">
      <w:pPr>
        <w:spacing w:line="300" w:lineRule="auto"/>
        <w:rPr>
          <w:rFonts w:hint="eastAsia" w:cs="Arial"/>
          <w:szCs w:val="24"/>
        </w:rPr>
      </w:pPr>
    </w:p>
    <w:p w14:paraId="22F55AAD">
      <w:pPr>
        <w:autoSpaceDE w:val="0"/>
        <w:autoSpaceDN w:val="0"/>
        <w:adjustRightInd w:val="0"/>
        <w:snapToGrid w:val="0"/>
        <w:ind w:firstLine="480" w:firstLineChars="200"/>
        <w:rPr>
          <w:rFonts w:hint="eastAsia" w:cs="宋体"/>
          <w:kern w:val="0"/>
          <w:lang w:val="zh-CN"/>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lang w:val="zh-CN"/>
        </w:rPr>
        <w:t>：</w:t>
      </w:r>
    </w:p>
    <w:p w14:paraId="39A45CE4">
      <w:pPr>
        <w:autoSpaceDE w:val="0"/>
        <w:autoSpaceDN w:val="0"/>
        <w:adjustRightInd w:val="0"/>
        <w:snapToGrid w:val="0"/>
        <w:ind w:firstLine="480" w:firstLineChars="200"/>
        <w:rPr>
          <w:rFonts w:hint="eastAsia" w:cs="宋体"/>
          <w:kern w:val="0"/>
          <w:szCs w:val="24"/>
          <w:lang w:bidi="ar"/>
        </w:rPr>
      </w:pPr>
      <w:r>
        <w:rPr>
          <w:rFonts w:hint="eastAsia" w:cs="宋体"/>
          <w:kern w:val="0"/>
          <w:szCs w:val="24"/>
          <w:lang w:bidi="ar"/>
        </w:rPr>
        <w:t>法定代表人或授权代表（签字或印章）：</w:t>
      </w:r>
    </w:p>
    <w:p w14:paraId="718C5996">
      <w:pPr>
        <w:autoSpaceDE w:val="0"/>
        <w:autoSpaceDN w:val="0"/>
        <w:adjustRightInd w:val="0"/>
        <w:snapToGrid w:val="0"/>
        <w:ind w:firstLine="480" w:firstLineChars="200"/>
        <w:rPr>
          <w:rFonts w:hint="eastAsia" w:cs="宋体"/>
        </w:rPr>
      </w:pPr>
      <w:r>
        <w:rPr>
          <w:rFonts w:hint="eastAsia" w:cs="宋体"/>
        </w:rPr>
        <w:t>通  讯  地  址：</w:t>
      </w:r>
    </w:p>
    <w:p w14:paraId="3055C9A0">
      <w:pPr>
        <w:autoSpaceDE w:val="0"/>
        <w:autoSpaceDN w:val="0"/>
        <w:adjustRightInd w:val="0"/>
        <w:snapToGrid w:val="0"/>
        <w:ind w:firstLine="480" w:firstLineChars="200"/>
        <w:rPr>
          <w:rFonts w:hint="eastAsia" w:cs="宋体"/>
        </w:rPr>
      </w:pPr>
      <w:r>
        <w:rPr>
          <w:rFonts w:hint="eastAsia" w:cs="宋体"/>
        </w:rPr>
        <w:t xml:space="preserve">传       </w:t>
      </w:r>
      <w:r>
        <w:rPr>
          <w:rFonts w:cs="宋体"/>
        </w:rPr>
        <w:t xml:space="preserve">   </w:t>
      </w:r>
      <w:r>
        <w:rPr>
          <w:rFonts w:hint="eastAsia" w:cs="宋体"/>
        </w:rPr>
        <w:t>真：</w:t>
      </w:r>
    </w:p>
    <w:p w14:paraId="6624DBF6">
      <w:pPr>
        <w:autoSpaceDE w:val="0"/>
        <w:autoSpaceDN w:val="0"/>
        <w:adjustRightInd w:val="0"/>
        <w:snapToGrid w:val="0"/>
        <w:ind w:firstLine="480" w:firstLineChars="200"/>
        <w:rPr>
          <w:rFonts w:hint="eastAsia" w:cs="宋体"/>
        </w:rPr>
      </w:pPr>
      <w:r>
        <w:rPr>
          <w:rFonts w:hint="eastAsia" w:cs="宋体"/>
        </w:rPr>
        <w:t>电          话：</w:t>
      </w:r>
    </w:p>
    <w:p w14:paraId="2F17483B">
      <w:pPr>
        <w:ind w:firstLine="480" w:firstLineChars="200"/>
        <w:rPr>
          <w:rFonts w:hint="eastAsia" w:cs="Arial"/>
          <w:szCs w:val="24"/>
        </w:rPr>
      </w:pPr>
      <w:r>
        <w:rPr>
          <w:rFonts w:hint="eastAsia" w:cs="宋体"/>
        </w:rPr>
        <w:t xml:space="preserve">日     </w:t>
      </w:r>
      <w:r>
        <w:rPr>
          <w:rFonts w:cs="宋体"/>
        </w:rPr>
        <w:t xml:space="preserve">  </w:t>
      </w:r>
      <w:r>
        <w:rPr>
          <w:rFonts w:hint="eastAsia" w:cs="宋体"/>
        </w:rPr>
        <w:t xml:space="preserve">    期：</w:t>
      </w:r>
    </w:p>
    <w:p w14:paraId="2B3ACD6F">
      <w:pPr>
        <w:rPr>
          <w:rFonts w:hint="eastAsia" w:cs="Arial"/>
          <w:szCs w:val="24"/>
          <w:u w:val="single"/>
        </w:rPr>
      </w:pPr>
    </w:p>
    <w:p w14:paraId="09E7F88A">
      <w:pPr>
        <w:rPr>
          <w:rFonts w:hint="eastAsia" w:cs="Arial"/>
          <w:szCs w:val="24"/>
          <w:u w:val="single"/>
        </w:rPr>
      </w:pPr>
      <w:r>
        <w:rPr>
          <w:rFonts w:cs="Arial"/>
          <w:szCs w:val="24"/>
          <w:u w:val="single"/>
        </w:rPr>
        <w:br w:type="page"/>
      </w:r>
    </w:p>
    <w:p w14:paraId="2336781D">
      <w:pPr>
        <w:pStyle w:val="4"/>
        <w:spacing w:before="100" w:after="100" w:line="360" w:lineRule="auto"/>
        <w:ind w:left="420" w:hanging="420"/>
        <w:jc w:val="center"/>
        <w:rPr>
          <w:rFonts w:hint="eastAsia"/>
        </w:rPr>
      </w:pPr>
      <w:bookmarkStart w:id="439" w:name="_Toc163492918"/>
      <w:bookmarkStart w:id="440" w:name="_Toc15102"/>
      <w:bookmarkStart w:id="441" w:name="_Toc155185924"/>
      <w:r>
        <w:rPr>
          <w:rFonts w:hint="eastAsia"/>
        </w:rPr>
        <w:t>二、法定代表人（单位负责人）身份证明</w:t>
      </w:r>
      <w:bookmarkEnd w:id="439"/>
      <w:bookmarkEnd w:id="440"/>
      <w:bookmarkEnd w:id="441"/>
    </w:p>
    <w:p w14:paraId="7BAAA9ED">
      <w:pPr>
        <w:spacing w:line="480" w:lineRule="auto"/>
        <w:ind w:firstLine="480" w:firstLineChars="200"/>
        <w:rPr>
          <w:rFonts w:hint="eastAsia" w:cs="仿宋_GB2312"/>
          <w:szCs w:val="24"/>
        </w:rPr>
      </w:pPr>
      <w:r>
        <w:rPr>
          <w:rFonts w:hint="eastAsia" w:cs="仿宋_GB2312"/>
          <w:szCs w:val="24"/>
        </w:rPr>
        <w:t xml:space="preserve">致：（采购人或采购代理机构） </w:t>
      </w:r>
    </w:p>
    <w:p w14:paraId="5D45EE8B">
      <w:pPr>
        <w:spacing w:line="480" w:lineRule="auto"/>
        <w:ind w:firstLine="960" w:firstLineChars="400"/>
        <w:rPr>
          <w:rFonts w:hint="eastAsia" w:cs="仿宋_GB2312"/>
          <w:szCs w:val="24"/>
        </w:rPr>
      </w:pPr>
      <w:r>
        <w:rPr>
          <w:rFonts w:hint="eastAsia" w:cs="仿宋_GB2312"/>
          <w:szCs w:val="24"/>
        </w:rPr>
        <w:t xml:space="preserve">兹证明， </w:t>
      </w:r>
    </w:p>
    <w:p w14:paraId="5EDD37AA">
      <w:pPr>
        <w:spacing w:line="480" w:lineRule="auto"/>
        <w:ind w:firstLine="480" w:firstLineChars="200"/>
        <w:rPr>
          <w:rFonts w:hint="eastAsia" w:cs="仿宋_GB2312"/>
          <w:szCs w:val="24"/>
        </w:rPr>
      </w:pPr>
      <w:r>
        <w:rPr>
          <w:rFonts w:hint="eastAsia" w:cs="仿宋_GB2312"/>
          <w:szCs w:val="24"/>
        </w:rPr>
        <w:t xml:space="preserve">姓名：____性别：____年龄：____职务：____ </w:t>
      </w:r>
    </w:p>
    <w:p w14:paraId="67AD678C">
      <w:pPr>
        <w:spacing w:line="480" w:lineRule="auto"/>
        <w:ind w:firstLine="480" w:firstLineChars="200"/>
        <w:rPr>
          <w:rFonts w:hint="eastAsia" w:cs="仿宋_GB2312"/>
          <w:szCs w:val="24"/>
        </w:rPr>
      </w:pPr>
      <w:r>
        <w:rPr>
          <w:rFonts w:hint="eastAsia" w:cs="仿宋_GB2312"/>
          <w:szCs w:val="24"/>
        </w:rPr>
        <w:t xml:space="preserve">系 </w:t>
      </w:r>
      <w:r>
        <w:rPr>
          <w:rFonts w:hint="eastAsia" w:cs="仿宋_GB2312"/>
          <w:szCs w:val="24"/>
          <w:u w:val="single"/>
        </w:rPr>
        <w:t xml:space="preserve">            </w:t>
      </w:r>
      <w:r>
        <w:rPr>
          <w:rFonts w:hint="eastAsia" w:cs="仿宋_GB2312"/>
          <w:szCs w:val="24"/>
        </w:rPr>
        <w:t xml:space="preserve">（投标人名称）的法定代表人（单位负责人）。 </w:t>
      </w:r>
    </w:p>
    <w:p w14:paraId="026A4A31">
      <w:pPr>
        <w:spacing w:line="480" w:lineRule="auto"/>
        <w:ind w:firstLine="480" w:firstLineChars="200"/>
        <w:rPr>
          <w:rFonts w:hint="eastAsia" w:cs="仿宋_GB2312"/>
          <w:szCs w:val="24"/>
        </w:rPr>
      </w:pPr>
      <w:r>
        <w:rPr>
          <w:rFonts w:hint="eastAsia" w:cs="仿宋_GB2312"/>
          <w:szCs w:val="24"/>
        </w:rPr>
        <w:t xml:space="preserve">附：法定代表人（单位负责人）身份证、护照等身份证明文件电子件： </w:t>
      </w:r>
    </w:p>
    <w:p w14:paraId="42ACF598">
      <w:pPr>
        <w:spacing w:line="480" w:lineRule="auto"/>
        <w:ind w:firstLine="480" w:firstLineChars="200"/>
        <w:rPr>
          <w:rFonts w:hint="eastAsia" w:cs="仿宋_GB2312"/>
          <w:szCs w:val="24"/>
        </w:rPr>
      </w:pPr>
    </w:p>
    <w:p w14:paraId="0056A01E">
      <w:pPr>
        <w:rPr>
          <w:rFonts w:hint="eastAsia" w:cs="Arial"/>
          <w:sz w:val="21"/>
          <w:szCs w:val="21"/>
        </w:rPr>
      </w:pP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13FB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1649457D">
            <w:pPr>
              <w:rPr>
                <w:rFonts w:hint="eastAsia" w:cs="Arial"/>
              </w:rPr>
            </w:pPr>
          </w:p>
        </w:tc>
      </w:tr>
    </w:tbl>
    <w:p w14:paraId="3588036C">
      <w:pPr>
        <w:ind w:firstLine="840" w:firstLineChars="350"/>
        <w:jc w:val="center"/>
        <w:rPr>
          <w:rFonts w:hint="eastAsia" w:cs="Arial"/>
        </w:rPr>
      </w:pPr>
    </w:p>
    <w:p w14:paraId="3DF823CD">
      <w:pPr>
        <w:widowControl/>
        <w:rPr>
          <w:rFonts w:hint="eastAsia"/>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73824C28">
      <w:pPr>
        <w:widowControl/>
        <w:rPr>
          <w:rFonts w:hint="eastAsia"/>
        </w:rPr>
      </w:pPr>
      <w:r>
        <w:rPr>
          <w:rFonts w:hint="eastAsia" w:cs="宋体"/>
          <w:kern w:val="0"/>
          <w:szCs w:val="24"/>
          <w:lang w:bidi="ar"/>
        </w:rPr>
        <w:t>法定代表人（单位负责人）（签字或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 </w:t>
      </w:r>
    </w:p>
    <w:p w14:paraId="68B08ED1">
      <w:pPr>
        <w:widowControl/>
        <w:rPr>
          <w:rFonts w:hint="eastAsia" w:cs="宋体"/>
          <w:kern w:val="0"/>
          <w:szCs w:val="24"/>
          <w:lang w:bidi="ar"/>
        </w:rPr>
      </w:pPr>
    </w:p>
    <w:p w14:paraId="5863E488">
      <w:pPr>
        <w:widowControl/>
        <w:rPr>
          <w:rFonts w:hint="eastAsia"/>
        </w:rPr>
      </w:pPr>
      <w:r>
        <w:rPr>
          <w:rFonts w:hint="eastAsia" w:cs="宋体"/>
          <w:kern w:val="0"/>
          <w:szCs w:val="24"/>
          <w:lang w:bidi="ar"/>
        </w:rPr>
        <w:t>日期：</w:t>
      </w:r>
      <w:r>
        <w:rPr>
          <w:rFonts w:ascii="DejaVuSans" w:hAnsi="DejaVuSans" w:eastAsia="DejaVuSans" w:cs="DejaVuSans"/>
          <w:kern w:val="0"/>
          <w:szCs w:val="24"/>
          <w:lang w:bidi="ar"/>
        </w:rPr>
        <w:t>_____</w:t>
      </w:r>
      <w:r>
        <w:rPr>
          <w:rFonts w:hint="eastAsia" w:cs="宋体"/>
          <w:kern w:val="0"/>
          <w:szCs w:val="24"/>
          <w:lang w:bidi="ar"/>
        </w:rPr>
        <w:t>年</w:t>
      </w:r>
      <w:r>
        <w:rPr>
          <w:rFonts w:ascii="DejaVuSans" w:hAnsi="DejaVuSans" w:eastAsia="DejaVuSans" w:cs="DejaVuSans"/>
          <w:kern w:val="0"/>
          <w:szCs w:val="24"/>
          <w:lang w:bidi="ar"/>
        </w:rPr>
        <w:t>______</w:t>
      </w:r>
      <w:r>
        <w:rPr>
          <w:rFonts w:hint="eastAsia" w:cs="宋体"/>
          <w:kern w:val="0"/>
          <w:szCs w:val="24"/>
          <w:lang w:bidi="ar"/>
        </w:rPr>
        <w:t>月</w:t>
      </w:r>
      <w:r>
        <w:rPr>
          <w:rFonts w:ascii="DejaVuSans" w:hAnsi="DejaVuSans" w:eastAsia="DejaVuSans" w:cs="DejaVuSans"/>
          <w:kern w:val="0"/>
          <w:szCs w:val="24"/>
          <w:lang w:bidi="ar"/>
        </w:rPr>
        <w:t>______</w:t>
      </w:r>
      <w:r>
        <w:rPr>
          <w:rFonts w:hint="eastAsia" w:cs="宋体"/>
          <w:kern w:val="0"/>
          <w:szCs w:val="24"/>
          <w:lang w:bidi="ar"/>
        </w:rPr>
        <w:t>日</w:t>
      </w:r>
    </w:p>
    <w:p w14:paraId="0B4311DF">
      <w:pPr>
        <w:rPr>
          <w:rFonts w:hint="eastAsia"/>
          <w:b/>
          <w:sz w:val="28"/>
          <w:szCs w:val="28"/>
        </w:rPr>
      </w:pPr>
    </w:p>
    <w:p w14:paraId="27115109">
      <w:pPr>
        <w:rPr>
          <w:rFonts w:hint="eastAsia"/>
          <w:b/>
          <w:sz w:val="28"/>
          <w:szCs w:val="28"/>
        </w:rPr>
      </w:pPr>
      <w:r>
        <w:rPr>
          <w:b/>
          <w:sz w:val="28"/>
          <w:szCs w:val="28"/>
        </w:rPr>
        <w:br w:type="page"/>
      </w:r>
    </w:p>
    <w:p w14:paraId="5E5E8283">
      <w:pPr>
        <w:pStyle w:val="4"/>
        <w:spacing w:before="100" w:after="100" w:line="360" w:lineRule="auto"/>
        <w:ind w:left="420" w:hanging="420"/>
        <w:jc w:val="center"/>
        <w:rPr>
          <w:rFonts w:hint="eastAsia"/>
        </w:rPr>
      </w:pPr>
      <w:bookmarkStart w:id="442" w:name="_Toc163492919"/>
      <w:bookmarkStart w:id="443" w:name="_Toc155185925"/>
      <w:bookmarkStart w:id="444" w:name="_Toc31984"/>
      <w:r>
        <w:rPr>
          <w:rFonts w:hint="eastAsia"/>
        </w:rPr>
        <w:t>三、授权委托书</w:t>
      </w:r>
      <w:bookmarkEnd w:id="442"/>
      <w:bookmarkEnd w:id="443"/>
      <w:bookmarkEnd w:id="444"/>
    </w:p>
    <w:p w14:paraId="6AC1B6ED">
      <w:pPr>
        <w:ind w:firstLine="480" w:firstLineChars="200"/>
        <w:rPr>
          <w:rFonts w:hint="eastAsia" w:cs="仿宋_GB2312"/>
          <w:szCs w:val="24"/>
        </w:rPr>
      </w:pPr>
      <w:r>
        <w:rPr>
          <w:rFonts w:hint="eastAsia" w:cs="仿宋_GB2312"/>
          <w:szCs w:val="24"/>
        </w:rPr>
        <w:t>本人</w:t>
      </w:r>
      <w:r>
        <w:rPr>
          <w:rFonts w:cs="仿宋_GB2312"/>
          <w:szCs w:val="24"/>
          <w:u w:val="single"/>
        </w:rPr>
        <w:t xml:space="preserve">     </w:t>
      </w:r>
      <w:r>
        <w:rPr>
          <w:rFonts w:hint="eastAsia" w:cs="仿宋_GB2312"/>
          <w:szCs w:val="24"/>
        </w:rPr>
        <w:t>（姓名）系</w:t>
      </w:r>
      <w:r>
        <w:rPr>
          <w:rFonts w:hint="eastAsia" w:cs="仿宋_GB2312"/>
          <w:szCs w:val="24"/>
          <w:u w:val="single"/>
        </w:rPr>
        <w:t xml:space="preserve">          </w:t>
      </w:r>
      <w:r>
        <w:rPr>
          <w:rFonts w:hint="eastAsia" w:cs="仿宋_GB2312"/>
          <w:szCs w:val="24"/>
        </w:rPr>
        <w:t>（投标人名称）的法定代表人</w:t>
      </w:r>
      <w:r>
        <w:rPr>
          <w:rFonts w:hint="eastAsia"/>
        </w:rPr>
        <w:t>（单位负责人）</w:t>
      </w:r>
      <w:r>
        <w:rPr>
          <w:rFonts w:hint="eastAsia" w:cs="仿宋_GB2312"/>
          <w:szCs w:val="24"/>
        </w:rPr>
        <w:t>，现委托</w:t>
      </w:r>
      <w:r>
        <w:rPr>
          <w:rFonts w:hint="eastAsia" w:cs="仿宋_GB2312"/>
          <w:szCs w:val="24"/>
          <w:u w:val="single"/>
        </w:rPr>
        <w:t xml:space="preserve">     </w:t>
      </w:r>
      <w:r>
        <w:rPr>
          <w:rFonts w:hint="eastAsia" w:cs="仿宋_GB2312"/>
          <w:szCs w:val="24"/>
        </w:rPr>
        <w:t>（姓名）为我方代理人。代理人根据授权，以我方名义签署、澄清确认、说明、补正、递交、撤回、修改</w:t>
      </w:r>
      <w:r>
        <w:rPr>
          <w:rFonts w:hint="eastAsia" w:cs="仿宋_GB2312"/>
          <w:szCs w:val="24"/>
          <w:u w:val="single"/>
        </w:rPr>
        <w:t xml:space="preserve">           </w:t>
      </w:r>
      <w:r>
        <w:rPr>
          <w:rFonts w:hint="eastAsia" w:cs="仿宋_GB2312"/>
          <w:szCs w:val="24"/>
        </w:rPr>
        <w:t>（项目名称）投标文件、签订合同和处理有关事宜，其法律后果由我方承担。</w:t>
      </w:r>
    </w:p>
    <w:p w14:paraId="24938C0C">
      <w:pPr>
        <w:ind w:firstLine="480" w:firstLineChars="200"/>
        <w:rPr>
          <w:rFonts w:hint="eastAsia" w:cs="仿宋_GB2312"/>
          <w:szCs w:val="24"/>
        </w:rPr>
      </w:pPr>
      <w:r>
        <w:rPr>
          <w:rFonts w:hint="eastAsia" w:cs="仿宋_GB2312"/>
          <w:szCs w:val="24"/>
        </w:rPr>
        <w:t>委托期限：自本授权委托书签署之日起至投标有效期届满之日止。</w:t>
      </w:r>
    </w:p>
    <w:p w14:paraId="4B707C0E">
      <w:pPr>
        <w:ind w:firstLine="480" w:firstLineChars="200"/>
        <w:rPr>
          <w:rFonts w:hint="eastAsia" w:cs="仿宋_GB2312"/>
          <w:szCs w:val="24"/>
        </w:rPr>
      </w:pPr>
      <w:r>
        <w:rPr>
          <w:rFonts w:hint="eastAsia" w:cs="仿宋_GB2312"/>
          <w:szCs w:val="24"/>
        </w:rPr>
        <w:t>代理人无转委托权。</w:t>
      </w:r>
    </w:p>
    <w:p w14:paraId="3553FACE">
      <w:pPr>
        <w:spacing w:line="240" w:lineRule="exact"/>
        <w:ind w:firstLine="480" w:firstLineChars="200"/>
        <w:rPr>
          <w:rFonts w:hint="eastAsia" w:cs="仿宋_GB2312"/>
          <w:szCs w:val="24"/>
        </w:rPr>
      </w:pPr>
    </w:p>
    <w:p w14:paraId="71C982E1">
      <w:pPr>
        <w:widowControl/>
        <w:rPr>
          <w:rFonts w:hint="eastAsia"/>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5AAEEDF8">
      <w:pPr>
        <w:widowControl/>
        <w:rPr>
          <w:rFonts w:hint="eastAsia"/>
        </w:rPr>
      </w:pPr>
      <w:r>
        <w:rPr>
          <w:rFonts w:hint="eastAsia" w:cs="宋体"/>
          <w:kern w:val="0"/>
          <w:szCs w:val="24"/>
          <w:lang w:bidi="ar"/>
        </w:rPr>
        <w:t>法定代表人（单位负责人）（签字或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03EC233B">
      <w:pPr>
        <w:widowControl/>
        <w:rPr>
          <w:rFonts w:hint="eastAsia"/>
        </w:rPr>
      </w:pPr>
      <w:r>
        <w:rPr>
          <w:rFonts w:hint="eastAsia" w:cs="宋体"/>
          <w:kern w:val="0"/>
          <w:szCs w:val="24"/>
          <w:lang w:bidi="ar"/>
        </w:rPr>
        <w:t>委托代理人（签字或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________________ </w:t>
      </w:r>
      <w:r>
        <w:rPr>
          <w:rFonts w:hint="eastAsia" w:ascii="DejaVuSans" w:hAnsi="DejaVuSans" w:eastAsia="DejaVuSans" w:cs="DejaVuSans"/>
          <w:kern w:val="0"/>
          <w:szCs w:val="24"/>
          <w:lang w:bidi="ar"/>
        </w:rPr>
        <w:t xml:space="preserve">   联系电话：</w:t>
      </w:r>
      <w:r>
        <w:rPr>
          <w:rFonts w:ascii="DejaVuSans" w:hAnsi="DejaVuSans" w:eastAsia="DejaVuSans" w:cs="DejaVuSans"/>
          <w:kern w:val="0"/>
          <w:szCs w:val="24"/>
          <w:lang w:bidi="ar"/>
        </w:rPr>
        <w:t>________</w:t>
      </w:r>
    </w:p>
    <w:p w14:paraId="151043A3">
      <w:pPr>
        <w:widowControl/>
        <w:rPr>
          <w:rFonts w:hint="eastAsia"/>
        </w:rPr>
      </w:pPr>
      <w:r>
        <w:rPr>
          <w:rFonts w:hint="eastAsia" w:cs="宋体"/>
          <w:kern w:val="0"/>
          <w:szCs w:val="24"/>
          <w:lang w:bidi="ar"/>
        </w:rPr>
        <w:t>日期：</w:t>
      </w:r>
      <w:r>
        <w:rPr>
          <w:rFonts w:ascii="DejaVuSans" w:hAnsi="DejaVuSans" w:eastAsia="DejaVuSans" w:cs="DejaVuSans"/>
          <w:kern w:val="0"/>
          <w:szCs w:val="24"/>
          <w:lang w:bidi="ar"/>
        </w:rPr>
        <w:t>_____</w:t>
      </w:r>
      <w:r>
        <w:rPr>
          <w:rFonts w:hint="eastAsia" w:cs="宋体"/>
          <w:kern w:val="0"/>
          <w:szCs w:val="24"/>
          <w:lang w:bidi="ar"/>
        </w:rPr>
        <w:t>年</w:t>
      </w:r>
      <w:r>
        <w:rPr>
          <w:rFonts w:ascii="DejaVuSans" w:hAnsi="DejaVuSans" w:eastAsia="DejaVuSans" w:cs="DejaVuSans"/>
          <w:kern w:val="0"/>
          <w:szCs w:val="24"/>
          <w:lang w:bidi="ar"/>
        </w:rPr>
        <w:t>______</w:t>
      </w:r>
      <w:r>
        <w:rPr>
          <w:rFonts w:hint="eastAsia" w:cs="宋体"/>
          <w:kern w:val="0"/>
          <w:szCs w:val="24"/>
          <w:lang w:bidi="ar"/>
        </w:rPr>
        <w:t>月</w:t>
      </w:r>
      <w:r>
        <w:rPr>
          <w:rFonts w:ascii="DejaVuSans" w:hAnsi="DejaVuSans" w:eastAsia="DejaVuSans" w:cs="DejaVuSans"/>
          <w:kern w:val="0"/>
          <w:szCs w:val="24"/>
          <w:lang w:bidi="ar"/>
        </w:rPr>
        <w:t>______</w:t>
      </w:r>
      <w:r>
        <w:rPr>
          <w:rFonts w:hint="eastAsia" w:cs="宋体"/>
          <w:kern w:val="0"/>
          <w:szCs w:val="24"/>
          <w:lang w:bidi="ar"/>
        </w:rPr>
        <w:t xml:space="preserve">日 </w:t>
      </w:r>
    </w:p>
    <w:p w14:paraId="2BFF7658">
      <w:pPr>
        <w:spacing w:line="240" w:lineRule="exact"/>
        <w:ind w:firstLine="480" w:firstLineChars="200"/>
        <w:rPr>
          <w:rFonts w:hint="eastAsia" w:cs="仿宋_GB2312"/>
          <w:szCs w:val="24"/>
        </w:rPr>
      </w:pPr>
    </w:p>
    <w:p w14:paraId="026BD54E">
      <w:pPr>
        <w:widowControl/>
        <w:rPr>
          <w:rFonts w:hint="eastAsia"/>
        </w:rPr>
      </w:pPr>
      <w:r>
        <w:rPr>
          <w:rFonts w:hint="eastAsia" w:cs="宋体"/>
          <w:kern w:val="0"/>
          <w:szCs w:val="24"/>
          <w:lang w:bidi="ar"/>
        </w:rPr>
        <w:t xml:space="preserve">附：法定代表人及委托代理人身份证明文件电子件：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7F32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7DE2C1D0">
            <w:pPr>
              <w:rPr>
                <w:rFonts w:hint="eastAsia" w:cs="Arial"/>
              </w:rPr>
            </w:pPr>
          </w:p>
        </w:tc>
      </w:tr>
    </w:tbl>
    <w:p w14:paraId="445E2FA3">
      <w:pPr>
        <w:ind w:firstLine="480" w:firstLineChars="200"/>
        <w:rPr>
          <w:rFonts w:hint="eastAsia" w:cs="仿宋_GB2312"/>
          <w:szCs w:val="24"/>
        </w:rPr>
      </w:pPr>
      <w:r>
        <w:rPr>
          <w:rFonts w:hint="eastAsia" w:cs="仿宋_GB2312"/>
          <w:szCs w:val="24"/>
        </w:rPr>
        <w:t xml:space="preserve">说明： </w:t>
      </w:r>
    </w:p>
    <w:p w14:paraId="6C5663CB">
      <w:pPr>
        <w:ind w:firstLine="480" w:firstLineChars="200"/>
        <w:rPr>
          <w:rFonts w:hint="eastAsia" w:cs="仿宋_GB2312"/>
          <w:szCs w:val="24"/>
        </w:rPr>
      </w:pPr>
      <w:r>
        <w:rPr>
          <w:rFonts w:hint="eastAsia" w:cs="仿宋_GB2312"/>
          <w:szCs w:val="24"/>
        </w:rPr>
        <w:t xml:space="preserve">1.若投标人为事业单位或其他组织或分支机构，则法定代表人（单位负责人）处的签署人可为单位负责人。 </w:t>
      </w:r>
    </w:p>
    <w:p w14:paraId="493F4BF2">
      <w:pPr>
        <w:ind w:firstLine="480" w:firstLineChars="200"/>
        <w:rPr>
          <w:rFonts w:hint="eastAsia" w:cs="仿宋_GB2312"/>
          <w:szCs w:val="24"/>
        </w:rPr>
      </w:pPr>
      <w:r>
        <w:rPr>
          <w:rFonts w:cs="仿宋_GB2312"/>
          <w:szCs w:val="24"/>
        </w:rPr>
        <w:t>2.</w:t>
      </w:r>
      <w:r>
        <w:rPr>
          <w:rFonts w:hint="eastAsia" w:cs="仿宋_GB2312"/>
          <w:szCs w:val="24"/>
        </w:rPr>
        <w:t xml:space="preserve">若投标文件中签字之处均为法定代表人（单位负责人）本人签署，则可不提供本《授权委托书》，但须提供《法定代表人（单位负责人）身份证明》。 </w:t>
      </w:r>
    </w:p>
    <w:p w14:paraId="1C515DA8">
      <w:pPr>
        <w:ind w:firstLine="480" w:firstLineChars="200"/>
        <w:rPr>
          <w:rFonts w:hint="eastAsia" w:cs="仿宋_GB2312"/>
          <w:szCs w:val="24"/>
        </w:rPr>
      </w:pPr>
      <w:r>
        <w:rPr>
          <w:rFonts w:cs="仿宋_GB2312"/>
          <w:szCs w:val="24"/>
        </w:rPr>
        <w:t>3.</w:t>
      </w:r>
      <w:r>
        <w:rPr>
          <w:rFonts w:hint="eastAsia" w:cs="仿宋_GB2312"/>
          <w:szCs w:val="24"/>
        </w:rPr>
        <w:t xml:space="preserve">投标人为自然人的情形，可不提供本《授权委托书》。 </w:t>
      </w:r>
    </w:p>
    <w:p w14:paraId="7882A83B">
      <w:pPr>
        <w:ind w:firstLine="480" w:firstLineChars="200"/>
        <w:rPr>
          <w:rFonts w:hint="eastAsia" w:cs="仿宋_GB2312"/>
          <w:szCs w:val="24"/>
        </w:rPr>
      </w:pPr>
      <w:r>
        <w:rPr>
          <w:rFonts w:cs="仿宋_GB2312"/>
          <w:szCs w:val="24"/>
        </w:rPr>
        <w:t>4.</w:t>
      </w:r>
      <w:r>
        <w:rPr>
          <w:rFonts w:hint="eastAsia" w:cs="仿宋_GB2312"/>
          <w:szCs w:val="24"/>
        </w:rPr>
        <w:t>投标人应随本《授权委托书》同时提供法定代表人（单位负责人）及委托代理人的有效的身份证、护照等身份证明文件电子件。提供身份证的，应同时提供身份证</w:t>
      </w:r>
      <w:r>
        <w:rPr>
          <w:rFonts w:hint="eastAsia" w:cs="仿宋_GB2312"/>
          <w:b/>
          <w:bCs/>
          <w:szCs w:val="24"/>
        </w:rPr>
        <w:t>双面</w:t>
      </w:r>
      <w:r>
        <w:rPr>
          <w:rFonts w:hint="eastAsia" w:cs="仿宋_GB2312"/>
          <w:szCs w:val="24"/>
        </w:rPr>
        <w:t>电子件。</w:t>
      </w:r>
    </w:p>
    <w:p w14:paraId="477CD419">
      <w:pPr>
        <w:pStyle w:val="4"/>
        <w:spacing w:before="100" w:after="100" w:line="360" w:lineRule="auto"/>
        <w:ind w:left="420" w:hanging="420"/>
        <w:jc w:val="center"/>
        <w:rPr>
          <w:rFonts w:hint="eastAsia"/>
        </w:rPr>
      </w:pPr>
      <w:bookmarkStart w:id="445" w:name="_Toc163492928"/>
      <w:bookmarkStart w:id="446" w:name="_Toc155185934"/>
      <w:bookmarkStart w:id="447" w:name="_Toc19287"/>
      <w:r>
        <w:rPr>
          <w:rFonts w:hint="eastAsia"/>
        </w:rPr>
        <w:t>四、</w:t>
      </w:r>
      <w:bookmarkEnd w:id="445"/>
      <w:bookmarkEnd w:id="446"/>
      <w:bookmarkStart w:id="448" w:name="_Toc163492929"/>
      <w:r>
        <w:rPr>
          <w:rFonts w:hint="eastAsia"/>
          <w:lang w:val="zh-CN"/>
        </w:rPr>
        <w:t>政府采购</w:t>
      </w:r>
      <w:r>
        <w:rPr>
          <w:rFonts w:hint="eastAsia"/>
        </w:rPr>
        <w:t>投标人</w:t>
      </w:r>
      <w:r>
        <w:rPr>
          <w:rFonts w:hint="eastAsia"/>
          <w:lang w:val="zh-CN"/>
        </w:rPr>
        <w:t>廉洁自律承诺书</w:t>
      </w:r>
      <w:bookmarkEnd w:id="447"/>
    </w:p>
    <w:p w14:paraId="1AE195E1">
      <w:pPr>
        <w:pStyle w:val="14"/>
        <w:rPr>
          <w:rFonts w:hint="eastAsia"/>
        </w:rPr>
      </w:pPr>
    </w:p>
    <w:p w14:paraId="5B3FA790">
      <w:pPr>
        <w:snapToGrid w:val="0"/>
        <w:rPr>
          <w:rFonts w:hint="eastAsia" w:cs="宋体"/>
          <w:kern w:val="0"/>
          <w:szCs w:val="24"/>
        </w:rPr>
      </w:pPr>
      <w:r>
        <w:rPr>
          <w:rFonts w:hint="eastAsia" w:cs="宋体"/>
          <w:szCs w:val="24"/>
        </w:rPr>
        <w:t>（采购人）、（采购代理机构）</w:t>
      </w:r>
      <w:r>
        <w:rPr>
          <w:rFonts w:hint="eastAsia" w:cs="宋体"/>
          <w:kern w:val="0"/>
          <w:szCs w:val="24"/>
          <w:lang w:val="zh-CN"/>
        </w:rPr>
        <w:t>：</w:t>
      </w:r>
    </w:p>
    <w:p w14:paraId="340C1C73">
      <w:pPr>
        <w:autoSpaceDE w:val="0"/>
        <w:autoSpaceDN w:val="0"/>
        <w:ind w:left="2" w:leftChars="1" w:firstLine="480" w:firstLineChars="200"/>
        <w:rPr>
          <w:rFonts w:hint="eastAsia" w:cs="宋体"/>
          <w:kern w:val="0"/>
          <w:szCs w:val="24"/>
          <w:lang w:val="zh-CN"/>
        </w:rPr>
      </w:pPr>
      <w:r>
        <w:rPr>
          <w:rFonts w:hint="eastAsia" w:cs="宋体"/>
          <w:kern w:val="0"/>
          <w:szCs w:val="24"/>
          <w:lang w:val="zh-CN"/>
        </w:rPr>
        <w:t>我单位响应你</w:t>
      </w:r>
      <w:r>
        <w:rPr>
          <w:rFonts w:hint="eastAsia" w:cs="宋体"/>
          <w:szCs w:val="24"/>
        </w:rPr>
        <w:t>单位</w:t>
      </w:r>
      <w:r>
        <w:rPr>
          <w:rFonts w:hint="eastAsia" w:cs="宋体"/>
          <w:kern w:val="0"/>
          <w:szCs w:val="24"/>
          <w:lang w:val="zh-CN"/>
        </w:rPr>
        <w:t>项目招标</w:t>
      </w:r>
      <w:r>
        <w:rPr>
          <w:rFonts w:hint="eastAsia" w:cs="宋体"/>
          <w:kern w:val="0"/>
          <w:szCs w:val="24"/>
        </w:rPr>
        <w:t>文件</w:t>
      </w:r>
      <w:r>
        <w:rPr>
          <w:rFonts w:hint="eastAsia" w:cs="宋体"/>
          <w:kern w:val="0"/>
          <w:szCs w:val="24"/>
          <w:lang w:val="zh-CN"/>
        </w:rPr>
        <w:t>要求参加投标。在这次投标过程中和中标后，我们将严格遵守国家法律法规要求，并郑重承诺：</w:t>
      </w:r>
    </w:p>
    <w:p w14:paraId="4FAC3926">
      <w:pPr>
        <w:autoSpaceDE w:val="0"/>
        <w:autoSpaceDN w:val="0"/>
        <w:ind w:left="2" w:leftChars="1" w:firstLine="480" w:firstLineChars="200"/>
        <w:rPr>
          <w:rFonts w:hint="eastAsia" w:cs="宋体"/>
          <w:kern w:val="0"/>
          <w:szCs w:val="24"/>
          <w:lang w:val="zh-CN"/>
        </w:rPr>
      </w:pPr>
      <w:r>
        <w:rPr>
          <w:rFonts w:hint="eastAsia" w:cs="宋体"/>
          <w:kern w:val="0"/>
          <w:szCs w:val="24"/>
          <w:lang w:val="zh-CN"/>
        </w:rPr>
        <w:t xml:space="preserve">一、不向项目有关人员及部门赠送礼金礼物、有价证券、回扣以及中介费、介绍费、咨询费等好处费； </w:t>
      </w:r>
    </w:p>
    <w:p w14:paraId="1D194AB0">
      <w:pPr>
        <w:autoSpaceDE w:val="0"/>
        <w:autoSpaceDN w:val="0"/>
        <w:ind w:left="2" w:leftChars="1" w:firstLine="480" w:firstLineChars="200"/>
        <w:rPr>
          <w:rFonts w:hint="eastAsia" w:cs="宋体"/>
          <w:kern w:val="0"/>
          <w:szCs w:val="24"/>
          <w:lang w:val="zh-CN"/>
        </w:rPr>
      </w:pPr>
      <w:r>
        <w:rPr>
          <w:rFonts w:hint="eastAsia" w:cs="宋体"/>
          <w:kern w:val="0"/>
          <w:szCs w:val="24"/>
          <w:lang w:val="zh-CN"/>
        </w:rPr>
        <w:t xml:space="preserve">二、不为项目有关人员及部门报销应由你方单位或个人支付的费用； </w:t>
      </w:r>
    </w:p>
    <w:p w14:paraId="6E52FA48">
      <w:pPr>
        <w:autoSpaceDE w:val="0"/>
        <w:autoSpaceDN w:val="0"/>
        <w:ind w:left="2" w:leftChars="1" w:firstLine="480" w:firstLineChars="200"/>
        <w:rPr>
          <w:rFonts w:hint="eastAsia" w:cs="宋体"/>
          <w:kern w:val="0"/>
          <w:szCs w:val="24"/>
          <w:lang w:val="zh-CN"/>
        </w:rPr>
      </w:pPr>
      <w:r>
        <w:rPr>
          <w:rFonts w:hint="eastAsia" w:cs="宋体"/>
          <w:kern w:val="0"/>
          <w:szCs w:val="24"/>
          <w:lang w:val="zh-CN"/>
        </w:rPr>
        <w:t>三、不向项目有关人员及部门提供有可能影响公正的宴请和健身娱乐等活动；</w:t>
      </w:r>
    </w:p>
    <w:p w14:paraId="00588CC7">
      <w:pPr>
        <w:autoSpaceDE w:val="0"/>
        <w:autoSpaceDN w:val="0"/>
        <w:ind w:left="2" w:leftChars="1" w:firstLine="480" w:firstLineChars="200"/>
        <w:rPr>
          <w:rFonts w:hint="eastAsia" w:cs="宋体"/>
          <w:kern w:val="0"/>
          <w:szCs w:val="24"/>
          <w:lang w:val="zh-CN"/>
        </w:rPr>
      </w:pPr>
      <w:r>
        <w:rPr>
          <w:rFonts w:hint="eastAsia" w:cs="宋体"/>
          <w:kern w:val="0"/>
          <w:szCs w:val="24"/>
          <w:lang w:val="zh-CN"/>
        </w:rPr>
        <w:t>四、不为项目有关人员及部门出国（境）、旅游等提供方便；</w:t>
      </w:r>
    </w:p>
    <w:p w14:paraId="601D6211">
      <w:pPr>
        <w:autoSpaceDE w:val="0"/>
        <w:autoSpaceDN w:val="0"/>
        <w:ind w:left="2" w:leftChars="1" w:firstLine="480" w:firstLineChars="200"/>
        <w:rPr>
          <w:rFonts w:hint="eastAsia" w:cs="宋体"/>
          <w:kern w:val="0"/>
          <w:szCs w:val="24"/>
          <w:lang w:val="zh-CN"/>
        </w:rPr>
      </w:pPr>
      <w:r>
        <w:rPr>
          <w:rFonts w:hint="eastAsia" w:cs="宋体"/>
          <w:kern w:val="0"/>
          <w:szCs w:val="24"/>
          <w:lang w:val="zh-CN"/>
        </w:rPr>
        <w:t>五、不为项目有关人员个人装修住房、婚丧嫁娶、配偶子女工作安排等提供好处；</w:t>
      </w:r>
    </w:p>
    <w:p w14:paraId="624813B8">
      <w:pPr>
        <w:autoSpaceDE w:val="0"/>
        <w:autoSpaceDN w:val="0"/>
        <w:ind w:left="2" w:leftChars="1" w:firstLine="480" w:firstLineChars="200"/>
        <w:rPr>
          <w:rFonts w:hint="eastAsia" w:cs="宋体"/>
          <w:kern w:val="0"/>
          <w:szCs w:val="24"/>
          <w:lang w:val="zh-CN"/>
        </w:rPr>
      </w:pPr>
      <w:r>
        <w:rPr>
          <w:rFonts w:hint="eastAsia" w:cs="宋体"/>
          <w:kern w:val="0"/>
          <w:szCs w:val="24"/>
          <w:lang w:val="zh-CN"/>
        </w:rPr>
        <w:t>六、严格遵守《中华人民共和国政府采购法》《中华人民共和国政府采购法</w:t>
      </w:r>
      <w:r>
        <w:rPr>
          <w:rFonts w:hint="eastAsia" w:cs="宋体"/>
          <w:kern w:val="0"/>
          <w:szCs w:val="24"/>
        </w:rPr>
        <w:t>实施条例</w:t>
      </w:r>
      <w:r>
        <w:rPr>
          <w:rFonts w:hint="eastAsia" w:cs="宋体"/>
          <w:kern w:val="0"/>
          <w:szCs w:val="24"/>
          <w:lang w:val="zh-CN"/>
        </w:rPr>
        <w:t xml:space="preserve">》《中华人民共和国民法典》等法律法规，诚实守信，合法经营，坚决抵制各种违法违纪行为。 </w:t>
      </w:r>
    </w:p>
    <w:p w14:paraId="02297781">
      <w:pPr>
        <w:autoSpaceDE w:val="0"/>
        <w:autoSpaceDN w:val="0"/>
        <w:ind w:left="2" w:leftChars="1" w:firstLine="480" w:firstLineChars="200"/>
        <w:rPr>
          <w:rFonts w:hint="eastAsia" w:cs="宋体"/>
          <w:kern w:val="0"/>
          <w:szCs w:val="24"/>
          <w:lang w:val="zh-CN"/>
        </w:rPr>
      </w:pPr>
      <w:r>
        <w:rPr>
          <w:rFonts w:hint="eastAsia" w:cs="宋体"/>
          <w:kern w:val="0"/>
          <w:szCs w:val="24"/>
          <w:lang w:val="zh-CN"/>
        </w:rPr>
        <w:t>如违反上述承诺，你单位有权立即取消我单位投标、中标或在建项目的建设资格，有权拒绝我单位在一定时期内进入你单位进行项目建设或其他经营活动，并通报</w:t>
      </w:r>
      <w:r>
        <w:rPr>
          <w:rFonts w:hint="eastAsia" w:cs="宋体"/>
          <w:kern w:val="0"/>
          <w:szCs w:val="24"/>
        </w:rPr>
        <w:t xml:space="preserve"> </w:t>
      </w:r>
      <w:r>
        <w:rPr>
          <w:rFonts w:hint="eastAsia" w:cs="宋体"/>
          <w:kern w:val="0"/>
          <w:szCs w:val="24"/>
          <w:lang w:val="zh-CN"/>
        </w:rPr>
        <w:t>财政局。由此引起的相应损失均由我单位承担。</w:t>
      </w:r>
    </w:p>
    <w:p w14:paraId="0BDA346F">
      <w:pPr>
        <w:autoSpaceDE w:val="0"/>
        <w:autoSpaceDN w:val="0"/>
        <w:ind w:left="2"/>
        <w:rPr>
          <w:rFonts w:hint="eastAsia" w:cs="宋体"/>
          <w:kern w:val="0"/>
          <w:szCs w:val="24"/>
          <w:lang w:val="zh-CN"/>
        </w:rPr>
      </w:pPr>
    </w:p>
    <w:p w14:paraId="4D1A2C04">
      <w:pPr>
        <w:autoSpaceDE w:val="0"/>
        <w:autoSpaceDN w:val="0"/>
        <w:ind w:left="2"/>
        <w:rPr>
          <w:rFonts w:hint="eastAsia" w:cs="宋体"/>
          <w:kern w:val="0"/>
          <w:szCs w:val="24"/>
          <w:lang w:val="zh-CN"/>
        </w:rPr>
      </w:pPr>
    </w:p>
    <w:p w14:paraId="00176DF0">
      <w:pPr>
        <w:autoSpaceDE w:val="0"/>
        <w:autoSpaceDN w:val="0"/>
        <w:ind w:left="2"/>
        <w:rPr>
          <w:rFonts w:hint="eastAsia" w:cs="宋体"/>
          <w:kern w:val="0"/>
          <w:szCs w:val="24"/>
          <w:lang w:val="zh-CN"/>
        </w:rPr>
      </w:pPr>
    </w:p>
    <w:p w14:paraId="1DE1483C">
      <w:pPr>
        <w:autoSpaceDE w:val="0"/>
        <w:autoSpaceDN w:val="0"/>
        <w:ind w:left="2" w:leftChars="1" w:right="1120" w:firstLine="4560" w:firstLineChars="1900"/>
        <w:rPr>
          <w:rFonts w:hint="eastAsia" w:cs="宋体"/>
          <w:kern w:val="0"/>
          <w:szCs w:val="24"/>
          <w:lang w:val="zh-CN"/>
        </w:rPr>
      </w:pPr>
      <w:r>
        <w:rPr>
          <w:rFonts w:hint="eastAsia" w:cs="宋体"/>
          <w:kern w:val="0"/>
          <w:szCs w:val="24"/>
          <w:lang w:val="zh-CN"/>
        </w:rPr>
        <w:t>投标人名称</w:t>
      </w:r>
      <w:r>
        <w:rPr>
          <w:rFonts w:hint="eastAsia" w:cs="仿宋_GB2312"/>
          <w:szCs w:val="24"/>
        </w:rPr>
        <w:t>（</w:t>
      </w:r>
      <w:r>
        <w:rPr>
          <w:rFonts w:hint="eastAsia" w:cs="宋体"/>
          <w:kern w:val="0"/>
          <w:szCs w:val="24"/>
        </w:rPr>
        <w:t>公章）</w:t>
      </w:r>
      <w:r>
        <w:rPr>
          <w:rFonts w:hint="eastAsia" w:cs="宋体"/>
          <w:kern w:val="0"/>
          <w:szCs w:val="24"/>
          <w:lang w:val="zh-CN"/>
        </w:rPr>
        <w:t xml:space="preserve">：                                                                                                                                                                                                               </w:t>
      </w:r>
    </w:p>
    <w:p w14:paraId="669CFA8A">
      <w:pPr>
        <w:ind w:firstLine="4560" w:firstLineChars="1900"/>
        <w:rPr>
          <w:rFonts w:hint="eastAsia" w:asciiTheme="majorHAnsi" w:hAnsiTheme="majorHAnsi" w:cstheme="majorBidi"/>
          <w:b/>
          <w:bCs/>
          <w:szCs w:val="24"/>
        </w:rPr>
      </w:pPr>
      <w:r>
        <w:rPr>
          <w:rFonts w:hint="eastAsia" w:cs="宋体"/>
          <w:kern w:val="0"/>
          <w:szCs w:val="24"/>
          <w:lang w:val="zh-CN"/>
        </w:rPr>
        <w:t>日期</w:t>
      </w:r>
      <w:r>
        <w:rPr>
          <w:rFonts w:hint="eastAsia" w:cs="宋体"/>
          <w:kern w:val="0"/>
          <w:szCs w:val="24"/>
        </w:rPr>
        <w:t>：</w:t>
      </w:r>
      <w:r>
        <w:rPr>
          <w:rFonts w:hint="eastAsia" w:cs="宋体"/>
          <w:kern w:val="0"/>
          <w:szCs w:val="24"/>
          <w:lang w:val="zh-CN"/>
        </w:rPr>
        <w:t xml:space="preserve">   年   月   日</w:t>
      </w:r>
    </w:p>
    <w:p w14:paraId="2F447852">
      <w:pPr>
        <w:rPr>
          <w:rFonts w:hint="eastAsia" w:asciiTheme="majorHAnsi" w:hAnsiTheme="majorHAnsi" w:cstheme="majorBidi"/>
          <w:b/>
          <w:bCs/>
          <w:szCs w:val="24"/>
        </w:rPr>
      </w:pPr>
    </w:p>
    <w:p w14:paraId="70C8A2C0">
      <w:pPr>
        <w:pStyle w:val="14"/>
        <w:rPr>
          <w:rFonts w:hint="eastAsia" w:eastAsia="宋体" w:asciiTheme="majorHAnsi" w:hAnsiTheme="majorHAnsi" w:cstheme="majorBidi"/>
          <w:b/>
          <w:bCs/>
          <w:sz w:val="24"/>
        </w:rPr>
      </w:pPr>
    </w:p>
    <w:p w14:paraId="5C188C18">
      <w:pPr>
        <w:pStyle w:val="14"/>
        <w:rPr>
          <w:rFonts w:hint="eastAsia" w:eastAsia="宋体" w:asciiTheme="majorHAnsi" w:hAnsiTheme="majorHAnsi" w:cstheme="majorBidi"/>
          <w:b/>
          <w:bCs/>
          <w:sz w:val="24"/>
        </w:rPr>
      </w:pPr>
    </w:p>
    <w:p w14:paraId="34C367BC">
      <w:pPr>
        <w:pStyle w:val="4"/>
        <w:spacing w:before="100" w:after="100" w:line="360" w:lineRule="auto"/>
        <w:ind w:left="420" w:hanging="420"/>
        <w:jc w:val="center"/>
        <w:rPr>
          <w:rFonts w:hint="eastAsia"/>
        </w:rPr>
      </w:pPr>
      <w:bookmarkStart w:id="449" w:name="_Toc23064"/>
      <w:r>
        <w:rPr>
          <w:rFonts w:hint="eastAsia"/>
        </w:rPr>
        <w:t>五、</w:t>
      </w:r>
      <w:r>
        <w:rPr>
          <w:rFonts w:hint="eastAsia"/>
          <w:lang w:val="zh-CN"/>
        </w:rPr>
        <w:t>实质性响应一览表【</w:t>
      </w:r>
      <w:r>
        <w:rPr>
          <w:rFonts w:hint="eastAsia"/>
        </w:rPr>
        <w:t>本表须与第五章的一致】</w:t>
      </w:r>
      <w:bookmarkEnd w:id="449"/>
    </w:p>
    <w:p w14:paraId="476F6A2B">
      <w:pPr>
        <w:shd w:val="clear" w:color="auto" w:fill="FFFFFF"/>
        <w:tabs>
          <w:tab w:val="left" w:pos="3045"/>
        </w:tabs>
        <w:autoSpaceDE w:val="0"/>
        <w:autoSpaceDN w:val="0"/>
        <w:adjustRightInd w:val="0"/>
        <w:snapToGrid w:val="0"/>
        <w:spacing w:line="360" w:lineRule="exact"/>
        <w:jc w:val="center"/>
        <w:rPr>
          <w:rFonts w:hint="eastAsia" w:cs="宋体"/>
          <w:bCs/>
        </w:rPr>
      </w:pPr>
      <w:r>
        <w:rPr>
          <w:rFonts w:hint="eastAsia" w:cs="宋体"/>
          <w:bCs/>
        </w:rPr>
        <w:t>（投标人须对本附表所有内容逐条响应且无负偏离，否则其</w:t>
      </w:r>
      <w:r>
        <w:rPr>
          <w:rFonts w:hint="eastAsia" w:cs="宋体"/>
          <w:b/>
        </w:rPr>
        <w:t>投标无效</w:t>
      </w:r>
      <w:r>
        <w:rPr>
          <w:rFonts w:hint="eastAsia" w:cs="宋体"/>
          <w:bCs/>
        </w:rPr>
        <w:t>）</w:t>
      </w:r>
    </w:p>
    <w:p w14:paraId="1848C96B">
      <w:pPr>
        <w:pStyle w:val="24"/>
        <w:rPr>
          <w:rFonts w:hint="eastAsia" w:cs="宋体"/>
        </w:rPr>
      </w:pPr>
    </w:p>
    <w:tbl>
      <w:tblPr>
        <w:tblStyle w:val="30"/>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991"/>
        <w:gridCol w:w="3746"/>
        <w:gridCol w:w="1955"/>
        <w:gridCol w:w="922"/>
      </w:tblGrid>
      <w:tr w14:paraId="264C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vAlign w:val="center"/>
          </w:tcPr>
          <w:p w14:paraId="3B63C086">
            <w:pPr>
              <w:spacing w:line="360" w:lineRule="exact"/>
              <w:jc w:val="center"/>
              <w:rPr>
                <w:rFonts w:hint="eastAsia" w:cs="宋体"/>
                <w:szCs w:val="24"/>
              </w:rPr>
            </w:pPr>
            <w:r>
              <w:rPr>
                <w:rFonts w:hint="eastAsia" w:cs="宋体"/>
                <w:szCs w:val="24"/>
              </w:rPr>
              <w:t>序号</w:t>
            </w:r>
          </w:p>
        </w:tc>
        <w:tc>
          <w:tcPr>
            <w:tcW w:w="3178" w:type="pct"/>
            <w:gridSpan w:val="2"/>
            <w:vAlign w:val="center"/>
          </w:tcPr>
          <w:p w14:paraId="7CDDA66C">
            <w:pPr>
              <w:spacing w:line="360" w:lineRule="exact"/>
              <w:jc w:val="center"/>
              <w:rPr>
                <w:rFonts w:hint="eastAsia" w:cs="宋体"/>
                <w:szCs w:val="24"/>
              </w:rPr>
            </w:pPr>
            <w:r>
              <w:rPr>
                <w:rFonts w:hint="eastAsia" w:cs="宋体"/>
                <w:szCs w:val="24"/>
              </w:rPr>
              <w:t>招标文件要求的实质性响应内容</w:t>
            </w:r>
          </w:p>
        </w:tc>
        <w:tc>
          <w:tcPr>
            <w:tcW w:w="1083" w:type="pct"/>
            <w:vMerge w:val="restart"/>
            <w:vAlign w:val="center"/>
          </w:tcPr>
          <w:p w14:paraId="5E4683F4">
            <w:pPr>
              <w:spacing w:line="360" w:lineRule="exact"/>
              <w:jc w:val="center"/>
              <w:rPr>
                <w:rFonts w:hint="eastAsia" w:cs="宋体"/>
                <w:szCs w:val="24"/>
              </w:rPr>
            </w:pPr>
            <w:r>
              <w:rPr>
                <w:rFonts w:hint="eastAsia" w:cs="宋体"/>
                <w:szCs w:val="24"/>
              </w:rPr>
              <w:t>投标文件响应的具体内容</w:t>
            </w:r>
          </w:p>
        </w:tc>
        <w:tc>
          <w:tcPr>
            <w:tcW w:w="511" w:type="pct"/>
            <w:vMerge w:val="restart"/>
            <w:vAlign w:val="center"/>
          </w:tcPr>
          <w:p w14:paraId="52411842">
            <w:pPr>
              <w:spacing w:line="360" w:lineRule="exact"/>
              <w:jc w:val="center"/>
              <w:rPr>
                <w:rFonts w:hint="eastAsia" w:cs="宋体"/>
                <w:szCs w:val="24"/>
              </w:rPr>
            </w:pPr>
            <w:r>
              <w:rPr>
                <w:rFonts w:hint="eastAsia" w:cs="宋体"/>
                <w:szCs w:val="24"/>
              </w:rPr>
              <w:t>备注</w:t>
            </w:r>
          </w:p>
        </w:tc>
      </w:tr>
      <w:tr w14:paraId="3BD7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vAlign w:val="center"/>
          </w:tcPr>
          <w:p w14:paraId="5E594435">
            <w:pPr>
              <w:spacing w:line="360" w:lineRule="exact"/>
              <w:jc w:val="center"/>
              <w:rPr>
                <w:rFonts w:hint="eastAsia" w:cs="宋体"/>
                <w:szCs w:val="24"/>
              </w:rPr>
            </w:pPr>
          </w:p>
        </w:tc>
        <w:tc>
          <w:tcPr>
            <w:tcW w:w="1103" w:type="pct"/>
            <w:vAlign w:val="center"/>
          </w:tcPr>
          <w:p w14:paraId="219A98A5">
            <w:pPr>
              <w:spacing w:line="360" w:lineRule="exact"/>
              <w:jc w:val="center"/>
              <w:rPr>
                <w:rFonts w:hint="eastAsia" w:cs="宋体"/>
                <w:szCs w:val="24"/>
              </w:rPr>
            </w:pPr>
            <w:r>
              <w:rPr>
                <w:rFonts w:hint="eastAsia" w:cs="宋体"/>
                <w:szCs w:val="24"/>
              </w:rPr>
              <w:t>实质性要求</w:t>
            </w:r>
          </w:p>
        </w:tc>
        <w:tc>
          <w:tcPr>
            <w:tcW w:w="2074" w:type="pct"/>
            <w:vAlign w:val="center"/>
          </w:tcPr>
          <w:p w14:paraId="42DEC14A">
            <w:pPr>
              <w:spacing w:line="360" w:lineRule="exact"/>
              <w:jc w:val="center"/>
              <w:rPr>
                <w:rFonts w:hint="eastAsia" w:cs="宋体"/>
                <w:szCs w:val="24"/>
              </w:rPr>
            </w:pPr>
            <w:r>
              <w:rPr>
                <w:rFonts w:hint="eastAsia" w:cs="宋体"/>
                <w:szCs w:val="24"/>
              </w:rPr>
              <w:t>招标文件中的规定</w:t>
            </w:r>
          </w:p>
        </w:tc>
        <w:tc>
          <w:tcPr>
            <w:tcW w:w="1083" w:type="pct"/>
            <w:vMerge w:val="continue"/>
            <w:vAlign w:val="center"/>
          </w:tcPr>
          <w:p w14:paraId="76AA1B6E">
            <w:pPr>
              <w:spacing w:line="360" w:lineRule="exact"/>
              <w:jc w:val="center"/>
              <w:rPr>
                <w:rFonts w:hint="eastAsia" w:cs="宋体"/>
                <w:szCs w:val="24"/>
              </w:rPr>
            </w:pPr>
          </w:p>
        </w:tc>
        <w:tc>
          <w:tcPr>
            <w:tcW w:w="511" w:type="pct"/>
            <w:vMerge w:val="continue"/>
            <w:vAlign w:val="center"/>
          </w:tcPr>
          <w:p w14:paraId="76EB4C36">
            <w:pPr>
              <w:spacing w:line="360" w:lineRule="exact"/>
              <w:jc w:val="center"/>
              <w:rPr>
                <w:rFonts w:hint="eastAsia" w:cs="宋体"/>
                <w:szCs w:val="24"/>
              </w:rPr>
            </w:pPr>
          </w:p>
        </w:tc>
      </w:tr>
      <w:tr w14:paraId="64C5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59433D44">
            <w:pPr>
              <w:spacing w:line="360" w:lineRule="exact"/>
              <w:jc w:val="center"/>
              <w:rPr>
                <w:rFonts w:hint="eastAsia" w:cs="宋体"/>
                <w:szCs w:val="24"/>
              </w:rPr>
            </w:pPr>
            <w:r>
              <w:rPr>
                <w:rFonts w:hint="eastAsia" w:cs="宋体"/>
                <w:szCs w:val="24"/>
              </w:rPr>
              <w:t>1</w:t>
            </w:r>
          </w:p>
        </w:tc>
        <w:tc>
          <w:tcPr>
            <w:tcW w:w="1103" w:type="pct"/>
            <w:vAlign w:val="center"/>
          </w:tcPr>
          <w:p w14:paraId="03923006">
            <w:pPr>
              <w:spacing w:line="360" w:lineRule="exact"/>
              <w:rPr>
                <w:rFonts w:hint="eastAsia" w:cs="宋体"/>
                <w:szCs w:val="24"/>
              </w:rPr>
            </w:pPr>
          </w:p>
        </w:tc>
        <w:tc>
          <w:tcPr>
            <w:tcW w:w="2074" w:type="pct"/>
            <w:vAlign w:val="center"/>
          </w:tcPr>
          <w:p w14:paraId="1A491340">
            <w:pPr>
              <w:shd w:val="clear" w:color="auto" w:fill="FFFFFF"/>
              <w:autoSpaceDE w:val="0"/>
              <w:autoSpaceDN w:val="0"/>
              <w:spacing w:line="360" w:lineRule="exact"/>
              <w:rPr>
                <w:rFonts w:hint="eastAsia" w:cs="宋体"/>
                <w:szCs w:val="24"/>
              </w:rPr>
            </w:pPr>
          </w:p>
        </w:tc>
        <w:tc>
          <w:tcPr>
            <w:tcW w:w="1083" w:type="pct"/>
            <w:vAlign w:val="center"/>
          </w:tcPr>
          <w:p w14:paraId="00743327">
            <w:pPr>
              <w:spacing w:line="360" w:lineRule="exact"/>
              <w:rPr>
                <w:rFonts w:hint="eastAsia" w:cs="宋体"/>
                <w:szCs w:val="24"/>
              </w:rPr>
            </w:pPr>
          </w:p>
        </w:tc>
        <w:tc>
          <w:tcPr>
            <w:tcW w:w="511" w:type="pct"/>
            <w:vAlign w:val="center"/>
          </w:tcPr>
          <w:p w14:paraId="04DB1BCA">
            <w:pPr>
              <w:spacing w:line="360" w:lineRule="exact"/>
              <w:rPr>
                <w:rFonts w:hint="eastAsia" w:cs="宋体"/>
                <w:szCs w:val="24"/>
              </w:rPr>
            </w:pPr>
          </w:p>
        </w:tc>
      </w:tr>
      <w:tr w14:paraId="667F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12438396">
            <w:pPr>
              <w:spacing w:line="360" w:lineRule="exact"/>
              <w:jc w:val="center"/>
              <w:rPr>
                <w:rFonts w:hint="eastAsia" w:cs="宋体"/>
                <w:szCs w:val="24"/>
              </w:rPr>
            </w:pPr>
            <w:r>
              <w:rPr>
                <w:rFonts w:hint="eastAsia" w:cs="宋体"/>
                <w:szCs w:val="24"/>
              </w:rPr>
              <w:t>2</w:t>
            </w:r>
          </w:p>
        </w:tc>
        <w:tc>
          <w:tcPr>
            <w:tcW w:w="1103" w:type="pct"/>
            <w:vAlign w:val="center"/>
          </w:tcPr>
          <w:p w14:paraId="431BC7BE">
            <w:pPr>
              <w:spacing w:line="360" w:lineRule="exact"/>
              <w:rPr>
                <w:rFonts w:hint="eastAsia" w:cs="宋体"/>
                <w:szCs w:val="24"/>
              </w:rPr>
            </w:pPr>
          </w:p>
        </w:tc>
        <w:tc>
          <w:tcPr>
            <w:tcW w:w="2074" w:type="pct"/>
            <w:vAlign w:val="center"/>
          </w:tcPr>
          <w:p w14:paraId="1BCA8AFC">
            <w:pPr>
              <w:shd w:val="clear" w:color="auto" w:fill="FFFFFF"/>
              <w:autoSpaceDE w:val="0"/>
              <w:autoSpaceDN w:val="0"/>
              <w:spacing w:line="360" w:lineRule="exact"/>
              <w:rPr>
                <w:rFonts w:hint="eastAsia" w:cs="宋体"/>
                <w:szCs w:val="24"/>
              </w:rPr>
            </w:pPr>
          </w:p>
        </w:tc>
        <w:tc>
          <w:tcPr>
            <w:tcW w:w="1083" w:type="pct"/>
            <w:vAlign w:val="center"/>
          </w:tcPr>
          <w:p w14:paraId="4442998C">
            <w:pPr>
              <w:spacing w:line="360" w:lineRule="exact"/>
              <w:rPr>
                <w:rFonts w:hint="eastAsia" w:cs="宋体"/>
                <w:szCs w:val="24"/>
              </w:rPr>
            </w:pPr>
          </w:p>
        </w:tc>
        <w:tc>
          <w:tcPr>
            <w:tcW w:w="511" w:type="pct"/>
            <w:vAlign w:val="center"/>
          </w:tcPr>
          <w:p w14:paraId="4A096BF2">
            <w:pPr>
              <w:spacing w:line="360" w:lineRule="exact"/>
              <w:rPr>
                <w:rFonts w:hint="eastAsia" w:cs="宋体"/>
                <w:szCs w:val="24"/>
              </w:rPr>
            </w:pPr>
          </w:p>
        </w:tc>
      </w:tr>
      <w:tr w14:paraId="24AA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320F1A23">
            <w:pPr>
              <w:spacing w:line="360" w:lineRule="exact"/>
              <w:jc w:val="center"/>
              <w:rPr>
                <w:rFonts w:hint="eastAsia" w:cs="宋体"/>
                <w:szCs w:val="24"/>
              </w:rPr>
            </w:pPr>
            <w:r>
              <w:rPr>
                <w:rFonts w:hint="eastAsia" w:cs="宋体"/>
                <w:szCs w:val="24"/>
              </w:rPr>
              <w:t>3</w:t>
            </w:r>
          </w:p>
        </w:tc>
        <w:tc>
          <w:tcPr>
            <w:tcW w:w="1103" w:type="pct"/>
            <w:vAlign w:val="center"/>
          </w:tcPr>
          <w:p w14:paraId="086A8A2F">
            <w:pPr>
              <w:pStyle w:val="51"/>
              <w:rPr>
                <w:rFonts w:hint="eastAsia" w:cs="宋体"/>
                <w:szCs w:val="24"/>
              </w:rPr>
            </w:pPr>
          </w:p>
        </w:tc>
        <w:tc>
          <w:tcPr>
            <w:tcW w:w="2074" w:type="pct"/>
            <w:vAlign w:val="center"/>
          </w:tcPr>
          <w:p w14:paraId="7A43DBE7">
            <w:pPr>
              <w:pStyle w:val="51"/>
              <w:rPr>
                <w:rFonts w:hint="eastAsia" w:cs="宋体"/>
                <w:szCs w:val="24"/>
              </w:rPr>
            </w:pPr>
          </w:p>
        </w:tc>
        <w:tc>
          <w:tcPr>
            <w:tcW w:w="1083" w:type="pct"/>
            <w:vAlign w:val="center"/>
          </w:tcPr>
          <w:p w14:paraId="18581AEA">
            <w:pPr>
              <w:spacing w:line="360" w:lineRule="exact"/>
              <w:rPr>
                <w:rFonts w:hint="eastAsia" w:cs="宋体"/>
                <w:szCs w:val="24"/>
              </w:rPr>
            </w:pPr>
          </w:p>
        </w:tc>
        <w:tc>
          <w:tcPr>
            <w:tcW w:w="511" w:type="pct"/>
            <w:vAlign w:val="center"/>
          </w:tcPr>
          <w:p w14:paraId="070D4F5D">
            <w:pPr>
              <w:spacing w:line="360" w:lineRule="exact"/>
              <w:rPr>
                <w:rFonts w:hint="eastAsia" w:cs="宋体"/>
                <w:szCs w:val="24"/>
              </w:rPr>
            </w:pPr>
          </w:p>
        </w:tc>
      </w:tr>
      <w:tr w14:paraId="742F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364333EF">
            <w:pPr>
              <w:spacing w:line="360" w:lineRule="exact"/>
              <w:jc w:val="center"/>
              <w:rPr>
                <w:rFonts w:hint="eastAsia" w:cs="宋体"/>
                <w:szCs w:val="24"/>
              </w:rPr>
            </w:pPr>
            <w:r>
              <w:rPr>
                <w:rFonts w:hint="eastAsia" w:cs="宋体"/>
                <w:szCs w:val="24"/>
              </w:rPr>
              <w:t>4</w:t>
            </w:r>
          </w:p>
        </w:tc>
        <w:tc>
          <w:tcPr>
            <w:tcW w:w="1103" w:type="pct"/>
            <w:vAlign w:val="center"/>
          </w:tcPr>
          <w:p w14:paraId="4B2C2F57">
            <w:pPr>
              <w:pStyle w:val="51"/>
              <w:rPr>
                <w:rFonts w:hint="eastAsia" w:cs="宋体"/>
                <w:szCs w:val="24"/>
              </w:rPr>
            </w:pPr>
          </w:p>
        </w:tc>
        <w:tc>
          <w:tcPr>
            <w:tcW w:w="2074" w:type="pct"/>
            <w:vAlign w:val="center"/>
          </w:tcPr>
          <w:p w14:paraId="7920FC70">
            <w:pPr>
              <w:pStyle w:val="51"/>
              <w:rPr>
                <w:rFonts w:hint="eastAsia" w:cs="宋体"/>
                <w:szCs w:val="24"/>
              </w:rPr>
            </w:pPr>
          </w:p>
        </w:tc>
        <w:tc>
          <w:tcPr>
            <w:tcW w:w="1083" w:type="pct"/>
            <w:vAlign w:val="center"/>
          </w:tcPr>
          <w:p w14:paraId="01813ABE">
            <w:pPr>
              <w:spacing w:line="360" w:lineRule="exact"/>
              <w:rPr>
                <w:rFonts w:hint="eastAsia" w:cs="宋体"/>
                <w:szCs w:val="24"/>
              </w:rPr>
            </w:pPr>
          </w:p>
        </w:tc>
        <w:tc>
          <w:tcPr>
            <w:tcW w:w="511" w:type="pct"/>
            <w:vAlign w:val="center"/>
          </w:tcPr>
          <w:p w14:paraId="55B74DC9">
            <w:pPr>
              <w:spacing w:line="360" w:lineRule="exact"/>
              <w:rPr>
                <w:rFonts w:hint="eastAsia" w:cs="宋体"/>
                <w:szCs w:val="24"/>
              </w:rPr>
            </w:pPr>
          </w:p>
        </w:tc>
      </w:tr>
      <w:tr w14:paraId="546B9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6D758C88">
            <w:pPr>
              <w:spacing w:line="360" w:lineRule="exact"/>
              <w:jc w:val="center"/>
              <w:rPr>
                <w:rFonts w:hint="eastAsia" w:cs="宋体"/>
                <w:szCs w:val="24"/>
              </w:rPr>
            </w:pPr>
            <w:r>
              <w:rPr>
                <w:rFonts w:hint="eastAsia" w:cs="宋体"/>
                <w:szCs w:val="24"/>
              </w:rPr>
              <w:t>5</w:t>
            </w:r>
          </w:p>
        </w:tc>
        <w:tc>
          <w:tcPr>
            <w:tcW w:w="1103" w:type="pct"/>
            <w:vAlign w:val="center"/>
          </w:tcPr>
          <w:p w14:paraId="519D29D4">
            <w:pPr>
              <w:spacing w:line="360" w:lineRule="exact"/>
              <w:rPr>
                <w:rFonts w:hint="eastAsia" w:cs="宋体"/>
                <w:szCs w:val="24"/>
              </w:rPr>
            </w:pPr>
            <w:r>
              <w:rPr>
                <w:rFonts w:hint="eastAsia" w:cs="宋体"/>
                <w:szCs w:val="24"/>
                <w:lang w:val="zh-CN"/>
              </w:rPr>
              <w:t>……</w:t>
            </w:r>
          </w:p>
        </w:tc>
        <w:tc>
          <w:tcPr>
            <w:tcW w:w="2074" w:type="pct"/>
            <w:vAlign w:val="center"/>
          </w:tcPr>
          <w:p w14:paraId="155A7D90">
            <w:pPr>
              <w:pStyle w:val="76"/>
              <w:shd w:val="clear" w:color="auto" w:fill="FFFFFF"/>
              <w:spacing w:line="360" w:lineRule="exact"/>
              <w:ind w:firstLine="0" w:firstLineChars="0"/>
              <w:rPr>
                <w:rFonts w:hint="eastAsia" w:ascii="宋体" w:eastAsia="宋体" w:cs="宋体"/>
                <w:sz w:val="24"/>
                <w:szCs w:val="24"/>
              </w:rPr>
            </w:pPr>
          </w:p>
        </w:tc>
        <w:tc>
          <w:tcPr>
            <w:tcW w:w="1083" w:type="pct"/>
            <w:vAlign w:val="center"/>
          </w:tcPr>
          <w:p w14:paraId="4B8FC518">
            <w:pPr>
              <w:spacing w:line="360" w:lineRule="exact"/>
              <w:rPr>
                <w:rFonts w:hint="eastAsia" w:cs="宋体"/>
                <w:szCs w:val="24"/>
              </w:rPr>
            </w:pPr>
          </w:p>
        </w:tc>
        <w:tc>
          <w:tcPr>
            <w:tcW w:w="511" w:type="pct"/>
            <w:vAlign w:val="center"/>
          </w:tcPr>
          <w:p w14:paraId="65890401">
            <w:pPr>
              <w:spacing w:line="360" w:lineRule="exact"/>
              <w:rPr>
                <w:rFonts w:hint="eastAsia" w:cs="宋体"/>
                <w:szCs w:val="24"/>
              </w:rPr>
            </w:pPr>
          </w:p>
        </w:tc>
      </w:tr>
      <w:tr w14:paraId="6724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3E60667F">
            <w:pPr>
              <w:spacing w:line="360" w:lineRule="exact"/>
              <w:jc w:val="center"/>
              <w:rPr>
                <w:rFonts w:hint="eastAsia" w:cs="宋体"/>
                <w:szCs w:val="24"/>
              </w:rPr>
            </w:pPr>
            <w:r>
              <w:rPr>
                <w:rFonts w:hint="eastAsia" w:cs="宋体"/>
                <w:szCs w:val="24"/>
              </w:rPr>
              <w:t>6</w:t>
            </w:r>
          </w:p>
        </w:tc>
        <w:tc>
          <w:tcPr>
            <w:tcW w:w="1103" w:type="pct"/>
            <w:vAlign w:val="center"/>
          </w:tcPr>
          <w:p w14:paraId="1348E69D">
            <w:pPr>
              <w:spacing w:line="360" w:lineRule="exact"/>
              <w:rPr>
                <w:rFonts w:hint="eastAsia" w:cs="宋体"/>
                <w:szCs w:val="24"/>
              </w:rPr>
            </w:pPr>
            <w:r>
              <w:rPr>
                <w:rFonts w:hint="eastAsia" w:cs="宋体"/>
                <w:szCs w:val="24"/>
                <w:lang w:val="zh-CN"/>
              </w:rPr>
              <w:t>……</w:t>
            </w:r>
          </w:p>
        </w:tc>
        <w:tc>
          <w:tcPr>
            <w:tcW w:w="2074" w:type="pct"/>
            <w:vAlign w:val="center"/>
          </w:tcPr>
          <w:p w14:paraId="6EC3CBA8">
            <w:pPr>
              <w:spacing w:line="360" w:lineRule="exact"/>
              <w:rPr>
                <w:rFonts w:hint="eastAsia" w:cs="宋体"/>
                <w:szCs w:val="24"/>
              </w:rPr>
            </w:pPr>
          </w:p>
        </w:tc>
        <w:tc>
          <w:tcPr>
            <w:tcW w:w="1083" w:type="pct"/>
            <w:vAlign w:val="center"/>
          </w:tcPr>
          <w:p w14:paraId="6868D5D4">
            <w:pPr>
              <w:spacing w:line="360" w:lineRule="exact"/>
              <w:rPr>
                <w:rFonts w:hint="eastAsia" w:cs="宋体"/>
                <w:szCs w:val="24"/>
              </w:rPr>
            </w:pPr>
          </w:p>
        </w:tc>
        <w:tc>
          <w:tcPr>
            <w:tcW w:w="511" w:type="pct"/>
            <w:vAlign w:val="center"/>
          </w:tcPr>
          <w:p w14:paraId="18E01224">
            <w:pPr>
              <w:spacing w:line="360" w:lineRule="exact"/>
              <w:rPr>
                <w:rFonts w:hint="eastAsia" w:cs="宋体"/>
                <w:szCs w:val="24"/>
              </w:rPr>
            </w:pPr>
          </w:p>
        </w:tc>
      </w:tr>
      <w:tr w14:paraId="0FB5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041B0C26">
            <w:pPr>
              <w:spacing w:line="360" w:lineRule="exact"/>
              <w:jc w:val="center"/>
              <w:rPr>
                <w:rFonts w:hint="eastAsia" w:cs="宋体"/>
                <w:szCs w:val="24"/>
              </w:rPr>
            </w:pPr>
            <w:r>
              <w:rPr>
                <w:rFonts w:hint="eastAsia" w:cs="宋体"/>
                <w:szCs w:val="24"/>
              </w:rPr>
              <w:t>7</w:t>
            </w:r>
          </w:p>
        </w:tc>
        <w:tc>
          <w:tcPr>
            <w:tcW w:w="1103" w:type="pct"/>
            <w:vAlign w:val="center"/>
          </w:tcPr>
          <w:p w14:paraId="1CADC45B">
            <w:pPr>
              <w:spacing w:line="360" w:lineRule="exact"/>
              <w:rPr>
                <w:rFonts w:hint="eastAsia" w:cs="宋体"/>
                <w:szCs w:val="24"/>
              </w:rPr>
            </w:pPr>
            <w:r>
              <w:rPr>
                <w:rFonts w:hint="eastAsia" w:cs="宋体"/>
                <w:szCs w:val="24"/>
                <w:lang w:val="zh-CN"/>
              </w:rPr>
              <w:t>……</w:t>
            </w:r>
          </w:p>
        </w:tc>
        <w:tc>
          <w:tcPr>
            <w:tcW w:w="2074" w:type="pct"/>
            <w:vAlign w:val="center"/>
          </w:tcPr>
          <w:p w14:paraId="51529386">
            <w:pPr>
              <w:shd w:val="clear" w:color="auto" w:fill="FFFFFF"/>
              <w:spacing w:line="400" w:lineRule="atLeast"/>
              <w:rPr>
                <w:rFonts w:hint="eastAsia" w:cs="宋体"/>
                <w:szCs w:val="24"/>
              </w:rPr>
            </w:pPr>
          </w:p>
        </w:tc>
        <w:tc>
          <w:tcPr>
            <w:tcW w:w="1083" w:type="pct"/>
            <w:vAlign w:val="center"/>
          </w:tcPr>
          <w:p w14:paraId="67F26BEC">
            <w:pPr>
              <w:spacing w:line="360" w:lineRule="exact"/>
              <w:rPr>
                <w:rFonts w:hint="eastAsia" w:cs="宋体"/>
                <w:szCs w:val="24"/>
              </w:rPr>
            </w:pPr>
          </w:p>
        </w:tc>
        <w:tc>
          <w:tcPr>
            <w:tcW w:w="511" w:type="pct"/>
            <w:vAlign w:val="center"/>
          </w:tcPr>
          <w:p w14:paraId="5A231A52">
            <w:pPr>
              <w:spacing w:line="360" w:lineRule="exact"/>
              <w:rPr>
                <w:rFonts w:hint="eastAsia" w:cs="宋体"/>
                <w:szCs w:val="24"/>
              </w:rPr>
            </w:pPr>
          </w:p>
        </w:tc>
      </w:tr>
      <w:tr w14:paraId="1058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43797BD3">
            <w:pPr>
              <w:spacing w:line="360" w:lineRule="exact"/>
              <w:jc w:val="center"/>
              <w:rPr>
                <w:rFonts w:hint="eastAsia" w:cs="宋体"/>
                <w:szCs w:val="24"/>
              </w:rPr>
            </w:pPr>
          </w:p>
        </w:tc>
        <w:tc>
          <w:tcPr>
            <w:tcW w:w="1103" w:type="pct"/>
            <w:vAlign w:val="center"/>
          </w:tcPr>
          <w:p w14:paraId="26902E9D">
            <w:pPr>
              <w:spacing w:line="360" w:lineRule="exact"/>
              <w:rPr>
                <w:rFonts w:hint="eastAsia" w:cs="宋体"/>
                <w:szCs w:val="24"/>
                <w:lang w:val="zh-CN"/>
              </w:rPr>
            </w:pPr>
            <w:r>
              <w:rPr>
                <w:rFonts w:hint="eastAsia" w:cs="宋体"/>
                <w:szCs w:val="24"/>
                <w:lang w:val="zh-CN"/>
              </w:rPr>
              <w:t>……</w:t>
            </w:r>
          </w:p>
        </w:tc>
        <w:tc>
          <w:tcPr>
            <w:tcW w:w="2074" w:type="pct"/>
            <w:vAlign w:val="center"/>
          </w:tcPr>
          <w:p w14:paraId="0458F22A">
            <w:pPr>
              <w:spacing w:line="400" w:lineRule="exact"/>
              <w:rPr>
                <w:rFonts w:hint="eastAsia" w:cs="宋体"/>
                <w:szCs w:val="24"/>
              </w:rPr>
            </w:pPr>
          </w:p>
        </w:tc>
        <w:tc>
          <w:tcPr>
            <w:tcW w:w="1083" w:type="pct"/>
            <w:vAlign w:val="center"/>
          </w:tcPr>
          <w:p w14:paraId="634EE06A">
            <w:pPr>
              <w:spacing w:line="360" w:lineRule="exact"/>
              <w:rPr>
                <w:rFonts w:hint="eastAsia" w:cs="宋体"/>
                <w:szCs w:val="24"/>
              </w:rPr>
            </w:pPr>
          </w:p>
        </w:tc>
        <w:tc>
          <w:tcPr>
            <w:tcW w:w="511" w:type="pct"/>
            <w:vAlign w:val="center"/>
          </w:tcPr>
          <w:p w14:paraId="64043452">
            <w:pPr>
              <w:spacing w:line="360" w:lineRule="exact"/>
              <w:rPr>
                <w:rFonts w:hint="eastAsia" w:cs="宋体"/>
                <w:szCs w:val="24"/>
              </w:rPr>
            </w:pPr>
          </w:p>
        </w:tc>
      </w:tr>
    </w:tbl>
    <w:p w14:paraId="2167E0C4">
      <w:pPr>
        <w:spacing w:line="500" w:lineRule="exact"/>
        <w:rPr>
          <w:rFonts w:hint="eastAsia" w:asciiTheme="majorHAnsi" w:hAnsiTheme="majorHAnsi" w:cstheme="majorBidi"/>
          <w:b/>
          <w:bCs/>
          <w:sz w:val="28"/>
          <w:szCs w:val="28"/>
        </w:rPr>
      </w:pPr>
    </w:p>
    <w:p w14:paraId="2926923A">
      <w:pPr>
        <w:pStyle w:val="4"/>
        <w:keepNext w:val="0"/>
        <w:keepLines w:val="0"/>
        <w:spacing w:before="100" w:after="100" w:line="360" w:lineRule="auto"/>
        <w:ind w:left="420" w:hanging="420"/>
        <w:jc w:val="center"/>
        <w:rPr>
          <w:rFonts w:hint="eastAsia"/>
        </w:rPr>
      </w:pPr>
    </w:p>
    <w:p w14:paraId="47C47870">
      <w:pPr>
        <w:pStyle w:val="4"/>
        <w:keepNext w:val="0"/>
        <w:keepLines w:val="0"/>
        <w:spacing w:before="100" w:after="100" w:line="360" w:lineRule="auto"/>
        <w:ind w:left="420" w:hanging="420"/>
        <w:jc w:val="center"/>
        <w:rPr>
          <w:rFonts w:hint="eastAsia"/>
        </w:rPr>
      </w:pPr>
    </w:p>
    <w:p w14:paraId="574D3176">
      <w:pPr>
        <w:pStyle w:val="4"/>
        <w:spacing w:before="100" w:after="100" w:line="360" w:lineRule="auto"/>
        <w:ind w:left="420" w:hanging="420"/>
        <w:jc w:val="center"/>
        <w:rPr>
          <w:rFonts w:hint="eastAsia"/>
        </w:rPr>
      </w:pPr>
      <w:bookmarkStart w:id="450" w:name="_Toc23523"/>
      <w:r>
        <w:rPr>
          <w:rFonts w:hint="eastAsia"/>
        </w:rPr>
        <w:t>六、商务响应偏离表</w:t>
      </w:r>
      <w:bookmarkEnd w:id="448"/>
      <w:bookmarkEnd w:id="450"/>
    </w:p>
    <w:p w14:paraId="476F4E5D">
      <w:pPr>
        <w:rPr>
          <w:rFonts w:hint="eastAsia" w:cs="仿宋_GB2312"/>
          <w:szCs w:val="24"/>
        </w:rPr>
      </w:pPr>
      <w:r>
        <w:rPr>
          <w:rFonts w:hint="eastAsia" w:cs="仿宋_GB2312"/>
          <w:szCs w:val="24"/>
        </w:rPr>
        <w:t xml:space="preserve">项目名称：                                         </w:t>
      </w:r>
    </w:p>
    <w:p w14:paraId="141E1F1A">
      <w:pPr>
        <w:rPr>
          <w:rFonts w:hint="eastAsia" w:cs="仿宋_GB2312"/>
          <w:szCs w:val="24"/>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p>
    <w:tbl>
      <w:tblPr>
        <w:tblStyle w:val="30"/>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2D04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629BEFB3">
            <w:pPr>
              <w:pStyle w:val="51"/>
              <w:jc w:val="center"/>
              <w:rPr>
                <w:rFonts w:hint="eastAsia" w:cs="宋体"/>
                <w:sz w:val="21"/>
                <w:szCs w:val="21"/>
              </w:rPr>
            </w:pPr>
            <w:r>
              <w:rPr>
                <w:rFonts w:hint="eastAsia" w:cs="宋体"/>
                <w:sz w:val="21"/>
                <w:szCs w:val="21"/>
              </w:rPr>
              <w:t>序号</w:t>
            </w:r>
          </w:p>
        </w:tc>
        <w:tc>
          <w:tcPr>
            <w:tcW w:w="1395" w:type="pct"/>
            <w:vAlign w:val="center"/>
          </w:tcPr>
          <w:p w14:paraId="13479C44">
            <w:pPr>
              <w:pStyle w:val="51"/>
              <w:jc w:val="center"/>
              <w:rPr>
                <w:rFonts w:hint="eastAsia" w:cs="宋体"/>
                <w:sz w:val="21"/>
                <w:szCs w:val="21"/>
              </w:rPr>
            </w:pPr>
            <w:r>
              <w:rPr>
                <w:rFonts w:hint="eastAsia" w:cs="宋体"/>
                <w:sz w:val="21"/>
                <w:szCs w:val="21"/>
              </w:rPr>
              <w:t>招标文件的商务条款</w:t>
            </w:r>
          </w:p>
        </w:tc>
        <w:tc>
          <w:tcPr>
            <w:tcW w:w="1002" w:type="pct"/>
            <w:vAlign w:val="center"/>
          </w:tcPr>
          <w:p w14:paraId="3D42A84E">
            <w:pPr>
              <w:pStyle w:val="51"/>
              <w:jc w:val="center"/>
              <w:rPr>
                <w:rFonts w:hint="eastAsia" w:cs="宋体"/>
                <w:sz w:val="21"/>
                <w:szCs w:val="21"/>
              </w:rPr>
            </w:pPr>
            <w:r>
              <w:rPr>
                <w:rFonts w:hint="eastAsia" w:cs="宋体"/>
                <w:sz w:val="21"/>
                <w:szCs w:val="21"/>
              </w:rPr>
              <w:t>投标文件的响应内容</w:t>
            </w:r>
          </w:p>
        </w:tc>
        <w:tc>
          <w:tcPr>
            <w:tcW w:w="1090" w:type="pct"/>
            <w:vAlign w:val="center"/>
          </w:tcPr>
          <w:p w14:paraId="413F9CBD">
            <w:pPr>
              <w:pStyle w:val="51"/>
              <w:jc w:val="center"/>
              <w:rPr>
                <w:rFonts w:hint="eastAsia" w:cs="宋体"/>
                <w:sz w:val="21"/>
                <w:szCs w:val="21"/>
              </w:rPr>
            </w:pPr>
            <w:r>
              <w:rPr>
                <w:rFonts w:hint="eastAsia" w:cs="宋体"/>
                <w:sz w:val="21"/>
                <w:szCs w:val="21"/>
              </w:rPr>
              <w:t>响应情况</w:t>
            </w:r>
          </w:p>
        </w:tc>
        <w:tc>
          <w:tcPr>
            <w:tcW w:w="1090" w:type="pct"/>
            <w:vAlign w:val="center"/>
          </w:tcPr>
          <w:p w14:paraId="406CE7C9">
            <w:pPr>
              <w:pStyle w:val="51"/>
              <w:jc w:val="center"/>
              <w:rPr>
                <w:rFonts w:hint="eastAsia" w:cs="宋体"/>
                <w:sz w:val="21"/>
                <w:szCs w:val="21"/>
              </w:rPr>
            </w:pPr>
            <w:r>
              <w:rPr>
                <w:rFonts w:hint="eastAsia" w:cs="宋体"/>
                <w:sz w:val="21"/>
                <w:szCs w:val="21"/>
              </w:rPr>
              <w:t>说明及索引</w:t>
            </w:r>
          </w:p>
        </w:tc>
      </w:tr>
      <w:tr w14:paraId="4A2B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EBD6B12">
            <w:pPr>
              <w:pStyle w:val="51"/>
              <w:jc w:val="center"/>
              <w:rPr>
                <w:rFonts w:hint="eastAsia" w:cs="宋体"/>
                <w:sz w:val="21"/>
                <w:szCs w:val="21"/>
              </w:rPr>
            </w:pPr>
            <w:r>
              <w:rPr>
                <w:rFonts w:hint="eastAsia" w:cs="宋体"/>
                <w:sz w:val="21"/>
                <w:szCs w:val="21"/>
              </w:rPr>
              <w:t>1</w:t>
            </w:r>
          </w:p>
        </w:tc>
        <w:tc>
          <w:tcPr>
            <w:tcW w:w="1395" w:type="pct"/>
            <w:vAlign w:val="center"/>
          </w:tcPr>
          <w:p w14:paraId="33C15F77">
            <w:pPr>
              <w:pStyle w:val="51"/>
              <w:jc w:val="center"/>
              <w:rPr>
                <w:rFonts w:hint="eastAsia" w:cs="宋体"/>
                <w:sz w:val="21"/>
                <w:szCs w:val="21"/>
              </w:rPr>
            </w:pPr>
            <w:r>
              <w:rPr>
                <w:rFonts w:hint="eastAsia" w:cs="宋体"/>
                <w:sz w:val="21"/>
                <w:szCs w:val="21"/>
              </w:rPr>
              <w:t>*******</w:t>
            </w:r>
          </w:p>
        </w:tc>
        <w:tc>
          <w:tcPr>
            <w:tcW w:w="1002" w:type="pct"/>
            <w:vAlign w:val="center"/>
          </w:tcPr>
          <w:p w14:paraId="1C782E7A">
            <w:pPr>
              <w:pStyle w:val="51"/>
              <w:jc w:val="center"/>
              <w:rPr>
                <w:rFonts w:hint="eastAsia" w:cs="宋体"/>
                <w:sz w:val="21"/>
                <w:szCs w:val="21"/>
              </w:rPr>
            </w:pPr>
            <w:r>
              <w:rPr>
                <w:rFonts w:hint="eastAsia" w:cs="宋体"/>
                <w:sz w:val="21"/>
                <w:szCs w:val="21"/>
              </w:rPr>
              <w:t>*******</w:t>
            </w:r>
          </w:p>
        </w:tc>
        <w:tc>
          <w:tcPr>
            <w:tcW w:w="1090" w:type="pct"/>
            <w:vAlign w:val="center"/>
          </w:tcPr>
          <w:p w14:paraId="499BB46B">
            <w:pPr>
              <w:pStyle w:val="51"/>
              <w:jc w:val="center"/>
              <w:rPr>
                <w:rFonts w:hint="eastAsia" w:cs="宋体"/>
                <w:sz w:val="21"/>
                <w:szCs w:val="21"/>
              </w:rPr>
            </w:pPr>
            <w:r>
              <w:rPr>
                <w:rFonts w:hint="eastAsia" w:cs="宋体"/>
                <w:sz w:val="21"/>
                <w:szCs w:val="21"/>
              </w:rPr>
              <w:t>响应/偏离</w:t>
            </w:r>
          </w:p>
        </w:tc>
        <w:tc>
          <w:tcPr>
            <w:tcW w:w="1090" w:type="pct"/>
            <w:vAlign w:val="center"/>
          </w:tcPr>
          <w:p w14:paraId="75654C40">
            <w:pPr>
              <w:pStyle w:val="51"/>
              <w:jc w:val="center"/>
              <w:rPr>
                <w:rFonts w:hint="eastAsia" w:cs="宋体"/>
                <w:sz w:val="21"/>
                <w:szCs w:val="21"/>
              </w:rPr>
            </w:pPr>
          </w:p>
        </w:tc>
      </w:tr>
      <w:tr w14:paraId="7631C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7B20BAE">
            <w:pPr>
              <w:pStyle w:val="51"/>
              <w:jc w:val="center"/>
              <w:rPr>
                <w:rFonts w:hint="eastAsia" w:cs="宋体"/>
                <w:sz w:val="21"/>
                <w:szCs w:val="21"/>
              </w:rPr>
            </w:pPr>
            <w:r>
              <w:rPr>
                <w:rFonts w:hint="eastAsia" w:cs="宋体"/>
                <w:sz w:val="21"/>
                <w:szCs w:val="21"/>
              </w:rPr>
              <w:t>2</w:t>
            </w:r>
          </w:p>
        </w:tc>
        <w:tc>
          <w:tcPr>
            <w:tcW w:w="1395" w:type="pct"/>
            <w:vAlign w:val="center"/>
          </w:tcPr>
          <w:p w14:paraId="0476FC2A">
            <w:pPr>
              <w:pStyle w:val="51"/>
              <w:jc w:val="center"/>
              <w:rPr>
                <w:rFonts w:hint="eastAsia" w:cs="宋体"/>
                <w:sz w:val="21"/>
                <w:szCs w:val="21"/>
              </w:rPr>
            </w:pPr>
            <w:r>
              <w:rPr>
                <w:rFonts w:hint="eastAsia" w:cs="宋体"/>
                <w:sz w:val="21"/>
                <w:szCs w:val="21"/>
              </w:rPr>
              <w:t>*******</w:t>
            </w:r>
          </w:p>
        </w:tc>
        <w:tc>
          <w:tcPr>
            <w:tcW w:w="1002" w:type="pct"/>
            <w:vAlign w:val="center"/>
          </w:tcPr>
          <w:p w14:paraId="63B484BD">
            <w:pPr>
              <w:pStyle w:val="51"/>
              <w:jc w:val="center"/>
              <w:rPr>
                <w:rFonts w:hint="eastAsia" w:cs="宋体"/>
                <w:sz w:val="21"/>
                <w:szCs w:val="21"/>
              </w:rPr>
            </w:pPr>
            <w:r>
              <w:rPr>
                <w:rFonts w:hint="eastAsia" w:cs="宋体"/>
                <w:sz w:val="21"/>
                <w:szCs w:val="21"/>
              </w:rPr>
              <w:t>*******</w:t>
            </w:r>
          </w:p>
        </w:tc>
        <w:tc>
          <w:tcPr>
            <w:tcW w:w="1090" w:type="pct"/>
            <w:vAlign w:val="center"/>
          </w:tcPr>
          <w:p w14:paraId="1F552A51">
            <w:pPr>
              <w:pStyle w:val="51"/>
              <w:jc w:val="center"/>
              <w:rPr>
                <w:rFonts w:hint="eastAsia" w:cs="宋体"/>
                <w:sz w:val="21"/>
                <w:szCs w:val="21"/>
              </w:rPr>
            </w:pPr>
          </w:p>
        </w:tc>
        <w:tc>
          <w:tcPr>
            <w:tcW w:w="1090" w:type="pct"/>
            <w:vAlign w:val="center"/>
          </w:tcPr>
          <w:p w14:paraId="21452F3B">
            <w:pPr>
              <w:pStyle w:val="51"/>
              <w:jc w:val="center"/>
              <w:rPr>
                <w:rFonts w:hint="eastAsia" w:cs="宋体"/>
                <w:sz w:val="21"/>
                <w:szCs w:val="21"/>
              </w:rPr>
            </w:pPr>
          </w:p>
        </w:tc>
      </w:tr>
      <w:tr w14:paraId="43F6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C7E8A9">
            <w:pPr>
              <w:pStyle w:val="51"/>
              <w:jc w:val="center"/>
              <w:rPr>
                <w:rFonts w:hint="eastAsia" w:cs="宋体"/>
                <w:sz w:val="21"/>
                <w:szCs w:val="21"/>
              </w:rPr>
            </w:pPr>
            <w:r>
              <w:rPr>
                <w:rFonts w:hint="eastAsia" w:cs="宋体"/>
                <w:sz w:val="21"/>
                <w:szCs w:val="21"/>
              </w:rPr>
              <w:t>3</w:t>
            </w:r>
          </w:p>
        </w:tc>
        <w:tc>
          <w:tcPr>
            <w:tcW w:w="1395" w:type="pct"/>
            <w:vAlign w:val="center"/>
          </w:tcPr>
          <w:p w14:paraId="29358C9D">
            <w:pPr>
              <w:pStyle w:val="51"/>
              <w:jc w:val="center"/>
              <w:rPr>
                <w:rFonts w:hint="eastAsia" w:cs="宋体"/>
                <w:sz w:val="21"/>
                <w:szCs w:val="21"/>
              </w:rPr>
            </w:pPr>
            <w:r>
              <w:rPr>
                <w:rFonts w:hint="eastAsia" w:cs="宋体"/>
                <w:sz w:val="21"/>
                <w:szCs w:val="21"/>
              </w:rPr>
              <w:t>*******</w:t>
            </w:r>
          </w:p>
        </w:tc>
        <w:tc>
          <w:tcPr>
            <w:tcW w:w="1002" w:type="pct"/>
            <w:vAlign w:val="center"/>
          </w:tcPr>
          <w:p w14:paraId="06602833">
            <w:pPr>
              <w:pStyle w:val="51"/>
              <w:jc w:val="center"/>
              <w:rPr>
                <w:rFonts w:hint="eastAsia" w:cs="宋体"/>
                <w:sz w:val="21"/>
                <w:szCs w:val="21"/>
              </w:rPr>
            </w:pPr>
            <w:r>
              <w:rPr>
                <w:rFonts w:hint="eastAsia" w:cs="宋体"/>
                <w:sz w:val="21"/>
                <w:szCs w:val="21"/>
              </w:rPr>
              <w:t>*******</w:t>
            </w:r>
          </w:p>
        </w:tc>
        <w:tc>
          <w:tcPr>
            <w:tcW w:w="1090" w:type="pct"/>
            <w:vAlign w:val="center"/>
          </w:tcPr>
          <w:p w14:paraId="31F2D2BE">
            <w:pPr>
              <w:pStyle w:val="51"/>
              <w:jc w:val="center"/>
              <w:rPr>
                <w:rFonts w:hint="eastAsia" w:cs="宋体"/>
                <w:sz w:val="21"/>
                <w:szCs w:val="21"/>
              </w:rPr>
            </w:pPr>
          </w:p>
        </w:tc>
        <w:tc>
          <w:tcPr>
            <w:tcW w:w="1090" w:type="pct"/>
            <w:vAlign w:val="center"/>
          </w:tcPr>
          <w:p w14:paraId="4B8B8EED">
            <w:pPr>
              <w:pStyle w:val="51"/>
              <w:jc w:val="center"/>
              <w:rPr>
                <w:rFonts w:hint="eastAsia" w:cs="宋体"/>
                <w:sz w:val="21"/>
                <w:szCs w:val="21"/>
              </w:rPr>
            </w:pPr>
          </w:p>
        </w:tc>
      </w:tr>
      <w:tr w14:paraId="7281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3FBEFBA">
            <w:pPr>
              <w:pStyle w:val="51"/>
              <w:jc w:val="center"/>
              <w:rPr>
                <w:rFonts w:hint="eastAsia" w:cs="宋体"/>
                <w:sz w:val="21"/>
                <w:szCs w:val="21"/>
              </w:rPr>
            </w:pPr>
          </w:p>
        </w:tc>
        <w:tc>
          <w:tcPr>
            <w:tcW w:w="1395" w:type="pct"/>
            <w:vAlign w:val="center"/>
          </w:tcPr>
          <w:p w14:paraId="2328AE34">
            <w:pPr>
              <w:pStyle w:val="51"/>
              <w:jc w:val="center"/>
              <w:rPr>
                <w:rFonts w:hint="eastAsia" w:cs="宋体"/>
                <w:sz w:val="21"/>
                <w:szCs w:val="21"/>
              </w:rPr>
            </w:pPr>
          </w:p>
        </w:tc>
        <w:tc>
          <w:tcPr>
            <w:tcW w:w="1002" w:type="pct"/>
            <w:vAlign w:val="center"/>
          </w:tcPr>
          <w:p w14:paraId="6AAFCFA3">
            <w:pPr>
              <w:pStyle w:val="51"/>
              <w:jc w:val="center"/>
              <w:rPr>
                <w:rFonts w:hint="eastAsia" w:cs="宋体"/>
                <w:sz w:val="21"/>
                <w:szCs w:val="21"/>
              </w:rPr>
            </w:pPr>
          </w:p>
        </w:tc>
        <w:tc>
          <w:tcPr>
            <w:tcW w:w="1090" w:type="pct"/>
            <w:vAlign w:val="center"/>
          </w:tcPr>
          <w:p w14:paraId="75BD9CBE">
            <w:pPr>
              <w:pStyle w:val="51"/>
              <w:jc w:val="center"/>
              <w:rPr>
                <w:rFonts w:hint="eastAsia" w:cs="宋体"/>
                <w:sz w:val="21"/>
                <w:szCs w:val="21"/>
              </w:rPr>
            </w:pPr>
          </w:p>
        </w:tc>
        <w:tc>
          <w:tcPr>
            <w:tcW w:w="1090" w:type="pct"/>
            <w:vAlign w:val="center"/>
          </w:tcPr>
          <w:p w14:paraId="063320E2">
            <w:pPr>
              <w:pStyle w:val="51"/>
              <w:jc w:val="center"/>
              <w:rPr>
                <w:rFonts w:hint="eastAsia" w:cs="宋体"/>
                <w:sz w:val="21"/>
                <w:szCs w:val="21"/>
              </w:rPr>
            </w:pPr>
          </w:p>
        </w:tc>
      </w:tr>
      <w:tr w14:paraId="0734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2CD7BA0">
            <w:pPr>
              <w:pStyle w:val="51"/>
              <w:jc w:val="center"/>
              <w:rPr>
                <w:rFonts w:hint="eastAsia" w:cs="宋体"/>
                <w:sz w:val="21"/>
                <w:szCs w:val="21"/>
              </w:rPr>
            </w:pPr>
          </w:p>
        </w:tc>
        <w:tc>
          <w:tcPr>
            <w:tcW w:w="1395" w:type="pct"/>
            <w:vAlign w:val="center"/>
          </w:tcPr>
          <w:p w14:paraId="000C83DE">
            <w:pPr>
              <w:pStyle w:val="51"/>
              <w:jc w:val="center"/>
              <w:rPr>
                <w:rFonts w:hint="eastAsia" w:cs="宋体"/>
                <w:sz w:val="21"/>
                <w:szCs w:val="21"/>
              </w:rPr>
            </w:pPr>
          </w:p>
        </w:tc>
        <w:tc>
          <w:tcPr>
            <w:tcW w:w="1002" w:type="pct"/>
            <w:vAlign w:val="center"/>
          </w:tcPr>
          <w:p w14:paraId="7B2B8DD9">
            <w:pPr>
              <w:pStyle w:val="51"/>
              <w:jc w:val="center"/>
              <w:rPr>
                <w:rFonts w:hint="eastAsia" w:cs="宋体"/>
                <w:sz w:val="21"/>
                <w:szCs w:val="21"/>
              </w:rPr>
            </w:pPr>
          </w:p>
        </w:tc>
        <w:tc>
          <w:tcPr>
            <w:tcW w:w="1090" w:type="pct"/>
            <w:vAlign w:val="center"/>
          </w:tcPr>
          <w:p w14:paraId="50EDB27F">
            <w:pPr>
              <w:pStyle w:val="51"/>
              <w:jc w:val="center"/>
              <w:rPr>
                <w:rFonts w:hint="eastAsia" w:cs="宋体"/>
                <w:sz w:val="21"/>
                <w:szCs w:val="21"/>
              </w:rPr>
            </w:pPr>
          </w:p>
        </w:tc>
        <w:tc>
          <w:tcPr>
            <w:tcW w:w="1090" w:type="pct"/>
            <w:vAlign w:val="center"/>
          </w:tcPr>
          <w:p w14:paraId="49E59292">
            <w:pPr>
              <w:pStyle w:val="51"/>
              <w:jc w:val="center"/>
              <w:rPr>
                <w:rFonts w:hint="eastAsia" w:cs="宋体"/>
                <w:sz w:val="21"/>
                <w:szCs w:val="21"/>
              </w:rPr>
            </w:pPr>
          </w:p>
        </w:tc>
      </w:tr>
      <w:tr w14:paraId="145A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D216C8B">
            <w:pPr>
              <w:pStyle w:val="51"/>
              <w:jc w:val="center"/>
              <w:rPr>
                <w:rFonts w:hint="eastAsia" w:cs="宋体"/>
                <w:sz w:val="21"/>
                <w:szCs w:val="21"/>
              </w:rPr>
            </w:pPr>
          </w:p>
        </w:tc>
        <w:tc>
          <w:tcPr>
            <w:tcW w:w="1395" w:type="pct"/>
            <w:vAlign w:val="center"/>
          </w:tcPr>
          <w:p w14:paraId="564DD953">
            <w:pPr>
              <w:pStyle w:val="51"/>
              <w:jc w:val="center"/>
              <w:rPr>
                <w:rFonts w:hint="eastAsia" w:cs="宋体"/>
                <w:sz w:val="21"/>
                <w:szCs w:val="21"/>
              </w:rPr>
            </w:pPr>
          </w:p>
        </w:tc>
        <w:tc>
          <w:tcPr>
            <w:tcW w:w="1002" w:type="pct"/>
            <w:vAlign w:val="center"/>
          </w:tcPr>
          <w:p w14:paraId="03973446">
            <w:pPr>
              <w:pStyle w:val="51"/>
              <w:jc w:val="center"/>
              <w:rPr>
                <w:rFonts w:hint="eastAsia" w:cs="宋体"/>
                <w:sz w:val="21"/>
                <w:szCs w:val="21"/>
              </w:rPr>
            </w:pPr>
          </w:p>
        </w:tc>
        <w:tc>
          <w:tcPr>
            <w:tcW w:w="1090" w:type="pct"/>
            <w:vAlign w:val="center"/>
          </w:tcPr>
          <w:p w14:paraId="5ABD2337">
            <w:pPr>
              <w:pStyle w:val="51"/>
              <w:jc w:val="center"/>
              <w:rPr>
                <w:rFonts w:hint="eastAsia" w:cs="宋体"/>
                <w:sz w:val="21"/>
                <w:szCs w:val="21"/>
              </w:rPr>
            </w:pPr>
          </w:p>
        </w:tc>
        <w:tc>
          <w:tcPr>
            <w:tcW w:w="1090" w:type="pct"/>
            <w:vAlign w:val="center"/>
          </w:tcPr>
          <w:p w14:paraId="24FCE141">
            <w:pPr>
              <w:pStyle w:val="51"/>
              <w:jc w:val="center"/>
              <w:rPr>
                <w:rFonts w:hint="eastAsia" w:cs="宋体"/>
                <w:sz w:val="21"/>
                <w:szCs w:val="21"/>
              </w:rPr>
            </w:pPr>
          </w:p>
        </w:tc>
      </w:tr>
      <w:tr w14:paraId="1290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55BBADC">
            <w:pPr>
              <w:pStyle w:val="51"/>
              <w:jc w:val="center"/>
              <w:rPr>
                <w:rFonts w:hint="eastAsia" w:cs="宋体"/>
                <w:sz w:val="21"/>
                <w:szCs w:val="21"/>
              </w:rPr>
            </w:pPr>
          </w:p>
        </w:tc>
        <w:tc>
          <w:tcPr>
            <w:tcW w:w="1395" w:type="pct"/>
            <w:vAlign w:val="center"/>
          </w:tcPr>
          <w:p w14:paraId="0B1C6796">
            <w:pPr>
              <w:pStyle w:val="51"/>
              <w:jc w:val="center"/>
              <w:rPr>
                <w:rFonts w:hint="eastAsia" w:cs="宋体"/>
                <w:sz w:val="21"/>
                <w:szCs w:val="21"/>
              </w:rPr>
            </w:pPr>
          </w:p>
        </w:tc>
        <w:tc>
          <w:tcPr>
            <w:tcW w:w="1002" w:type="pct"/>
            <w:vAlign w:val="center"/>
          </w:tcPr>
          <w:p w14:paraId="5BBE9AEA">
            <w:pPr>
              <w:pStyle w:val="51"/>
              <w:jc w:val="center"/>
              <w:rPr>
                <w:rFonts w:hint="eastAsia" w:cs="宋体"/>
                <w:sz w:val="21"/>
                <w:szCs w:val="21"/>
              </w:rPr>
            </w:pPr>
          </w:p>
        </w:tc>
        <w:tc>
          <w:tcPr>
            <w:tcW w:w="1090" w:type="pct"/>
            <w:vAlign w:val="center"/>
          </w:tcPr>
          <w:p w14:paraId="3A49F067">
            <w:pPr>
              <w:pStyle w:val="51"/>
              <w:jc w:val="center"/>
              <w:rPr>
                <w:rFonts w:hint="eastAsia" w:cs="宋体"/>
                <w:sz w:val="21"/>
                <w:szCs w:val="21"/>
              </w:rPr>
            </w:pPr>
          </w:p>
        </w:tc>
        <w:tc>
          <w:tcPr>
            <w:tcW w:w="1090" w:type="pct"/>
            <w:vAlign w:val="center"/>
          </w:tcPr>
          <w:p w14:paraId="419880C0">
            <w:pPr>
              <w:pStyle w:val="51"/>
              <w:jc w:val="center"/>
              <w:rPr>
                <w:rFonts w:hint="eastAsia" w:cs="宋体"/>
                <w:sz w:val="21"/>
                <w:szCs w:val="21"/>
              </w:rPr>
            </w:pPr>
          </w:p>
        </w:tc>
      </w:tr>
      <w:tr w14:paraId="4DFD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DD0D8C3">
            <w:pPr>
              <w:pStyle w:val="51"/>
              <w:jc w:val="center"/>
              <w:rPr>
                <w:rFonts w:hint="eastAsia" w:cs="宋体"/>
                <w:sz w:val="21"/>
                <w:szCs w:val="21"/>
              </w:rPr>
            </w:pPr>
          </w:p>
        </w:tc>
        <w:tc>
          <w:tcPr>
            <w:tcW w:w="1395" w:type="pct"/>
            <w:vAlign w:val="center"/>
          </w:tcPr>
          <w:p w14:paraId="10187E2B">
            <w:pPr>
              <w:pStyle w:val="51"/>
              <w:jc w:val="center"/>
              <w:rPr>
                <w:rFonts w:hint="eastAsia" w:cs="宋体"/>
                <w:sz w:val="21"/>
                <w:szCs w:val="21"/>
              </w:rPr>
            </w:pPr>
          </w:p>
        </w:tc>
        <w:tc>
          <w:tcPr>
            <w:tcW w:w="1002" w:type="pct"/>
            <w:vAlign w:val="center"/>
          </w:tcPr>
          <w:p w14:paraId="16ACFC7C">
            <w:pPr>
              <w:pStyle w:val="51"/>
              <w:jc w:val="center"/>
              <w:rPr>
                <w:rFonts w:hint="eastAsia" w:cs="宋体"/>
                <w:sz w:val="21"/>
                <w:szCs w:val="21"/>
              </w:rPr>
            </w:pPr>
          </w:p>
        </w:tc>
        <w:tc>
          <w:tcPr>
            <w:tcW w:w="1090" w:type="pct"/>
            <w:vAlign w:val="center"/>
          </w:tcPr>
          <w:p w14:paraId="055ED1C1">
            <w:pPr>
              <w:pStyle w:val="51"/>
              <w:jc w:val="center"/>
              <w:rPr>
                <w:rFonts w:hint="eastAsia" w:cs="宋体"/>
                <w:sz w:val="21"/>
                <w:szCs w:val="21"/>
              </w:rPr>
            </w:pPr>
          </w:p>
        </w:tc>
        <w:tc>
          <w:tcPr>
            <w:tcW w:w="1090" w:type="pct"/>
            <w:vAlign w:val="center"/>
          </w:tcPr>
          <w:p w14:paraId="21A18F24">
            <w:pPr>
              <w:pStyle w:val="51"/>
              <w:jc w:val="center"/>
              <w:rPr>
                <w:rFonts w:hint="eastAsia" w:cs="宋体"/>
                <w:sz w:val="21"/>
                <w:szCs w:val="21"/>
              </w:rPr>
            </w:pPr>
          </w:p>
        </w:tc>
      </w:tr>
      <w:tr w14:paraId="6FC6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F7A7AB6">
            <w:pPr>
              <w:pStyle w:val="51"/>
              <w:jc w:val="center"/>
              <w:rPr>
                <w:rFonts w:hint="eastAsia" w:cs="宋体"/>
                <w:sz w:val="21"/>
                <w:szCs w:val="21"/>
              </w:rPr>
            </w:pPr>
          </w:p>
        </w:tc>
        <w:tc>
          <w:tcPr>
            <w:tcW w:w="1395" w:type="pct"/>
            <w:vAlign w:val="center"/>
          </w:tcPr>
          <w:p w14:paraId="18C29972">
            <w:pPr>
              <w:pStyle w:val="51"/>
              <w:jc w:val="center"/>
              <w:rPr>
                <w:rFonts w:hint="eastAsia" w:cs="宋体"/>
                <w:sz w:val="21"/>
                <w:szCs w:val="21"/>
              </w:rPr>
            </w:pPr>
          </w:p>
        </w:tc>
        <w:tc>
          <w:tcPr>
            <w:tcW w:w="1002" w:type="pct"/>
            <w:vAlign w:val="center"/>
          </w:tcPr>
          <w:p w14:paraId="7C8571AB">
            <w:pPr>
              <w:pStyle w:val="51"/>
              <w:jc w:val="center"/>
              <w:rPr>
                <w:rFonts w:hint="eastAsia" w:cs="宋体"/>
                <w:sz w:val="21"/>
                <w:szCs w:val="21"/>
              </w:rPr>
            </w:pPr>
          </w:p>
        </w:tc>
        <w:tc>
          <w:tcPr>
            <w:tcW w:w="1090" w:type="pct"/>
            <w:vAlign w:val="center"/>
          </w:tcPr>
          <w:p w14:paraId="2666A35C">
            <w:pPr>
              <w:pStyle w:val="51"/>
              <w:jc w:val="center"/>
              <w:rPr>
                <w:rFonts w:hint="eastAsia" w:cs="宋体"/>
                <w:sz w:val="21"/>
                <w:szCs w:val="21"/>
              </w:rPr>
            </w:pPr>
          </w:p>
        </w:tc>
        <w:tc>
          <w:tcPr>
            <w:tcW w:w="1090" w:type="pct"/>
            <w:vAlign w:val="center"/>
          </w:tcPr>
          <w:p w14:paraId="4A95CC2D">
            <w:pPr>
              <w:pStyle w:val="51"/>
              <w:jc w:val="center"/>
              <w:rPr>
                <w:rFonts w:hint="eastAsia" w:cs="宋体"/>
                <w:sz w:val="21"/>
                <w:szCs w:val="21"/>
              </w:rPr>
            </w:pPr>
          </w:p>
        </w:tc>
      </w:tr>
      <w:tr w14:paraId="7A33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32E79F09">
            <w:pPr>
              <w:pStyle w:val="51"/>
              <w:jc w:val="center"/>
              <w:rPr>
                <w:rFonts w:hint="eastAsia" w:cs="宋体"/>
                <w:sz w:val="21"/>
                <w:szCs w:val="21"/>
              </w:rPr>
            </w:pPr>
            <w:r>
              <w:rPr>
                <w:rFonts w:hint="eastAsia" w:cs="宋体"/>
                <w:sz w:val="21"/>
                <w:szCs w:val="21"/>
              </w:rPr>
              <w:t>……</w:t>
            </w:r>
          </w:p>
        </w:tc>
        <w:tc>
          <w:tcPr>
            <w:tcW w:w="1395" w:type="pct"/>
            <w:vAlign w:val="center"/>
          </w:tcPr>
          <w:p w14:paraId="7ACCF0DC">
            <w:pPr>
              <w:pStyle w:val="51"/>
              <w:jc w:val="center"/>
              <w:rPr>
                <w:rFonts w:hint="eastAsia" w:cs="宋体"/>
                <w:sz w:val="21"/>
                <w:szCs w:val="21"/>
              </w:rPr>
            </w:pPr>
            <w:r>
              <w:rPr>
                <w:rFonts w:hint="eastAsia" w:cs="宋体"/>
                <w:sz w:val="21"/>
                <w:szCs w:val="21"/>
              </w:rPr>
              <w:t>…………</w:t>
            </w:r>
          </w:p>
        </w:tc>
        <w:tc>
          <w:tcPr>
            <w:tcW w:w="1002" w:type="pct"/>
            <w:vAlign w:val="center"/>
          </w:tcPr>
          <w:p w14:paraId="23412AE6">
            <w:pPr>
              <w:pStyle w:val="51"/>
              <w:jc w:val="center"/>
              <w:rPr>
                <w:rFonts w:hint="eastAsia" w:cs="宋体"/>
                <w:sz w:val="21"/>
                <w:szCs w:val="21"/>
              </w:rPr>
            </w:pPr>
            <w:r>
              <w:rPr>
                <w:rFonts w:hint="eastAsia" w:cs="宋体"/>
                <w:sz w:val="21"/>
                <w:szCs w:val="21"/>
              </w:rPr>
              <w:t>…………</w:t>
            </w:r>
          </w:p>
        </w:tc>
        <w:tc>
          <w:tcPr>
            <w:tcW w:w="1090" w:type="pct"/>
            <w:vAlign w:val="center"/>
          </w:tcPr>
          <w:p w14:paraId="16178084">
            <w:pPr>
              <w:pStyle w:val="51"/>
              <w:jc w:val="center"/>
              <w:rPr>
                <w:rFonts w:hint="eastAsia" w:cs="宋体"/>
                <w:sz w:val="21"/>
                <w:szCs w:val="21"/>
              </w:rPr>
            </w:pPr>
            <w:r>
              <w:rPr>
                <w:rFonts w:hint="eastAsia" w:cs="宋体"/>
                <w:sz w:val="21"/>
                <w:szCs w:val="21"/>
              </w:rPr>
              <w:t>……</w:t>
            </w:r>
          </w:p>
        </w:tc>
        <w:tc>
          <w:tcPr>
            <w:tcW w:w="1090" w:type="pct"/>
            <w:vAlign w:val="center"/>
          </w:tcPr>
          <w:p w14:paraId="1EA9FBF5">
            <w:pPr>
              <w:pStyle w:val="51"/>
              <w:jc w:val="center"/>
              <w:rPr>
                <w:rFonts w:hint="eastAsia" w:cs="宋体"/>
                <w:sz w:val="21"/>
                <w:szCs w:val="21"/>
              </w:rPr>
            </w:pPr>
          </w:p>
        </w:tc>
      </w:tr>
    </w:tbl>
    <w:p w14:paraId="28EA117A">
      <w:pPr>
        <w:ind w:firstLine="420" w:firstLineChars="200"/>
        <w:rPr>
          <w:rFonts w:hint="eastAsia" w:cs="仿宋_GB2312"/>
          <w:sz w:val="21"/>
          <w:szCs w:val="21"/>
        </w:rPr>
      </w:pPr>
    </w:p>
    <w:p w14:paraId="36AD462B">
      <w:pPr>
        <w:ind w:firstLine="480" w:firstLineChars="200"/>
        <w:rPr>
          <w:rFonts w:hint="eastAsia" w:cs="仿宋_GB2312"/>
          <w:szCs w:val="24"/>
        </w:rPr>
      </w:pPr>
    </w:p>
    <w:p w14:paraId="3069B916">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仿宋_GB2312"/>
          <w:szCs w:val="24"/>
        </w:rPr>
        <w:t>：</w:t>
      </w:r>
      <w:r>
        <w:rPr>
          <w:rFonts w:cs="仿宋_GB2312"/>
          <w:szCs w:val="24"/>
        </w:rPr>
        <w:t xml:space="preserve"> </w:t>
      </w:r>
    </w:p>
    <w:p w14:paraId="62EE562F">
      <w:pPr>
        <w:ind w:firstLine="420"/>
        <w:rPr>
          <w:rFonts w:hint="eastAsia" w:cs="仿宋_GB2312"/>
          <w:szCs w:val="24"/>
        </w:rPr>
      </w:pPr>
      <w:r>
        <w:rPr>
          <w:rFonts w:hint="eastAsia" w:cs="仿宋_GB2312"/>
          <w:szCs w:val="24"/>
        </w:rPr>
        <w:t>日      期：</w:t>
      </w:r>
    </w:p>
    <w:p w14:paraId="6C6D3711">
      <w:pPr>
        <w:ind w:firstLine="420" w:firstLineChars="200"/>
        <w:rPr>
          <w:rFonts w:hint="eastAsia" w:cs="仿宋_GB2312"/>
          <w:sz w:val="21"/>
          <w:szCs w:val="21"/>
        </w:rPr>
      </w:pPr>
    </w:p>
    <w:p w14:paraId="34E679E4">
      <w:pPr>
        <w:ind w:firstLine="420" w:firstLineChars="200"/>
        <w:rPr>
          <w:rFonts w:hint="eastAsia" w:cs="仿宋_GB2312"/>
          <w:szCs w:val="24"/>
        </w:rPr>
      </w:pPr>
      <w:r>
        <w:rPr>
          <w:rFonts w:hint="eastAsia" w:cs="仿宋_GB2312"/>
          <w:sz w:val="21"/>
          <w:szCs w:val="21"/>
        </w:rPr>
        <w:t>注：投标人应按照招标文件“第三章 采购需求”中的商务要求填写：</w:t>
      </w:r>
    </w:p>
    <w:p w14:paraId="08DEFD44">
      <w:pPr>
        <w:ind w:firstLine="420" w:firstLineChars="200"/>
        <w:rPr>
          <w:rFonts w:hint="eastAsia" w:cs="仿宋_GB2312"/>
          <w:sz w:val="21"/>
          <w:szCs w:val="21"/>
        </w:rPr>
      </w:pPr>
      <w:r>
        <w:rPr>
          <w:rFonts w:hint="eastAsia" w:cs="仿宋_GB2312"/>
          <w:sz w:val="21"/>
          <w:szCs w:val="21"/>
        </w:rPr>
        <w:t xml:space="preserve">1.“招标文件的商务条款”栏应详细列明招标文件中的商务要求。 </w:t>
      </w:r>
    </w:p>
    <w:p w14:paraId="6DA6E095">
      <w:pPr>
        <w:ind w:firstLine="420" w:firstLineChars="200"/>
        <w:rPr>
          <w:rFonts w:hint="eastAsia" w:cs="仿宋_GB2312"/>
          <w:sz w:val="21"/>
          <w:szCs w:val="21"/>
        </w:rPr>
      </w:pPr>
      <w:r>
        <w:rPr>
          <w:rFonts w:hint="eastAsia" w:cs="仿宋_GB2312"/>
          <w:sz w:val="21"/>
          <w:szCs w:val="21"/>
        </w:rPr>
        <w:t>2.“投标文件的响应内容”栏填写投标人对招标文件提出的商务条款作出的明确响应，并列明具体响应数值或内容，只注明符合、满足等无具体内容表述的，将视为未实质性满足招标文件要求</w:t>
      </w:r>
      <w:r>
        <w:rPr>
          <w:rFonts w:cs="仿宋_GB2312"/>
          <w:sz w:val="21"/>
          <w:szCs w:val="21"/>
        </w:rPr>
        <w:t>，</w:t>
      </w:r>
      <w:r>
        <w:rPr>
          <w:rFonts w:hint="eastAsia" w:cs="仿宋_GB2312"/>
          <w:b/>
          <w:bCs/>
          <w:sz w:val="21"/>
          <w:szCs w:val="21"/>
        </w:rPr>
        <w:t>投标</w:t>
      </w:r>
      <w:r>
        <w:rPr>
          <w:rFonts w:cs="仿宋_GB2312"/>
          <w:b/>
          <w:bCs/>
          <w:sz w:val="21"/>
          <w:szCs w:val="21"/>
        </w:rPr>
        <w:t>无效</w:t>
      </w:r>
      <w:r>
        <w:rPr>
          <w:rFonts w:hint="eastAsia" w:cs="仿宋_GB2312"/>
          <w:sz w:val="21"/>
          <w:szCs w:val="21"/>
        </w:rPr>
        <w:t xml:space="preserve">。 </w:t>
      </w:r>
    </w:p>
    <w:p w14:paraId="3602ADE3">
      <w:pPr>
        <w:ind w:firstLine="420" w:firstLineChars="200"/>
        <w:rPr>
          <w:rFonts w:hint="eastAsia" w:cs="仿宋_GB2312"/>
          <w:sz w:val="21"/>
          <w:szCs w:val="21"/>
        </w:rPr>
      </w:pPr>
      <w:r>
        <w:rPr>
          <w:rFonts w:hint="eastAsia" w:cs="仿宋_GB2312"/>
          <w:sz w:val="21"/>
          <w:szCs w:val="21"/>
        </w:rPr>
        <w:t xml:space="preserve">3.“响应情况”栏应据实填写“响应”、“正偏离”或“负偏离”。 </w:t>
      </w:r>
    </w:p>
    <w:p w14:paraId="1FD5BDC0">
      <w:pPr>
        <w:ind w:firstLine="420" w:firstLineChars="200"/>
        <w:rPr>
          <w:rFonts w:hint="eastAsia" w:cs="仿宋_GB2312"/>
          <w:sz w:val="21"/>
          <w:szCs w:val="21"/>
        </w:rPr>
      </w:pPr>
      <w:r>
        <w:rPr>
          <w:rFonts w:hint="eastAsia" w:cs="仿宋_GB2312"/>
          <w:sz w:val="21"/>
          <w:szCs w:val="21"/>
        </w:rPr>
        <w:t>4.“说明及索引”栏可填写偏离情况的具体说明及索引。</w:t>
      </w:r>
    </w:p>
    <w:p w14:paraId="65DD31E2">
      <w:pPr>
        <w:ind w:firstLine="420" w:firstLineChars="200"/>
        <w:rPr>
          <w:rFonts w:hint="eastAsia" w:cs="仿宋_GB2312"/>
          <w:sz w:val="21"/>
          <w:szCs w:val="21"/>
        </w:rPr>
      </w:pPr>
      <w:r>
        <w:rPr>
          <w:rFonts w:hint="eastAsia" w:cs="仿宋_GB2312"/>
          <w:sz w:val="21"/>
          <w:szCs w:val="21"/>
        </w:rPr>
        <w:t>5.对招标文件中的所有商务要求，除本表所列明的所有偏离外，均视作供应商</w:t>
      </w:r>
      <w:r>
        <w:rPr>
          <w:rFonts w:cs="仿宋_GB2312"/>
          <w:sz w:val="21"/>
          <w:szCs w:val="21"/>
        </w:rPr>
        <w:t>已对之理解和响应。此表中若无任何文字说明，内容为空白的，</w:t>
      </w:r>
      <w:r>
        <w:rPr>
          <w:rFonts w:cs="仿宋_GB2312"/>
          <w:b/>
          <w:bCs/>
          <w:sz w:val="21"/>
          <w:szCs w:val="21"/>
        </w:rPr>
        <w:t>投标无效</w:t>
      </w:r>
      <w:r>
        <w:rPr>
          <w:rFonts w:cs="仿宋_GB2312"/>
          <w:sz w:val="21"/>
          <w:szCs w:val="21"/>
        </w:rPr>
        <w:t>。</w:t>
      </w:r>
    </w:p>
    <w:p w14:paraId="71CFA1B6">
      <w:pPr>
        <w:ind w:firstLine="420"/>
        <w:rPr>
          <w:rFonts w:hint="eastAsia" w:cs="仿宋_GB2312"/>
          <w:szCs w:val="24"/>
        </w:rPr>
      </w:pPr>
      <w:r>
        <w:rPr>
          <w:rFonts w:cs="仿宋_GB2312"/>
          <w:szCs w:val="24"/>
        </w:rPr>
        <w:br w:type="page"/>
      </w:r>
    </w:p>
    <w:p w14:paraId="457BB190">
      <w:pPr>
        <w:pStyle w:val="4"/>
        <w:spacing w:before="100" w:after="100" w:line="360" w:lineRule="auto"/>
        <w:ind w:left="420" w:hanging="420"/>
        <w:jc w:val="center"/>
        <w:rPr>
          <w:rFonts w:hint="eastAsia"/>
        </w:rPr>
      </w:pPr>
      <w:bookmarkStart w:id="451" w:name="_Toc14474"/>
      <w:bookmarkStart w:id="452" w:name="_Toc163492930"/>
      <w:r>
        <w:rPr>
          <w:rFonts w:hint="eastAsia"/>
        </w:rPr>
        <w:t>七、业绩证明文件</w:t>
      </w:r>
      <w:bookmarkEnd w:id="451"/>
      <w:bookmarkEnd w:id="452"/>
    </w:p>
    <w:p w14:paraId="3557B143">
      <w:pPr>
        <w:rPr>
          <w:rFonts w:hint="eastAsia" w:cs="仿宋_GB2312"/>
          <w:szCs w:val="24"/>
        </w:rPr>
      </w:pPr>
      <w:r>
        <w:rPr>
          <w:rFonts w:cs="Arial"/>
          <w:bCs/>
          <w:szCs w:val="21"/>
        </w:rPr>
        <w:fldChar w:fldCharType="begin"/>
      </w:r>
      <w:r>
        <w:rPr>
          <w:rFonts w:cs="Arial"/>
          <w:bCs/>
          <w:szCs w:val="21"/>
        </w:rPr>
        <w:instrText xml:space="preserve"> LINK Word.Document.8 "D:\\音乐厅\\4通用设备\\招标文件\\音乐厅空调设备招标文件v1.0.doc" "OLE_LINK8" \r  \* MERGEFORMAT </w:instrText>
      </w:r>
      <w:r>
        <w:rPr>
          <w:rFonts w:cs="Arial"/>
          <w:bCs/>
          <w:szCs w:val="21"/>
        </w:rPr>
        <w:fldChar w:fldCharType="separate"/>
      </w:r>
      <w:r>
        <w:rPr>
          <w:rFonts w:hint="eastAsia" w:cs="仿宋_GB2312"/>
          <w:szCs w:val="24"/>
        </w:rPr>
        <w:t xml:space="preserve">项目名称：                                         </w:t>
      </w:r>
    </w:p>
    <w:p w14:paraId="003829EA">
      <w:pPr>
        <w:rPr>
          <w:rFonts w:hint="eastAsia" w:cs="Arial"/>
          <w:bCs/>
          <w:szCs w:val="21"/>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r>
        <w:rPr>
          <w:rFonts w:cs="Arial"/>
          <w:bCs/>
          <w:szCs w:val="21"/>
        </w:rPr>
        <w:fldChar w:fldCharType="end"/>
      </w:r>
    </w:p>
    <w:tbl>
      <w:tblPr>
        <w:tblStyle w:val="30"/>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0CB0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05ACAFEE">
            <w:pPr>
              <w:jc w:val="center"/>
              <w:rPr>
                <w:rFonts w:hint="eastAsia" w:cs="宋体"/>
                <w:sz w:val="21"/>
                <w:szCs w:val="21"/>
              </w:rPr>
            </w:pPr>
            <w:bookmarkStart w:id="453" w:name="_Hlk46779239"/>
            <w:r>
              <w:rPr>
                <w:rFonts w:hint="eastAsia" w:cs="宋体"/>
                <w:sz w:val="21"/>
                <w:szCs w:val="21"/>
              </w:rPr>
              <w:t>序号</w:t>
            </w:r>
          </w:p>
        </w:tc>
        <w:tc>
          <w:tcPr>
            <w:tcW w:w="1560" w:type="dxa"/>
            <w:vAlign w:val="center"/>
          </w:tcPr>
          <w:p w14:paraId="4CE60099">
            <w:pPr>
              <w:jc w:val="center"/>
              <w:rPr>
                <w:rFonts w:hint="eastAsia" w:cs="宋体"/>
                <w:sz w:val="21"/>
                <w:szCs w:val="21"/>
              </w:rPr>
            </w:pPr>
            <w:r>
              <w:rPr>
                <w:rFonts w:hint="eastAsia" w:cs="宋体"/>
                <w:sz w:val="21"/>
                <w:szCs w:val="21"/>
              </w:rPr>
              <w:t>项目名称</w:t>
            </w:r>
          </w:p>
        </w:tc>
        <w:tc>
          <w:tcPr>
            <w:tcW w:w="1248" w:type="dxa"/>
            <w:vAlign w:val="center"/>
          </w:tcPr>
          <w:p w14:paraId="2EB1CC34">
            <w:pPr>
              <w:jc w:val="center"/>
              <w:rPr>
                <w:rFonts w:hint="eastAsia" w:cs="宋体"/>
                <w:sz w:val="21"/>
                <w:szCs w:val="21"/>
              </w:rPr>
            </w:pPr>
            <w:r>
              <w:rPr>
                <w:rFonts w:hint="eastAsia" w:cs="宋体"/>
                <w:sz w:val="21"/>
                <w:szCs w:val="21"/>
              </w:rPr>
              <w:t>标的内容</w:t>
            </w:r>
          </w:p>
        </w:tc>
        <w:tc>
          <w:tcPr>
            <w:tcW w:w="1560" w:type="dxa"/>
            <w:vAlign w:val="center"/>
          </w:tcPr>
          <w:p w14:paraId="75F3B9AF">
            <w:pPr>
              <w:jc w:val="center"/>
              <w:rPr>
                <w:rFonts w:hint="eastAsia" w:cs="宋体"/>
                <w:sz w:val="21"/>
                <w:szCs w:val="21"/>
              </w:rPr>
            </w:pPr>
            <w:r>
              <w:rPr>
                <w:rFonts w:hint="eastAsia" w:cs="宋体"/>
                <w:sz w:val="21"/>
                <w:szCs w:val="21"/>
              </w:rPr>
              <w:t>采购人名称</w:t>
            </w:r>
          </w:p>
        </w:tc>
        <w:tc>
          <w:tcPr>
            <w:tcW w:w="1344" w:type="dxa"/>
            <w:vAlign w:val="center"/>
          </w:tcPr>
          <w:p w14:paraId="222763C4">
            <w:pPr>
              <w:spacing w:line="240" w:lineRule="auto"/>
              <w:jc w:val="center"/>
              <w:rPr>
                <w:rFonts w:hint="eastAsia" w:cs="宋体"/>
                <w:sz w:val="21"/>
                <w:szCs w:val="21"/>
              </w:rPr>
            </w:pPr>
            <w:r>
              <w:rPr>
                <w:rFonts w:hint="eastAsia" w:cs="宋体"/>
                <w:sz w:val="21"/>
                <w:szCs w:val="21"/>
              </w:rPr>
              <w:t>中标（成交）金额</w:t>
            </w:r>
          </w:p>
        </w:tc>
        <w:tc>
          <w:tcPr>
            <w:tcW w:w="1525" w:type="dxa"/>
            <w:vAlign w:val="center"/>
          </w:tcPr>
          <w:p w14:paraId="5C2B0CF9">
            <w:pPr>
              <w:spacing w:line="240" w:lineRule="auto"/>
              <w:jc w:val="center"/>
              <w:rPr>
                <w:rFonts w:hint="eastAsia" w:cs="宋体"/>
                <w:sz w:val="21"/>
                <w:szCs w:val="21"/>
              </w:rPr>
            </w:pPr>
            <w:r>
              <w:rPr>
                <w:rFonts w:hint="eastAsia" w:cs="宋体"/>
                <w:sz w:val="21"/>
                <w:szCs w:val="21"/>
              </w:rPr>
              <w:t>采购合同签订时间</w:t>
            </w:r>
          </w:p>
        </w:tc>
        <w:tc>
          <w:tcPr>
            <w:tcW w:w="1091" w:type="dxa"/>
            <w:vAlign w:val="center"/>
          </w:tcPr>
          <w:p w14:paraId="7A9DA430">
            <w:pPr>
              <w:jc w:val="center"/>
              <w:rPr>
                <w:rFonts w:hint="eastAsia" w:cs="宋体"/>
                <w:sz w:val="21"/>
                <w:szCs w:val="21"/>
              </w:rPr>
            </w:pPr>
            <w:r>
              <w:rPr>
                <w:rFonts w:hint="eastAsia" w:cs="宋体"/>
                <w:sz w:val="21"/>
                <w:szCs w:val="21"/>
              </w:rPr>
              <w:t>备注</w:t>
            </w:r>
          </w:p>
        </w:tc>
      </w:tr>
      <w:tr w14:paraId="228C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61C24FE">
            <w:pPr>
              <w:jc w:val="center"/>
              <w:rPr>
                <w:rFonts w:hint="eastAsia" w:cs="宋体"/>
                <w:sz w:val="21"/>
                <w:szCs w:val="21"/>
              </w:rPr>
            </w:pPr>
            <w:r>
              <w:rPr>
                <w:rFonts w:hint="eastAsia" w:cs="宋体"/>
                <w:sz w:val="21"/>
                <w:szCs w:val="21"/>
              </w:rPr>
              <w:t>1</w:t>
            </w:r>
          </w:p>
        </w:tc>
        <w:tc>
          <w:tcPr>
            <w:tcW w:w="1560" w:type="dxa"/>
            <w:vAlign w:val="center"/>
          </w:tcPr>
          <w:p w14:paraId="30C41BDC">
            <w:pPr>
              <w:rPr>
                <w:rFonts w:hint="eastAsia" w:cs="宋体"/>
                <w:sz w:val="21"/>
                <w:szCs w:val="21"/>
              </w:rPr>
            </w:pPr>
          </w:p>
        </w:tc>
        <w:tc>
          <w:tcPr>
            <w:tcW w:w="1248" w:type="dxa"/>
            <w:vAlign w:val="center"/>
          </w:tcPr>
          <w:p w14:paraId="6E6D9CDD">
            <w:pPr>
              <w:rPr>
                <w:rFonts w:hint="eastAsia" w:cs="宋体"/>
                <w:sz w:val="21"/>
                <w:szCs w:val="21"/>
              </w:rPr>
            </w:pPr>
          </w:p>
        </w:tc>
        <w:tc>
          <w:tcPr>
            <w:tcW w:w="1560" w:type="dxa"/>
            <w:vAlign w:val="center"/>
          </w:tcPr>
          <w:p w14:paraId="7E27B13C">
            <w:pPr>
              <w:rPr>
                <w:rFonts w:hint="eastAsia" w:cs="宋体"/>
                <w:sz w:val="21"/>
                <w:szCs w:val="21"/>
              </w:rPr>
            </w:pPr>
          </w:p>
        </w:tc>
        <w:tc>
          <w:tcPr>
            <w:tcW w:w="1344" w:type="dxa"/>
            <w:vAlign w:val="center"/>
          </w:tcPr>
          <w:p w14:paraId="53C73AD0">
            <w:pPr>
              <w:rPr>
                <w:rFonts w:hint="eastAsia" w:cs="宋体"/>
                <w:sz w:val="21"/>
                <w:szCs w:val="21"/>
              </w:rPr>
            </w:pPr>
          </w:p>
        </w:tc>
        <w:tc>
          <w:tcPr>
            <w:tcW w:w="1525" w:type="dxa"/>
            <w:vAlign w:val="center"/>
          </w:tcPr>
          <w:p w14:paraId="1D282CAF">
            <w:pPr>
              <w:rPr>
                <w:rFonts w:hint="eastAsia" w:cs="宋体"/>
                <w:sz w:val="21"/>
                <w:szCs w:val="21"/>
              </w:rPr>
            </w:pPr>
          </w:p>
        </w:tc>
        <w:tc>
          <w:tcPr>
            <w:tcW w:w="1091" w:type="dxa"/>
            <w:vAlign w:val="center"/>
          </w:tcPr>
          <w:p w14:paraId="2946F75D">
            <w:pPr>
              <w:rPr>
                <w:rFonts w:hint="eastAsia" w:cs="宋体"/>
                <w:sz w:val="21"/>
                <w:szCs w:val="21"/>
              </w:rPr>
            </w:pPr>
          </w:p>
        </w:tc>
      </w:tr>
      <w:tr w14:paraId="25B8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00CC2234">
            <w:pPr>
              <w:jc w:val="center"/>
              <w:rPr>
                <w:rFonts w:hint="eastAsia" w:cs="宋体"/>
                <w:sz w:val="21"/>
                <w:szCs w:val="21"/>
              </w:rPr>
            </w:pPr>
            <w:r>
              <w:rPr>
                <w:rFonts w:hint="eastAsia" w:cs="宋体"/>
                <w:sz w:val="21"/>
                <w:szCs w:val="21"/>
              </w:rPr>
              <w:t>2</w:t>
            </w:r>
          </w:p>
        </w:tc>
        <w:tc>
          <w:tcPr>
            <w:tcW w:w="1560" w:type="dxa"/>
            <w:vAlign w:val="center"/>
          </w:tcPr>
          <w:p w14:paraId="3248C795">
            <w:pPr>
              <w:rPr>
                <w:rFonts w:hint="eastAsia" w:cs="宋体"/>
                <w:sz w:val="21"/>
                <w:szCs w:val="21"/>
              </w:rPr>
            </w:pPr>
          </w:p>
        </w:tc>
        <w:tc>
          <w:tcPr>
            <w:tcW w:w="1248" w:type="dxa"/>
            <w:vAlign w:val="center"/>
          </w:tcPr>
          <w:p w14:paraId="2D1D7CCB">
            <w:pPr>
              <w:rPr>
                <w:rFonts w:hint="eastAsia" w:cs="宋体"/>
                <w:sz w:val="21"/>
                <w:szCs w:val="21"/>
              </w:rPr>
            </w:pPr>
          </w:p>
        </w:tc>
        <w:tc>
          <w:tcPr>
            <w:tcW w:w="1560" w:type="dxa"/>
            <w:vAlign w:val="center"/>
          </w:tcPr>
          <w:p w14:paraId="5F4938AB">
            <w:pPr>
              <w:rPr>
                <w:rFonts w:hint="eastAsia" w:cs="宋体"/>
                <w:sz w:val="21"/>
                <w:szCs w:val="21"/>
              </w:rPr>
            </w:pPr>
          </w:p>
        </w:tc>
        <w:tc>
          <w:tcPr>
            <w:tcW w:w="1344" w:type="dxa"/>
            <w:vAlign w:val="center"/>
          </w:tcPr>
          <w:p w14:paraId="170FF42B">
            <w:pPr>
              <w:rPr>
                <w:rFonts w:hint="eastAsia" w:cs="宋体"/>
                <w:sz w:val="21"/>
                <w:szCs w:val="21"/>
              </w:rPr>
            </w:pPr>
          </w:p>
        </w:tc>
        <w:tc>
          <w:tcPr>
            <w:tcW w:w="1525" w:type="dxa"/>
            <w:vAlign w:val="center"/>
          </w:tcPr>
          <w:p w14:paraId="5A16D0F7">
            <w:pPr>
              <w:rPr>
                <w:rFonts w:hint="eastAsia" w:cs="宋体"/>
                <w:sz w:val="21"/>
                <w:szCs w:val="21"/>
              </w:rPr>
            </w:pPr>
          </w:p>
        </w:tc>
        <w:tc>
          <w:tcPr>
            <w:tcW w:w="1091" w:type="dxa"/>
            <w:vAlign w:val="center"/>
          </w:tcPr>
          <w:p w14:paraId="385B682D">
            <w:pPr>
              <w:rPr>
                <w:rFonts w:hint="eastAsia" w:cs="宋体"/>
                <w:sz w:val="21"/>
                <w:szCs w:val="21"/>
              </w:rPr>
            </w:pPr>
          </w:p>
        </w:tc>
      </w:tr>
      <w:tr w14:paraId="4AC6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BA29661">
            <w:pPr>
              <w:jc w:val="center"/>
              <w:rPr>
                <w:rFonts w:hint="eastAsia" w:cs="宋体"/>
                <w:sz w:val="21"/>
                <w:szCs w:val="21"/>
              </w:rPr>
            </w:pPr>
            <w:r>
              <w:rPr>
                <w:rFonts w:hint="eastAsia" w:cs="宋体"/>
                <w:sz w:val="21"/>
                <w:szCs w:val="21"/>
              </w:rPr>
              <w:t>3</w:t>
            </w:r>
          </w:p>
        </w:tc>
        <w:tc>
          <w:tcPr>
            <w:tcW w:w="1560" w:type="dxa"/>
            <w:vAlign w:val="center"/>
          </w:tcPr>
          <w:p w14:paraId="176FE0DB">
            <w:pPr>
              <w:rPr>
                <w:rFonts w:hint="eastAsia" w:cs="宋体"/>
                <w:sz w:val="21"/>
                <w:szCs w:val="21"/>
              </w:rPr>
            </w:pPr>
          </w:p>
        </w:tc>
        <w:tc>
          <w:tcPr>
            <w:tcW w:w="1248" w:type="dxa"/>
            <w:vAlign w:val="center"/>
          </w:tcPr>
          <w:p w14:paraId="3A11EE53">
            <w:pPr>
              <w:rPr>
                <w:rFonts w:hint="eastAsia" w:cs="宋体"/>
                <w:sz w:val="21"/>
                <w:szCs w:val="21"/>
              </w:rPr>
            </w:pPr>
          </w:p>
        </w:tc>
        <w:tc>
          <w:tcPr>
            <w:tcW w:w="1560" w:type="dxa"/>
            <w:vAlign w:val="center"/>
          </w:tcPr>
          <w:p w14:paraId="5CF0CBE7">
            <w:pPr>
              <w:rPr>
                <w:rFonts w:hint="eastAsia" w:cs="宋体"/>
                <w:sz w:val="21"/>
                <w:szCs w:val="21"/>
              </w:rPr>
            </w:pPr>
          </w:p>
        </w:tc>
        <w:tc>
          <w:tcPr>
            <w:tcW w:w="1344" w:type="dxa"/>
            <w:vAlign w:val="center"/>
          </w:tcPr>
          <w:p w14:paraId="1CCB5063">
            <w:pPr>
              <w:rPr>
                <w:rFonts w:hint="eastAsia" w:cs="宋体"/>
                <w:sz w:val="21"/>
                <w:szCs w:val="21"/>
              </w:rPr>
            </w:pPr>
          </w:p>
        </w:tc>
        <w:tc>
          <w:tcPr>
            <w:tcW w:w="1525" w:type="dxa"/>
            <w:vAlign w:val="center"/>
          </w:tcPr>
          <w:p w14:paraId="3ED795EB">
            <w:pPr>
              <w:rPr>
                <w:rFonts w:hint="eastAsia" w:cs="宋体"/>
                <w:sz w:val="21"/>
                <w:szCs w:val="21"/>
              </w:rPr>
            </w:pPr>
          </w:p>
        </w:tc>
        <w:tc>
          <w:tcPr>
            <w:tcW w:w="1091" w:type="dxa"/>
            <w:vAlign w:val="center"/>
          </w:tcPr>
          <w:p w14:paraId="6F9F3BCC">
            <w:pPr>
              <w:rPr>
                <w:rFonts w:hint="eastAsia" w:cs="宋体"/>
                <w:sz w:val="21"/>
                <w:szCs w:val="21"/>
              </w:rPr>
            </w:pPr>
          </w:p>
        </w:tc>
      </w:tr>
      <w:tr w14:paraId="196E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963C96E">
            <w:pPr>
              <w:jc w:val="center"/>
              <w:rPr>
                <w:rFonts w:hint="eastAsia" w:cs="宋体"/>
                <w:sz w:val="21"/>
                <w:szCs w:val="21"/>
              </w:rPr>
            </w:pPr>
            <w:r>
              <w:rPr>
                <w:rFonts w:hint="eastAsia" w:cs="宋体"/>
                <w:sz w:val="21"/>
                <w:szCs w:val="21"/>
              </w:rPr>
              <w:t>4</w:t>
            </w:r>
          </w:p>
        </w:tc>
        <w:tc>
          <w:tcPr>
            <w:tcW w:w="1560" w:type="dxa"/>
            <w:vAlign w:val="center"/>
          </w:tcPr>
          <w:p w14:paraId="74334059">
            <w:pPr>
              <w:rPr>
                <w:rFonts w:hint="eastAsia" w:cs="宋体"/>
                <w:sz w:val="21"/>
                <w:szCs w:val="21"/>
              </w:rPr>
            </w:pPr>
          </w:p>
        </w:tc>
        <w:tc>
          <w:tcPr>
            <w:tcW w:w="1248" w:type="dxa"/>
            <w:vAlign w:val="center"/>
          </w:tcPr>
          <w:p w14:paraId="6D3889CB">
            <w:pPr>
              <w:rPr>
                <w:rFonts w:hint="eastAsia" w:cs="宋体"/>
                <w:sz w:val="21"/>
                <w:szCs w:val="21"/>
              </w:rPr>
            </w:pPr>
          </w:p>
        </w:tc>
        <w:tc>
          <w:tcPr>
            <w:tcW w:w="1560" w:type="dxa"/>
            <w:vAlign w:val="center"/>
          </w:tcPr>
          <w:p w14:paraId="2D0B2D81">
            <w:pPr>
              <w:rPr>
                <w:rFonts w:hint="eastAsia" w:cs="宋体"/>
                <w:sz w:val="21"/>
                <w:szCs w:val="21"/>
              </w:rPr>
            </w:pPr>
          </w:p>
        </w:tc>
        <w:tc>
          <w:tcPr>
            <w:tcW w:w="1344" w:type="dxa"/>
            <w:vAlign w:val="center"/>
          </w:tcPr>
          <w:p w14:paraId="20DD71FA">
            <w:pPr>
              <w:rPr>
                <w:rFonts w:hint="eastAsia" w:cs="宋体"/>
                <w:sz w:val="21"/>
                <w:szCs w:val="21"/>
              </w:rPr>
            </w:pPr>
          </w:p>
        </w:tc>
        <w:tc>
          <w:tcPr>
            <w:tcW w:w="1525" w:type="dxa"/>
            <w:vAlign w:val="center"/>
          </w:tcPr>
          <w:p w14:paraId="6A6A3B91">
            <w:pPr>
              <w:rPr>
                <w:rFonts w:hint="eastAsia" w:cs="宋体"/>
                <w:sz w:val="21"/>
                <w:szCs w:val="21"/>
              </w:rPr>
            </w:pPr>
          </w:p>
        </w:tc>
        <w:tc>
          <w:tcPr>
            <w:tcW w:w="1091" w:type="dxa"/>
            <w:vAlign w:val="center"/>
          </w:tcPr>
          <w:p w14:paraId="087C08EA">
            <w:pPr>
              <w:rPr>
                <w:rFonts w:hint="eastAsia" w:cs="宋体"/>
                <w:sz w:val="21"/>
                <w:szCs w:val="21"/>
              </w:rPr>
            </w:pPr>
          </w:p>
        </w:tc>
      </w:tr>
      <w:tr w14:paraId="383F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5158BA4">
            <w:pPr>
              <w:jc w:val="center"/>
              <w:rPr>
                <w:rFonts w:hint="eastAsia" w:cs="宋体"/>
                <w:sz w:val="21"/>
                <w:szCs w:val="21"/>
              </w:rPr>
            </w:pPr>
            <w:r>
              <w:rPr>
                <w:rFonts w:hint="eastAsia" w:cs="宋体"/>
                <w:sz w:val="21"/>
                <w:szCs w:val="21"/>
              </w:rPr>
              <w:t>5</w:t>
            </w:r>
          </w:p>
        </w:tc>
        <w:tc>
          <w:tcPr>
            <w:tcW w:w="1560" w:type="dxa"/>
            <w:vAlign w:val="center"/>
          </w:tcPr>
          <w:p w14:paraId="669AFBC7">
            <w:pPr>
              <w:rPr>
                <w:rFonts w:hint="eastAsia" w:cs="宋体"/>
                <w:sz w:val="21"/>
                <w:szCs w:val="21"/>
              </w:rPr>
            </w:pPr>
          </w:p>
        </w:tc>
        <w:tc>
          <w:tcPr>
            <w:tcW w:w="1248" w:type="dxa"/>
            <w:vAlign w:val="center"/>
          </w:tcPr>
          <w:p w14:paraId="62B9DC08">
            <w:pPr>
              <w:rPr>
                <w:rFonts w:hint="eastAsia" w:cs="宋体"/>
                <w:sz w:val="21"/>
                <w:szCs w:val="21"/>
              </w:rPr>
            </w:pPr>
          </w:p>
        </w:tc>
        <w:tc>
          <w:tcPr>
            <w:tcW w:w="1560" w:type="dxa"/>
            <w:vAlign w:val="center"/>
          </w:tcPr>
          <w:p w14:paraId="0F3AF77A">
            <w:pPr>
              <w:rPr>
                <w:rFonts w:hint="eastAsia" w:cs="宋体"/>
                <w:sz w:val="21"/>
                <w:szCs w:val="21"/>
              </w:rPr>
            </w:pPr>
          </w:p>
        </w:tc>
        <w:tc>
          <w:tcPr>
            <w:tcW w:w="1344" w:type="dxa"/>
            <w:vAlign w:val="center"/>
          </w:tcPr>
          <w:p w14:paraId="6434AB41">
            <w:pPr>
              <w:rPr>
                <w:rFonts w:hint="eastAsia" w:cs="宋体"/>
                <w:sz w:val="21"/>
                <w:szCs w:val="21"/>
              </w:rPr>
            </w:pPr>
          </w:p>
        </w:tc>
        <w:tc>
          <w:tcPr>
            <w:tcW w:w="1525" w:type="dxa"/>
            <w:vAlign w:val="center"/>
          </w:tcPr>
          <w:p w14:paraId="539AD5B2">
            <w:pPr>
              <w:rPr>
                <w:rFonts w:hint="eastAsia" w:cs="宋体"/>
                <w:sz w:val="21"/>
                <w:szCs w:val="21"/>
              </w:rPr>
            </w:pPr>
          </w:p>
        </w:tc>
        <w:tc>
          <w:tcPr>
            <w:tcW w:w="1091" w:type="dxa"/>
            <w:vAlign w:val="center"/>
          </w:tcPr>
          <w:p w14:paraId="7604FBE1">
            <w:pPr>
              <w:rPr>
                <w:rFonts w:hint="eastAsia" w:cs="宋体"/>
                <w:sz w:val="21"/>
                <w:szCs w:val="21"/>
              </w:rPr>
            </w:pPr>
          </w:p>
        </w:tc>
      </w:tr>
      <w:tr w14:paraId="33EB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07A81093">
            <w:pPr>
              <w:jc w:val="center"/>
              <w:rPr>
                <w:rFonts w:hint="eastAsia" w:cs="宋体"/>
                <w:sz w:val="21"/>
                <w:szCs w:val="21"/>
              </w:rPr>
            </w:pPr>
            <w:r>
              <w:rPr>
                <w:rFonts w:hint="eastAsia" w:cs="宋体"/>
                <w:sz w:val="21"/>
                <w:szCs w:val="21"/>
              </w:rPr>
              <w:t>…</w:t>
            </w:r>
          </w:p>
        </w:tc>
        <w:tc>
          <w:tcPr>
            <w:tcW w:w="1560" w:type="dxa"/>
            <w:vAlign w:val="center"/>
          </w:tcPr>
          <w:p w14:paraId="55908003">
            <w:pPr>
              <w:rPr>
                <w:rFonts w:hint="eastAsia" w:cs="宋体"/>
                <w:sz w:val="21"/>
                <w:szCs w:val="21"/>
              </w:rPr>
            </w:pPr>
          </w:p>
        </w:tc>
        <w:tc>
          <w:tcPr>
            <w:tcW w:w="1248" w:type="dxa"/>
            <w:vAlign w:val="center"/>
          </w:tcPr>
          <w:p w14:paraId="238BDE2A">
            <w:pPr>
              <w:rPr>
                <w:rFonts w:hint="eastAsia" w:cs="宋体"/>
                <w:sz w:val="21"/>
                <w:szCs w:val="21"/>
              </w:rPr>
            </w:pPr>
          </w:p>
        </w:tc>
        <w:tc>
          <w:tcPr>
            <w:tcW w:w="1560" w:type="dxa"/>
            <w:vAlign w:val="center"/>
          </w:tcPr>
          <w:p w14:paraId="47D6BA63">
            <w:pPr>
              <w:rPr>
                <w:rFonts w:hint="eastAsia" w:cs="宋体"/>
                <w:sz w:val="21"/>
                <w:szCs w:val="21"/>
              </w:rPr>
            </w:pPr>
          </w:p>
        </w:tc>
        <w:tc>
          <w:tcPr>
            <w:tcW w:w="1344" w:type="dxa"/>
            <w:vAlign w:val="center"/>
          </w:tcPr>
          <w:p w14:paraId="13B94C99">
            <w:pPr>
              <w:rPr>
                <w:rFonts w:hint="eastAsia" w:cs="宋体"/>
                <w:sz w:val="21"/>
                <w:szCs w:val="21"/>
              </w:rPr>
            </w:pPr>
          </w:p>
        </w:tc>
        <w:tc>
          <w:tcPr>
            <w:tcW w:w="1525" w:type="dxa"/>
            <w:vAlign w:val="center"/>
          </w:tcPr>
          <w:p w14:paraId="46BC3AE3">
            <w:pPr>
              <w:rPr>
                <w:rFonts w:hint="eastAsia" w:cs="宋体"/>
                <w:sz w:val="21"/>
                <w:szCs w:val="21"/>
              </w:rPr>
            </w:pPr>
          </w:p>
        </w:tc>
        <w:tc>
          <w:tcPr>
            <w:tcW w:w="1091" w:type="dxa"/>
            <w:vAlign w:val="center"/>
          </w:tcPr>
          <w:p w14:paraId="3E2BDDDF">
            <w:pPr>
              <w:rPr>
                <w:rFonts w:hint="eastAsia" w:cs="宋体"/>
                <w:sz w:val="21"/>
                <w:szCs w:val="21"/>
              </w:rPr>
            </w:pPr>
          </w:p>
        </w:tc>
      </w:tr>
      <w:bookmarkEnd w:id="453"/>
    </w:tbl>
    <w:p w14:paraId="6F460F03">
      <w:pPr>
        <w:rPr>
          <w:rFonts w:hint="eastAsia" w:cs="仿宋_GB2312"/>
          <w:szCs w:val="24"/>
        </w:rPr>
      </w:pPr>
    </w:p>
    <w:p w14:paraId="6DBACB3E">
      <w:pPr>
        <w:rPr>
          <w:rFonts w:hint="eastAsia" w:cs="仿宋_GB2312"/>
          <w:sz w:val="21"/>
          <w:szCs w:val="21"/>
        </w:rPr>
      </w:pPr>
      <w:r>
        <w:rPr>
          <w:rFonts w:hint="eastAsia" w:cs="仿宋_GB2312"/>
          <w:sz w:val="21"/>
          <w:szCs w:val="21"/>
        </w:rPr>
        <w:t>注：投标人须按相关要求提供相应的中标（成交）通知书、采购合同等业绩证明资料。</w:t>
      </w:r>
    </w:p>
    <w:p w14:paraId="3213EBC1">
      <w:pPr>
        <w:widowControl/>
        <w:spacing w:before="100" w:beforeAutospacing="1" w:after="100" w:afterAutospacing="1"/>
        <w:rPr>
          <w:rFonts w:hint="eastAsia" w:cs="Arial"/>
          <w:szCs w:val="21"/>
        </w:rPr>
      </w:pPr>
    </w:p>
    <w:p w14:paraId="41482A0C">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仿宋_GB2312"/>
          <w:szCs w:val="24"/>
        </w:rPr>
        <w:t>：</w:t>
      </w:r>
      <w:r>
        <w:rPr>
          <w:rFonts w:cs="仿宋_GB2312"/>
          <w:szCs w:val="24"/>
        </w:rPr>
        <w:t xml:space="preserve"> </w:t>
      </w:r>
    </w:p>
    <w:p w14:paraId="0881ED86">
      <w:pPr>
        <w:ind w:firstLine="420"/>
        <w:rPr>
          <w:rFonts w:hint="eastAsia" w:cs="仿宋_GB2312"/>
          <w:szCs w:val="24"/>
        </w:rPr>
      </w:pPr>
      <w:r>
        <w:rPr>
          <w:rFonts w:hint="eastAsia" w:cs="仿宋_GB2312"/>
          <w:szCs w:val="24"/>
        </w:rPr>
        <w:t>日      期：</w:t>
      </w:r>
    </w:p>
    <w:p w14:paraId="7B81D504">
      <w:pPr>
        <w:ind w:firstLine="420"/>
        <w:rPr>
          <w:rFonts w:hint="eastAsia" w:cs="仿宋_GB2312"/>
          <w:szCs w:val="24"/>
        </w:rPr>
      </w:pPr>
      <w:r>
        <w:rPr>
          <w:rFonts w:cs="仿宋_GB2312"/>
          <w:szCs w:val="24"/>
        </w:rPr>
        <w:br w:type="page"/>
      </w:r>
    </w:p>
    <w:p w14:paraId="3ED5E227">
      <w:pPr>
        <w:pStyle w:val="4"/>
        <w:spacing w:before="100" w:after="100" w:line="360" w:lineRule="auto"/>
        <w:ind w:left="420" w:hanging="420"/>
        <w:jc w:val="center"/>
        <w:rPr>
          <w:rFonts w:hint="eastAsia"/>
        </w:rPr>
      </w:pPr>
      <w:bookmarkStart w:id="454" w:name="_Toc163492931"/>
      <w:bookmarkStart w:id="455" w:name="_Toc30703"/>
      <w:r>
        <w:rPr>
          <w:rFonts w:hint="eastAsia"/>
        </w:rPr>
        <w:t>八、拟派项目团队</w:t>
      </w:r>
      <w:bookmarkEnd w:id="454"/>
      <w:bookmarkEnd w:id="455"/>
    </w:p>
    <w:tbl>
      <w:tblPr>
        <w:tblStyle w:val="30"/>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1F1EB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2E51DAFE">
            <w:pPr>
              <w:pStyle w:val="51"/>
              <w:jc w:val="center"/>
              <w:rPr>
                <w:rFonts w:hint="eastAsia" w:cs="宋体"/>
                <w:sz w:val="21"/>
                <w:szCs w:val="21"/>
              </w:rPr>
            </w:pPr>
            <w:r>
              <w:rPr>
                <w:rFonts w:hint="eastAsia" w:cs="宋体"/>
                <w:sz w:val="21"/>
                <w:szCs w:val="21"/>
              </w:rPr>
              <w:t>序号</w:t>
            </w:r>
          </w:p>
        </w:tc>
        <w:tc>
          <w:tcPr>
            <w:tcW w:w="1267" w:type="dxa"/>
            <w:vAlign w:val="center"/>
          </w:tcPr>
          <w:p w14:paraId="154B2089">
            <w:pPr>
              <w:pStyle w:val="51"/>
              <w:jc w:val="center"/>
              <w:rPr>
                <w:rFonts w:hint="eastAsia" w:cs="宋体"/>
                <w:sz w:val="21"/>
                <w:szCs w:val="21"/>
              </w:rPr>
            </w:pPr>
            <w:r>
              <w:rPr>
                <w:rFonts w:hint="eastAsia" w:cs="宋体"/>
                <w:sz w:val="21"/>
                <w:szCs w:val="21"/>
              </w:rPr>
              <w:t>团队成员</w:t>
            </w:r>
          </w:p>
          <w:p w14:paraId="7E2BEE93">
            <w:pPr>
              <w:pStyle w:val="51"/>
              <w:jc w:val="center"/>
              <w:rPr>
                <w:rFonts w:hint="eastAsia" w:cs="宋体"/>
                <w:sz w:val="21"/>
                <w:szCs w:val="21"/>
              </w:rPr>
            </w:pPr>
            <w:r>
              <w:rPr>
                <w:rFonts w:hint="eastAsia" w:cs="宋体"/>
                <w:sz w:val="21"/>
                <w:szCs w:val="21"/>
              </w:rPr>
              <w:t>姓名</w:t>
            </w:r>
          </w:p>
        </w:tc>
        <w:tc>
          <w:tcPr>
            <w:tcW w:w="1296" w:type="dxa"/>
            <w:tcBorders>
              <w:right w:val="single" w:color="auto" w:sz="4" w:space="0"/>
            </w:tcBorders>
            <w:vAlign w:val="center"/>
          </w:tcPr>
          <w:p w14:paraId="766C7031">
            <w:pPr>
              <w:pStyle w:val="51"/>
              <w:jc w:val="center"/>
              <w:rPr>
                <w:rFonts w:hint="eastAsia" w:cs="宋体"/>
                <w:sz w:val="21"/>
                <w:szCs w:val="21"/>
              </w:rPr>
            </w:pPr>
            <w:r>
              <w:rPr>
                <w:rFonts w:hint="eastAsia" w:cs="宋体"/>
                <w:sz w:val="21"/>
                <w:szCs w:val="21"/>
              </w:rPr>
              <w:t>工作单位</w:t>
            </w:r>
          </w:p>
        </w:tc>
        <w:tc>
          <w:tcPr>
            <w:tcW w:w="1080" w:type="dxa"/>
            <w:tcBorders>
              <w:left w:val="single" w:color="auto" w:sz="4" w:space="0"/>
            </w:tcBorders>
            <w:vAlign w:val="center"/>
          </w:tcPr>
          <w:p w14:paraId="3918EC21">
            <w:pPr>
              <w:pStyle w:val="51"/>
              <w:jc w:val="center"/>
              <w:rPr>
                <w:rFonts w:hint="eastAsia" w:cs="宋体"/>
                <w:sz w:val="21"/>
                <w:szCs w:val="21"/>
              </w:rPr>
            </w:pPr>
            <w:r>
              <w:rPr>
                <w:rFonts w:hint="eastAsia" w:cs="宋体"/>
                <w:sz w:val="21"/>
                <w:szCs w:val="21"/>
              </w:rPr>
              <w:t>身份证号</w:t>
            </w:r>
          </w:p>
        </w:tc>
        <w:tc>
          <w:tcPr>
            <w:tcW w:w="804" w:type="dxa"/>
            <w:tcBorders>
              <w:left w:val="single" w:color="auto" w:sz="4" w:space="0"/>
            </w:tcBorders>
            <w:vAlign w:val="center"/>
          </w:tcPr>
          <w:p w14:paraId="0C279039">
            <w:pPr>
              <w:pStyle w:val="51"/>
              <w:jc w:val="center"/>
              <w:rPr>
                <w:rFonts w:hint="eastAsia" w:cs="宋体"/>
                <w:sz w:val="21"/>
                <w:szCs w:val="21"/>
              </w:rPr>
            </w:pPr>
            <w:r>
              <w:rPr>
                <w:rFonts w:hint="eastAsia" w:cs="宋体"/>
                <w:sz w:val="21"/>
                <w:szCs w:val="21"/>
              </w:rPr>
              <w:t>职称</w:t>
            </w:r>
          </w:p>
        </w:tc>
        <w:tc>
          <w:tcPr>
            <w:tcW w:w="1860" w:type="dxa"/>
            <w:vAlign w:val="center"/>
          </w:tcPr>
          <w:p w14:paraId="64D49333">
            <w:pPr>
              <w:pStyle w:val="51"/>
              <w:jc w:val="center"/>
              <w:rPr>
                <w:rFonts w:hint="eastAsia" w:cs="宋体"/>
                <w:sz w:val="21"/>
                <w:szCs w:val="21"/>
              </w:rPr>
            </w:pPr>
            <w:r>
              <w:rPr>
                <w:rFonts w:hint="eastAsia" w:cs="宋体"/>
                <w:sz w:val="21"/>
                <w:szCs w:val="21"/>
              </w:rPr>
              <w:t>注册证书（岗位证书）名称及编号</w:t>
            </w:r>
          </w:p>
        </w:tc>
        <w:tc>
          <w:tcPr>
            <w:tcW w:w="1356" w:type="dxa"/>
            <w:vAlign w:val="center"/>
          </w:tcPr>
          <w:p w14:paraId="4A200A15">
            <w:pPr>
              <w:pStyle w:val="51"/>
              <w:jc w:val="center"/>
              <w:rPr>
                <w:rFonts w:hint="eastAsia" w:cs="宋体"/>
                <w:sz w:val="21"/>
                <w:szCs w:val="21"/>
              </w:rPr>
            </w:pPr>
            <w:r>
              <w:rPr>
                <w:rFonts w:hint="eastAsia" w:cs="宋体"/>
                <w:sz w:val="21"/>
                <w:szCs w:val="21"/>
              </w:rPr>
              <w:t>在团队中职务（岗位）</w:t>
            </w:r>
          </w:p>
        </w:tc>
        <w:tc>
          <w:tcPr>
            <w:tcW w:w="816" w:type="dxa"/>
            <w:vAlign w:val="center"/>
          </w:tcPr>
          <w:p w14:paraId="4A2F9973">
            <w:pPr>
              <w:pStyle w:val="51"/>
              <w:jc w:val="center"/>
              <w:rPr>
                <w:rFonts w:hint="eastAsia" w:cs="宋体"/>
                <w:sz w:val="21"/>
                <w:szCs w:val="21"/>
              </w:rPr>
            </w:pPr>
            <w:r>
              <w:rPr>
                <w:rFonts w:hint="eastAsia" w:cs="宋体"/>
                <w:sz w:val="21"/>
                <w:szCs w:val="21"/>
              </w:rPr>
              <w:t>自有/外聘</w:t>
            </w:r>
          </w:p>
        </w:tc>
      </w:tr>
      <w:tr w14:paraId="439C4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889A9CA">
            <w:pPr>
              <w:pStyle w:val="51"/>
              <w:jc w:val="center"/>
              <w:rPr>
                <w:rFonts w:hint="eastAsia" w:cs="宋体"/>
                <w:sz w:val="21"/>
                <w:szCs w:val="21"/>
              </w:rPr>
            </w:pPr>
            <w:bookmarkStart w:id="456" w:name="_Toc100090784"/>
            <w:bookmarkStart w:id="457" w:name="_Toc99533292"/>
            <w:r>
              <w:rPr>
                <w:rFonts w:hint="eastAsia" w:cs="宋体"/>
                <w:sz w:val="21"/>
                <w:szCs w:val="21"/>
              </w:rPr>
              <w:t>1</w:t>
            </w:r>
            <w:bookmarkEnd w:id="456"/>
            <w:bookmarkEnd w:id="457"/>
          </w:p>
        </w:tc>
        <w:tc>
          <w:tcPr>
            <w:tcW w:w="1267" w:type="dxa"/>
            <w:vAlign w:val="center"/>
          </w:tcPr>
          <w:p w14:paraId="54439D3F">
            <w:pPr>
              <w:pStyle w:val="51"/>
              <w:jc w:val="center"/>
              <w:rPr>
                <w:rFonts w:hint="eastAsia" w:cs="宋体"/>
                <w:sz w:val="21"/>
                <w:szCs w:val="21"/>
              </w:rPr>
            </w:pPr>
          </w:p>
        </w:tc>
        <w:tc>
          <w:tcPr>
            <w:tcW w:w="1296" w:type="dxa"/>
            <w:tcBorders>
              <w:right w:val="single" w:color="auto" w:sz="4" w:space="0"/>
            </w:tcBorders>
            <w:vAlign w:val="center"/>
          </w:tcPr>
          <w:p w14:paraId="40F46542">
            <w:pPr>
              <w:pStyle w:val="51"/>
              <w:jc w:val="center"/>
              <w:rPr>
                <w:rFonts w:hint="eastAsia" w:cs="宋体"/>
                <w:sz w:val="21"/>
                <w:szCs w:val="21"/>
              </w:rPr>
            </w:pPr>
          </w:p>
        </w:tc>
        <w:tc>
          <w:tcPr>
            <w:tcW w:w="1080" w:type="dxa"/>
            <w:tcBorders>
              <w:left w:val="single" w:color="auto" w:sz="4" w:space="0"/>
            </w:tcBorders>
            <w:vAlign w:val="center"/>
          </w:tcPr>
          <w:p w14:paraId="7ADD79FA">
            <w:pPr>
              <w:pStyle w:val="51"/>
              <w:jc w:val="center"/>
              <w:rPr>
                <w:rFonts w:hint="eastAsia" w:cs="宋体"/>
                <w:sz w:val="21"/>
                <w:szCs w:val="21"/>
              </w:rPr>
            </w:pPr>
          </w:p>
        </w:tc>
        <w:tc>
          <w:tcPr>
            <w:tcW w:w="804" w:type="dxa"/>
            <w:tcBorders>
              <w:left w:val="single" w:color="auto" w:sz="4" w:space="0"/>
            </w:tcBorders>
            <w:vAlign w:val="center"/>
          </w:tcPr>
          <w:p w14:paraId="1D9D6655">
            <w:pPr>
              <w:pStyle w:val="51"/>
              <w:jc w:val="center"/>
              <w:rPr>
                <w:rFonts w:hint="eastAsia" w:cs="宋体"/>
                <w:sz w:val="21"/>
                <w:szCs w:val="21"/>
              </w:rPr>
            </w:pPr>
          </w:p>
        </w:tc>
        <w:tc>
          <w:tcPr>
            <w:tcW w:w="1860" w:type="dxa"/>
            <w:vAlign w:val="center"/>
          </w:tcPr>
          <w:p w14:paraId="3A6B7DC2">
            <w:pPr>
              <w:pStyle w:val="51"/>
              <w:jc w:val="center"/>
              <w:rPr>
                <w:rFonts w:hint="eastAsia" w:cs="宋体"/>
                <w:sz w:val="21"/>
                <w:szCs w:val="21"/>
              </w:rPr>
            </w:pPr>
          </w:p>
        </w:tc>
        <w:tc>
          <w:tcPr>
            <w:tcW w:w="1356" w:type="dxa"/>
            <w:vAlign w:val="center"/>
          </w:tcPr>
          <w:p w14:paraId="48C43BC4">
            <w:pPr>
              <w:pStyle w:val="51"/>
              <w:jc w:val="center"/>
              <w:rPr>
                <w:rFonts w:hint="eastAsia" w:cs="宋体"/>
                <w:sz w:val="21"/>
                <w:szCs w:val="21"/>
              </w:rPr>
            </w:pPr>
          </w:p>
        </w:tc>
        <w:tc>
          <w:tcPr>
            <w:tcW w:w="816" w:type="dxa"/>
            <w:vAlign w:val="center"/>
          </w:tcPr>
          <w:p w14:paraId="2B35A233">
            <w:pPr>
              <w:pStyle w:val="51"/>
              <w:jc w:val="center"/>
              <w:rPr>
                <w:rFonts w:hint="eastAsia" w:cs="宋体"/>
                <w:sz w:val="21"/>
                <w:szCs w:val="21"/>
              </w:rPr>
            </w:pPr>
          </w:p>
        </w:tc>
      </w:tr>
      <w:tr w14:paraId="360A8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DC6590A">
            <w:pPr>
              <w:pStyle w:val="51"/>
              <w:jc w:val="center"/>
              <w:rPr>
                <w:rFonts w:hint="eastAsia" w:cs="宋体"/>
                <w:sz w:val="21"/>
                <w:szCs w:val="21"/>
              </w:rPr>
            </w:pPr>
            <w:bookmarkStart w:id="458" w:name="_Toc100090785"/>
            <w:bookmarkStart w:id="459" w:name="_Toc99533293"/>
            <w:r>
              <w:rPr>
                <w:rFonts w:hint="eastAsia" w:cs="宋体"/>
                <w:sz w:val="21"/>
                <w:szCs w:val="21"/>
              </w:rPr>
              <w:t>2</w:t>
            </w:r>
            <w:bookmarkEnd w:id="458"/>
            <w:bookmarkEnd w:id="459"/>
          </w:p>
        </w:tc>
        <w:tc>
          <w:tcPr>
            <w:tcW w:w="1267" w:type="dxa"/>
            <w:vAlign w:val="center"/>
          </w:tcPr>
          <w:p w14:paraId="1D52AC00">
            <w:pPr>
              <w:pStyle w:val="51"/>
              <w:jc w:val="center"/>
              <w:rPr>
                <w:rFonts w:hint="eastAsia" w:cs="宋体"/>
                <w:sz w:val="21"/>
                <w:szCs w:val="21"/>
              </w:rPr>
            </w:pPr>
          </w:p>
        </w:tc>
        <w:tc>
          <w:tcPr>
            <w:tcW w:w="1296" w:type="dxa"/>
            <w:tcBorders>
              <w:right w:val="single" w:color="auto" w:sz="4" w:space="0"/>
            </w:tcBorders>
            <w:vAlign w:val="center"/>
          </w:tcPr>
          <w:p w14:paraId="079D4DE7">
            <w:pPr>
              <w:pStyle w:val="51"/>
              <w:jc w:val="center"/>
              <w:rPr>
                <w:rFonts w:hint="eastAsia" w:cs="宋体"/>
                <w:sz w:val="21"/>
                <w:szCs w:val="21"/>
              </w:rPr>
            </w:pPr>
          </w:p>
        </w:tc>
        <w:tc>
          <w:tcPr>
            <w:tcW w:w="1080" w:type="dxa"/>
            <w:tcBorders>
              <w:left w:val="single" w:color="auto" w:sz="4" w:space="0"/>
            </w:tcBorders>
            <w:vAlign w:val="center"/>
          </w:tcPr>
          <w:p w14:paraId="38C2387D">
            <w:pPr>
              <w:pStyle w:val="51"/>
              <w:jc w:val="center"/>
              <w:rPr>
                <w:rFonts w:hint="eastAsia" w:cs="宋体"/>
                <w:sz w:val="21"/>
                <w:szCs w:val="21"/>
              </w:rPr>
            </w:pPr>
          </w:p>
        </w:tc>
        <w:tc>
          <w:tcPr>
            <w:tcW w:w="804" w:type="dxa"/>
            <w:tcBorders>
              <w:left w:val="single" w:color="auto" w:sz="4" w:space="0"/>
            </w:tcBorders>
            <w:vAlign w:val="center"/>
          </w:tcPr>
          <w:p w14:paraId="0DFDD547">
            <w:pPr>
              <w:pStyle w:val="51"/>
              <w:jc w:val="center"/>
              <w:rPr>
                <w:rFonts w:hint="eastAsia" w:cs="宋体"/>
                <w:sz w:val="21"/>
                <w:szCs w:val="21"/>
              </w:rPr>
            </w:pPr>
          </w:p>
        </w:tc>
        <w:tc>
          <w:tcPr>
            <w:tcW w:w="1860" w:type="dxa"/>
            <w:vAlign w:val="center"/>
          </w:tcPr>
          <w:p w14:paraId="5DEBAB4E">
            <w:pPr>
              <w:pStyle w:val="51"/>
              <w:jc w:val="center"/>
              <w:rPr>
                <w:rFonts w:hint="eastAsia" w:cs="宋体"/>
                <w:sz w:val="21"/>
                <w:szCs w:val="21"/>
              </w:rPr>
            </w:pPr>
          </w:p>
        </w:tc>
        <w:tc>
          <w:tcPr>
            <w:tcW w:w="1356" w:type="dxa"/>
            <w:vAlign w:val="center"/>
          </w:tcPr>
          <w:p w14:paraId="3517B71D">
            <w:pPr>
              <w:pStyle w:val="51"/>
              <w:jc w:val="center"/>
              <w:rPr>
                <w:rFonts w:hint="eastAsia" w:cs="宋体"/>
                <w:sz w:val="21"/>
                <w:szCs w:val="21"/>
              </w:rPr>
            </w:pPr>
          </w:p>
        </w:tc>
        <w:tc>
          <w:tcPr>
            <w:tcW w:w="816" w:type="dxa"/>
            <w:vAlign w:val="center"/>
          </w:tcPr>
          <w:p w14:paraId="69D89CF6">
            <w:pPr>
              <w:pStyle w:val="51"/>
              <w:jc w:val="center"/>
              <w:rPr>
                <w:rFonts w:hint="eastAsia" w:cs="宋体"/>
                <w:sz w:val="21"/>
                <w:szCs w:val="21"/>
              </w:rPr>
            </w:pPr>
          </w:p>
        </w:tc>
      </w:tr>
      <w:tr w14:paraId="7B276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D57F731">
            <w:pPr>
              <w:pStyle w:val="51"/>
              <w:jc w:val="center"/>
              <w:rPr>
                <w:rFonts w:hint="eastAsia" w:cs="宋体"/>
                <w:sz w:val="21"/>
                <w:szCs w:val="21"/>
              </w:rPr>
            </w:pPr>
            <w:bookmarkStart w:id="460" w:name="_Toc99533294"/>
            <w:bookmarkStart w:id="461" w:name="_Toc100090786"/>
            <w:r>
              <w:rPr>
                <w:rFonts w:hint="eastAsia" w:cs="宋体"/>
                <w:sz w:val="21"/>
                <w:szCs w:val="21"/>
              </w:rPr>
              <w:t>3</w:t>
            </w:r>
            <w:bookmarkEnd w:id="460"/>
            <w:bookmarkEnd w:id="461"/>
          </w:p>
        </w:tc>
        <w:tc>
          <w:tcPr>
            <w:tcW w:w="1267" w:type="dxa"/>
            <w:vAlign w:val="center"/>
          </w:tcPr>
          <w:p w14:paraId="42B30212">
            <w:pPr>
              <w:pStyle w:val="51"/>
              <w:jc w:val="center"/>
              <w:rPr>
                <w:rFonts w:hint="eastAsia" w:cs="宋体"/>
                <w:sz w:val="21"/>
                <w:szCs w:val="21"/>
              </w:rPr>
            </w:pPr>
          </w:p>
        </w:tc>
        <w:tc>
          <w:tcPr>
            <w:tcW w:w="1296" w:type="dxa"/>
            <w:tcBorders>
              <w:right w:val="single" w:color="auto" w:sz="4" w:space="0"/>
            </w:tcBorders>
            <w:vAlign w:val="center"/>
          </w:tcPr>
          <w:p w14:paraId="68633C43">
            <w:pPr>
              <w:pStyle w:val="51"/>
              <w:jc w:val="center"/>
              <w:rPr>
                <w:rFonts w:hint="eastAsia" w:cs="宋体"/>
                <w:sz w:val="21"/>
                <w:szCs w:val="21"/>
              </w:rPr>
            </w:pPr>
          </w:p>
        </w:tc>
        <w:tc>
          <w:tcPr>
            <w:tcW w:w="1080" w:type="dxa"/>
            <w:tcBorders>
              <w:left w:val="single" w:color="auto" w:sz="4" w:space="0"/>
            </w:tcBorders>
            <w:vAlign w:val="center"/>
          </w:tcPr>
          <w:p w14:paraId="420BBA5F">
            <w:pPr>
              <w:pStyle w:val="51"/>
              <w:jc w:val="center"/>
              <w:rPr>
                <w:rFonts w:hint="eastAsia" w:cs="宋体"/>
                <w:sz w:val="21"/>
                <w:szCs w:val="21"/>
              </w:rPr>
            </w:pPr>
          </w:p>
        </w:tc>
        <w:tc>
          <w:tcPr>
            <w:tcW w:w="804" w:type="dxa"/>
            <w:tcBorders>
              <w:left w:val="single" w:color="auto" w:sz="4" w:space="0"/>
            </w:tcBorders>
            <w:vAlign w:val="center"/>
          </w:tcPr>
          <w:p w14:paraId="56F994CB">
            <w:pPr>
              <w:pStyle w:val="51"/>
              <w:jc w:val="center"/>
              <w:rPr>
                <w:rFonts w:hint="eastAsia" w:cs="宋体"/>
                <w:sz w:val="21"/>
                <w:szCs w:val="21"/>
              </w:rPr>
            </w:pPr>
          </w:p>
        </w:tc>
        <w:tc>
          <w:tcPr>
            <w:tcW w:w="1860" w:type="dxa"/>
            <w:vAlign w:val="center"/>
          </w:tcPr>
          <w:p w14:paraId="3FCE181F">
            <w:pPr>
              <w:pStyle w:val="51"/>
              <w:jc w:val="center"/>
              <w:rPr>
                <w:rFonts w:hint="eastAsia" w:cs="宋体"/>
                <w:sz w:val="21"/>
                <w:szCs w:val="21"/>
              </w:rPr>
            </w:pPr>
          </w:p>
        </w:tc>
        <w:tc>
          <w:tcPr>
            <w:tcW w:w="1356" w:type="dxa"/>
            <w:vAlign w:val="center"/>
          </w:tcPr>
          <w:p w14:paraId="60803813">
            <w:pPr>
              <w:pStyle w:val="51"/>
              <w:jc w:val="center"/>
              <w:rPr>
                <w:rFonts w:hint="eastAsia" w:cs="宋体"/>
                <w:sz w:val="21"/>
                <w:szCs w:val="21"/>
              </w:rPr>
            </w:pPr>
          </w:p>
        </w:tc>
        <w:tc>
          <w:tcPr>
            <w:tcW w:w="816" w:type="dxa"/>
            <w:vAlign w:val="center"/>
          </w:tcPr>
          <w:p w14:paraId="31F41070">
            <w:pPr>
              <w:pStyle w:val="51"/>
              <w:jc w:val="center"/>
              <w:rPr>
                <w:rFonts w:hint="eastAsia" w:cs="宋体"/>
                <w:sz w:val="21"/>
                <w:szCs w:val="21"/>
              </w:rPr>
            </w:pPr>
          </w:p>
        </w:tc>
      </w:tr>
      <w:tr w14:paraId="210C2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108B1BF">
            <w:pPr>
              <w:pStyle w:val="51"/>
              <w:jc w:val="center"/>
              <w:rPr>
                <w:rFonts w:hint="eastAsia" w:cs="宋体"/>
                <w:sz w:val="21"/>
                <w:szCs w:val="21"/>
              </w:rPr>
            </w:pPr>
            <w:bookmarkStart w:id="462" w:name="_Toc99533295"/>
            <w:bookmarkStart w:id="463" w:name="_Toc100090787"/>
            <w:r>
              <w:rPr>
                <w:rFonts w:hint="eastAsia" w:cs="宋体"/>
                <w:sz w:val="21"/>
                <w:szCs w:val="21"/>
              </w:rPr>
              <w:t>4</w:t>
            </w:r>
            <w:bookmarkEnd w:id="462"/>
            <w:bookmarkEnd w:id="463"/>
          </w:p>
        </w:tc>
        <w:tc>
          <w:tcPr>
            <w:tcW w:w="1267" w:type="dxa"/>
            <w:vAlign w:val="center"/>
          </w:tcPr>
          <w:p w14:paraId="3597B0CC">
            <w:pPr>
              <w:pStyle w:val="51"/>
              <w:jc w:val="center"/>
              <w:rPr>
                <w:rFonts w:hint="eastAsia" w:cs="宋体"/>
                <w:sz w:val="21"/>
                <w:szCs w:val="21"/>
              </w:rPr>
            </w:pPr>
          </w:p>
        </w:tc>
        <w:tc>
          <w:tcPr>
            <w:tcW w:w="1296" w:type="dxa"/>
            <w:tcBorders>
              <w:right w:val="single" w:color="auto" w:sz="4" w:space="0"/>
            </w:tcBorders>
            <w:vAlign w:val="center"/>
          </w:tcPr>
          <w:p w14:paraId="176655BB">
            <w:pPr>
              <w:pStyle w:val="51"/>
              <w:jc w:val="center"/>
              <w:rPr>
                <w:rFonts w:hint="eastAsia" w:cs="宋体"/>
                <w:sz w:val="21"/>
                <w:szCs w:val="21"/>
              </w:rPr>
            </w:pPr>
          </w:p>
        </w:tc>
        <w:tc>
          <w:tcPr>
            <w:tcW w:w="1080" w:type="dxa"/>
            <w:tcBorders>
              <w:left w:val="single" w:color="auto" w:sz="4" w:space="0"/>
            </w:tcBorders>
            <w:vAlign w:val="center"/>
          </w:tcPr>
          <w:p w14:paraId="4BF3B5AF">
            <w:pPr>
              <w:pStyle w:val="51"/>
              <w:jc w:val="center"/>
              <w:rPr>
                <w:rFonts w:hint="eastAsia" w:cs="宋体"/>
                <w:sz w:val="21"/>
                <w:szCs w:val="21"/>
              </w:rPr>
            </w:pPr>
          </w:p>
        </w:tc>
        <w:tc>
          <w:tcPr>
            <w:tcW w:w="804" w:type="dxa"/>
            <w:tcBorders>
              <w:left w:val="single" w:color="auto" w:sz="4" w:space="0"/>
            </w:tcBorders>
            <w:vAlign w:val="center"/>
          </w:tcPr>
          <w:p w14:paraId="5F8DD0BD">
            <w:pPr>
              <w:pStyle w:val="51"/>
              <w:jc w:val="center"/>
              <w:rPr>
                <w:rFonts w:hint="eastAsia" w:cs="宋体"/>
                <w:sz w:val="21"/>
                <w:szCs w:val="21"/>
              </w:rPr>
            </w:pPr>
          </w:p>
        </w:tc>
        <w:tc>
          <w:tcPr>
            <w:tcW w:w="1860" w:type="dxa"/>
            <w:vAlign w:val="center"/>
          </w:tcPr>
          <w:p w14:paraId="5E8DDE84">
            <w:pPr>
              <w:pStyle w:val="51"/>
              <w:jc w:val="center"/>
              <w:rPr>
                <w:rFonts w:hint="eastAsia" w:cs="宋体"/>
                <w:sz w:val="21"/>
                <w:szCs w:val="21"/>
              </w:rPr>
            </w:pPr>
          </w:p>
        </w:tc>
        <w:tc>
          <w:tcPr>
            <w:tcW w:w="1356" w:type="dxa"/>
            <w:vAlign w:val="center"/>
          </w:tcPr>
          <w:p w14:paraId="039E5176">
            <w:pPr>
              <w:pStyle w:val="51"/>
              <w:jc w:val="center"/>
              <w:rPr>
                <w:rFonts w:hint="eastAsia" w:cs="宋体"/>
                <w:sz w:val="21"/>
                <w:szCs w:val="21"/>
              </w:rPr>
            </w:pPr>
          </w:p>
        </w:tc>
        <w:tc>
          <w:tcPr>
            <w:tcW w:w="816" w:type="dxa"/>
            <w:vAlign w:val="center"/>
          </w:tcPr>
          <w:p w14:paraId="6BA7D7BC">
            <w:pPr>
              <w:pStyle w:val="51"/>
              <w:jc w:val="center"/>
              <w:rPr>
                <w:rFonts w:hint="eastAsia" w:cs="宋体"/>
                <w:sz w:val="21"/>
                <w:szCs w:val="21"/>
              </w:rPr>
            </w:pPr>
          </w:p>
        </w:tc>
      </w:tr>
      <w:tr w14:paraId="64CFE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A20A4DF">
            <w:pPr>
              <w:pStyle w:val="51"/>
              <w:jc w:val="center"/>
              <w:rPr>
                <w:rFonts w:hint="eastAsia" w:cs="宋体"/>
                <w:sz w:val="21"/>
                <w:szCs w:val="21"/>
              </w:rPr>
            </w:pPr>
            <w:bookmarkStart w:id="464" w:name="_Toc99533296"/>
            <w:bookmarkStart w:id="465" w:name="_Toc100090788"/>
            <w:r>
              <w:rPr>
                <w:rFonts w:hint="eastAsia" w:cs="宋体"/>
                <w:sz w:val="21"/>
                <w:szCs w:val="21"/>
              </w:rPr>
              <w:t>5</w:t>
            </w:r>
            <w:bookmarkEnd w:id="464"/>
            <w:bookmarkEnd w:id="465"/>
          </w:p>
        </w:tc>
        <w:tc>
          <w:tcPr>
            <w:tcW w:w="1267" w:type="dxa"/>
            <w:vAlign w:val="center"/>
          </w:tcPr>
          <w:p w14:paraId="0161DEC6">
            <w:pPr>
              <w:pStyle w:val="51"/>
              <w:jc w:val="center"/>
              <w:rPr>
                <w:rFonts w:hint="eastAsia" w:cs="宋体"/>
                <w:sz w:val="21"/>
                <w:szCs w:val="21"/>
              </w:rPr>
            </w:pPr>
          </w:p>
        </w:tc>
        <w:tc>
          <w:tcPr>
            <w:tcW w:w="1296" w:type="dxa"/>
            <w:tcBorders>
              <w:right w:val="single" w:color="auto" w:sz="4" w:space="0"/>
            </w:tcBorders>
            <w:vAlign w:val="center"/>
          </w:tcPr>
          <w:p w14:paraId="22AC0AA7">
            <w:pPr>
              <w:pStyle w:val="51"/>
              <w:jc w:val="center"/>
              <w:rPr>
                <w:rFonts w:hint="eastAsia" w:cs="宋体"/>
                <w:sz w:val="21"/>
                <w:szCs w:val="21"/>
              </w:rPr>
            </w:pPr>
          </w:p>
        </w:tc>
        <w:tc>
          <w:tcPr>
            <w:tcW w:w="1080" w:type="dxa"/>
            <w:tcBorders>
              <w:left w:val="single" w:color="auto" w:sz="4" w:space="0"/>
            </w:tcBorders>
            <w:vAlign w:val="center"/>
          </w:tcPr>
          <w:p w14:paraId="3D216F67">
            <w:pPr>
              <w:pStyle w:val="51"/>
              <w:jc w:val="center"/>
              <w:rPr>
                <w:rFonts w:hint="eastAsia" w:cs="宋体"/>
                <w:sz w:val="21"/>
                <w:szCs w:val="21"/>
              </w:rPr>
            </w:pPr>
          </w:p>
        </w:tc>
        <w:tc>
          <w:tcPr>
            <w:tcW w:w="804" w:type="dxa"/>
            <w:tcBorders>
              <w:left w:val="single" w:color="auto" w:sz="4" w:space="0"/>
            </w:tcBorders>
            <w:vAlign w:val="center"/>
          </w:tcPr>
          <w:p w14:paraId="46BB9361">
            <w:pPr>
              <w:pStyle w:val="51"/>
              <w:jc w:val="center"/>
              <w:rPr>
                <w:rFonts w:hint="eastAsia" w:cs="宋体"/>
                <w:sz w:val="21"/>
                <w:szCs w:val="21"/>
              </w:rPr>
            </w:pPr>
          </w:p>
        </w:tc>
        <w:tc>
          <w:tcPr>
            <w:tcW w:w="1860" w:type="dxa"/>
            <w:vAlign w:val="center"/>
          </w:tcPr>
          <w:p w14:paraId="2511C103">
            <w:pPr>
              <w:pStyle w:val="51"/>
              <w:jc w:val="center"/>
              <w:rPr>
                <w:rFonts w:hint="eastAsia" w:cs="宋体"/>
                <w:sz w:val="21"/>
                <w:szCs w:val="21"/>
              </w:rPr>
            </w:pPr>
          </w:p>
        </w:tc>
        <w:tc>
          <w:tcPr>
            <w:tcW w:w="1356" w:type="dxa"/>
            <w:vAlign w:val="center"/>
          </w:tcPr>
          <w:p w14:paraId="35266296">
            <w:pPr>
              <w:pStyle w:val="51"/>
              <w:jc w:val="center"/>
              <w:rPr>
                <w:rFonts w:hint="eastAsia" w:cs="宋体"/>
                <w:sz w:val="21"/>
                <w:szCs w:val="21"/>
              </w:rPr>
            </w:pPr>
          </w:p>
        </w:tc>
        <w:tc>
          <w:tcPr>
            <w:tcW w:w="816" w:type="dxa"/>
            <w:vAlign w:val="center"/>
          </w:tcPr>
          <w:p w14:paraId="1CA0EDCF">
            <w:pPr>
              <w:pStyle w:val="51"/>
              <w:jc w:val="center"/>
              <w:rPr>
                <w:rFonts w:hint="eastAsia" w:cs="宋体"/>
                <w:sz w:val="21"/>
                <w:szCs w:val="21"/>
              </w:rPr>
            </w:pPr>
          </w:p>
        </w:tc>
      </w:tr>
      <w:tr w14:paraId="16912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6A28961">
            <w:pPr>
              <w:pStyle w:val="51"/>
              <w:jc w:val="center"/>
              <w:rPr>
                <w:rFonts w:hint="eastAsia" w:cs="宋体"/>
                <w:sz w:val="21"/>
                <w:szCs w:val="21"/>
              </w:rPr>
            </w:pPr>
            <w:bookmarkStart w:id="466" w:name="_Toc100090789"/>
            <w:bookmarkStart w:id="467" w:name="_Toc99533297"/>
            <w:r>
              <w:rPr>
                <w:rFonts w:hint="eastAsia" w:cs="宋体"/>
                <w:sz w:val="21"/>
                <w:szCs w:val="21"/>
              </w:rPr>
              <w:t>6</w:t>
            </w:r>
            <w:bookmarkEnd w:id="466"/>
            <w:bookmarkEnd w:id="467"/>
          </w:p>
        </w:tc>
        <w:tc>
          <w:tcPr>
            <w:tcW w:w="1267" w:type="dxa"/>
            <w:vAlign w:val="center"/>
          </w:tcPr>
          <w:p w14:paraId="747D19D7">
            <w:pPr>
              <w:pStyle w:val="51"/>
              <w:jc w:val="center"/>
              <w:rPr>
                <w:rFonts w:hint="eastAsia" w:cs="宋体"/>
                <w:sz w:val="21"/>
                <w:szCs w:val="21"/>
              </w:rPr>
            </w:pPr>
          </w:p>
        </w:tc>
        <w:tc>
          <w:tcPr>
            <w:tcW w:w="1296" w:type="dxa"/>
            <w:tcBorders>
              <w:right w:val="single" w:color="auto" w:sz="4" w:space="0"/>
            </w:tcBorders>
            <w:vAlign w:val="center"/>
          </w:tcPr>
          <w:p w14:paraId="7E553182">
            <w:pPr>
              <w:pStyle w:val="51"/>
              <w:jc w:val="center"/>
              <w:rPr>
                <w:rFonts w:hint="eastAsia" w:cs="宋体"/>
                <w:sz w:val="21"/>
                <w:szCs w:val="21"/>
              </w:rPr>
            </w:pPr>
          </w:p>
        </w:tc>
        <w:tc>
          <w:tcPr>
            <w:tcW w:w="1080" w:type="dxa"/>
            <w:tcBorders>
              <w:left w:val="single" w:color="auto" w:sz="4" w:space="0"/>
            </w:tcBorders>
            <w:vAlign w:val="center"/>
          </w:tcPr>
          <w:p w14:paraId="2559315A">
            <w:pPr>
              <w:pStyle w:val="51"/>
              <w:jc w:val="center"/>
              <w:rPr>
                <w:rFonts w:hint="eastAsia" w:cs="宋体"/>
                <w:sz w:val="21"/>
                <w:szCs w:val="21"/>
              </w:rPr>
            </w:pPr>
          </w:p>
        </w:tc>
        <w:tc>
          <w:tcPr>
            <w:tcW w:w="804" w:type="dxa"/>
            <w:tcBorders>
              <w:left w:val="single" w:color="auto" w:sz="4" w:space="0"/>
            </w:tcBorders>
            <w:vAlign w:val="center"/>
          </w:tcPr>
          <w:p w14:paraId="69C71D8A">
            <w:pPr>
              <w:pStyle w:val="51"/>
              <w:jc w:val="center"/>
              <w:rPr>
                <w:rFonts w:hint="eastAsia" w:cs="宋体"/>
                <w:sz w:val="21"/>
                <w:szCs w:val="21"/>
              </w:rPr>
            </w:pPr>
          </w:p>
        </w:tc>
        <w:tc>
          <w:tcPr>
            <w:tcW w:w="1860" w:type="dxa"/>
            <w:vAlign w:val="center"/>
          </w:tcPr>
          <w:p w14:paraId="16C51ACA">
            <w:pPr>
              <w:pStyle w:val="51"/>
              <w:jc w:val="center"/>
              <w:rPr>
                <w:rFonts w:hint="eastAsia" w:cs="宋体"/>
                <w:sz w:val="21"/>
                <w:szCs w:val="21"/>
              </w:rPr>
            </w:pPr>
          </w:p>
        </w:tc>
        <w:tc>
          <w:tcPr>
            <w:tcW w:w="1356" w:type="dxa"/>
            <w:vAlign w:val="center"/>
          </w:tcPr>
          <w:p w14:paraId="22A18130">
            <w:pPr>
              <w:pStyle w:val="51"/>
              <w:jc w:val="center"/>
              <w:rPr>
                <w:rFonts w:hint="eastAsia" w:cs="宋体"/>
                <w:sz w:val="21"/>
                <w:szCs w:val="21"/>
              </w:rPr>
            </w:pPr>
          </w:p>
        </w:tc>
        <w:tc>
          <w:tcPr>
            <w:tcW w:w="816" w:type="dxa"/>
            <w:vAlign w:val="center"/>
          </w:tcPr>
          <w:p w14:paraId="28E5E50E">
            <w:pPr>
              <w:pStyle w:val="51"/>
              <w:jc w:val="center"/>
              <w:rPr>
                <w:rFonts w:hint="eastAsia" w:cs="宋体"/>
                <w:sz w:val="21"/>
                <w:szCs w:val="21"/>
              </w:rPr>
            </w:pPr>
          </w:p>
        </w:tc>
      </w:tr>
      <w:tr w14:paraId="73F30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8F98E52">
            <w:pPr>
              <w:pStyle w:val="51"/>
              <w:jc w:val="center"/>
              <w:rPr>
                <w:rFonts w:hint="eastAsia" w:cs="宋体"/>
                <w:sz w:val="21"/>
                <w:szCs w:val="21"/>
              </w:rPr>
            </w:pPr>
            <w:bookmarkStart w:id="468" w:name="_Toc99533298"/>
            <w:bookmarkStart w:id="469" w:name="_Toc100090790"/>
            <w:r>
              <w:rPr>
                <w:rFonts w:hint="eastAsia" w:cs="宋体"/>
                <w:sz w:val="21"/>
                <w:szCs w:val="21"/>
              </w:rPr>
              <w:t>7</w:t>
            </w:r>
            <w:bookmarkEnd w:id="468"/>
            <w:bookmarkEnd w:id="469"/>
          </w:p>
        </w:tc>
        <w:tc>
          <w:tcPr>
            <w:tcW w:w="1267" w:type="dxa"/>
            <w:vAlign w:val="center"/>
          </w:tcPr>
          <w:p w14:paraId="78D5C444">
            <w:pPr>
              <w:pStyle w:val="51"/>
              <w:jc w:val="center"/>
              <w:rPr>
                <w:rFonts w:hint="eastAsia" w:cs="宋体"/>
                <w:sz w:val="21"/>
                <w:szCs w:val="21"/>
              </w:rPr>
            </w:pPr>
          </w:p>
        </w:tc>
        <w:tc>
          <w:tcPr>
            <w:tcW w:w="1296" w:type="dxa"/>
            <w:tcBorders>
              <w:right w:val="single" w:color="auto" w:sz="4" w:space="0"/>
            </w:tcBorders>
            <w:vAlign w:val="center"/>
          </w:tcPr>
          <w:p w14:paraId="3BD754CC">
            <w:pPr>
              <w:pStyle w:val="51"/>
              <w:jc w:val="center"/>
              <w:rPr>
                <w:rFonts w:hint="eastAsia" w:cs="宋体"/>
                <w:sz w:val="21"/>
                <w:szCs w:val="21"/>
              </w:rPr>
            </w:pPr>
          </w:p>
        </w:tc>
        <w:tc>
          <w:tcPr>
            <w:tcW w:w="1080" w:type="dxa"/>
            <w:tcBorders>
              <w:left w:val="single" w:color="auto" w:sz="4" w:space="0"/>
            </w:tcBorders>
            <w:vAlign w:val="center"/>
          </w:tcPr>
          <w:p w14:paraId="4EDCE5C2">
            <w:pPr>
              <w:pStyle w:val="51"/>
              <w:jc w:val="center"/>
              <w:rPr>
                <w:rFonts w:hint="eastAsia" w:cs="宋体"/>
                <w:sz w:val="21"/>
                <w:szCs w:val="21"/>
              </w:rPr>
            </w:pPr>
          </w:p>
        </w:tc>
        <w:tc>
          <w:tcPr>
            <w:tcW w:w="804" w:type="dxa"/>
            <w:tcBorders>
              <w:left w:val="single" w:color="auto" w:sz="4" w:space="0"/>
            </w:tcBorders>
            <w:vAlign w:val="center"/>
          </w:tcPr>
          <w:p w14:paraId="0B67208B">
            <w:pPr>
              <w:pStyle w:val="51"/>
              <w:jc w:val="center"/>
              <w:rPr>
                <w:rFonts w:hint="eastAsia" w:cs="宋体"/>
                <w:sz w:val="21"/>
                <w:szCs w:val="21"/>
              </w:rPr>
            </w:pPr>
          </w:p>
        </w:tc>
        <w:tc>
          <w:tcPr>
            <w:tcW w:w="1860" w:type="dxa"/>
            <w:vAlign w:val="center"/>
          </w:tcPr>
          <w:p w14:paraId="0E58188A">
            <w:pPr>
              <w:pStyle w:val="51"/>
              <w:jc w:val="center"/>
              <w:rPr>
                <w:rFonts w:hint="eastAsia" w:cs="宋体"/>
                <w:sz w:val="21"/>
                <w:szCs w:val="21"/>
              </w:rPr>
            </w:pPr>
          </w:p>
        </w:tc>
        <w:tc>
          <w:tcPr>
            <w:tcW w:w="1356" w:type="dxa"/>
            <w:vAlign w:val="center"/>
          </w:tcPr>
          <w:p w14:paraId="64B227C5">
            <w:pPr>
              <w:pStyle w:val="51"/>
              <w:jc w:val="center"/>
              <w:rPr>
                <w:rFonts w:hint="eastAsia" w:cs="宋体"/>
                <w:sz w:val="21"/>
                <w:szCs w:val="21"/>
              </w:rPr>
            </w:pPr>
          </w:p>
        </w:tc>
        <w:tc>
          <w:tcPr>
            <w:tcW w:w="816" w:type="dxa"/>
            <w:vAlign w:val="center"/>
          </w:tcPr>
          <w:p w14:paraId="21AC8EE7">
            <w:pPr>
              <w:pStyle w:val="51"/>
              <w:jc w:val="center"/>
              <w:rPr>
                <w:rFonts w:hint="eastAsia" w:cs="宋体"/>
                <w:sz w:val="21"/>
                <w:szCs w:val="21"/>
              </w:rPr>
            </w:pPr>
          </w:p>
        </w:tc>
      </w:tr>
      <w:tr w14:paraId="74A15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C94D1F8">
            <w:pPr>
              <w:pStyle w:val="51"/>
              <w:jc w:val="center"/>
              <w:rPr>
                <w:rFonts w:hint="eastAsia" w:cs="宋体"/>
                <w:sz w:val="21"/>
                <w:szCs w:val="21"/>
              </w:rPr>
            </w:pPr>
            <w:bookmarkStart w:id="470" w:name="_Toc99533299"/>
            <w:bookmarkStart w:id="471" w:name="_Toc100090791"/>
            <w:r>
              <w:rPr>
                <w:rFonts w:hint="eastAsia" w:cs="宋体"/>
                <w:sz w:val="21"/>
                <w:szCs w:val="21"/>
              </w:rPr>
              <w:t>8</w:t>
            </w:r>
            <w:bookmarkEnd w:id="470"/>
            <w:bookmarkEnd w:id="471"/>
          </w:p>
        </w:tc>
        <w:tc>
          <w:tcPr>
            <w:tcW w:w="1267" w:type="dxa"/>
            <w:vAlign w:val="center"/>
          </w:tcPr>
          <w:p w14:paraId="0447FBE0">
            <w:pPr>
              <w:pStyle w:val="51"/>
              <w:jc w:val="center"/>
              <w:rPr>
                <w:rFonts w:hint="eastAsia" w:cs="宋体"/>
                <w:sz w:val="21"/>
                <w:szCs w:val="21"/>
              </w:rPr>
            </w:pPr>
          </w:p>
        </w:tc>
        <w:tc>
          <w:tcPr>
            <w:tcW w:w="1296" w:type="dxa"/>
            <w:tcBorders>
              <w:right w:val="single" w:color="auto" w:sz="4" w:space="0"/>
            </w:tcBorders>
            <w:vAlign w:val="center"/>
          </w:tcPr>
          <w:p w14:paraId="58967F9D">
            <w:pPr>
              <w:pStyle w:val="51"/>
              <w:jc w:val="center"/>
              <w:rPr>
                <w:rFonts w:hint="eastAsia" w:cs="宋体"/>
                <w:sz w:val="21"/>
                <w:szCs w:val="21"/>
              </w:rPr>
            </w:pPr>
          </w:p>
        </w:tc>
        <w:tc>
          <w:tcPr>
            <w:tcW w:w="1080" w:type="dxa"/>
            <w:tcBorders>
              <w:left w:val="single" w:color="auto" w:sz="4" w:space="0"/>
            </w:tcBorders>
            <w:vAlign w:val="center"/>
          </w:tcPr>
          <w:p w14:paraId="20AA8F91">
            <w:pPr>
              <w:pStyle w:val="51"/>
              <w:jc w:val="center"/>
              <w:rPr>
                <w:rFonts w:hint="eastAsia" w:cs="宋体"/>
                <w:sz w:val="21"/>
                <w:szCs w:val="21"/>
              </w:rPr>
            </w:pPr>
          </w:p>
        </w:tc>
        <w:tc>
          <w:tcPr>
            <w:tcW w:w="804" w:type="dxa"/>
            <w:tcBorders>
              <w:left w:val="single" w:color="auto" w:sz="4" w:space="0"/>
            </w:tcBorders>
            <w:vAlign w:val="center"/>
          </w:tcPr>
          <w:p w14:paraId="4A5265DF">
            <w:pPr>
              <w:pStyle w:val="51"/>
              <w:jc w:val="center"/>
              <w:rPr>
                <w:rFonts w:hint="eastAsia" w:cs="宋体"/>
                <w:sz w:val="21"/>
                <w:szCs w:val="21"/>
              </w:rPr>
            </w:pPr>
          </w:p>
        </w:tc>
        <w:tc>
          <w:tcPr>
            <w:tcW w:w="1860" w:type="dxa"/>
            <w:vAlign w:val="center"/>
          </w:tcPr>
          <w:p w14:paraId="561AFEB1">
            <w:pPr>
              <w:pStyle w:val="51"/>
              <w:jc w:val="center"/>
              <w:rPr>
                <w:rFonts w:hint="eastAsia" w:cs="宋体"/>
                <w:sz w:val="21"/>
                <w:szCs w:val="21"/>
              </w:rPr>
            </w:pPr>
          </w:p>
        </w:tc>
        <w:tc>
          <w:tcPr>
            <w:tcW w:w="1356" w:type="dxa"/>
            <w:vAlign w:val="center"/>
          </w:tcPr>
          <w:p w14:paraId="64A9AE9B">
            <w:pPr>
              <w:pStyle w:val="51"/>
              <w:jc w:val="center"/>
              <w:rPr>
                <w:rFonts w:hint="eastAsia" w:cs="宋体"/>
                <w:sz w:val="21"/>
                <w:szCs w:val="21"/>
              </w:rPr>
            </w:pPr>
          </w:p>
        </w:tc>
        <w:tc>
          <w:tcPr>
            <w:tcW w:w="816" w:type="dxa"/>
            <w:vAlign w:val="center"/>
          </w:tcPr>
          <w:p w14:paraId="5C9C5622">
            <w:pPr>
              <w:pStyle w:val="51"/>
              <w:jc w:val="center"/>
              <w:rPr>
                <w:rFonts w:hint="eastAsia" w:cs="宋体"/>
                <w:sz w:val="21"/>
                <w:szCs w:val="21"/>
              </w:rPr>
            </w:pPr>
          </w:p>
        </w:tc>
      </w:tr>
      <w:tr w14:paraId="29EBD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BA50137">
            <w:pPr>
              <w:pStyle w:val="51"/>
              <w:jc w:val="center"/>
              <w:rPr>
                <w:rFonts w:hint="eastAsia" w:cs="宋体"/>
                <w:sz w:val="21"/>
                <w:szCs w:val="21"/>
              </w:rPr>
            </w:pPr>
            <w:bookmarkStart w:id="472" w:name="_Toc100090792"/>
            <w:bookmarkStart w:id="473" w:name="_Toc99533300"/>
            <w:r>
              <w:rPr>
                <w:rFonts w:hint="eastAsia" w:cs="宋体"/>
                <w:sz w:val="21"/>
                <w:szCs w:val="21"/>
              </w:rPr>
              <w:t>9</w:t>
            </w:r>
            <w:bookmarkEnd w:id="472"/>
            <w:bookmarkEnd w:id="473"/>
          </w:p>
        </w:tc>
        <w:tc>
          <w:tcPr>
            <w:tcW w:w="1267" w:type="dxa"/>
            <w:vAlign w:val="center"/>
          </w:tcPr>
          <w:p w14:paraId="342C7EDC">
            <w:pPr>
              <w:pStyle w:val="51"/>
              <w:jc w:val="center"/>
              <w:rPr>
                <w:rFonts w:hint="eastAsia" w:cs="宋体"/>
                <w:sz w:val="21"/>
                <w:szCs w:val="21"/>
              </w:rPr>
            </w:pPr>
          </w:p>
        </w:tc>
        <w:tc>
          <w:tcPr>
            <w:tcW w:w="1296" w:type="dxa"/>
            <w:tcBorders>
              <w:right w:val="single" w:color="auto" w:sz="4" w:space="0"/>
            </w:tcBorders>
            <w:vAlign w:val="center"/>
          </w:tcPr>
          <w:p w14:paraId="2A0B9CB5">
            <w:pPr>
              <w:pStyle w:val="51"/>
              <w:jc w:val="center"/>
              <w:rPr>
                <w:rFonts w:hint="eastAsia" w:cs="宋体"/>
                <w:sz w:val="21"/>
                <w:szCs w:val="21"/>
              </w:rPr>
            </w:pPr>
          </w:p>
        </w:tc>
        <w:tc>
          <w:tcPr>
            <w:tcW w:w="1080" w:type="dxa"/>
            <w:tcBorders>
              <w:left w:val="single" w:color="auto" w:sz="4" w:space="0"/>
            </w:tcBorders>
            <w:vAlign w:val="center"/>
          </w:tcPr>
          <w:p w14:paraId="1A879CFB">
            <w:pPr>
              <w:pStyle w:val="51"/>
              <w:jc w:val="center"/>
              <w:rPr>
                <w:rFonts w:hint="eastAsia" w:cs="宋体"/>
                <w:sz w:val="21"/>
                <w:szCs w:val="21"/>
              </w:rPr>
            </w:pPr>
          </w:p>
        </w:tc>
        <w:tc>
          <w:tcPr>
            <w:tcW w:w="804" w:type="dxa"/>
            <w:tcBorders>
              <w:left w:val="single" w:color="auto" w:sz="4" w:space="0"/>
            </w:tcBorders>
            <w:vAlign w:val="center"/>
          </w:tcPr>
          <w:p w14:paraId="5F9DF8C3">
            <w:pPr>
              <w:pStyle w:val="51"/>
              <w:jc w:val="center"/>
              <w:rPr>
                <w:rFonts w:hint="eastAsia" w:cs="宋体"/>
                <w:sz w:val="21"/>
                <w:szCs w:val="21"/>
              </w:rPr>
            </w:pPr>
          </w:p>
        </w:tc>
        <w:tc>
          <w:tcPr>
            <w:tcW w:w="1860" w:type="dxa"/>
            <w:vAlign w:val="center"/>
          </w:tcPr>
          <w:p w14:paraId="4A5D37CA">
            <w:pPr>
              <w:pStyle w:val="51"/>
              <w:jc w:val="center"/>
              <w:rPr>
                <w:rFonts w:hint="eastAsia" w:cs="宋体"/>
                <w:sz w:val="21"/>
                <w:szCs w:val="21"/>
              </w:rPr>
            </w:pPr>
          </w:p>
        </w:tc>
        <w:tc>
          <w:tcPr>
            <w:tcW w:w="1356" w:type="dxa"/>
            <w:vAlign w:val="center"/>
          </w:tcPr>
          <w:p w14:paraId="7532303F">
            <w:pPr>
              <w:pStyle w:val="51"/>
              <w:jc w:val="center"/>
              <w:rPr>
                <w:rFonts w:hint="eastAsia" w:cs="宋体"/>
                <w:sz w:val="21"/>
                <w:szCs w:val="21"/>
              </w:rPr>
            </w:pPr>
          </w:p>
        </w:tc>
        <w:tc>
          <w:tcPr>
            <w:tcW w:w="816" w:type="dxa"/>
            <w:vAlign w:val="center"/>
          </w:tcPr>
          <w:p w14:paraId="2171E85C">
            <w:pPr>
              <w:pStyle w:val="51"/>
              <w:jc w:val="center"/>
              <w:rPr>
                <w:rFonts w:hint="eastAsia" w:cs="宋体"/>
                <w:sz w:val="21"/>
                <w:szCs w:val="21"/>
              </w:rPr>
            </w:pPr>
          </w:p>
        </w:tc>
      </w:tr>
      <w:tr w14:paraId="1E1E2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57436253">
            <w:pPr>
              <w:pStyle w:val="51"/>
              <w:jc w:val="center"/>
              <w:rPr>
                <w:rFonts w:hint="eastAsia" w:cs="宋体"/>
                <w:sz w:val="21"/>
                <w:szCs w:val="21"/>
              </w:rPr>
            </w:pPr>
            <w:bookmarkStart w:id="474" w:name="_Toc99533301"/>
            <w:bookmarkStart w:id="475" w:name="_Toc100090793"/>
            <w:r>
              <w:rPr>
                <w:rFonts w:hint="eastAsia" w:cs="宋体"/>
                <w:sz w:val="21"/>
                <w:szCs w:val="21"/>
              </w:rPr>
              <w:t>10</w:t>
            </w:r>
            <w:bookmarkEnd w:id="474"/>
            <w:bookmarkEnd w:id="475"/>
          </w:p>
        </w:tc>
        <w:tc>
          <w:tcPr>
            <w:tcW w:w="1267" w:type="dxa"/>
            <w:vAlign w:val="center"/>
          </w:tcPr>
          <w:p w14:paraId="4F1FFCB8">
            <w:pPr>
              <w:pStyle w:val="51"/>
              <w:jc w:val="center"/>
              <w:rPr>
                <w:rFonts w:hint="eastAsia" w:cs="宋体"/>
                <w:sz w:val="21"/>
                <w:szCs w:val="21"/>
              </w:rPr>
            </w:pPr>
          </w:p>
        </w:tc>
        <w:tc>
          <w:tcPr>
            <w:tcW w:w="1296" w:type="dxa"/>
            <w:tcBorders>
              <w:right w:val="single" w:color="auto" w:sz="4" w:space="0"/>
            </w:tcBorders>
            <w:vAlign w:val="center"/>
          </w:tcPr>
          <w:p w14:paraId="192EEE45">
            <w:pPr>
              <w:pStyle w:val="51"/>
              <w:jc w:val="center"/>
              <w:rPr>
                <w:rFonts w:hint="eastAsia" w:cs="宋体"/>
                <w:sz w:val="21"/>
                <w:szCs w:val="21"/>
              </w:rPr>
            </w:pPr>
          </w:p>
        </w:tc>
        <w:tc>
          <w:tcPr>
            <w:tcW w:w="1080" w:type="dxa"/>
            <w:tcBorders>
              <w:left w:val="single" w:color="auto" w:sz="4" w:space="0"/>
            </w:tcBorders>
            <w:vAlign w:val="center"/>
          </w:tcPr>
          <w:p w14:paraId="38779539">
            <w:pPr>
              <w:pStyle w:val="51"/>
              <w:jc w:val="center"/>
              <w:rPr>
                <w:rFonts w:hint="eastAsia" w:cs="宋体"/>
                <w:sz w:val="21"/>
                <w:szCs w:val="21"/>
              </w:rPr>
            </w:pPr>
          </w:p>
        </w:tc>
        <w:tc>
          <w:tcPr>
            <w:tcW w:w="804" w:type="dxa"/>
            <w:tcBorders>
              <w:left w:val="single" w:color="auto" w:sz="4" w:space="0"/>
            </w:tcBorders>
            <w:vAlign w:val="center"/>
          </w:tcPr>
          <w:p w14:paraId="5EA48279">
            <w:pPr>
              <w:pStyle w:val="51"/>
              <w:jc w:val="center"/>
              <w:rPr>
                <w:rFonts w:hint="eastAsia" w:cs="宋体"/>
                <w:sz w:val="21"/>
                <w:szCs w:val="21"/>
              </w:rPr>
            </w:pPr>
          </w:p>
        </w:tc>
        <w:tc>
          <w:tcPr>
            <w:tcW w:w="1860" w:type="dxa"/>
            <w:vAlign w:val="center"/>
          </w:tcPr>
          <w:p w14:paraId="682E42D5">
            <w:pPr>
              <w:pStyle w:val="51"/>
              <w:jc w:val="center"/>
              <w:rPr>
                <w:rFonts w:hint="eastAsia" w:cs="宋体"/>
                <w:sz w:val="21"/>
                <w:szCs w:val="21"/>
              </w:rPr>
            </w:pPr>
          </w:p>
        </w:tc>
        <w:tc>
          <w:tcPr>
            <w:tcW w:w="1356" w:type="dxa"/>
            <w:vAlign w:val="center"/>
          </w:tcPr>
          <w:p w14:paraId="51C6CE47">
            <w:pPr>
              <w:pStyle w:val="51"/>
              <w:jc w:val="center"/>
              <w:rPr>
                <w:rFonts w:hint="eastAsia" w:cs="宋体"/>
                <w:sz w:val="21"/>
                <w:szCs w:val="21"/>
              </w:rPr>
            </w:pPr>
          </w:p>
        </w:tc>
        <w:tc>
          <w:tcPr>
            <w:tcW w:w="816" w:type="dxa"/>
            <w:vAlign w:val="center"/>
          </w:tcPr>
          <w:p w14:paraId="52E45F05">
            <w:pPr>
              <w:pStyle w:val="51"/>
              <w:jc w:val="center"/>
              <w:rPr>
                <w:rFonts w:hint="eastAsia" w:cs="宋体"/>
                <w:sz w:val="21"/>
                <w:szCs w:val="21"/>
              </w:rPr>
            </w:pPr>
          </w:p>
        </w:tc>
      </w:tr>
    </w:tbl>
    <w:p w14:paraId="0685B074">
      <w:pPr>
        <w:rPr>
          <w:rFonts w:hint="eastAsia" w:cs="仿宋_GB2312"/>
          <w:sz w:val="21"/>
          <w:szCs w:val="21"/>
        </w:rPr>
      </w:pPr>
    </w:p>
    <w:p w14:paraId="51CF0C95">
      <w:pPr>
        <w:rPr>
          <w:rFonts w:hint="eastAsia" w:cs="仿宋_GB2312"/>
          <w:sz w:val="21"/>
          <w:szCs w:val="21"/>
        </w:rPr>
      </w:pPr>
      <w:r>
        <w:rPr>
          <w:rFonts w:hint="eastAsia" w:cs="仿宋_GB2312"/>
          <w:sz w:val="21"/>
          <w:szCs w:val="21"/>
        </w:rPr>
        <w:t>注：按招标文件要求在本表后附相关人员证书。</w:t>
      </w:r>
    </w:p>
    <w:p w14:paraId="0F22A40C">
      <w:pPr>
        <w:ind w:firstLine="420" w:firstLineChars="200"/>
        <w:rPr>
          <w:rFonts w:hint="eastAsia" w:cs="仿宋_GB2312"/>
          <w:sz w:val="21"/>
          <w:szCs w:val="21"/>
        </w:rPr>
      </w:pPr>
    </w:p>
    <w:p w14:paraId="3EFC13C3">
      <w:pPr>
        <w:ind w:firstLine="420" w:firstLineChars="200"/>
        <w:rPr>
          <w:rFonts w:hint="eastAsia" w:cs="仿宋_GB2312"/>
          <w:sz w:val="21"/>
          <w:szCs w:val="21"/>
        </w:rPr>
      </w:pPr>
      <w:r>
        <w:rPr>
          <w:rFonts w:hint="eastAsia" w:cs="仿宋_GB2312"/>
          <w:sz w:val="21"/>
          <w:szCs w:val="21"/>
        </w:rPr>
        <w:t xml:space="preserve">说明： </w:t>
      </w:r>
    </w:p>
    <w:p w14:paraId="678EEA8B">
      <w:pPr>
        <w:ind w:firstLine="420" w:firstLineChars="200"/>
        <w:rPr>
          <w:rFonts w:hint="eastAsia" w:cs="仿宋_GB2312"/>
          <w:sz w:val="21"/>
          <w:szCs w:val="21"/>
        </w:rPr>
      </w:pPr>
      <w:r>
        <w:rPr>
          <w:rFonts w:hint="eastAsia" w:cs="仿宋_GB2312"/>
          <w:sz w:val="21"/>
          <w:szCs w:val="21"/>
        </w:rPr>
        <w:t xml:space="preserve">1.“在团队中职务（岗位）”栏应包括但不限于：项目负责人、项目联系人、项目服务人员或技术人员等。 </w:t>
      </w:r>
    </w:p>
    <w:p w14:paraId="70C8B401">
      <w:pPr>
        <w:ind w:firstLine="420" w:firstLineChars="200"/>
        <w:rPr>
          <w:rFonts w:hint="eastAsia" w:cs="仿宋_GB2312"/>
          <w:sz w:val="21"/>
          <w:szCs w:val="21"/>
        </w:rPr>
      </w:pPr>
      <w:r>
        <w:rPr>
          <w:rFonts w:hint="eastAsia" w:cs="仿宋_GB2312"/>
          <w:sz w:val="21"/>
          <w:szCs w:val="21"/>
        </w:rPr>
        <w:t>2.如投标人中标，须按本表项目组成人员操作，不得随意更换。</w:t>
      </w:r>
    </w:p>
    <w:p w14:paraId="5EAE7E93">
      <w:pPr>
        <w:rPr>
          <w:rFonts w:hint="eastAsia"/>
        </w:rPr>
      </w:pPr>
    </w:p>
    <w:p w14:paraId="673AC31D">
      <w:pPr>
        <w:rPr>
          <w:rFonts w:hint="eastAsia"/>
        </w:rPr>
      </w:pPr>
      <w:r>
        <w:br w:type="page"/>
      </w:r>
    </w:p>
    <w:p w14:paraId="545C1716">
      <w:pPr>
        <w:pStyle w:val="4"/>
        <w:spacing w:before="100" w:after="100" w:line="360" w:lineRule="auto"/>
        <w:ind w:left="420" w:hanging="420"/>
        <w:jc w:val="center"/>
        <w:rPr>
          <w:rFonts w:hint="eastAsia"/>
        </w:rPr>
      </w:pPr>
      <w:bookmarkStart w:id="476" w:name="_Toc163492934"/>
      <w:bookmarkStart w:id="477" w:name="_Toc1897"/>
      <w:r>
        <w:rPr>
          <w:rFonts w:hint="eastAsia"/>
        </w:rPr>
        <w:t>九、技术响应偏离表</w:t>
      </w:r>
      <w:bookmarkEnd w:id="476"/>
      <w:bookmarkEnd w:id="477"/>
    </w:p>
    <w:p w14:paraId="6BEE81E1">
      <w:pPr>
        <w:rPr>
          <w:rFonts w:hint="eastAsia" w:cs="仿宋_GB2312"/>
          <w:szCs w:val="24"/>
        </w:rPr>
      </w:pPr>
      <w:r>
        <w:rPr>
          <w:rFonts w:hint="eastAsia" w:cs="仿宋_GB2312"/>
          <w:szCs w:val="24"/>
        </w:rPr>
        <w:t xml:space="preserve">项目名称：                                         </w:t>
      </w:r>
    </w:p>
    <w:p w14:paraId="37F97B3E">
      <w:pPr>
        <w:rPr>
          <w:rFonts w:hint="eastAsia" w:cs="仿宋_GB2312"/>
          <w:szCs w:val="24"/>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1ACA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78F9BF94">
            <w:pPr>
              <w:pStyle w:val="51"/>
              <w:jc w:val="center"/>
              <w:rPr>
                <w:rFonts w:hint="eastAsia" w:cs="宋体"/>
                <w:sz w:val="21"/>
                <w:szCs w:val="21"/>
              </w:rPr>
            </w:pPr>
            <w:r>
              <w:rPr>
                <w:rFonts w:hint="eastAsia" w:cs="宋体"/>
                <w:sz w:val="21"/>
                <w:szCs w:val="21"/>
              </w:rPr>
              <w:t>序号</w:t>
            </w:r>
          </w:p>
        </w:tc>
        <w:tc>
          <w:tcPr>
            <w:tcW w:w="1159" w:type="pct"/>
            <w:vAlign w:val="center"/>
          </w:tcPr>
          <w:p w14:paraId="20378A9A">
            <w:pPr>
              <w:pStyle w:val="51"/>
              <w:jc w:val="center"/>
              <w:rPr>
                <w:rFonts w:hint="eastAsia" w:cs="宋体"/>
                <w:sz w:val="21"/>
                <w:szCs w:val="21"/>
              </w:rPr>
            </w:pPr>
            <w:r>
              <w:rPr>
                <w:rFonts w:hint="eastAsia" w:cs="宋体"/>
                <w:sz w:val="21"/>
                <w:szCs w:val="21"/>
              </w:rPr>
              <w:t>招标文件技术</w:t>
            </w:r>
          </w:p>
          <w:p w14:paraId="0DCCF6E9">
            <w:pPr>
              <w:pStyle w:val="51"/>
              <w:jc w:val="center"/>
              <w:rPr>
                <w:rFonts w:hint="eastAsia" w:cs="宋体"/>
                <w:sz w:val="21"/>
                <w:szCs w:val="21"/>
              </w:rPr>
            </w:pPr>
            <w:r>
              <w:rPr>
                <w:rFonts w:hint="eastAsia" w:cs="宋体"/>
                <w:sz w:val="21"/>
                <w:szCs w:val="21"/>
              </w:rPr>
              <w:t>要求条款</w:t>
            </w:r>
          </w:p>
        </w:tc>
        <w:tc>
          <w:tcPr>
            <w:tcW w:w="1031" w:type="pct"/>
            <w:vAlign w:val="center"/>
          </w:tcPr>
          <w:p w14:paraId="0B290EA2">
            <w:pPr>
              <w:pStyle w:val="51"/>
              <w:jc w:val="center"/>
              <w:rPr>
                <w:rFonts w:hint="eastAsia" w:cs="宋体"/>
                <w:sz w:val="21"/>
                <w:szCs w:val="21"/>
              </w:rPr>
            </w:pPr>
            <w:r>
              <w:rPr>
                <w:rFonts w:hint="eastAsia" w:cs="宋体"/>
                <w:sz w:val="21"/>
                <w:szCs w:val="21"/>
              </w:rPr>
              <w:t>投标文件内容</w:t>
            </w:r>
          </w:p>
          <w:p w14:paraId="412302FE">
            <w:pPr>
              <w:pStyle w:val="51"/>
              <w:jc w:val="center"/>
              <w:rPr>
                <w:rFonts w:hint="eastAsia" w:cs="宋体"/>
                <w:sz w:val="21"/>
                <w:szCs w:val="21"/>
              </w:rPr>
            </w:pPr>
            <w:r>
              <w:rPr>
                <w:rFonts w:hint="eastAsia" w:cs="宋体"/>
                <w:sz w:val="21"/>
                <w:szCs w:val="21"/>
              </w:rPr>
              <w:t>对应简述</w:t>
            </w:r>
          </w:p>
        </w:tc>
        <w:tc>
          <w:tcPr>
            <w:tcW w:w="1265" w:type="pct"/>
            <w:vAlign w:val="center"/>
          </w:tcPr>
          <w:p w14:paraId="77368F34">
            <w:pPr>
              <w:pStyle w:val="51"/>
              <w:jc w:val="center"/>
              <w:rPr>
                <w:rFonts w:hint="eastAsia" w:cs="宋体"/>
                <w:sz w:val="21"/>
                <w:szCs w:val="21"/>
              </w:rPr>
            </w:pPr>
            <w:r>
              <w:rPr>
                <w:rFonts w:hint="eastAsia" w:cs="宋体"/>
                <w:sz w:val="21"/>
                <w:szCs w:val="21"/>
              </w:rPr>
              <w:t>响应情况</w:t>
            </w:r>
          </w:p>
        </w:tc>
        <w:tc>
          <w:tcPr>
            <w:tcW w:w="1136" w:type="pct"/>
            <w:vAlign w:val="center"/>
          </w:tcPr>
          <w:p w14:paraId="0320C24B">
            <w:pPr>
              <w:pStyle w:val="51"/>
              <w:jc w:val="center"/>
              <w:rPr>
                <w:rFonts w:hint="eastAsia" w:cs="宋体"/>
                <w:sz w:val="21"/>
                <w:szCs w:val="21"/>
              </w:rPr>
            </w:pPr>
            <w:r>
              <w:rPr>
                <w:rFonts w:hint="eastAsia" w:cs="宋体"/>
                <w:sz w:val="21"/>
                <w:szCs w:val="21"/>
              </w:rPr>
              <w:t>证明资料及索引</w:t>
            </w:r>
          </w:p>
        </w:tc>
      </w:tr>
      <w:tr w14:paraId="61F4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62338F77">
            <w:pPr>
              <w:pStyle w:val="51"/>
              <w:jc w:val="center"/>
              <w:rPr>
                <w:rFonts w:hint="eastAsia" w:cs="宋体"/>
                <w:sz w:val="21"/>
                <w:szCs w:val="21"/>
              </w:rPr>
            </w:pPr>
            <w:r>
              <w:rPr>
                <w:rFonts w:hint="eastAsia" w:cs="宋体"/>
                <w:sz w:val="21"/>
                <w:szCs w:val="21"/>
              </w:rPr>
              <w:t>1</w:t>
            </w:r>
          </w:p>
        </w:tc>
        <w:tc>
          <w:tcPr>
            <w:tcW w:w="1159" w:type="pct"/>
            <w:vAlign w:val="center"/>
          </w:tcPr>
          <w:p w14:paraId="6F13BE51">
            <w:pPr>
              <w:pStyle w:val="51"/>
              <w:jc w:val="center"/>
              <w:rPr>
                <w:rFonts w:hint="eastAsia" w:cs="宋体"/>
                <w:sz w:val="21"/>
                <w:szCs w:val="21"/>
              </w:rPr>
            </w:pPr>
            <w:r>
              <w:rPr>
                <w:rFonts w:hint="eastAsia" w:cs="宋体"/>
                <w:sz w:val="21"/>
                <w:szCs w:val="21"/>
              </w:rPr>
              <w:t>********</w:t>
            </w:r>
          </w:p>
        </w:tc>
        <w:tc>
          <w:tcPr>
            <w:tcW w:w="1031" w:type="pct"/>
            <w:vAlign w:val="center"/>
          </w:tcPr>
          <w:p w14:paraId="63790D74">
            <w:pPr>
              <w:pStyle w:val="51"/>
              <w:jc w:val="center"/>
              <w:rPr>
                <w:rFonts w:hint="eastAsia" w:cs="宋体"/>
                <w:sz w:val="21"/>
                <w:szCs w:val="21"/>
              </w:rPr>
            </w:pPr>
            <w:r>
              <w:rPr>
                <w:rFonts w:hint="eastAsia" w:cs="宋体"/>
                <w:sz w:val="21"/>
                <w:szCs w:val="21"/>
              </w:rPr>
              <w:t>******</w:t>
            </w:r>
          </w:p>
        </w:tc>
        <w:tc>
          <w:tcPr>
            <w:tcW w:w="1265" w:type="pct"/>
            <w:vAlign w:val="center"/>
          </w:tcPr>
          <w:p w14:paraId="360607DD">
            <w:pPr>
              <w:pStyle w:val="51"/>
              <w:jc w:val="center"/>
              <w:rPr>
                <w:rFonts w:hint="eastAsia" w:cs="宋体"/>
                <w:sz w:val="21"/>
                <w:szCs w:val="21"/>
              </w:rPr>
            </w:pPr>
            <w:r>
              <w:rPr>
                <w:rFonts w:hint="eastAsia" w:cs="宋体"/>
                <w:sz w:val="21"/>
                <w:szCs w:val="21"/>
              </w:rPr>
              <w:t>响应/正偏离/负偏离</w:t>
            </w:r>
          </w:p>
        </w:tc>
        <w:tc>
          <w:tcPr>
            <w:tcW w:w="1136" w:type="pct"/>
            <w:vAlign w:val="center"/>
          </w:tcPr>
          <w:p w14:paraId="20687244">
            <w:pPr>
              <w:pStyle w:val="51"/>
              <w:jc w:val="center"/>
              <w:rPr>
                <w:rFonts w:hint="eastAsia" w:cs="宋体"/>
                <w:sz w:val="21"/>
                <w:szCs w:val="21"/>
              </w:rPr>
            </w:pPr>
          </w:p>
        </w:tc>
      </w:tr>
      <w:tr w14:paraId="7D7F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79AF0F99">
            <w:pPr>
              <w:pStyle w:val="51"/>
              <w:jc w:val="center"/>
              <w:rPr>
                <w:rFonts w:hint="eastAsia" w:cs="宋体"/>
                <w:sz w:val="21"/>
                <w:szCs w:val="21"/>
              </w:rPr>
            </w:pPr>
            <w:r>
              <w:rPr>
                <w:rFonts w:hint="eastAsia" w:cs="宋体"/>
                <w:sz w:val="21"/>
                <w:szCs w:val="21"/>
              </w:rPr>
              <w:t>2</w:t>
            </w:r>
          </w:p>
        </w:tc>
        <w:tc>
          <w:tcPr>
            <w:tcW w:w="1159" w:type="pct"/>
            <w:vAlign w:val="center"/>
          </w:tcPr>
          <w:p w14:paraId="4BF64D9A">
            <w:pPr>
              <w:pStyle w:val="51"/>
              <w:jc w:val="center"/>
              <w:rPr>
                <w:rFonts w:hint="eastAsia" w:cs="宋体"/>
                <w:sz w:val="21"/>
                <w:szCs w:val="21"/>
              </w:rPr>
            </w:pPr>
            <w:r>
              <w:rPr>
                <w:rFonts w:hint="eastAsia" w:cs="宋体"/>
                <w:sz w:val="21"/>
                <w:szCs w:val="21"/>
              </w:rPr>
              <w:t>********</w:t>
            </w:r>
          </w:p>
        </w:tc>
        <w:tc>
          <w:tcPr>
            <w:tcW w:w="1031" w:type="pct"/>
            <w:vAlign w:val="center"/>
          </w:tcPr>
          <w:p w14:paraId="430BF1E0">
            <w:pPr>
              <w:pStyle w:val="51"/>
              <w:jc w:val="center"/>
              <w:rPr>
                <w:rFonts w:hint="eastAsia" w:cs="宋体"/>
                <w:sz w:val="21"/>
                <w:szCs w:val="21"/>
              </w:rPr>
            </w:pPr>
            <w:r>
              <w:rPr>
                <w:rFonts w:hint="eastAsia" w:cs="宋体"/>
                <w:sz w:val="21"/>
                <w:szCs w:val="21"/>
              </w:rPr>
              <w:t>******</w:t>
            </w:r>
          </w:p>
        </w:tc>
        <w:tc>
          <w:tcPr>
            <w:tcW w:w="1265" w:type="pct"/>
            <w:vAlign w:val="center"/>
          </w:tcPr>
          <w:p w14:paraId="3C4AEB8D">
            <w:pPr>
              <w:pStyle w:val="51"/>
              <w:jc w:val="center"/>
              <w:rPr>
                <w:rFonts w:hint="eastAsia" w:cs="宋体"/>
                <w:sz w:val="21"/>
                <w:szCs w:val="21"/>
              </w:rPr>
            </w:pPr>
            <w:r>
              <w:rPr>
                <w:rFonts w:hint="eastAsia" w:cs="宋体"/>
                <w:sz w:val="21"/>
                <w:szCs w:val="21"/>
              </w:rPr>
              <w:t>响应/正偏离/负偏离</w:t>
            </w:r>
          </w:p>
        </w:tc>
        <w:tc>
          <w:tcPr>
            <w:tcW w:w="1136" w:type="pct"/>
            <w:vAlign w:val="center"/>
          </w:tcPr>
          <w:p w14:paraId="213B5D83">
            <w:pPr>
              <w:pStyle w:val="51"/>
              <w:jc w:val="center"/>
              <w:rPr>
                <w:rFonts w:hint="eastAsia" w:cs="宋体"/>
                <w:sz w:val="21"/>
                <w:szCs w:val="21"/>
              </w:rPr>
            </w:pPr>
          </w:p>
        </w:tc>
      </w:tr>
      <w:tr w14:paraId="5C98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11831A69">
            <w:pPr>
              <w:pStyle w:val="51"/>
              <w:jc w:val="center"/>
              <w:rPr>
                <w:rFonts w:hint="eastAsia" w:cs="宋体"/>
                <w:sz w:val="21"/>
                <w:szCs w:val="21"/>
              </w:rPr>
            </w:pPr>
            <w:r>
              <w:rPr>
                <w:rFonts w:hint="eastAsia" w:cs="宋体"/>
                <w:sz w:val="21"/>
                <w:szCs w:val="21"/>
              </w:rPr>
              <w:t>3</w:t>
            </w:r>
          </w:p>
        </w:tc>
        <w:tc>
          <w:tcPr>
            <w:tcW w:w="1159" w:type="pct"/>
            <w:vAlign w:val="center"/>
          </w:tcPr>
          <w:p w14:paraId="6D98E750">
            <w:pPr>
              <w:pStyle w:val="51"/>
              <w:jc w:val="center"/>
              <w:rPr>
                <w:rFonts w:hint="eastAsia" w:cs="宋体"/>
                <w:sz w:val="21"/>
                <w:szCs w:val="21"/>
              </w:rPr>
            </w:pPr>
            <w:r>
              <w:rPr>
                <w:rFonts w:hint="eastAsia" w:cs="宋体"/>
                <w:sz w:val="21"/>
                <w:szCs w:val="21"/>
              </w:rPr>
              <w:t>********</w:t>
            </w:r>
          </w:p>
        </w:tc>
        <w:tc>
          <w:tcPr>
            <w:tcW w:w="1031" w:type="pct"/>
            <w:vAlign w:val="center"/>
          </w:tcPr>
          <w:p w14:paraId="1DEED89B">
            <w:pPr>
              <w:pStyle w:val="51"/>
              <w:jc w:val="center"/>
              <w:rPr>
                <w:rFonts w:hint="eastAsia" w:cs="宋体"/>
                <w:sz w:val="21"/>
                <w:szCs w:val="21"/>
              </w:rPr>
            </w:pPr>
            <w:r>
              <w:rPr>
                <w:rFonts w:hint="eastAsia" w:cs="宋体"/>
                <w:sz w:val="21"/>
                <w:szCs w:val="21"/>
              </w:rPr>
              <w:t>******</w:t>
            </w:r>
          </w:p>
        </w:tc>
        <w:tc>
          <w:tcPr>
            <w:tcW w:w="1265" w:type="pct"/>
            <w:vAlign w:val="center"/>
          </w:tcPr>
          <w:p w14:paraId="6EF8858D">
            <w:pPr>
              <w:pStyle w:val="51"/>
              <w:jc w:val="center"/>
              <w:rPr>
                <w:rFonts w:hint="eastAsia" w:cs="宋体"/>
                <w:sz w:val="21"/>
                <w:szCs w:val="21"/>
              </w:rPr>
            </w:pPr>
            <w:r>
              <w:rPr>
                <w:rFonts w:hint="eastAsia" w:cs="宋体"/>
                <w:sz w:val="21"/>
                <w:szCs w:val="21"/>
              </w:rPr>
              <w:t>响应/正偏离/负偏离</w:t>
            </w:r>
          </w:p>
        </w:tc>
        <w:tc>
          <w:tcPr>
            <w:tcW w:w="1136" w:type="pct"/>
            <w:vAlign w:val="center"/>
          </w:tcPr>
          <w:p w14:paraId="4F286ADB">
            <w:pPr>
              <w:pStyle w:val="51"/>
              <w:jc w:val="center"/>
              <w:rPr>
                <w:rFonts w:hint="eastAsia" w:cs="宋体"/>
                <w:sz w:val="21"/>
                <w:szCs w:val="21"/>
              </w:rPr>
            </w:pPr>
          </w:p>
        </w:tc>
      </w:tr>
      <w:tr w14:paraId="580B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57A1D63D">
            <w:pPr>
              <w:pStyle w:val="51"/>
              <w:jc w:val="center"/>
              <w:rPr>
                <w:rFonts w:hint="eastAsia" w:cs="宋体"/>
                <w:sz w:val="21"/>
                <w:szCs w:val="21"/>
              </w:rPr>
            </w:pPr>
          </w:p>
        </w:tc>
        <w:tc>
          <w:tcPr>
            <w:tcW w:w="1159" w:type="pct"/>
            <w:vAlign w:val="center"/>
          </w:tcPr>
          <w:p w14:paraId="76A4CF07">
            <w:pPr>
              <w:pStyle w:val="51"/>
              <w:jc w:val="center"/>
              <w:rPr>
                <w:rFonts w:hint="eastAsia" w:cs="宋体"/>
                <w:sz w:val="21"/>
                <w:szCs w:val="21"/>
              </w:rPr>
            </w:pPr>
          </w:p>
        </w:tc>
        <w:tc>
          <w:tcPr>
            <w:tcW w:w="1031" w:type="pct"/>
            <w:vAlign w:val="center"/>
          </w:tcPr>
          <w:p w14:paraId="2BA73CD3">
            <w:pPr>
              <w:pStyle w:val="51"/>
              <w:jc w:val="center"/>
              <w:rPr>
                <w:rFonts w:hint="eastAsia" w:cs="宋体"/>
                <w:sz w:val="21"/>
                <w:szCs w:val="21"/>
              </w:rPr>
            </w:pPr>
          </w:p>
        </w:tc>
        <w:tc>
          <w:tcPr>
            <w:tcW w:w="1265" w:type="pct"/>
            <w:vAlign w:val="center"/>
          </w:tcPr>
          <w:p w14:paraId="49D5391A">
            <w:pPr>
              <w:pStyle w:val="51"/>
              <w:jc w:val="center"/>
              <w:rPr>
                <w:rFonts w:hint="eastAsia" w:cs="宋体"/>
                <w:sz w:val="21"/>
                <w:szCs w:val="21"/>
              </w:rPr>
            </w:pPr>
          </w:p>
        </w:tc>
        <w:tc>
          <w:tcPr>
            <w:tcW w:w="1136" w:type="pct"/>
            <w:vAlign w:val="center"/>
          </w:tcPr>
          <w:p w14:paraId="13FC7B1B">
            <w:pPr>
              <w:pStyle w:val="51"/>
              <w:jc w:val="center"/>
              <w:rPr>
                <w:rFonts w:hint="eastAsia" w:cs="宋体"/>
                <w:sz w:val="21"/>
                <w:szCs w:val="21"/>
              </w:rPr>
            </w:pPr>
          </w:p>
        </w:tc>
      </w:tr>
      <w:tr w14:paraId="699A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4B64633D">
            <w:pPr>
              <w:pStyle w:val="51"/>
              <w:jc w:val="center"/>
              <w:rPr>
                <w:rFonts w:hint="eastAsia" w:cs="宋体"/>
                <w:sz w:val="21"/>
                <w:szCs w:val="21"/>
              </w:rPr>
            </w:pPr>
          </w:p>
        </w:tc>
        <w:tc>
          <w:tcPr>
            <w:tcW w:w="1159" w:type="pct"/>
            <w:vAlign w:val="center"/>
          </w:tcPr>
          <w:p w14:paraId="65400B7A">
            <w:pPr>
              <w:pStyle w:val="51"/>
              <w:jc w:val="center"/>
              <w:rPr>
                <w:rFonts w:hint="eastAsia" w:cs="宋体"/>
                <w:sz w:val="21"/>
                <w:szCs w:val="21"/>
              </w:rPr>
            </w:pPr>
          </w:p>
        </w:tc>
        <w:tc>
          <w:tcPr>
            <w:tcW w:w="1031" w:type="pct"/>
            <w:vAlign w:val="center"/>
          </w:tcPr>
          <w:p w14:paraId="65052BDF">
            <w:pPr>
              <w:pStyle w:val="51"/>
              <w:jc w:val="center"/>
              <w:rPr>
                <w:rFonts w:hint="eastAsia" w:cs="宋体"/>
                <w:sz w:val="21"/>
                <w:szCs w:val="21"/>
              </w:rPr>
            </w:pPr>
          </w:p>
        </w:tc>
        <w:tc>
          <w:tcPr>
            <w:tcW w:w="1265" w:type="pct"/>
            <w:vAlign w:val="center"/>
          </w:tcPr>
          <w:p w14:paraId="12710113">
            <w:pPr>
              <w:pStyle w:val="51"/>
              <w:jc w:val="center"/>
              <w:rPr>
                <w:rFonts w:hint="eastAsia" w:cs="宋体"/>
                <w:sz w:val="21"/>
                <w:szCs w:val="21"/>
              </w:rPr>
            </w:pPr>
          </w:p>
        </w:tc>
        <w:tc>
          <w:tcPr>
            <w:tcW w:w="1136" w:type="pct"/>
            <w:vAlign w:val="center"/>
          </w:tcPr>
          <w:p w14:paraId="1443016F">
            <w:pPr>
              <w:pStyle w:val="51"/>
              <w:jc w:val="center"/>
              <w:rPr>
                <w:rFonts w:hint="eastAsia" w:cs="宋体"/>
                <w:sz w:val="21"/>
                <w:szCs w:val="21"/>
              </w:rPr>
            </w:pPr>
          </w:p>
        </w:tc>
      </w:tr>
      <w:tr w14:paraId="04E6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6F542DEF">
            <w:pPr>
              <w:pStyle w:val="51"/>
              <w:jc w:val="center"/>
              <w:rPr>
                <w:rFonts w:hint="eastAsia" w:cs="宋体"/>
                <w:sz w:val="21"/>
                <w:szCs w:val="21"/>
              </w:rPr>
            </w:pPr>
          </w:p>
        </w:tc>
        <w:tc>
          <w:tcPr>
            <w:tcW w:w="1159" w:type="pct"/>
            <w:vAlign w:val="center"/>
          </w:tcPr>
          <w:p w14:paraId="0B732396">
            <w:pPr>
              <w:pStyle w:val="51"/>
              <w:jc w:val="center"/>
              <w:rPr>
                <w:rFonts w:hint="eastAsia" w:cs="宋体"/>
                <w:sz w:val="21"/>
                <w:szCs w:val="21"/>
              </w:rPr>
            </w:pPr>
          </w:p>
        </w:tc>
        <w:tc>
          <w:tcPr>
            <w:tcW w:w="1031" w:type="pct"/>
            <w:vAlign w:val="center"/>
          </w:tcPr>
          <w:p w14:paraId="5B28EB69">
            <w:pPr>
              <w:pStyle w:val="51"/>
              <w:jc w:val="center"/>
              <w:rPr>
                <w:rFonts w:hint="eastAsia" w:cs="宋体"/>
                <w:sz w:val="21"/>
                <w:szCs w:val="21"/>
              </w:rPr>
            </w:pPr>
          </w:p>
        </w:tc>
        <w:tc>
          <w:tcPr>
            <w:tcW w:w="1265" w:type="pct"/>
            <w:vAlign w:val="center"/>
          </w:tcPr>
          <w:p w14:paraId="4BDC04A5">
            <w:pPr>
              <w:pStyle w:val="51"/>
              <w:jc w:val="center"/>
              <w:rPr>
                <w:rFonts w:hint="eastAsia" w:cs="宋体"/>
                <w:sz w:val="21"/>
                <w:szCs w:val="21"/>
              </w:rPr>
            </w:pPr>
          </w:p>
        </w:tc>
        <w:tc>
          <w:tcPr>
            <w:tcW w:w="1136" w:type="pct"/>
            <w:vAlign w:val="center"/>
          </w:tcPr>
          <w:p w14:paraId="52AAFE30">
            <w:pPr>
              <w:pStyle w:val="51"/>
              <w:jc w:val="center"/>
              <w:rPr>
                <w:rFonts w:hint="eastAsia" w:cs="宋体"/>
                <w:sz w:val="21"/>
                <w:szCs w:val="21"/>
              </w:rPr>
            </w:pPr>
          </w:p>
        </w:tc>
      </w:tr>
      <w:tr w14:paraId="4D88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15DF5EE7">
            <w:pPr>
              <w:pStyle w:val="51"/>
              <w:jc w:val="center"/>
              <w:rPr>
                <w:rFonts w:hint="eastAsia" w:cs="宋体"/>
                <w:sz w:val="21"/>
                <w:szCs w:val="21"/>
              </w:rPr>
            </w:pPr>
          </w:p>
        </w:tc>
        <w:tc>
          <w:tcPr>
            <w:tcW w:w="1159" w:type="pct"/>
            <w:vAlign w:val="center"/>
          </w:tcPr>
          <w:p w14:paraId="3548888E">
            <w:pPr>
              <w:pStyle w:val="51"/>
              <w:jc w:val="center"/>
              <w:rPr>
                <w:rFonts w:hint="eastAsia" w:cs="宋体"/>
                <w:sz w:val="21"/>
                <w:szCs w:val="21"/>
              </w:rPr>
            </w:pPr>
          </w:p>
        </w:tc>
        <w:tc>
          <w:tcPr>
            <w:tcW w:w="1031" w:type="pct"/>
            <w:vAlign w:val="center"/>
          </w:tcPr>
          <w:p w14:paraId="3AAB71C0">
            <w:pPr>
              <w:pStyle w:val="51"/>
              <w:jc w:val="center"/>
              <w:rPr>
                <w:rFonts w:hint="eastAsia" w:cs="宋体"/>
                <w:sz w:val="21"/>
                <w:szCs w:val="21"/>
              </w:rPr>
            </w:pPr>
          </w:p>
        </w:tc>
        <w:tc>
          <w:tcPr>
            <w:tcW w:w="1265" w:type="pct"/>
            <w:vAlign w:val="center"/>
          </w:tcPr>
          <w:p w14:paraId="5E379523">
            <w:pPr>
              <w:pStyle w:val="51"/>
              <w:jc w:val="center"/>
              <w:rPr>
                <w:rFonts w:hint="eastAsia" w:cs="宋体"/>
                <w:sz w:val="21"/>
                <w:szCs w:val="21"/>
              </w:rPr>
            </w:pPr>
          </w:p>
        </w:tc>
        <w:tc>
          <w:tcPr>
            <w:tcW w:w="1136" w:type="pct"/>
            <w:vAlign w:val="center"/>
          </w:tcPr>
          <w:p w14:paraId="15613702">
            <w:pPr>
              <w:pStyle w:val="51"/>
              <w:jc w:val="center"/>
              <w:rPr>
                <w:rFonts w:hint="eastAsia" w:cs="宋体"/>
                <w:sz w:val="21"/>
                <w:szCs w:val="21"/>
              </w:rPr>
            </w:pPr>
          </w:p>
        </w:tc>
      </w:tr>
      <w:tr w14:paraId="2F30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78408315">
            <w:pPr>
              <w:pStyle w:val="51"/>
              <w:jc w:val="center"/>
              <w:rPr>
                <w:rFonts w:hint="eastAsia" w:cs="宋体"/>
                <w:sz w:val="21"/>
                <w:szCs w:val="21"/>
              </w:rPr>
            </w:pPr>
            <w:r>
              <w:rPr>
                <w:rFonts w:hint="eastAsia" w:cs="宋体"/>
                <w:sz w:val="21"/>
                <w:szCs w:val="21"/>
              </w:rPr>
              <w:t>……</w:t>
            </w:r>
          </w:p>
        </w:tc>
        <w:tc>
          <w:tcPr>
            <w:tcW w:w="1159" w:type="pct"/>
            <w:vAlign w:val="center"/>
          </w:tcPr>
          <w:p w14:paraId="5DF1A47A">
            <w:pPr>
              <w:pStyle w:val="51"/>
              <w:jc w:val="center"/>
              <w:rPr>
                <w:rFonts w:hint="eastAsia" w:cs="宋体"/>
                <w:sz w:val="21"/>
                <w:szCs w:val="21"/>
              </w:rPr>
            </w:pPr>
            <w:r>
              <w:rPr>
                <w:rFonts w:hint="eastAsia" w:cs="宋体"/>
                <w:sz w:val="21"/>
                <w:szCs w:val="21"/>
              </w:rPr>
              <w:t>…………</w:t>
            </w:r>
          </w:p>
        </w:tc>
        <w:tc>
          <w:tcPr>
            <w:tcW w:w="1031" w:type="pct"/>
            <w:vAlign w:val="center"/>
          </w:tcPr>
          <w:p w14:paraId="1A3FD33C">
            <w:pPr>
              <w:pStyle w:val="51"/>
              <w:jc w:val="center"/>
              <w:rPr>
                <w:rFonts w:hint="eastAsia" w:cs="宋体"/>
                <w:sz w:val="21"/>
                <w:szCs w:val="21"/>
              </w:rPr>
            </w:pPr>
            <w:r>
              <w:rPr>
                <w:rFonts w:hint="eastAsia" w:cs="宋体"/>
                <w:sz w:val="21"/>
                <w:szCs w:val="21"/>
              </w:rPr>
              <w:t>………………</w:t>
            </w:r>
          </w:p>
        </w:tc>
        <w:tc>
          <w:tcPr>
            <w:tcW w:w="1265" w:type="pct"/>
            <w:vAlign w:val="center"/>
          </w:tcPr>
          <w:p w14:paraId="1D976264">
            <w:pPr>
              <w:pStyle w:val="51"/>
              <w:jc w:val="center"/>
              <w:rPr>
                <w:rFonts w:hint="eastAsia" w:cs="宋体"/>
                <w:sz w:val="21"/>
                <w:szCs w:val="21"/>
              </w:rPr>
            </w:pPr>
            <w:r>
              <w:rPr>
                <w:rFonts w:hint="eastAsia" w:cs="宋体"/>
                <w:sz w:val="21"/>
                <w:szCs w:val="21"/>
              </w:rPr>
              <w:t>…………</w:t>
            </w:r>
          </w:p>
        </w:tc>
        <w:tc>
          <w:tcPr>
            <w:tcW w:w="1136" w:type="pct"/>
            <w:vAlign w:val="center"/>
          </w:tcPr>
          <w:p w14:paraId="53A655A4">
            <w:pPr>
              <w:pStyle w:val="51"/>
              <w:jc w:val="center"/>
              <w:rPr>
                <w:rFonts w:hint="eastAsia" w:cs="宋体"/>
                <w:sz w:val="21"/>
                <w:szCs w:val="21"/>
              </w:rPr>
            </w:pPr>
          </w:p>
        </w:tc>
      </w:tr>
    </w:tbl>
    <w:p w14:paraId="6E08F057">
      <w:pPr>
        <w:ind w:firstLine="480" w:firstLineChars="200"/>
        <w:rPr>
          <w:rFonts w:hint="eastAsia" w:cs="仿宋_GB2312"/>
          <w:szCs w:val="24"/>
        </w:rPr>
      </w:pPr>
    </w:p>
    <w:p w14:paraId="67F91CA9">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仿宋_GB2312"/>
          <w:szCs w:val="24"/>
        </w:rPr>
        <w:t>：</w:t>
      </w:r>
    </w:p>
    <w:p w14:paraId="5ACD5E54">
      <w:pPr>
        <w:ind w:firstLine="420"/>
        <w:rPr>
          <w:rFonts w:hint="eastAsia" w:cs="仿宋_GB2312"/>
          <w:szCs w:val="24"/>
        </w:rPr>
      </w:pPr>
      <w:r>
        <w:rPr>
          <w:rFonts w:hint="eastAsia" w:cs="仿宋_GB2312"/>
          <w:szCs w:val="24"/>
        </w:rPr>
        <w:t>日      期：</w:t>
      </w:r>
    </w:p>
    <w:p w14:paraId="13A89BAD">
      <w:pPr>
        <w:ind w:firstLine="420"/>
        <w:rPr>
          <w:rFonts w:hint="eastAsia" w:cs="仿宋_GB2312"/>
          <w:sz w:val="21"/>
          <w:szCs w:val="21"/>
        </w:rPr>
      </w:pPr>
    </w:p>
    <w:p w14:paraId="4669098C">
      <w:pPr>
        <w:ind w:firstLine="420" w:firstLineChars="200"/>
        <w:rPr>
          <w:rFonts w:hint="eastAsia" w:cs="仿宋_GB2312"/>
          <w:szCs w:val="24"/>
        </w:rPr>
      </w:pPr>
      <w:r>
        <w:rPr>
          <w:rFonts w:hint="eastAsia" w:cs="仿宋_GB2312"/>
          <w:sz w:val="21"/>
          <w:szCs w:val="21"/>
        </w:rPr>
        <w:t>注：投标人应按照招标文件“第三章 采购需求”中的技术要求填写：</w:t>
      </w:r>
    </w:p>
    <w:p w14:paraId="46A0278F">
      <w:pPr>
        <w:ind w:firstLine="420" w:firstLineChars="200"/>
        <w:rPr>
          <w:rFonts w:hint="eastAsia" w:cs="仿宋_GB2312"/>
          <w:sz w:val="21"/>
          <w:szCs w:val="21"/>
        </w:rPr>
      </w:pPr>
      <w:r>
        <w:rPr>
          <w:rFonts w:hint="eastAsia" w:cs="仿宋_GB2312"/>
          <w:sz w:val="21"/>
          <w:szCs w:val="21"/>
        </w:rPr>
        <w:t xml:space="preserve">1.“招标文件技术要求条款”栏应详细列明招标文件中的要求。 </w:t>
      </w:r>
    </w:p>
    <w:p w14:paraId="091A81C7">
      <w:pPr>
        <w:ind w:firstLine="420" w:firstLineChars="200"/>
        <w:rPr>
          <w:rFonts w:hint="eastAsia" w:cs="仿宋_GB2312"/>
          <w:sz w:val="21"/>
          <w:szCs w:val="21"/>
        </w:rPr>
      </w:pPr>
      <w:r>
        <w:rPr>
          <w:rFonts w:hint="eastAsia" w:cs="仿宋_GB2312"/>
          <w:sz w:val="21"/>
          <w:szCs w:val="21"/>
        </w:rPr>
        <w:t>2.“投标文件内容对应简述”栏填写投标人对招标文件提出的技术要求作出的明确响应，并列明具体响应数值或内容，只注明符合、满足等无具体内容表述的，将视为未实质性满足招标文件要求</w:t>
      </w:r>
      <w:r>
        <w:rPr>
          <w:rFonts w:cs="仿宋_GB2312"/>
          <w:sz w:val="21"/>
          <w:szCs w:val="21"/>
        </w:rPr>
        <w:t>，</w:t>
      </w:r>
      <w:r>
        <w:rPr>
          <w:rFonts w:hint="eastAsia" w:cs="仿宋_GB2312"/>
          <w:b/>
          <w:bCs/>
          <w:sz w:val="21"/>
          <w:szCs w:val="21"/>
        </w:rPr>
        <w:t>投标</w:t>
      </w:r>
      <w:r>
        <w:rPr>
          <w:rFonts w:cs="仿宋_GB2312"/>
          <w:b/>
          <w:bCs/>
          <w:sz w:val="21"/>
          <w:szCs w:val="21"/>
        </w:rPr>
        <w:t>无效</w:t>
      </w:r>
      <w:r>
        <w:rPr>
          <w:rFonts w:hint="eastAsia" w:cs="仿宋_GB2312"/>
          <w:sz w:val="21"/>
          <w:szCs w:val="21"/>
        </w:rPr>
        <w:t xml:space="preserve">。 </w:t>
      </w:r>
    </w:p>
    <w:p w14:paraId="58F16730">
      <w:pPr>
        <w:ind w:firstLine="420" w:firstLineChars="200"/>
        <w:rPr>
          <w:rFonts w:hint="eastAsia" w:cs="仿宋_GB2312"/>
          <w:sz w:val="21"/>
          <w:szCs w:val="21"/>
        </w:rPr>
      </w:pPr>
      <w:r>
        <w:rPr>
          <w:rFonts w:hint="eastAsia" w:cs="仿宋_GB2312"/>
          <w:sz w:val="21"/>
          <w:szCs w:val="21"/>
        </w:rPr>
        <w:t xml:space="preserve">3.“响应情况”栏应据实填写“响应”、“正偏离”或“负偏离”。 </w:t>
      </w:r>
    </w:p>
    <w:p w14:paraId="4010899C">
      <w:pPr>
        <w:ind w:firstLine="420" w:firstLineChars="200"/>
        <w:rPr>
          <w:rFonts w:hint="eastAsia" w:cs="仿宋_GB2312"/>
          <w:sz w:val="21"/>
          <w:szCs w:val="21"/>
        </w:rPr>
      </w:pPr>
      <w:r>
        <w:rPr>
          <w:rFonts w:hint="eastAsia" w:cs="仿宋_GB2312"/>
          <w:sz w:val="21"/>
          <w:szCs w:val="21"/>
        </w:rPr>
        <w:t>4.“证明资料及索引”栏可填写证明资料的具体内容及索引。</w:t>
      </w:r>
    </w:p>
    <w:p w14:paraId="557BF219">
      <w:pPr>
        <w:ind w:firstLine="420" w:firstLineChars="200"/>
        <w:rPr>
          <w:rFonts w:hint="eastAsia" w:cs="仿宋_GB2312"/>
          <w:sz w:val="21"/>
          <w:szCs w:val="21"/>
        </w:rPr>
      </w:pPr>
      <w:r>
        <w:rPr>
          <w:rFonts w:hint="eastAsia" w:cs="仿宋_GB2312"/>
          <w:sz w:val="21"/>
          <w:szCs w:val="21"/>
        </w:rPr>
        <w:t>5.对招标文件中的所有技术要求，除本表所列明的所有偏离外，均视作供应商</w:t>
      </w:r>
      <w:r>
        <w:rPr>
          <w:rFonts w:cs="仿宋_GB2312"/>
          <w:sz w:val="21"/>
          <w:szCs w:val="21"/>
        </w:rPr>
        <w:t>已对之理解和响应。此表中若无任何文字说明，内容为空白的，</w:t>
      </w:r>
      <w:r>
        <w:rPr>
          <w:rFonts w:cs="仿宋_GB2312"/>
          <w:b/>
          <w:bCs/>
          <w:sz w:val="21"/>
          <w:szCs w:val="21"/>
        </w:rPr>
        <w:t>投标无效</w:t>
      </w:r>
      <w:r>
        <w:rPr>
          <w:rFonts w:cs="仿宋_GB2312"/>
          <w:sz w:val="21"/>
          <w:szCs w:val="21"/>
        </w:rPr>
        <w:t>。</w:t>
      </w:r>
    </w:p>
    <w:p w14:paraId="0F038D6A">
      <w:pPr>
        <w:ind w:firstLine="420"/>
        <w:rPr>
          <w:rFonts w:hint="eastAsia" w:cs="仿宋_GB2312"/>
          <w:sz w:val="21"/>
          <w:szCs w:val="21"/>
        </w:rPr>
      </w:pPr>
    </w:p>
    <w:p w14:paraId="1654D74E">
      <w:pPr>
        <w:ind w:firstLine="420"/>
        <w:rPr>
          <w:rFonts w:hint="eastAsia" w:cs="仿宋_GB2312"/>
          <w:sz w:val="21"/>
          <w:szCs w:val="21"/>
        </w:rPr>
      </w:pPr>
    </w:p>
    <w:p w14:paraId="4FD47CDD">
      <w:pPr>
        <w:pStyle w:val="4"/>
        <w:spacing w:before="100" w:after="100" w:line="360" w:lineRule="auto"/>
        <w:ind w:left="420" w:hanging="420"/>
        <w:jc w:val="center"/>
        <w:rPr>
          <w:rFonts w:hint="eastAsia"/>
        </w:rPr>
      </w:pPr>
      <w:bookmarkStart w:id="478" w:name="_Toc18160"/>
      <w:bookmarkStart w:id="479" w:name="_Toc163492935"/>
      <w:r>
        <w:rPr>
          <w:rFonts w:hint="eastAsia"/>
        </w:rPr>
        <w:t>十、技术方案</w:t>
      </w:r>
      <w:bookmarkEnd w:id="478"/>
      <w:bookmarkEnd w:id="479"/>
    </w:p>
    <w:p w14:paraId="25C70699">
      <w:pPr>
        <w:pStyle w:val="39"/>
        <w:rPr>
          <w:rFonts w:hint="eastAsia"/>
        </w:rPr>
      </w:pPr>
      <w:r>
        <w:rPr>
          <w:rFonts w:hint="eastAsia"/>
        </w:rPr>
        <w:t>投标人应按照招标文件的要求，提供详细的</w:t>
      </w:r>
      <w:r>
        <w:rPr>
          <w:rFonts w:hint="eastAsia"/>
          <w:lang w:val="en-US"/>
        </w:rPr>
        <w:t>供货及相关</w:t>
      </w:r>
      <w:r>
        <w:rPr>
          <w:rFonts w:hint="eastAsia"/>
        </w:rPr>
        <w:t>服务方案，包括文字描述或图表显示。格式自拟。</w:t>
      </w:r>
    </w:p>
    <w:p w14:paraId="5F54ED07">
      <w:pPr>
        <w:pStyle w:val="39"/>
        <w:rPr>
          <w:rFonts w:hint="eastAsia"/>
        </w:rPr>
      </w:pPr>
      <w:r>
        <w:br w:type="page"/>
      </w:r>
    </w:p>
    <w:p w14:paraId="58161064">
      <w:pPr>
        <w:ind w:firstLine="420"/>
        <w:rPr>
          <w:rFonts w:hint="eastAsia" w:cs="仿宋_GB2312"/>
          <w:sz w:val="21"/>
          <w:szCs w:val="21"/>
        </w:rPr>
      </w:pPr>
      <w:bookmarkStart w:id="480" w:name="_Toc163492936"/>
    </w:p>
    <w:p w14:paraId="617FA6EA">
      <w:pPr>
        <w:pStyle w:val="4"/>
        <w:spacing w:before="100" w:after="100" w:line="360" w:lineRule="auto"/>
        <w:ind w:left="420" w:hanging="420"/>
        <w:jc w:val="center"/>
        <w:rPr>
          <w:rFonts w:hint="eastAsia"/>
        </w:rPr>
      </w:pPr>
      <w:bookmarkStart w:id="481" w:name="_Toc31147"/>
      <w:r>
        <w:rPr>
          <w:rFonts w:hint="eastAsia"/>
        </w:rPr>
        <w:t>十一、其他文件</w:t>
      </w:r>
      <w:bookmarkEnd w:id="480"/>
      <w:bookmarkEnd w:id="481"/>
    </w:p>
    <w:p w14:paraId="79334FFF">
      <w:pPr>
        <w:pStyle w:val="39"/>
        <w:ind w:firstLine="0"/>
        <w:rPr>
          <w:rFonts w:hint="eastAsia"/>
          <w:b/>
          <w:bCs/>
          <w:szCs w:val="24"/>
        </w:rPr>
      </w:pPr>
      <w:r>
        <w:rPr>
          <w:rFonts w:hint="eastAsia"/>
          <w:b/>
          <w:bCs/>
          <w:szCs w:val="24"/>
        </w:rPr>
        <w:t>（</w:t>
      </w:r>
      <w:r>
        <w:rPr>
          <w:rFonts w:hint="eastAsia"/>
          <w:b/>
          <w:bCs/>
          <w:szCs w:val="24"/>
          <w:lang w:val="en-US"/>
        </w:rPr>
        <w:t>一）</w:t>
      </w:r>
      <w:r>
        <w:rPr>
          <w:rFonts w:hint="eastAsia"/>
          <w:b/>
          <w:bCs/>
          <w:szCs w:val="24"/>
        </w:rPr>
        <w:t>招标文件要求提供的其它商务、技术资料和证明材料；</w:t>
      </w:r>
    </w:p>
    <w:p w14:paraId="4090E68B">
      <w:pPr>
        <w:pStyle w:val="39"/>
        <w:rPr>
          <w:rFonts w:hint="eastAsia"/>
          <w:szCs w:val="24"/>
          <w:lang w:val="en-US"/>
        </w:rPr>
      </w:pPr>
      <w:r>
        <w:rPr>
          <w:rFonts w:hint="eastAsia"/>
          <w:szCs w:val="24"/>
          <w:lang w:val="en-US"/>
        </w:rPr>
        <w:t>1.1供应商信息采集表</w:t>
      </w:r>
    </w:p>
    <w:tbl>
      <w:tblPr>
        <w:tblStyle w:val="3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52C0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11E9348C">
            <w:pPr>
              <w:widowControl/>
              <w:jc w:val="center"/>
              <w:rPr>
                <w:rFonts w:hint="eastAsia" w:cs="宋体"/>
                <w:szCs w:val="24"/>
              </w:rPr>
            </w:pPr>
            <w:r>
              <w:rPr>
                <w:rFonts w:hint="eastAsia" w:cs="宋体"/>
                <w:kern w:val="0"/>
                <w:szCs w:val="24"/>
                <w:lang w:bidi="ar"/>
              </w:rPr>
              <w:t>供应商名称</w:t>
            </w:r>
          </w:p>
        </w:tc>
        <w:tc>
          <w:tcPr>
            <w:tcW w:w="2841" w:type="dxa"/>
            <w:vAlign w:val="center"/>
          </w:tcPr>
          <w:p w14:paraId="3A918E5D">
            <w:pPr>
              <w:widowControl/>
              <w:jc w:val="center"/>
              <w:rPr>
                <w:rFonts w:hint="eastAsia" w:cs="宋体"/>
                <w:szCs w:val="24"/>
              </w:rPr>
            </w:pPr>
            <w:r>
              <w:rPr>
                <w:rFonts w:hint="eastAsia" w:cs="宋体"/>
                <w:kern w:val="0"/>
                <w:szCs w:val="24"/>
                <w:lang w:bidi="ar"/>
              </w:rPr>
              <w:t>供应商实际控制人性别</w:t>
            </w:r>
          </w:p>
        </w:tc>
        <w:tc>
          <w:tcPr>
            <w:tcW w:w="2743" w:type="dxa"/>
            <w:vAlign w:val="center"/>
          </w:tcPr>
          <w:p w14:paraId="7D0F65C4">
            <w:pPr>
              <w:widowControl/>
              <w:jc w:val="center"/>
              <w:rPr>
                <w:rFonts w:hint="eastAsia" w:cs="宋体"/>
                <w:szCs w:val="24"/>
              </w:rPr>
            </w:pPr>
            <w:r>
              <w:rPr>
                <w:rFonts w:hint="eastAsia" w:cs="宋体"/>
                <w:kern w:val="0"/>
                <w:szCs w:val="24"/>
                <w:lang w:bidi="ar"/>
              </w:rPr>
              <w:t>外商投资类型</w:t>
            </w:r>
          </w:p>
        </w:tc>
      </w:tr>
      <w:tr w14:paraId="3E52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B6DAC89">
            <w:pPr>
              <w:pStyle w:val="39"/>
              <w:rPr>
                <w:rFonts w:hint="eastAsia" w:cs="宋体"/>
                <w:szCs w:val="24"/>
                <w:lang w:val="en-US"/>
              </w:rPr>
            </w:pPr>
          </w:p>
        </w:tc>
        <w:tc>
          <w:tcPr>
            <w:tcW w:w="2841" w:type="dxa"/>
          </w:tcPr>
          <w:p w14:paraId="2980CA5B">
            <w:pPr>
              <w:pStyle w:val="39"/>
              <w:rPr>
                <w:rFonts w:hint="eastAsia" w:cs="宋体"/>
                <w:szCs w:val="24"/>
                <w:lang w:val="en-US"/>
              </w:rPr>
            </w:pPr>
          </w:p>
        </w:tc>
        <w:tc>
          <w:tcPr>
            <w:tcW w:w="2743" w:type="dxa"/>
          </w:tcPr>
          <w:p w14:paraId="4CDFBC94">
            <w:pPr>
              <w:pStyle w:val="39"/>
              <w:rPr>
                <w:rFonts w:hint="eastAsia" w:cs="宋体"/>
                <w:szCs w:val="24"/>
                <w:lang w:val="en-US"/>
              </w:rPr>
            </w:pPr>
          </w:p>
        </w:tc>
      </w:tr>
      <w:tr w14:paraId="4FB4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7ACAEB88">
            <w:pPr>
              <w:pStyle w:val="39"/>
              <w:rPr>
                <w:rFonts w:hint="eastAsia" w:cs="宋体"/>
                <w:szCs w:val="24"/>
                <w:lang w:val="en-US"/>
              </w:rPr>
            </w:pPr>
          </w:p>
        </w:tc>
        <w:tc>
          <w:tcPr>
            <w:tcW w:w="2841" w:type="dxa"/>
          </w:tcPr>
          <w:p w14:paraId="55BAC939">
            <w:pPr>
              <w:pStyle w:val="39"/>
              <w:rPr>
                <w:rFonts w:hint="eastAsia" w:cs="宋体"/>
                <w:szCs w:val="24"/>
                <w:lang w:val="en-US"/>
              </w:rPr>
            </w:pPr>
          </w:p>
        </w:tc>
        <w:tc>
          <w:tcPr>
            <w:tcW w:w="2743" w:type="dxa"/>
          </w:tcPr>
          <w:p w14:paraId="79C6839E">
            <w:pPr>
              <w:pStyle w:val="39"/>
              <w:rPr>
                <w:rFonts w:hint="eastAsia" w:cs="宋体"/>
                <w:szCs w:val="24"/>
                <w:lang w:val="en-US"/>
              </w:rPr>
            </w:pPr>
          </w:p>
        </w:tc>
      </w:tr>
      <w:tr w14:paraId="0A52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1B5B9E5">
            <w:pPr>
              <w:pStyle w:val="39"/>
              <w:rPr>
                <w:rFonts w:hint="eastAsia" w:cs="宋体"/>
                <w:szCs w:val="24"/>
                <w:lang w:val="en-US"/>
              </w:rPr>
            </w:pPr>
          </w:p>
        </w:tc>
        <w:tc>
          <w:tcPr>
            <w:tcW w:w="2841" w:type="dxa"/>
          </w:tcPr>
          <w:p w14:paraId="43A971A4">
            <w:pPr>
              <w:pStyle w:val="39"/>
              <w:rPr>
                <w:rFonts w:hint="eastAsia" w:cs="宋体"/>
                <w:szCs w:val="24"/>
                <w:lang w:val="en-US"/>
              </w:rPr>
            </w:pPr>
          </w:p>
        </w:tc>
        <w:tc>
          <w:tcPr>
            <w:tcW w:w="2743" w:type="dxa"/>
          </w:tcPr>
          <w:p w14:paraId="5679662F">
            <w:pPr>
              <w:pStyle w:val="39"/>
              <w:rPr>
                <w:rFonts w:hint="eastAsia" w:cs="宋体"/>
                <w:szCs w:val="24"/>
                <w:lang w:val="en-US"/>
              </w:rPr>
            </w:pPr>
          </w:p>
        </w:tc>
      </w:tr>
      <w:tr w14:paraId="2598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927FB69">
            <w:pPr>
              <w:pStyle w:val="39"/>
              <w:rPr>
                <w:rFonts w:hint="eastAsia" w:cs="宋体"/>
                <w:szCs w:val="24"/>
                <w:lang w:val="en-US"/>
              </w:rPr>
            </w:pPr>
          </w:p>
        </w:tc>
        <w:tc>
          <w:tcPr>
            <w:tcW w:w="2841" w:type="dxa"/>
          </w:tcPr>
          <w:p w14:paraId="5DE4A0F1">
            <w:pPr>
              <w:pStyle w:val="39"/>
              <w:rPr>
                <w:rFonts w:hint="eastAsia" w:cs="宋体"/>
                <w:szCs w:val="24"/>
                <w:lang w:val="en-US"/>
              </w:rPr>
            </w:pPr>
          </w:p>
        </w:tc>
        <w:tc>
          <w:tcPr>
            <w:tcW w:w="2743" w:type="dxa"/>
          </w:tcPr>
          <w:p w14:paraId="26FF276D">
            <w:pPr>
              <w:pStyle w:val="39"/>
              <w:rPr>
                <w:rFonts w:hint="eastAsia" w:cs="宋体"/>
                <w:szCs w:val="24"/>
                <w:lang w:val="en-US"/>
              </w:rPr>
            </w:pPr>
          </w:p>
        </w:tc>
      </w:tr>
    </w:tbl>
    <w:p w14:paraId="5EDB42FD">
      <w:pPr>
        <w:widowControl/>
        <w:rPr>
          <w:rFonts w:hint="eastAsia" w:cs="宋体"/>
          <w:sz w:val="21"/>
          <w:szCs w:val="21"/>
        </w:rPr>
      </w:pPr>
      <w:r>
        <w:rPr>
          <w:rFonts w:hint="eastAsia" w:cs="宋体"/>
          <w:kern w:val="0"/>
          <w:sz w:val="21"/>
          <w:szCs w:val="21"/>
          <w:lang w:bidi="ar"/>
        </w:rPr>
        <w:t xml:space="preserve">注：1.供应商如为联合体，则应填写联合体各成员信息。 </w:t>
      </w:r>
    </w:p>
    <w:p w14:paraId="1CA5DBF3">
      <w:pPr>
        <w:widowControl/>
        <w:ind w:firstLine="420" w:firstLineChars="200"/>
        <w:rPr>
          <w:rFonts w:hint="eastAsia" w:cs="宋体"/>
          <w:kern w:val="0"/>
          <w:sz w:val="21"/>
          <w:szCs w:val="21"/>
          <w:lang w:bidi="ar"/>
        </w:rPr>
      </w:pPr>
      <w:r>
        <w:rPr>
          <w:rFonts w:hint="eastAsia" w:cs="宋体"/>
          <w:kern w:val="0"/>
          <w:sz w:val="21"/>
          <w:szCs w:val="21"/>
          <w:lang w:bidi="ar"/>
        </w:rPr>
        <w:t>2.“供应商实际控制人性别”按供应商实际控制人性别划分请填写“男”或“女”，指拥有供应商 51%以上绝对所有权的性别；绝对所有权拥有者可以是一个人，也可以是多人合计计算。</w:t>
      </w:r>
    </w:p>
    <w:p w14:paraId="21F3AC4E">
      <w:pPr>
        <w:pStyle w:val="39"/>
        <w:ind w:firstLine="420" w:firstLineChars="200"/>
        <w:rPr>
          <w:rFonts w:hint="eastAsia"/>
          <w:sz w:val="21"/>
          <w:szCs w:val="21"/>
        </w:rPr>
      </w:pPr>
      <w:r>
        <w:rPr>
          <w:rFonts w:hint="eastAsia" w:cs="宋体"/>
          <w:kern w:val="0"/>
          <w:sz w:val="21"/>
          <w:szCs w:val="21"/>
          <w:lang w:val="en-US" w:bidi="ar"/>
        </w:rPr>
        <w:t>3.“外商投资类型”请填写“外商单独投资”、“外商部分投资”或“内资”。</w:t>
      </w:r>
    </w:p>
    <w:p w14:paraId="1C25FA90">
      <w:pPr>
        <w:pStyle w:val="39"/>
        <w:rPr>
          <w:rFonts w:hint="eastAsia"/>
          <w:sz w:val="28"/>
          <w:szCs w:val="28"/>
          <w:lang w:val="en-US"/>
        </w:rPr>
      </w:pPr>
    </w:p>
    <w:p w14:paraId="780A3210">
      <w:pPr>
        <w:pStyle w:val="39"/>
        <w:rPr>
          <w:rFonts w:hint="eastAsia"/>
          <w:szCs w:val="24"/>
          <w:lang w:val="en-US"/>
        </w:rPr>
      </w:pPr>
      <w:r>
        <w:rPr>
          <w:rFonts w:hint="eastAsia"/>
          <w:szCs w:val="24"/>
          <w:lang w:val="en-US"/>
        </w:rPr>
        <w:t>1.2其它商务、技术资料和证明材料</w:t>
      </w:r>
    </w:p>
    <w:p w14:paraId="3A2F8227">
      <w:pPr>
        <w:pStyle w:val="39"/>
        <w:ind w:firstLine="0"/>
        <w:rPr>
          <w:rFonts w:hint="eastAsia"/>
          <w:b/>
          <w:bCs/>
          <w:szCs w:val="24"/>
        </w:rPr>
      </w:pPr>
    </w:p>
    <w:p w14:paraId="4BA0F333">
      <w:pPr>
        <w:pStyle w:val="39"/>
        <w:numPr>
          <w:ilvl w:val="0"/>
          <w:numId w:val="17"/>
        </w:numPr>
        <w:ind w:firstLine="0"/>
        <w:rPr>
          <w:rFonts w:hint="eastAsia"/>
          <w:b/>
          <w:bCs/>
          <w:szCs w:val="24"/>
        </w:rPr>
      </w:pPr>
      <w:r>
        <w:rPr>
          <w:rFonts w:hint="eastAsia"/>
          <w:b/>
          <w:bCs/>
          <w:szCs w:val="24"/>
        </w:rPr>
        <w:t>投标人认为需要提供的其它商务、技术资料和说明。</w:t>
      </w:r>
    </w:p>
    <w:p w14:paraId="7BAF7C4A">
      <w:pPr>
        <w:rPr>
          <w:rFonts w:hint="eastAsia"/>
          <w:b/>
          <w:bCs/>
          <w:szCs w:val="24"/>
          <w:lang w:val="en-US"/>
        </w:rPr>
      </w:pPr>
      <w:r>
        <w:rPr>
          <w:rFonts w:hint="eastAsia"/>
          <w:b/>
          <w:bCs/>
          <w:szCs w:val="24"/>
          <w:lang w:val="en-US"/>
        </w:rPr>
        <w:br w:type="page"/>
      </w:r>
    </w:p>
    <w:p w14:paraId="4FADE7A9">
      <w:pPr>
        <w:spacing w:line="240" w:lineRule="atLeast"/>
        <w:ind w:left="1157" w:leftChars="257" w:hanging="540"/>
        <w:jc w:val="center"/>
        <w:rPr>
          <w:rFonts w:hint="eastAsia" w:ascii="宋体" w:hAnsi="宋体" w:eastAsia="宋体" w:cs="宋体"/>
          <w:b/>
          <w:bCs/>
          <w:sz w:val="24"/>
        </w:rPr>
      </w:pPr>
      <w:r>
        <w:rPr>
          <w:rFonts w:hint="eastAsia" w:ascii="宋体" w:hAnsi="宋体" w:eastAsia="宋体" w:cs="宋体"/>
          <w:b/>
          <w:bCs/>
          <w:sz w:val="24"/>
        </w:rPr>
        <w:t>中标服务费承诺书</w:t>
      </w:r>
    </w:p>
    <w:p w14:paraId="1AFA8B1F">
      <w:pPr>
        <w:spacing w:line="440" w:lineRule="exact"/>
        <w:ind w:left="1080" w:hanging="1080"/>
        <w:rPr>
          <w:rFonts w:hint="eastAsia" w:ascii="宋体" w:hAnsi="宋体" w:eastAsia="宋体" w:cs="宋体"/>
          <w:sz w:val="24"/>
        </w:rPr>
      </w:pPr>
    </w:p>
    <w:p w14:paraId="7576EDB4">
      <w:pPr>
        <w:keepNext w:val="0"/>
        <w:keepLines w:val="0"/>
        <w:pageBreakBefore w:val="0"/>
        <w:widowControl w:val="0"/>
        <w:kinsoku/>
        <w:overflowPunct/>
        <w:topLinePunct w:val="0"/>
        <w:autoSpaceDE/>
        <w:autoSpaceDN/>
        <w:bidi w:val="0"/>
        <w:adjustRightInd/>
        <w:snapToGrid/>
        <w:spacing w:line="360" w:lineRule="auto"/>
        <w:ind w:left="1080" w:hanging="1080"/>
        <w:textAlignment w:val="auto"/>
        <w:rPr>
          <w:rFonts w:hint="default" w:ascii="宋体" w:hAnsi="宋体" w:eastAsia="宋体" w:cs="宋体"/>
          <w:sz w:val="24"/>
          <w:u w:val="single"/>
          <w:lang w:val="en-US" w:eastAsia="zh-CN"/>
        </w:rPr>
      </w:pPr>
      <w:r>
        <w:rPr>
          <w:rFonts w:hint="eastAsia" w:ascii="宋体" w:hAnsi="宋体" w:eastAsia="宋体" w:cs="宋体"/>
          <w:sz w:val="24"/>
        </w:rPr>
        <w:t>致：</w:t>
      </w:r>
      <w:r>
        <w:rPr>
          <w:rFonts w:hint="eastAsia" w:cs="宋体"/>
          <w:sz w:val="24"/>
          <w:lang w:val="en-US" w:eastAsia="zh-CN"/>
        </w:rPr>
        <w:t>中通服供应链股份有限公司新疆分公司</w:t>
      </w:r>
    </w:p>
    <w:p w14:paraId="358CD47B">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3647BA13">
      <w:pPr>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 xml:space="preserve"> 我们在贵公司组织的</w:t>
      </w:r>
      <w:r>
        <w:rPr>
          <w:rFonts w:hint="eastAsia" w:ascii="宋体" w:hAnsi="宋体" w:eastAsia="宋体" w:cs="宋体"/>
          <w:sz w:val="24"/>
          <w:u w:val="single"/>
        </w:rPr>
        <w:tab/>
      </w:r>
      <w:r>
        <w:rPr>
          <w:rFonts w:hint="eastAsia" w:ascii="宋体" w:hAnsi="宋体" w:eastAsia="宋体" w:cs="宋体"/>
          <w:sz w:val="24"/>
          <w:u w:val="single"/>
          <w:lang w:eastAsia="zh-CN"/>
        </w:rPr>
        <w:t>（</w:t>
      </w:r>
      <w:r>
        <w:rPr>
          <w:rFonts w:hint="eastAsia" w:ascii="宋体" w:hAnsi="宋体" w:eastAsia="宋体" w:cs="宋体"/>
          <w:sz w:val="24"/>
          <w:u w:val="single"/>
          <w:lang w:val="en-US" w:eastAsia="zh-CN"/>
        </w:rPr>
        <w:t>项目名称、项目编号</w:t>
      </w:r>
      <w:r>
        <w:rPr>
          <w:rFonts w:hint="eastAsia" w:ascii="宋体" w:hAnsi="宋体" w:eastAsia="宋体" w:cs="宋体"/>
          <w:sz w:val="24"/>
          <w:u w:val="single"/>
          <w:lang w:eastAsia="zh-CN"/>
        </w:rPr>
        <w:t>）</w:t>
      </w:r>
      <w:r>
        <w:rPr>
          <w:rFonts w:hint="eastAsia" w:ascii="宋体" w:hAnsi="宋体" w:eastAsia="宋体" w:cs="宋体"/>
          <w:sz w:val="24"/>
          <w:u w:val="single"/>
        </w:rPr>
        <w:tab/>
      </w:r>
      <w:r>
        <w:rPr>
          <w:rFonts w:hint="eastAsia" w:ascii="宋体" w:hAnsi="宋体" w:eastAsia="宋体" w:cs="宋体"/>
          <w:sz w:val="24"/>
        </w:rPr>
        <w:t>项目招标中若获得中标资格，我们保证在领取中标通知书的同时按</w:t>
      </w:r>
      <w:r>
        <w:rPr>
          <w:rFonts w:hint="eastAsia" w:ascii="宋体" w:hAnsi="宋体" w:eastAsia="宋体" w:cs="宋体"/>
          <w:sz w:val="24"/>
          <w:lang w:eastAsia="zh-CN"/>
        </w:rPr>
        <w:t>采购文件</w:t>
      </w:r>
      <w:r>
        <w:rPr>
          <w:rFonts w:hint="eastAsia" w:ascii="宋体" w:hAnsi="宋体" w:eastAsia="宋体" w:cs="宋体"/>
          <w:sz w:val="24"/>
        </w:rPr>
        <w:t>的规定，按</w:t>
      </w:r>
      <w:r>
        <w:rPr>
          <w:rFonts w:hint="eastAsia" w:ascii="宋体" w:hAnsi="宋体" w:eastAsia="宋体" w:cs="宋体"/>
          <w:sz w:val="24"/>
          <w:lang w:eastAsia="zh-CN"/>
        </w:rPr>
        <w:t>采购文件</w:t>
      </w:r>
      <w:r>
        <w:rPr>
          <w:rFonts w:hint="eastAsia" w:ascii="宋体" w:hAnsi="宋体" w:eastAsia="宋体" w:cs="宋体"/>
          <w:sz w:val="24"/>
        </w:rPr>
        <w:t>对代理服务费支付方式的约定，承担本项目代理服务费。</w:t>
      </w:r>
    </w:p>
    <w:p w14:paraId="572DD2C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中通服供应链股份有限公司新疆分公司的要求办理支付手续。</w:t>
      </w:r>
    </w:p>
    <w:p w14:paraId="3EFD6E04">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r>
        <w:rPr>
          <w:rFonts w:hint="eastAsia" w:ascii="宋体" w:hAnsi="宋体" w:eastAsia="宋体" w:cs="宋体"/>
          <w:sz w:val="24"/>
        </w:rPr>
        <w:t>特此承诺！</w:t>
      </w:r>
    </w:p>
    <w:p w14:paraId="11E5E6A0">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49ED5F45">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7616777D">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22CD5A6E">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53028D88">
      <w:pPr>
        <w:keepNext w:val="0"/>
        <w:keepLines w:val="0"/>
        <w:pageBreakBefore w:val="0"/>
        <w:widowControl w:val="0"/>
        <w:kinsoku/>
        <w:overflowPunct/>
        <w:topLinePunct w:val="0"/>
        <w:autoSpaceDE/>
        <w:autoSpaceDN/>
        <w:bidi w:val="0"/>
        <w:adjustRightInd/>
        <w:snapToGrid/>
        <w:spacing w:line="360" w:lineRule="auto"/>
        <w:ind w:left="1080" w:hanging="1080"/>
        <w:textAlignment w:val="auto"/>
        <w:rPr>
          <w:rFonts w:hint="eastAsia" w:ascii="宋体" w:hAnsi="宋体" w:eastAsia="宋体" w:cs="宋体"/>
          <w:sz w:val="24"/>
        </w:rPr>
      </w:pPr>
    </w:p>
    <w:p w14:paraId="5F337CC7">
      <w:pPr>
        <w:keepNext w:val="0"/>
        <w:keepLines w:val="0"/>
        <w:pageBreakBefore w:val="0"/>
        <w:widowControl w:val="0"/>
        <w:kinsoku/>
        <w:overflowPunct/>
        <w:topLinePunct w:val="0"/>
        <w:autoSpaceDE/>
        <w:autoSpaceDN/>
        <w:bidi w:val="0"/>
        <w:adjustRightInd/>
        <w:snapToGrid/>
        <w:spacing w:line="360" w:lineRule="auto"/>
        <w:ind w:left="1495" w:leftChars="273" w:hanging="840" w:hangingChars="350"/>
        <w:textAlignment w:val="auto"/>
        <w:rPr>
          <w:rFonts w:hint="eastAsia" w:ascii="宋体" w:hAnsi="宋体" w:eastAsia="宋体" w:cs="宋体"/>
          <w:sz w:val="24"/>
        </w:rPr>
      </w:pPr>
      <w:r>
        <w:rPr>
          <w:rFonts w:hint="eastAsia" w:ascii="宋体" w:hAnsi="宋体" w:eastAsia="宋体" w:cs="宋体"/>
          <w:sz w:val="24"/>
        </w:rPr>
        <w:t>承诺方法定名称：</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none"/>
        </w:rPr>
        <w:t>（承诺方盖章）</w:t>
      </w:r>
    </w:p>
    <w:p w14:paraId="31D51897">
      <w:pPr>
        <w:keepNext w:val="0"/>
        <w:keepLines w:val="0"/>
        <w:pageBreakBefore w:val="0"/>
        <w:widowControl w:val="0"/>
        <w:kinsoku/>
        <w:overflowPunct/>
        <w:topLinePunct w:val="0"/>
        <w:autoSpaceDE/>
        <w:autoSpaceDN/>
        <w:bidi w:val="0"/>
        <w:adjustRightInd/>
        <w:snapToGrid/>
        <w:spacing w:line="360" w:lineRule="auto"/>
        <w:ind w:left="1697" w:leftChars="257" w:hanging="1080"/>
        <w:textAlignment w:val="auto"/>
        <w:rPr>
          <w:rFonts w:hint="eastAsia" w:ascii="宋体" w:hAnsi="宋体" w:eastAsia="宋体" w:cs="宋体"/>
          <w:sz w:val="24"/>
        </w:rPr>
      </w:pPr>
      <w:r>
        <w:rPr>
          <w:rFonts w:hint="eastAsia" w:ascii="宋体" w:hAnsi="宋体" w:eastAsia="宋体" w:cs="宋体"/>
          <w:sz w:val="24"/>
        </w:rPr>
        <w:t>地址：</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p>
    <w:p w14:paraId="2D29FB96">
      <w:pPr>
        <w:keepNext w:val="0"/>
        <w:keepLines w:val="0"/>
        <w:pageBreakBefore w:val="0"/>
        <w:widowControl w:val="0"/>
        <w:kinsoku/>
        <w:overflowPunct/>
        <w:topLinePunct w:val="0"/>
        <w:autoSpaceDE/>
        <w:autoSpaceDN/>
        <w:bidi w:val="0"/>
        <w:adjustRightInd/>
        <w:snapToGrid/>
        <w:spacing w:line="360" w:lineRule="auto"/>
        <w:ind w:left="1697" w:leftChars="257" w:hanging="1080"/>
        <w:textAlignment w:val="auto"/>
        <w:rPr>
          <w:rFonts w:hint="eastAsia" w:ascii="宋体" w:hAnsi="宋体" w:eastAsia="宋体" w:cs="宋体"/>
          <w:sz w:val="24"/>
        </w:rPr>
      </w:pPr>
      <w:r>
        <w:rPr>
          <w:rFonts w:hint="eastAsia" w:ascii="宋体" w:hAnsi="宋体" w:eastAsia="宋体" w:cs="宋体"/>
          <w:sz w:val="24"/>
        </w:rPr>
        <w:t>电话：</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传真：</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p>
    <w:p w14:paraId="3294AC1E">
      <w:pPr>
        <w:keepNext w:val="0"/>
        <w:keepLines w:val="0"/>
        <w:pageBreakBefore w:val="0"/>
        <w:widowControl w:val="0"/>
        <w:kinsoku/>
        <w:overflowPunct/>
        <w:topLinePunct w:val="0"/>
        <w:autoSpaceDE/>
        <w:autoSpaceDN/>
        <w:bidi w:val="0"/>
        <w:adjustRightInd/>
        <w:snapToGrid/>
        <w:spacing w:line="360" w:lineRule="auto"/>
        <w:ind w:left="1697" w:leftChars="257" w:hanging="1080"/>
        <w:textAlignment w:val="auto"/>
        <w:rPr>
          <w:rFonts w:hint="eastAsia" w:ascii="宋体" w:hAnsi="宋体" w:eastAsia="宋体" w:cs="宋体"/>
          <w:sz w:val="24"/>
        </w:rPr>
      </w:pPr>
      <w:r>
        <w:rPr>
          <w:rFonts w:hint="eastAsia" w:ascii="宋体" w:hAnsi="宋体" w:eastAsia="宋体" w:cs="宋体"/>
          <w:sz w:val="24"/>
        </w:rPr>
        <w:t>电传：</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邮编：</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p>
    <w:p w14:paraId="5F8A6A36">
      <w:pPr>
        <w:pStyle w:val="39"/>
        <w:keepNext w:val="0"/>
        <w:keepLines w:val="0"/>
        <w:pageBreakBefore w:val="0"/>
        <w:widowControl w:val="0"/>
        <w:numPr>
          <w:ilvl w:val="0"/>
          <w:numId w:val="0"/>
        </w:numPr>
        <w:kinsoku/>
        <w:overflowPunct/>
        <w:topLinePunct w:val="0"/>
        <w:autoSpaceDE/>
        <w:autoSpaceDN/>
        <w:bidi w:val="0"/>
        <w:adjustRightInd/>
        <w:snapToGrid/>
        <w:spacing w:line="360" w:lineRule="auto"/>
        <w:ind w:firstLine="720" w:firstLineChars="300"/>
        <w:textAlignment w:val="auto"/>
        <w:rPr>
          <w:rFonts w:hint="eastAsia" w:ascii="宋体" w:hAnsi="宋体" w:eastAsia="宋体" w:cs="宋体"/>
          <w:b/>
          <w:bCs/>
          <w:szCs w:val="24"/>
          <w:lang w:val="en-US"/>
        </w:rPr>
      </w:pPr>
      <w:r>
        <w:rPr>
          <w:rFonts w:hint="eastAsia" w:ascii="宋体" w:hAnsi="宋体" w:eastAsia="宋体" w:cs="宋体"/>
          <w:sz w:val="24"/>
        </w:rPr>
        <w:t>承诺日期：</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 xml:space="preserve">                      </w:t>
      </w: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84C15FB-A768-411D-9419-BD6D516C228E}"/>
  </w:font>
  <w:font w:name="Arial">
    <w:panose1 w:val="020B0604020202020204"/>
    <w:charset w:val="01"/>
    <w:family w:val="swiss"/>
    <w:pitch w:val="default"/>
    <w:sig w:usb0="E0002EFF" w:usb1="C000785B" w:usb2="00000009" w:usb3="00000000" w:csb0="400001FF" w:csb1="FFFF0000"/>
    <w:embedRegular r:id="rId2" w:fontKey="{4ABDB7D7-B4E3-4F0A-9CA9-F9D225DC8DC9}"/>
  </w:font>
  <w:font w:name="黑体">
    <w:panose1 w:val="02010609060101010101"/>
    <w:charset w:val="86"/>
    <w:family w:val="auto"/>
    <w:pitch w:val="default"/>
    <w:sig w:usb0="800002BF" w:usb1="38CF7CFA" w:usb2="00000016" w:usb3="00000000" w:csb0="00040001" w:csb1="00000000"/>
    <w:embedRegular r:id="rId3" w:fontKey="{8DA5DB17-6578-4D83-878F-BE5325F36A58}"/>
  </w:font>
  <w:font w:name="Courier New">
    <w:panose1 w:val="02070309020205020404"/>
    <w:charset w:val="01"/>
    <w:family w:val="modern"/>
    <w:pitch w:val="default"/>
    <w:sig w:usb0="E0002EFF" w:usb1="C0007843" w:usb2="00000009" w:usb3="00000000" w:csb0="400001FF" w:csb1="FFFF0000"/>
    <w:embedRegular r:id="rId4" w:fontKey="{C08248E4-9B02-4725-9785-59197554A61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215CEBB4-7E71-4199-B058-1568C15BEEFB}"/>
  </w:font>
  <w:font w:name="等线 Light">
    <w:panose1 w:val="02010600030101010101"/>
    <w:charset w:val="86"/>
    <w:family w:val="auto"/>
    <w:pitch w:val="default"/>
    <w:sig w:usb0="A00002BF" w:usb1="38CF7CFA" w:usb2="00000016" w:usb3="00000000" w:csb0="0004000F" w:csb1="00000000"/>
    <w:embedRegular r:id="rId6" w:fontKey="{3EF6B097-790F-4DDE-A945-718581AA8B9B}"/>
  </w:font>
  <w:font w:name="仿宋">
    <w:panose1 w:val="02010609060101010101"/>
    <w:charset w:val="86"/>
    <w:family w:val="modern"/>
    <w:pitch w:val="default"/>
    <w:sig w:usb0="800002BF" w:usb1="38CF7CFA" w:usb2="00000016" w:usb3="00000000" w:csb0="00040001" w:csb1="00000000"/>
    <w:embedRegular r:id="rId7" w:fontKey="{432BEF21-408F-47F2-9EEA-9AAE20236B24}"/>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8" w:fontKey="{41FDE6C8-59AA-4A15-8021-E111E30CEC8C}"/>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方正仿宋_GBK">
    <w:panose1 w:val="02000000000000000000"/>
    <w:charset w:val="86"/>
    <w:family w:val="script"/>
    <w:pitch w:val="default"/>
    <w:sig w:usb0="A00002BF" w:usb1="38CF7CFA" w:usb2="00082016" w:usb3="00000000" w:csb0="00040001" w:csb1="00000000"/>
    <w:embedRegular r:id="rId9" w:fontKey="{B277476B-E454-420B-9AFA-7CB31429D3F1}"/>
  </w:font>
  <w:font w:name="方正书宋_GBK">
    <w:panose1 w:val="02000000000000000000"/>
    <w:charset w:val="86"/>
    <w:family w:val="auto"/>
    <w:pitch w:val="default"/>
    <w:sig w:usb0="A00002BF" w:usb1="38CF7CFA" w:usb2="00082016" w:usb3="00000000" w:csb0="00040001" w:csb1="00000000"/>
    <w:embedRegular r:id="rId10" w:fontKey="{87BE1092-EA2A-4149-910B-C6B054B80675}"/>
  </w:font>
  <w:font w:name="Helvetica">
    <w:altName w:val="Arial"/>
    <w:panose1 w:val="020B0604020202020204"/>
    <w:charset w:val="00"/>
    <w:family w:val="swiss"/>
    <w:pitch w:val="default"/>
    <w:sig w:usb0="00000000" w:usb1="00000000" w:usb2="00000009" w:usb3="00000000" w:csb0="000001FF" w:csb1="00000000"/>
    <w:embedRegular r:id="rId11" w:fontKey="{F8E8B33E-25F0-454B-A84A-F1D3C91A4207}"/>
  </w:font>
  <w:font w:name="华文中宋">
    <w:panose1 w:val="02010600040101010101"/>
    <w:charset w:val="86"/>
    <w:family w:val="auto"/>
    <w:pitch w:val="default"/>
    <w:sig w:usb0="00000287" w:usb1="080F0000" w:usb2="00000000" w:usb3="00000000" w:csb0="0004009F" w:csb1="DFD70000"/>
    <w:embedRegular r:id="rId12" w:fontKey="{17208976-6570-4945-85E9-57D97BB7A31C}"/>
  </w:font>
  <w:font w:name="Tahoma">
    <w:panose1 w:val="020B0604030504040204"/>
    <w:charset w:val="00"/>
    <w:family w:val="swiss"/>
    <w:pitch w:val="default"/>
    <w:sig w:usb0="E1002EFF" w:usb1="C000605B" w:usb2="00000029" w:usb3="00000000" w:csb0="200101FF" w:csb1="20280000"/>
    <w:embedRegular r:id="rId13" w:fontKey="{393305EF-CE22-4920-B297-B9EDA349D6CA}"/>
  </w:font>
  <w:font w:name="方正小标宋_GBK">
    <w:panose1 w:val="02000000000000000000"/>
    <w:charset w:val="86"/>
    <w:family w:val="auto"/>
    <w:pitch w:val="default"/>
    <w:sig w:usb0="A00002BF" w:usb1="38CF7CFA" w:usb2="00082016" w:usb3="00000000" w:csb0="00040001" w:csb1="00000000"/>
    <w:embedRegular r:id="rId14" w:fontKey="{A9CDEFD9-4BB9-4C28-915F-2237A6F0BB6E}"/>
  </w:font>
  <w:font w:name="DejaVuSans">
    <w:altName w:val="Segoe Print"/>
    <w:panose1 w:val="00000000000000000000"/>
    <w:charset w:val="00"/>
    <w:family w:val="auto"/>
    <w:pitch w:val="default"/>
    <w:sig w:usb0="00000000" w:usb1="00000000" w:usb2="00000000" w:usb3="00000000" w:csb0="00000000" w:csb1="00000000"/>
    <w:embedRegular r:id="rId15" w:fontKey="{47B40BFC-613F-46D9-B987-51E02F6BA743}"/>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DE209">
    <w:pPr>
      <w:pStyle w:val="20"/>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0C8915A3">
                              <w:pPr>
                                <w:pStyle w:val="20"/>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020FCB10">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54804"/>
                    </w:sdtPr>
                    <w:sdtContent>
                      <w:p w14:paraId="0C8915A3">
                        <w:pPr>
                          <w:pStyle w:val="20"/>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020FCB10">
                    <w:pPr>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A69A6">
    <w:pPr>
      <w:pStyle w:val="2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A4022E">
                          <w:pPr>
                            <w:pStyle w:val="20"/>
                            <w:rPr>
                              <w:rFonts w:hint="eastAsia"/>
                            </w:rPr>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6A4022E">
                    <w:pPr>
                      <w:pStyle w:val="20"/>
                      <w:rPr>
                        <w:rFonts w:hint="eastAsia"/>
                      </w:rPr>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A55C5">
    <w:pPr>
      <w:pStyle w:val="20"/>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0CBB48A0">
                              <w:pPr>
                                <w:pStyle w:val="20"/>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07DDE99C">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78428888"/>
                    </w:sdtPr>
                    <w:sdtContent>
                      <w:p w14:paraId="0CBB48A0">
                        <w:pPr>
                          <w:pStyle w:val="20"/>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07DDE99C">
                    <w:pPr>
                      <w:rPr>
                        <w:rFonts w:hint="eastAsia"/>
                      </w:rPr>
                    </w:pPr>
                  </w:p>
                </w:txbxContent>
              </v:textbox>
            </v:shape>
          </w:pict>
        </mc:Fallback>
      </mc:AlternateContent>
    </w:r>
  </w:p>
  <w:p w14:paraId="7DE9292D">
    <w:pPr>
      <w:pStyle w:val="2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FCB54">
    <w:pPr>
      <w:pStyle w:val="21"/>
      <w:rPr>
        <w:rFonts w:hint="eastAsia"/>
      </w:rPr>
    </w:pPr>
    <w:r>
      <w:drawing>
        <wp:anchor distT="0" distB="0" distL="114300" distR="114300" simplePos="0" relativeHeight="251662336" behindDoc="1" locked="0" layoutInCell="1" allowOverlap="1">
          <wp:simplePos x="0" y="0"/>
          <wp:positionH relativeFrom="column">
            <wp:posOffset>25400</wp:posOffset>
          </wp:positionH>
          <wp:positionV relativeFrom="paragraph">
            <wp:posOffset>2540</wp:posOffset>
          </wp:positionV>
          <wp:extent cx="1093470" cy="281940"/>
          <wp:effectExtent l="0" t="0" r="1905" b="38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1093470" cy="281940"/>
                  </a:xfrm>
                  <a:prstGeom prst="rect">
                    <a:avLst/>
                  </a:prstGeom>
                  <a:noFill/>
                  <a:ln>
                    <a:noFill/>
                  </a:ln>
                </pic:spPr>
              </pic:pic>
            </a:graphicData>
          </a:graphic>
        </wp:anchor>
      </w:drawing>
    </w:r>
  </w:p>
  <w:p w14:paraId="6C681DD2">
    <w:pPr>
      <w:pStyle w:val="21"/>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01FE9">
    <w:pPr>
      <w:pStyle w:val="21"/>
      <w:jc w:val="right"/>
      <w:rPr>
        <w:rFonts w:hint="eastAsia"/>
      </w:rPr>
    </w:pPr>
    <w:r>
      <w:drawing>
        <wp:anchor distT="0" distB="0" distL="114300" distR="114300" simplePos="0" relativeHeight="251663360" behindDoc="1" locked="0" layoutInCell="1" allowOverlap="1">
          <wp:simplePos x="0" y="0"/>
          <wp:positionH relativeFrom="column">
            <wp:posOffset>19685</wp:posOffset>
          </wp:positionH>
          <wp:positionV relativeFrom="paragraph">
            <wp:posOffset>-4445</wp:posOffset>
          </wp:positionV>
          <wp:extent cx="1093470" cy="281940"/>
          <wp:effectExtent l="0" t="0" r="1905" b="381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093470" cy="281940"/>
                  </a:xfrm>
                  <a:prstGeom prst="rect">
                    <a:avLst/>
                  </a:prstGeom>
                  <a:noFill/>
                  <a:ln>
                    <a:noFill/>
                  </a:ln>
                </pic:spPr>
              </pic:pic>
            </a:graphicData>
          </a:graphic>
        </wp:anchor>
      </w:drawing>
    </w:r>
  </w:p>
  <w:p w14:paraId="2174F102">
    <w:pPr>
      <w:pStyle w:val="21"/>
      <w:jc w:val="right"/>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5EC3D">
    <w:pPr>
      <w:pStyle w:val="21"/>
      <w:rPr>
        <w:rFonts w:hint="eastAsia"/>
      </w:rPr>
    </w:pPr>
    <w:r>
      <w:drawing>
        <wp:anchor distT="0" distB="0" distL="114300" distR="114300" simplePos="0" relativeHeight="251664384" behindDoc="1" locked="0" layoutInCell="1" allowOverlap="1">
          <wp:simplePos x="0" y="0"/>
          <wp:positionH relativeFrom="column">
            <wp:posOffset>1905</wp:posOffset>
          </wp:positionH>
          <wp:positionV relativeFrom="paragraph">
            <wp:posOffset>19685</wp:posOffset>
          </wp:positionV>
          <wp:extent cx="1093470" cy="281940"/>
          <wp:effectExtent l="0" t="0" r="1905" b="381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093470" cy="281940"/>
                  </a:xfrm>
                  <a:prstGeom prst="rect">
                    <a:avLst/>
                  </a:prstGeom>
                  <a:noFill/>
                  <a:ln>
                    <a:noFill/>
                  </a:ln>
                </pic:spPr>
              </pic:pic>
            </a:graphicData>
          </a:graphic>
        </wp:anchor>
      </w:drawing>
    </w:r>
  </w:p>
  <w:p w14:paraId="02A48AE0">
    <w:pPr>
      <w:pStyle w:val="21"/>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9C070575"/>
    <w:multiLevelType w:val="singleLevel"/>
    <w:tmpl w:val="9C070575"/>
    <w:lvl w:ilvl="0" w:tentative="0">
      <w:start w:val="1"/>
      <w:numFmt w:val="decimal"/>
      <w:pStyle w:val="8"/>
      <w:lvlText w:val="%1."/>
      <w:lvlJc w:val="left"/>
      <w:pPr>
        <w:tabs>
          <w:tab w:val="left" w:pos="780"/>
        </w:tabs>
        <w:ind w:left="780" w:hanging="360"/>
      </w:pPr>
    </w:lvl>
  </w:abstractNum>
  <w:abstractNum w:abstractNumId="2">
    <w:nsid w:val="9D3C2A7F"/>
    <w:multiLevelType w:val="singleLevel"/>
    <w:tmpl w:val="9D3C2A7F"/>
    <w:lvl w:ilvl="0" w:tentative="0">
      <w:start w:val="1"/>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66E0674"/>
    <w:multiLevelType w:val="singleLevel"/>
    <w:tmpl w:val="D66E0674"/>
    <w:lvl w:ilvl="0" w:tentative="0">
      <w:start w:val="2"/>
      <w:numFmt w:val="chineseCounting"/>
      <w:suff w:val="nothing"/>
      <w:lvlText w:val="（%1）"/>
      <w:lvlJc w:val="left"/>
      <w:rPr>
        <w:rFonts w:hint="eastAsia"/>
      </w:rPr>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11650BEE"/>
    <w:multiLevelType w:val="multilevel"/>
    <w:tmpl w:val="11650BEE"/>
    <w:lvl w:ilvl="0" w:tentative="0">
      <w:start w:val="1"/>
      <w:numFmt w:val="decimal"/>
      <w:lvlText w:val="%1、"/>
      <w:lvlJc w:val="left"/>
      <w:pPr>
        <w:ind w:left="387" w:hanging="360"/>
      </w:pPr>
      <w:rPr>
        <w:rFonts w:hint="default"/>
      </w:rPr>
    </w:lvl>
    <w:lvl w:ilvl="1" w:tentative="0">
      <w:start w:val="1"/>
      <w:numFmt w:val="lowerLetter"/>
      <w:lvlText w:val="%2)"/>
      <w:lvlJc w:val="left"/>
      <w:pPr>
        <w:ind w:left="907" w:hanging="440"/>
      </w:pPr>
    </w:lvl>
    <w:lvl w:ilvl="2" w:tentative="0">
      <w:start w:val="1"/>
      <w:numFmt w:val="lowerRoman"/>
      <w:lvlText w:val="%3."/>
      <w:lvlJc w:val="right"/>
      <w:pPr>
        <w:ind w:left="1347" w:hanging="440"/>
      </w:pPr>
    </w:lvl>
    <w:lvl w:ilvl="3" w:tentative="0">
      <w:start w:val="1"/>
      <w:numFmt w:val="decimal"/>
      <w:lvlText w:val="%4."/>
      <w:lvlJc w:val="left"/>
      <w:pPr>
        <w:ind w:left="1787" w:hanging="440"/>
      </w:pPr>
    </w:lvl>
    <w:lvl w:ilvl="4" w:tentative="0">
      <w:start w:val="1"/>
      <w:numFmt w:val="lowerLetter"/>
      <w:lvlText w:val="%5)"/>
      <w:lvlJc w:val="left"/>
      <w:pPr>
        <w:ind w:left="2227" w:hanging="440"/>
      </w:pPr>
    </w:lvl>
    <w:lvl w:ilvl="5" w:tentative="0">
      <w:start w:val="1"/>
      <w:numFmt w:val="lowerRoman"/>
      <w:lvlText w:val="%6."/>
      <w:lvlJc w:val="right"/>
      <w:pPr>
        <w:ind w:left="2667" w:hanging="440"/>
      </w:pPr>
    </w:lvl>
    <w:lvl w:ilvl="6" w:tentative="0">
      <w:start w:val="1"/>
      <w:numFmt w:val="decimal"/>
      <w:lvlText w:val="%7."/>
      <w:lvlJc w:val="left"/>
      <w:pPr>
        <w:ind w:left="3107" w:hanging="440"/>
      </w:pPr>
    </w:lvl>
    <w:lvl w:ilvl="7" w:tentative="0">
      <w:start w:val="1"/>
      <w:numFmt w:val="lowerLetter"/>
      <w:lvlText w:val="%8)"/>
      <w:lvlJc w:val="left"/>
      <w:pPr>
        <w:ind w:left="3547" w:hanging="440"/>
      </w:pPr>
    </w:lvl>
    <w:lvl w:ilvl="8" w:tentative="0">
      <w:start w:val="1"/>
      <w:numFmt w:val="lowerRoman"/>
      <w:lvlText w:val="%9."/>
      <w:lvlJc w:val="right"/>
      <w:pPr>
        <w:ind w:left="3987" w:hanging="440"/>
      </w:pPr>
    </w:lvl>
  </w:abstractNum>
  <w:abstractNum w:abstractNumId="11">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3452A05"/>
    <w:multiLevelType w:val="singleLevel"/>
    <w:tmpl w:val="33452A05"/>
    <w:lvl w:ilvl="0" w:tentative="0">
      <w:start w:val="1"/>
      <w:numFmt w:val="decimal"/>
      <w:suff w:val="nothing"/>
      <w:lvlText w:val="%1、"/>
      <w:lvlJc w:val="left"/>
    </w:lvl>
  </w:abstractNum>
  <w:abstractNum w:abstractNumId="13">
    <w:nsid w:val="447B6378"/>
    <w:multiLevelType w:val="multilevel"/>
    <w:tmpl w:val="447B6378"/>
    <w:lvl w:ilvl="0" w:tentative="0">
      <w:start w:val="1"/>
      <w:numFmt w:val="decimal"/>
      <w:pStyle w:val="41"/>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F2D5A55"/>
    <w:multiLevelType w:val="singleLevel"/>
    <w:tmpl w:val="5F2D5A55"/>
    <w:lvl w:ilvl="0" w:tentative="0">
      <w:start w:val="2"/>
      <w:numFmt w:val="chineseCounting"/>
      <w:suff w:val="nothing"/>
      <w:lvlText w:val="%1、"/>
      <w:lvlJc w:val="left"/>
      <w:rPr>
        <w:rFonts w:hint="eastAsia"/>
      </w:rPr>
    </w:lvl>
  </w:abstractNum>
  <w:abstractNum w:abstractNumId="15">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A0F6431"/>
    <w:multiLevelType w:val="singleLevel"/>
    <w:tmpl w:val="7A0F6431"/>
    <w:lvl w:ilvl="0" w:tentative="0">
      <w:start w:val="1"/>
      <w:numFmt w:val="decimal"/>
      <w:suff w:val="space"/>
      <w:lvlText w:val="%1."/>
      <w:lvlJc w:val="left"/>
    </w:lvl>
  </w:abstractNum>
  <w:num w:numId="1">
    <w:abstractNumId w:val="1"/>
  </w:num>
  <w:num w:numId="2">
    <w:abstractNumId w:val="13"/>
  </w:num>
  <w:num w:numId="3">
    <w:abstractNumId w:val="2"/>
  </w:num>
  <w:num w:numId="4">
    <w:abstractNumId w:val="14"/>
  </w:num>
  <w:num w:numId="5">
    <w:abstractNumId w:val="12"/>
  </w:num>
  <w:num w:numId="6">
    <w:abstractNumId w:val="10"/>
  </w:num>
  <w:num w:numId="7">
    <w:abstractNumId w:val="16"/>
  </w:num>
  <w:num w:numId="8">
    <w:abstractNumId w:val="4"/>
  </w:num>
  <w:num w:numId="9">
    <w:abstractNumId w:val="9"/>
  </w:num>
  <w:num w:numId="10">
    <w:abstractNumId w:val="7"/>
  </w:num>
  <w:num w:numId="11">
    <w:abstractNumId w:val="6"/>
  </w:num>
  <w:num w:numId="12">
    <w:abstractNumId w:val="3"/>
  </w:num>
  <w:num w:numId="13">
    <w:abstractNumId w:val="8"/>
  </w:num>
  <w:num w:numId="14">
    <w:abstractNumId w:val="0"/>
  </w:num>
  <w:num w:numId="15">
    <w:abstractNumId w:val="11"/>
  </w:num>
  <w:num w:numId="16">
    <w:abstractNumId w:val="15"/>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C49"/>
    <w:rsid w:val="00040D23"/>
    <w:rsid w:val="000439DA"/>
    <w:rsid w:val="00063604"/>
    <w:rsid w:val="0006370A"/>
    <w:rsid w:val="00066832"/>
    <w:rsid w:val="00067934"/>
    <w:rsid w:val="000720BF"/>
    <w:rsid w:val="00072D89"/>
    <w:rsid w:val="0008641D"/>
    <w:rsid w:val="000B39A0"/>
    <w:rsid w:val="000C3E03"/>
    <w:rsid w:val="000C488D"/>
    <w:rsid w:val="000C52EC"/>
    <w:rsid w:val="000D0230"/>
    <w:rsid w:val="000D0AD3"/>
    <w:rsid w:val="000E45BD"/>
    <w:rsid w:val="000E4E33"/>
    <w:rsid w:val="000E67CF"/>
    <w:rsid w:val="000F20FD"/>
    <w:rsid w:val="000F39B0"/>
    <w:rsid w:val="000F673A"/>
    <w:rsid w:val="001008D8"/>
    <w:rsid w:val="001022A4"/>
    <w:rsid w:val="00104EBA"/>
    <w:rsid w:val="00115EF7"/>
    <w:rsid w:val="0013642D"/>
    <w:rsid w:val="00146410"/>
    <w:rsid w:val="00150D67"/>
    <w:rsid w:val="00150EAD"/>
    <w:rsid w:val="00156600"/>
    <w:rsid w:val="00160E9C"/>
    <w:rsid w:val="00172190"/>
    <w:rsid w:val="00172A27"/>
    <w:rsid w:val="00173480"/>
    <w:rsid w:val="001774D5"/>
    <w:rsid w:val="00181988"/>
    <w:rsid w:val="00182557"/>
    <w:rsid w:val="0018304A"/>
    <w:rsid w:val="001904E9"/>
    <w:rsid w:val="001A77DE"/>
    <w:rsid w:val="001B36EC"/>
    <w:rsid w:val="001D7B23"/>
    <w:rsid w:val="001E1023"/>
    <w:rsid w:val="001E2F56"/>
    <w:rsid w:val="002017DF"/>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B5943"/>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216A"/>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379C"/>
    <w:rsid w:val="003C5883"/>
    <w:rsid w:val="003C7C49"/>
    <w:rsid w:val="003D3327"/>
    <w:rsid w:val="003D6656"/>
    <w:rsid w:val="003E057C"/>
    <w:rsid w:val="003E2B14"/>
    <w:rsid w:val="003E314B"/>
    <w:rsid w:val="003F0ADC"/>
    <w:rsid w:val="003F5655"/>
    <w:rsid w:val="003F5BC6"/>
    <w:rsid w:val="004021C6"/>
    <w:rsid w:val="00406BEF"/>
    <w:rsid w:val="00406CD3"/>
    <w:rsid w:val="00410595"/>
    <w:rsid w:val="00420F7C"/>
    <w:rsid w:val="0043307A"/>
    <w:rsid w:val="00433514"/>
    <w:rsid w:val="00446BB3"/>
    <w:rsid w:val="0045353D"/>
    <w:rsid w:val="004665FD"/>
    <w:rsid w:val="004771C7"/>
    <w:rsid w:val="00481283"/>
    <w:rsid w:val="00481C3A"/>
    <w:rsid w:val="004851CA"/>
    <w:rsid w:val="0048656E"/>
    <w:rsid w:val="00493221"/>
    <w:rsid w:val="004A302C"/>
    <w:rsid w:val="004B539D"/>
    <w:rsid w:val="004C1FA1"/>
    <w:rsid w:val="004C3DCC"/>
    <w:rsid w:val="004E0BF9"/>
    <w:rsid w:val="004E0CF9"/>
    <w:rsid w:val="004F3FDD"/>
    <w:rsid w:val="004F46AB"/>
    <w:rsid w:val="004F5174"/>
    <w:rsid w:val="00501A4A"/>
    <w:rsid w:val="005032B9"/>
    <w:rsid w:val="005100F2"/>
    <w:rsid w:val="00510300"/>
    <w:rsid w:val="00511D7B"/>
    <w:rsid w:val="00513AD5"/>
    <w:rsid w:val="005214F7"/>
    <w:rsid w:val="00523D37"/>
    <w:rsid w:val="00524831"/>
    <w:rsid w:val="0052616B"/>
    <w:rsid w:val="00527EF1"/>
    <w:rsid w:val="00532F25"/>
    <w:rsid w:val="00541D90"/>
    <w:rsid w:val="00542258"/>
    <w:rsid w:val="005431B3"/>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32F42"/>
    <w:rsid w:val="006407ED"/>
    <w:rsid w:val="0064251F"/>
    <w:rsid w:val="00643F74"/>
    <w:rsid w:val="006503AE"/>
    <w:rsid w:val="00651EE4"/>
    <w:rsid w:val="00654524"/>
    <w:rsid w:val="00654BCF"/>
    <w:rsid w:val="0066052B"/>
    <w:rsid w:val="0066254E"/>
    <w:rsid w:val="006630EF"/>
    <w:rsid w:val="0066446E"/>
    <w:rsid w:val="0066601A"/>
    <w:rsid w:val="006662AB"/>
    <w:rsid w:val="00674212"/>
    <w:rsid w:val="0067621A"/>
    <w:rsid w:val="006815D1"/>
    <w:rsid w:val="00687284"/>
    <w:rsid w:val="00687DD5"/>
    <w:rsid w:val="0069117B"/>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A459F"/>
    <w:rsid w:val="007B5C1A"/>
    <w:rsid w:val="007C03A0"/>
    <w:rsid w:val="007C2BEF"/>
    <w:rsid w:val="007D3D77"/>
    <w:rsid w:val="007E157B"/>
    <w:rsid w:val="007E2EF7"/>
    <w:rsid w:val="007E4818"/>
    <w:rsid w:val="007E6A7E"/>
    <w:rsid w:val="007F33F3"/>
    <w:rsid w:val="007F6124"/>
    <w:rsid w:val="00801BDF"/>
    <w:rsid w:val="00802B86"/>
    <w:rsid w:val="008042BD"/>
    <w:rsid w:val="0082514B"/>
    <w:rsid w:val="00830599"/>
    <w:rsid w:val="008334B0"/>
    <w:rsid w:val="0083496F"/>
    <w:rsid w:val="0083530F"/>
    <w:rsid w:val="00836468"/>
    <w:rsid w:val="00843492"/>
    <w:rsid w:val="00845E20"/>
    <w:rsid w:val="00845F16"/>
    <w:rsid w:val="00852AF3"/>
    <w:rsid w:val="00856D2D"/>
    <w:rsid w:val="00856F2E"/>
    <w:rsid w:val="00871560"/>
    <w:rsid w:val="00872D54"/>
    <w:rsid w:val="00872F2D"/>
    <w:rsid w:val="0087585D"/>
    <w:rsid w:val="00880E22"/>
    <w:rsid w:val="00882B6F"/>
    <w:rsid w:val="008834AE"/>
    <w:rsid w:val="00885F4D"/>
    <w:rsid w:val="0089408B"/>
    <w:rsid w:val="008962E2"/>
    <w:rsid w:val="008A74EF"/>
    <w:rsid w:val="008B00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C36"/>
    <w:rsid w:val="00924B8E"/>
    <w:rsid w:val="00930024"/>
    <w:rsid w:val="009344DE"/>
    <w:rsid w:val="009357E5"/>
    <w:rsid w:val="00936087"/>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521FD"/>
    <w:rsid w:val="00A647EA"/>
    <w:rsid w:val="00A736C6"/>
    <w:rsid w:val="00A82472"/>
    <w:rsid w:val="00A83F1F"/>
    <w:rsid w:val="00A8416F"/>
    <w:rsid w:val="00A97278"/>
    <w:rsid w:val="00AA0223"/>
    <w:rsid w:val="00AB28B8"/>
    <w:rsid w:val="00AB3B77"/>
    <w:rsid w:val="00AC57B7"/>
    <w:rsid w:val="00AC73C5"/>
    <w:rsid w:val="00AC755C"/>
    <w:rsid w:val="00AD0E13"/>
    <w:rsid w:val="00AD5ABF"/>
    <w:rsid w:val="00AF45C5"/>
    <w:rsid w:val="00AF464A"/>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5853"/>
    <w:rsid w:val="00B76348"/>
    <w:rsid w:val="00B81261"/>
    <w:rsid w:val="00B82556"/>
    <w:rsid w:val="00B87655"/>
    <w:rsid w:val="00B87801"/>
    <w:rsid w:val="00B9213D"/>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462B5"/>
    <w:rsid w:val="00C50E28"/>
    <w:rsid w:val="00C62934"/>
    <w:rsid w:val="00C64428"/>
    <w:rsid w:val="00C74D6F"/>
    <w:rsid w:val="00C842DE"/>
    <w:rsid w:val="00C902FB"/>
    <w:rsid w:val="00C965AE"/>
    <w:rsid w:val="00CA0AED"/>
    <w:rsid w:val="00CA284B"/>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701A"/>
    <w:rsid w:val="00E131D1"/>
    <w:rsid w:val="00E17AA0"/>
    <w:rsid w:val="00E2655B"/>
    <w:rsid w:val="00E311AB"/>
    <w:rsid w:val="00E3580F"/>
    <w:rsid w:val="00E358BF"/>
    <w:rsid w:val="00E36EC8"/>
    <w:rsid w:val="00E51146"/>
    <w:rsid w:val="00E512A9"/>
    <w:rsid w:val="00E54AF9"/>
    <w:rsid w:val="00E5624E"/>
    <w:rsid w:val="00E601D4"/>
    <w:rsid w:val="00E64C88"/>
    <w:rsid w:val="00E7179D"/>
    <w:rsid w:val="00E74832"/>
    <w:rsid w:val="00E81B04"/>
    <w:rsid w:val="00E820C5"/>
    <w:rsid w:val="00E87550"/>
    <w:rsid w:val="00E9413F"/>
    <w:rsid w:val="00E973D2"/>
    <w:rsid w:val="00EA0745"/>
    <w:rsid w:val="00EA7F51"/>
    <w:rsid w:val="00EC7C64"/>
    <w:rsid w:val="00ED00D6"/>
    <w:rsid w:val="00EE26DC"/>
    <w:rsid w:val="00EE3FF1"/>
    <w:rsid w:val="00EE5816"/>
    <w:rsid w:val="00F03292"/>
    <w:rsid w:val="00F0565C"/>
    <w:rsid w:val="00F121AE"/>
    <w:rsid w:val="00F14F62"/>
    <w:rsid w:val="00F15852"/>
    <w:rsid w:val="00F23F4B"/>
    <w:rsid w:val="00F43BB4"/>
    <w:rsid w:val="00F462F0"/>
    <w:rsid w:val="00F46C50"/>
    <w:rsid w:val="00F56CD7"/>
    <w:rsid w:val="00F60B61"/>
    <w:rsid w:val="00F66E89"/>
    <w:rsid w:val="00F67822"/>
    <w:rsid w:val="00F70621"/>
    <w:rsid w:val="00F74182"/>
    <w:rsid w:val="00F7607A"/>
    <w:rsid w:val="00F8517B"/>
    <w:rsid w:val="00F90250"/>
    <w:rsid w:val="00F91395"/>
    <w:rsid w:val="00F94D5D"/>
    <w:rsid w:val="00F961D7"/>
    <w:rsid w:val="00F97A2B"/>
    <w:rsid w:val="00FA0CA3"/>
    <w:rsid w:val="00FA3BC5"/>
    <w:rsid w:val="00FA40FE"/>
    <w:rsid w:val="00FB08DC"/>
    <w:rsid w:val="00FB0D30"/>
    <w:rsid w:val="00FB1AE0"/>
    <w:rsid w:val="00FB34C2"/>
    <w:rsid w:val="00FB42F5"/>
    <w:rsid w:val="00FD7001"/>
    <w:rsid w:val="00FD76E1"/>
    <w:rsid w:val="00FE0970"/>
    <w:rsid w:val="00FF3F3A"/>
    <w:rsid w:val="00FF400F"/>
    <w:rsid w:val="01002534"/>
    <w:rsid w:val="01064C9A"/>
    <w:rsid w:val="01303AC5"/>
    <w:rsid w:val="013E61E2"/>
    <w:rsid w:val="014F4893"/>
    <w:rsid w:val="01554610"/>
    <w:rsid w:val="01781929"/>
    <w:rsid w:val="017C564F"/>
    <w:rsid w:val="01877B89"/>
    <w:rsid w:val="019E3125"/>
    <w:rsid w:val="01BA39DE"/>
    <w:rsid w:val="01CA216C"/>
    <w:rsid w:val="01D0068D"/>
    <w:rsid w:val="01D775B9"/>
    <w:rsid w:val="01DD3C4D"/>
    <w:rsid w:val="02026E30"/>
    <w:rsid w:val="02132174"/>
    <w:rsid w:val="02186A33"/>
    <w:rsid w:val="022278B2"/>
    <w:rsid w:val="023130F5"/>
    <w:rsid w:val="024737BC"/>
    <w:rsid w:val="024C2B81"/>
    <w:rsid w:val="026D3223"/>
    <w:rsid w:val="028604AE"/>
    <w:rsid w:val="028B75EF"/>
    <w:rsid w:val="028D5673"/>
    <w:rsid w:val="02922C89"/>
    <w:rsid w:val="029D33DC"/>
    <w:rsid w:val="02AD1871"/>
    <w:rsid w:val="02AD3196"/>
    <w:rsid w:val="02C44E0D"/>
    <w:rsid w:val="02C47896"/>
    <w:rsid w:val="02C9326F"/>
    <w:rsid w:val="02DA63DE"/>
    <w:rsid w:val="02DF39F5"/>
    <w:rsid w:val="02EF5EA2"/>
    <w:rsid w:val="03200295"/>
    <w:rsid w:val="03551524"/>
    <w:rsid w:val="0361440A"/>
    <w:rsid w:val="036D7252"/>
    <w:rsid w:val="03747EC0"/>
    <w:rsid w:val="03922815"/>
    <w:rsid w:val="03990047"/>
    <w:rsid w:val="03AF1619"/>
    <w:rsid w:val="03B7227C"/>
    <w:rsid w:val="03C07382"/>
    <w:rsid w:val="03C350C4"/>
    <w:rsid w:val="03E07A24"/>
    <w:rsid w:val="03E2554B"/>
    <w:rsid w:val="03E30F7F"/>
    <w:rsid w:val="03EA08A3"/>
    <w:rsid w:val="03F62DA4"/>
    <w:rsid w:val="04001E75"/>
    <w:rsid w:val="040E4592"/>
    <w:rsid w:val="04293179"/>
    <w:rsid w:val="042E7DB2"/>
    <w:rsid w:val="043833BC"/>
    <w:rsid w:val="04446205"/>
    <w:rsid w:val="044E2BE0"/>
    <w:rsid w:val="04506958"/>
    <w:rsid w:val="045126D0"/>
    <w:rsid w:val="045D72C7"/>
    <w:rsid w:val="045F303F"/>
    <w:rsid w:val="04820ADC"/>
    <w:rsid w:val="04893C18"/>
    <w:rsid w:val="04951C17"/>
    <w:rsid w:val="049F343C"/>
    <w:rsid w:val="04B14F1D"/>
    <w:rsid w:val="04F01EE9"/>
    <w:rsid w:val="04F574FF"/>
    <w:rsid w:val="05025778"/>
    <w:rsid w:val="052851DF"/>
    <w:rsid w:val="052E656D"/>
    <w:rsid w:val="053A4F12"/>
    <w:rsid w:val="053F247C"/>
    <w:rsid w:val="05595CE0"/>
    <w:rsid w:val="057C377D"/>
    <w:rsid w:val="057E74F5"/>
    <w:rsid w:val="05810D93"/>
    <w:rsid w:val="05812B41"/>
    <w:rsid w:val="05B362B9"/>
    <w:rsid w:val="05C2565F"/>
    <w:rsid w:val="05C72C4A"/>
    <w:rsid w:val="05CB2336"/>
    <w:rsid w:val="05D15877"/>
    <w:rsid w:val="05D215EF"/>
    <w:rsid w:val="05D2339D"/>
    <w:rsid w:val="05D37841"/>
    <w:rsid w:val="05E530D0"/>
    <w:rsid w:val="05EA4B8A"/>
    <w:rsid w:val="05F9301F"/>
    <w:rsid w:val="05FD48BE"/>
    <w:rsid w:val="06093262"/>
    <w:rsid w:val="060C1B32"/>
    <w:rsid w:val="06231E4A"/>
    <w:rsid w:val="06253E14"/>
    <w:rsid w:val="0633208D"/>
    <w:rsid w:val="063A16EC"/>
    <w:rsid w:val="063B53E6"/>
    <w:rsid w:val="065B7836"/>
    <w:rsid w:val="06856661"/>
    <w:rsid w:val="068576CE"/>
    <w:rsid w:val="069114AA"/>
    <w:rsid w:val="0698763E"/>
    <w:rsid w:val="06A66D03"/>
    <w:rsid w:val="06AE7966"/>
    <w:rsid w:val="06AF6DD1"/>
    <w:rsid w:val="06B07B82"/>
    <w:rsid w:val="06B64A6C"/>
    <w:rsid w:val="06DD649D"/>
    <w:rsid w:val="06E8731C"/>
    <w:rsid w:val="06F04422"/>
    <w:rsid w:val="07047ECE"/>
    <w:rsid w:val="071C5217"/>
    <w:rsid w:val="071D4AEC"/>
    <w:rsid w:val="07210A39"/>
    <w:rsid w:val="072242D3"/>
    <w:rsid w:val="072440CC"/>
    <w:rsid w:val="0737795B"/>
    <w:rsid w:val="073F4A62"/>
    <w:rsid w:val="07442078"/>
    <w:rsid w:val="07585B24"/>
    <w:rsid w:val="0778182F"/>
    <w:rsid w:val="078A2181"/>
    <w:rsid w:val="07941252"/>
    <w:rsid w:val="07B54D24"/>
    <w:rsid w:val="07EA70C4"/>
    <w:rsid w:val="081E0B1B"/>
    <w:rsid w:val="08534C69"/>
    <w:rsid w:val="085C6BC2"/>
    <w:rsid w:val="085D7896"/>
    <w:rsid w:val="08687FE8"/>
    <w:rsid w:val="08935065"/>
    <w:rsid w:val="08997D8A"/>
    <w:rsid w:val="089A2898"/>
    <w:rsid w:val="08AD2074"/>
    <w:rsid w:val="08D306C7"/>
    <w:rsid w:val="08D538D0"/>
    <w:rsid w:val="08D77648"/>
    <w:rsid w:val="08E04023"/>
    <w:rsid w:val="08E9737B"/>
    <w:rsid w:val="08F2265D"/>
    <w:rsid w:val="09077801"/>
    <w:rsid w:val="091C32AD"/>
    <w:rsid w:val="09212671"/>
    <w:rsid w:val="0926010A"/>
    <w:rsid w:val="093D1475"/>
    <w:rsid w:val="093F343F"/>
    <w:rsid w:val="09412D13"/>
    <w:rsid w:val="095604D5"/>
    <w:rsid w:val="095B3C9B"/>
    <w:rsid w:val="095E1B17"/>
    <w:rsid w:val="09664528"/>
    <w:rsid w:val="09704318"/>
    <w:rsid w:val="09AC1C5B"/>
    <w:rsid w:val="09B039F5"/>
    <w:rsid w:val="09BD105E"/>
    <w:rsid w:val="09CE174C"/>
    <w:rsid w:val="09DC02D7"/>
    <w:rsid w:val="09EA6F07"/>
    <w:rsid w:val="09EB2C7F"/>
    <w:rsid w:val="09FE29B2"/>
    <w:rsid w:val="0A140428"/>
    <w:rsid w:val="0A1C108A"/>
    <w:rsid w:val="0A2148F3"/>
    <w:rsid w:val="0A2C5771"/>
    <w:rsid w:val="0A391C3C"/>
    <w:rsid w:val="0A3D172D"/>
    <w:rsid w:val="0A3E680D"/>
    <w:rsid w:val="0A5860CD"/>
    <w:rsid w:val="0A6749FB"/>
    <w:rsid w:val="0A6F3B10"/>
    <w:rsid w:val="0A740EC6"/>
    <w:rsid w:val="0A7964DD"/>
    <w:rsid w:val="0A825391"/>
    <w:rsid w:val="0A9D29C6"/>
    <w:rsid w:val="0A9F4195"/>
    <w:rsid w:val="0AAB338B"/>
    <w:rsid w:val="0ACC485F"/>
    <w:rsid w:val="0AD6392F"/>
    <w:rsid w:val="0AD83203"/>
    <w:rsid w:val="0ADC33A6"/>
    <w:rsid w:val="0AEF054D"/>
    <w:rsid w:val="0AF049F1"/>
    <w:rsid w:val="0AF45D7D"/>
    <w:rsid w:val="0B05734A"/>
    <w:rsid w:val="0B08583F"/>
    <w:rsid w:val="0B095AB3"/>
    <w:rsid w:val="0B0E131B"/>
    <w:rsid w:val="0B115FB9"/>
    <w:rsid w:val="0B1A381C"/>
    <w:rsid w:val="0B265A74"/>
    <w:rsid w:val="0B352404"/>
    <w:rsid w:val="0B376893"/>
    <w:rsid w:val="0B381EF4"/>
    <w:rsid w:val="0B386398"/>
    <w:rsid w:val="0B3A0D5F"/>
    <w:rsid w:val="0B3A3EBE"/>
    <w:rsid w:val="0B460AB5"/>
    <w:rsid w:val="0B536D2E"/>
    <w:rsid w:val="0B5C2086"/>
    <w:rsid w:val="0B674587"/>
    <w:rsid w:val="0B6A776A"/>
    <w:rsid w:val="0B6E5916"/>
    <w:rsid w:val="0B8B64C8"/>
    <w:rsid w:val="0BB24C22"/>
    <w:rsid w:val="0BD87233"/>
    <w:rsid w:val="0BF0642E"/>
    <w:rsid w:val="0BF202F5"/>
    <w:rsid w:val="0BFE313E"/>
    <w:rsid w:val="0BFF4765"/>
    <w:rsid w:val="0C02649C"/>
    <w:rsid w:val="0C0B25B3"/>
    <w:rsid w:val="0C104C1F"/>
    <w:rsid w:val="0C1E6205"/>
    <w:rsid w:val="0C1F5CE6"/>
    <w:rsid w:val="0C236700"/>
    <w:rsid w:val="0C28640C"/>
    <w:rsid w:val="0C3C5A14"/>
    <w:rsid w:val="0C5A4DAC"/>
    <w:rsid w:val="0C5E47B4"/>
    <w:rsid w:val="0C891FF1"/>
    <w:rsid w:val="0C8A677F"/>
    <w:rsid w:val="0CBF4A67"/>
    <w:rsid w:val="0CC04897"/>
    <w:rsid w:val="0CD12600"/>
    <w:rsid w:val="0CD520F0"/>
    <w:rsid w:val="0CD67C16"/>
    <w:rsid w:val="0CD81BE1"/>
    <w:rsid w:val="0CE445F2"/>
    <w:rsid w:val="0CEB1914"/>
    <w:rsid w:val="0CFB142B"/>
    <w:rsid w:val="0D026644"/>
    <w:rsid w:val="0D0C53E6"/>
    <w:rsid w:val="0D2210AE"/>
    <w:rsid w:val="0D3E58A5"/>
    <w:rsid w:val="0D466B4A"/>
    <w:rsid w:val="0D5154EF"/>
    <w:rsid w:val="0D611BD6"/>
    <w:rsid w:val="0D865A79"/>
    <w:rsid w:val="0D95205B"/>
    <w:rsid w:val="0D957AD2"/>
    <w:rsid w:val="0D9D0734"/>
    <w:rsid w:val="0DA90E87"/>
    <w:rsid w:val="0DB74AC1"/>
    <w:rsid w:val="0DEF71E2"/>
    <w:rsid w:val="0E0D58BA"/>
    <w:rsid w:val="0E0F1632"/>
    <w:rsid w:val="0E19425F"/>
    <w:rsid w:val="0E237412"/>
    <w:rsid w:val="0E2449B2"/>
    <w:rsid w:val="0E342E47"/>
    <w:rsid w:val="0E460DCC"/>
    <w:rsid w:val="0E653000"/>
    <w:rsid w:val="0E6D45AA"/>
    <w:rsid w:val="0E72396F"/>
    <w:rsid w:val="0E796AAB"/>
    <w:rsid w:val="0E7B2A67"/>
    <w:rsid w:val="0E7C0027"/>
    <w:rsid w:val="0E7E0566"/>
    <w:rsid w:val="0E7F6315"/>
    <w:rsid w:val="0E8D07A9"/>
    <w:rsid w:val="0EB36461"/>
    <w:rsid w:val="0EB45D35"/>
    <w:rsid w:val="0EBD108E"/>
    <w:rsid w:val="0EBD75FE"/>
    <w:rsid w:val="0ECA5559"/>
    <w:rsid w:val="0ED87C76"/>
    <w:rsid w:val="0EF600FC"/>
    <w:rsid w:val="0F1B5913"/>
    <w:rsid w:val="0F4C0664"/>
    <w:rsid w:val="0F5337A0"/>
    <w:rsid w:val="0F711E78"/>
    <w:rsid w:val="0F7E3A23"/>
    <w:rsid w:val="0F917E25"/>
    <w:rsid w:val="0F96368D"/>
    <w:rsid w:val="0F9D4A1B"/>
    <w:rsid w:val="0FA062BA"/>
    <w:rsid w:val="0FA638D0"/>
    <w:rsid w:val="0FB35FED"/>
    <w:rsid w:val="0FD33C3D"/>
    <w:rsid w:val="0FE8213B"/>
    <w:rsid w:val="0FF52AA9"/>
    <w:rsid w:val="0FF860F6"/>
    <w:rsid w:val="0FF94348"/>
    <w:rsid w:val="0FFF1232"/>
    <w:rsid w:val="10047D52"/>
    <w:rsid w:val="10086339"/>
    <w:rsid w:val="10150A56"/>
    <w:rsid w:val="10240C99"/>
    <w:rsid w:val="102723E9"/>
    <w:rsid w:val="102B566C"/>
    <w:rsid w:val="1033679C"/>
    <w:rsid w:val="104841C5"/>
    <w:rsid w:val="107439CE"/>
    <w:rsid w:val="10861954"/>
    <w:rsid w:val="1090632E"/>
    <w:rsid w:val="10A92DD3"/>
    <w:rsid w:val="10AE228C"/>
    <w:rsid w:val="10BD54A5"/>
    <w:rsid w:val="10C55FD8"/>
    <w:rsid w:val="10F845FF"/>
    <w:rsid w:val="1103023A"/>
    <w:rsid w:val="11036B00"/>
    <w:rsid w:val="11082369"/>
    <w:rsid w:val="11357D2A"/>
    <w:rsid w:val="113849FC"/>
    <w:rsid w:val="113A4C18"/>
    <w:rsid w:val="113C31C6"/>
    <w:rsid w:val="11421E5E"/>
    <w:rsid w:val="11422FE1"/>
    <w:rsid w:val="116E48C1"/>
    <w:rsid w:val="11845E93"/>
    <w:rsid w:val="11867E5D"/>
    <w:rsid w:val="11877731"/>
    <w:rsid w:val="11967974"/>
    <w:rsid w:val="11A2456B"/>
    <w:rsid w:val="11AE09E6"/>
    <w:rsid w:val="11AE5258"/>
    <w:rsid w:val="11DF30C9"/>
    <w:rsid w:val="11FA6155"/>
    <w:rsid w:val="12130FC5"/>
    <w:rsid w:val="121C60CC"/>
    <w:rsid w:val="1222745A"/>
    <w:rsid w:val="12341A6A"/>
    <w:rsid w:val="12371157"/>
    <w:rsid w:val="127001C5"/>
    <w:rsid w:val="127759F8"/>
    <w:rsid w:val="127A0C92"/>
    <w:rsid w:val="127F48AC"/>
    <w:rsid w:val="128819B3"/>
    <w:rsid w:val="128F2D41"/>
    <w:rsid w:val="12942106"/>
    <w:rsid w:val="129E4D32"/>
    <w:rsid w:val="12A548F1"/>
    <w:rsid w:val="12B91B6C"/>
    <w:rsid w:val="12BA7692"/>
    <w:rsid w:val="12EF558E"/>
    <w:rsid w:val="12F9640D"/>
    <w:rsid w:val="13021765"/>
    <w:rsid w:val="13037AFF"/>
    <w:rsid w:val="132A4818"/>
    <w:rsid w:val="13456351"/>
    <w:rsid w:val="134C0C32"/>
    <w:rsid w:val="13541895"/>
    <w:rsid w:val="135D4BEE"/>
    <w:rsid w:val="137B79E1"/>
    <w:rsid w:val="13833F28"/>
    <w:rsid w:val="13D64F42"/>
    <w:rsid w:val="13E7095B"/>
    <w:rsid w:val="13E83E5F"/>
    <w:rsid w:val="14065285"/>
    <w:rsid w:val="144731A8"/>
    <w:rsid w:val="14717C9A"/>
    <w:rsid w:val="147F2942"/>
    <w:rsid w:val="14991C55"/>
    <w:rsid w:val="14AF7789"/>
    <w:rsid w:val="14D50D33"/>
    <w:rsid w:val="14DA401C"/>
    <w:rsid w:val="14EA0703"/>
    <w:rsid w:val="14EF1875"/>
    <w:rsid w:val="151E65FF"/>
    <w:rsid w:val="1537321C"/>
    <w:rsid w:val="154020D1"/>
    <w:rsid w:val="157B7F4A"/>
    <w:rsid w:val="1585042C"/>
    <w:rsid w:val="15A840F3"/>
    <w:rsid w:val="15AE1730"/>
    <w:rsid w:val="15B11221"/>
    <w:rsid w:val="15E37F2A"/>
    <w:rsid w:val="15FB249C"/>
    <w:rsid w:val="15FF3D3A"/>
    <w:rsid w:val="161A0B74"/>
    <w:rsid w:val="16383AE2"/>
    <w:rsid w:val="16565924"/>
    <w:rsid w:val="16571DC8"/>
    <w:rsid w:val="16646293"/>
    <w:rsid w:val="16685D83"/>
    <w:rsid w:val="167C182F"/>
    <w:rsid w:val="167C538B"/>
    <w:rsid w:val="167D1103"/>
    <w:rsid w:val="167D2FDD"/>
    <w:rsid w:val="168D57EA"/>
    <w:rsid w:val="16AE5760"/>
    <w:rsid w:val="16AE750E"/>
    <w:rsid w:val="16AF2A39"/>
    <w:rsid w:val="16B40FC8"/>
    <w:rsid w:val="16BC1C2B"/>
    <w:rsid w:val="16BD0A63"/>
    <w:rsid w:val="16C46D32"/>
    <w:rsid w:val="16E3540A"/>
    <w:rsid w:val="16E442B3"/>
    <w:rsid w:val="1711641B"/>
    <w:rsid w:val="1719707D"/>
    <w:rsid w:val="17215F32"/>
    <w:rsid w:val="172872C1"/>
    <w:rsid w:val="17457E73"/>
    <w:rsid w:val="174F6F43"/>
    <w:rsid w:val="175814CF"/>
    <w:rsid w:val="176821F4"/>
    <w:rsid w:val="177E1C86"/>
    <w:rsid w:val="17944956"/>
    <w:rsid w:val="179B7A92"/>
    <w:rsid w:val="17AC68A6"/>
    <w:rsid w:val="17AD77C6"/>
    <w:rsid w:val="17B62B1E"/>
    <w:rsid w:val="17CB7119"/>
    <w:rsid w:val="17DB67AF"/>
    <w:rsid w:val="18041ADC"/>
    <w:rsid w:val="18495740"/>
    <w:rsid w:val="185A794E"/>
    <w:rsid w:val="18891474"/>
    <w:rsid w:val="188E6B63"/>
    <w:rsid w:val="188F0B1E"/>
    <w:rsid w:val="18975ADC"/>
    <w:rsid w:val="18C272A1"/>
    <w:rsid w:val="18D314AE"/>
    <w:rsid w:val="18DA283C"/>
    <w:rsid w:val="18F90F15"/>
    <w:rsid w:val="192D6E10"/>
    <w:rsid w:val="19373862"/>
    <w:rsid w:val="193D1CBA"/>
    <w:rsid w:val="19520625"/>
    <w:rsid w:val="19526877"/>
    <w:rsid w:val="196547FC"/>
    <w:rsid w:val="19843644"/>
    <w:rsid w:val="19856C4C"/>
    <w:rsid w:val="199665EC"/>
    <w:rsid w:val="199C7AF2"/>
    <w:rsid w:val="19CC03D7"/>
    <w:rsid w:val="19D2300F"/>
    <w:rsid w:val="19E80F89"/>
    <w:rsid w:val="19EC5173"/>
    <w:rsid w:val="19F872A0"/>
    <w:rsid w:val="1A042476"/>
    <w:rsid w:val="1A352420"/>
    <w:rsid w:val="1A377809"/>
    <w:rsid w:val="1A452ACF"/>
    <w:rsid w:val="1A4A3CBA"/>
    <w:rsid w:val="1A512FD2"/>
    <w:rsid w:val="1A5D54D3"/>
    <w:rsid w:val="1ADA2FC8"/>
    <w:rsid w:val="1AE259D8"/>
    <w:rsid w:val="1AE35507"/>
    <w:rsid w:val="1AEB2ADF"/>
    <w:rsid w:val="1AF04599"/>
    <w:rsid w:val="1AFC1190"/>
    <w:rsid w:val="1B2129A5"/>
    <w:rsid w:val="1B3B1964"/>
    <w:rsid w:val="1B3E3557"/>
    <w:rsid w:val="1B5E7755"/>
    <w:rsid w:val="1B636B19"/>
    <w:rsid w:val="1B6805D3"/>
    <w:rsid w:val="1B7E1468"/>
    <w:rsid w:val="1B825739"/>
    <w:rsid w:val="1B83540D"/>
    <w:rsid w:val="1BA62EAA"/>
    <w:rsid w:val="1BC17CE4"/>
    <w:rsid w:val="1BCC0B62"/>
    <w:rsid w:val="1BDC6FB8"/>
    <w:rsid w:val="1BDD4B1E"/>
    <w:rsid w:val="1BE35EAC"/>
    <w:rsid w:val="1BE718C7"/>
    <w:rsid w:val="1BF43C15"/>
    <w:rsid w:val="1C146065"/>
    <w:rsid w:val="1C1B73F4"/>
    <w:rsid w:val="1C2F10F1"/>
    <w:rsid w:val="1C3B1844"/>
    <w:rsid w:val="1C406E5A"/>
    <w:rsid w:val="1C495921"/>
    <w:rsid w:val="1C542906"/>
    <w:rsid w:val="1C744D56"/>
    <w:rsid w:val="1C7A6810"/>
    <w:rsid w:val="1C7B7E93"/>
    <w:rsid w:val="1C7D1E5D"/>
    <w:rsid w:val="1C8036FB"/>
    <w:rsid w:val="1C91765D"/>
    <w:rsid w:val="1C9C6787"/>
    <w:rsid w:val="1C9D289F"/>
    <w:rsid w:val="1CD770EC"/>
    <w:rsid w:val="1CE43C8A"/>
    <w:rsid w:val="1CFC09BB"/>
    <w:rsid w:val="1D183933"/>
    <w:rsid w:val="1D210A3A"/>
    <w:rsid w:val="1D3764AF"/>
    <w:rsid w:val="1D4F5570"/>
    <w:rsid w:val="1D5E1C8E"/>
    <w:rsid w:val="1D61177E"/>
    <w:rsid w:val="1D7E7C3A"/>
    <w:rsid w:val="1D8D4321"/>
    <w:rsid w:val="1D9C27B6"/>
    <w:rsid w:val="1DA35CDF"/>
    <w:rsid w:val="1DAA4ED3"/>
    <w:rsid w:val="1DC615E1"/>
    <w:rsid w:val="1DC835AB"/>
    <w:rsid w:val="1DCA7323"/>
    <w:rsid w:val="1DFD14A7"/>
    <w:rsid w:val="1E037E3E"/>
    <w:rsid w:val="1E242D4E"/>
    <w:rsid w:val="1E2F7187"/>
    <w:rsid w:val="1E340C41"/>
    <w:rsid w:val="1E401394"/>
    <w:rsid w:val="1E403BB4"/>
    <w:rsid w:val="1E435EE1"/>
    <w:rsid w:val="1E4A2212"/>
    <w:rsid w:val="1E6908EA"/>
    <w:rsid w:val="1E6934D0"/>
    <w:rsid w:val="1E766B63"/>
    <w:rsid w:val="1E786D7F"/>
    <w:rsid w:val="1E8A6AB3"/>
    <w:rsid w:val="1E8F7C25"/>
    <w:rsid w:val="1E9B2A6E"/>
    <w:rsid w:val="1EAF02C7"/>
    <w:rsid w:val="1EBA1146"/>
    <w:rsid w:val="1EC73863"/>
    <w:rsid w:val="1ED46823"/>
    <w:rsid w:val="1EDB24C3"/>
    <w:rsid w:val="1EDF295B"/>
    <w:rsid w:val="1F046865"/>
    <w:rsid w:val="1F1D16D5"/>
    <w:rsid w:val="1F204D21"/>
    <w:rsid w:val="1F2760B0"/>
    <w:rsid w:val="1F460C2C"/>
    <w:rsid w:val="1F471D3D"/>
    <w:rsid w:val="1F525822"/>
    <w:rsid w:val="1F58270D"/>
    <w:rsid w:val="1F5F1CED"/>
    <w:rsid w:val="1F692180"/>
    <w:rsid w:val="1F707A57"/>
    <w:rsid w:val="1F7237CF"/>
    <w:rsid w:val="1F770DE5"/>
    <w:rsid w:val="1F833C2E"/>
    <w:rsid w:val="1F890B18"/>
    <w:rsid w:val="1F8D0609"/>
    <w:rsid w:val="1FB82BC8"/>
    <w:rsid w:val="1FCA53B9"/>
    <w:rsid w:val="1FD47FE6"/>
    <w:rsid w:val="1FE31481"/>
    <w:rsid w:val="1FE917AE"/>
    <w:rsid w:val="1FF16DE9"/>
    <w:rsid w:val="1FF468DA"/>
    <w:rsid w:val="200F54C2"/>
    <w:rsid w:val="201B5C14"/>
    <w:rsid w:val="20254CE5"/>
    <w:rsid w:val="2039253E"/>
    <w:rsid w:val="203B0BFB"/>
    <w:rsid w:val="204A02A8"/>
    <w:rsid w:val="2059498F"/>
    <w:rsid w:val="20690166"/>
    <w:rsid w:val="20803CC9"/>
    <w:rsid w:val="209239FD"/>
    <w:rsid w:val="20CC482F"/>
    <w:rsid w:val="20E45483"/>
    <w:rsid w:val="20E97AC1"/>
    <w:rsid w:val="20EA2A65"/>
    <w:rsid w:val="20EF2BFD"/>
    <w:rsid w:val="20FD7526"/>
    <w:rsid w:val="210112AE"/>
    <w:rsid w:val="21354AB4"/>
    <w:rsid w:val="214E2A84"/>
    <w:rsid w:val="21556257"/>
    <w:rsid w:val="215F4227"/>
    <w:rsid w:val="217F6677"/>
    <w:rsid w:val="21817CF9"/>
    <w:rsid w:val="21884BA0"/>
    <w:rsid w:val="219519F6"/>
    <w:rsid w:val="2197576F"/>
    <w:rsid w:val="219B1B95"/>
    <w:rsid w:val="21A65762"/>
    <w:rsid w:val="21BA145D"/>
    <w:rsid w:val="21BF6A73"/>
    <w:rsid w:val="21C30312"/>
    <w:rsid w:val="21DE15EF"/>
    <w:rsid w:val="21ED1832"/>
    <w:rsid w:val="21ED5205"/>
    <w:rsid w:val="21F26E49"/>
    <w:rsid w:val="21F7445F"/>
    <w:rsid w:val="220151E4"/>
    <w:rsid w:val="22032E04"/>
    <w:rsid w:val="2217240B"/>
    <w:rsid w:val="22196184"/>
    <w:rsid w:val="222039B6"/>
    <w:rsid w:val="222B5EB7"/>
    <w:rsid w:val="2237485C"/>
    <w:rsid w:val="223E3E3C"/>
    <w:rsid w:val="224B716E"/>
    <w:rsid w:val="227635D6"/>
    <w:rsid w:val="22794E74"/>
    <w:rsid w:val="22853819"/>
    <w:rsid w:val="228D26CE"/>
    <w:rsid w:val="22B82A5D"/>
    <w:rsid w:val="22BB723B"/>
    <w:rsid w:val="22C87E24"/>
    <w:rsid w:val="22C95DFC"/>
    <w:rsid w:val="22EC5F17"/>
    <w:rsid w:val="22EE06E2"/>
    <w:rsid w:val="22F015DA"/>
    <w:rsid w:val="22F8223D"/>
    <w:rsid w:val="22F84FC6"/>
    <w:rsid w:val="22FD3CF7"/>
    <w:rsid w:val="230230BC"/>
    <w:rsid w:val="230A01C2"/>
    <w:rsid w:val="23243032"/>
    <w:rsid w:val="235A0EEE"/>
    <w:rsid w:val="235C6C70"/>
    <w:rsid w:val="23614286"/>
    <w:rsid w:val="23712585"/>
    <w:rsid w:val="23C93BD9"/>
    <w:rsid w:val="242B03F0"/>
    <w:rsid w:val="243472A5"/>
    <w:rsid w:val="2440076D"/>
    <w:rsid w:val="249E6E14"/>
    <w:rsid w:val="24A563F4"/>
    <w:rsid w:val="24B228BF"/>
    <w:rsid w:val="24C22B02"/>
    <w:rsid w:val="24D171E9"/>
    <w:rsid w:val="24EF141E"/>
    <w:rsid w:val="25034EC9"/>
    <w:rsid w:val="250C0222"/>
    <w:rsid w:val="25461985"/>
    <w:rsid w:val="25586D6C"/>
    <w:rsid w:val="256516E0"/>
    <w:rsid w:val="256B319A"/>
    <w:rsid w:val="25781413"/>
    <w:rsid w:val="257858B7"/>
    <w:rsid w:val="258B383C"/>
    <w:rsid w:val="259455FA"/>
    <w:rsid w:val="259F4BF2"/>
    <w:rsid w:val="25A246E2"/>
    <w:rsid w:val="25AD5EB4"/>
    <w:rsid w:val="25B662E5"/>
    <w:rsid w:val="25BF5294"/>
    <w:rsid w:val="25C2759F"/>
    <w:rsid w:val="25C63DCF"/>
    <w:rsid w:val="25C74149"/>
    <w:rsid w:val="25DE267C"/>
    <w:rsid w:val="25E46AA9"/>
    <w:rsid w:val="25E66CC5"/>
    <w:rsid w:val="25FA62CC"/>
    <w:rsid w:val="26143832"/>
    <w:rsid w:val="26207C3D"/>
    <w:rsid w:val="262275D1"/>
    <w:rsid w:val="26325A66"/>
    <w:rsid w:val="263712CE"/>
    <w:rsid w:val="26456C5F"/>
    <w:rsid w:val="264D6D44"/>
    <w:rsid w:val="26635DE5"/>
    <w:rsid w:val="26977FBF"/>
    <w:rsid w:val="26AF355A"/>
    <w:rsid w:val="26B50445"/>
    <w:rsid w:val="26B54405"/>
    <w:rsid w:val="26B835BD"/>
    <w:rsid w:val="26BC17D3"/>
    <w:rsid w:val="26DC11F6"/>
    <w:rsid w:val="26E256DE"/>
    <w:rsid w:val="26EC191F"/>
    <w:rsid w:val="26F251F5"/>
    <w:rsid w:val="270C62B7"/>
    <w:rsid w:val="274730B4"/>
    <w:rsid w:val="27473793"/>
    <w:rsid w:val="27677991"/>
    <w:rsid w:val="27802801"/>
    <w:rsid w:val="27802D01"/>
    <w:rsid w:val="278A123C"/>
    <w:rsid w:val="27963D10"/>
    <w:rsid w:val="279F537D"/>
    <w:rsid w:val="27DF5779"/>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50131"/>
    <w:rsid w:val="285A5748"/>
    <w:rsid w:val="28642123"/>
    <w:rsid w:val="28757E8C"/>
    <w:rsid w:val="287E4F92"/>
    <w:rsid w:val="28B07116"/>
    <w:rsid w:val="28B9421C"/>
    <w:rsid w:val="28CB21A2"/>
    <w:rsid w:val="28CC2935"/>
    <w:rsid w:val="28E62B38"/>
    <w:rsid w:val="28E868B0"/>
    <w:rsid w:val="28F25980"/>
    <w:rsid w:val="28F96D0F"/>
    <w:rsid w:val="290673F2"/>
    <w:rsid w:val="290B7A2E"/>
    <w:rsid w:val="2944442E"/>
    <w:rsid w:val="29493E9D"/>
    <w:rsid w:val="294E7713"/>
    <w:rsid w:val="29606D8E"/>
    <w:rsid w:val="29622B06"/>
    <w:rsid w:val="2964062C"/>
    <w:rsid w:val="29787C34"/>
    <w:rsid w:val="298131E9"/>
    <w:rsid w:val="298760C9"/>
    <w:rsid w:val="29927747"/>
    <w:rsid w:val="29AE7AF9"/>
    <w:rsid w:val="29C54E43"/>
    <w:rsid w:val="29C9048F"/>
    <w:rsid w:val="29CB06AB"/>
    <w:rsid w:val="29DE4538"/>
    <w:rsid w:val="29EF7E64"/>
    <w:rsid w:val="29FA689B"/>
    <w:rsid w:val="2A007C29"/>
    <w:rsid w:val="2A0108B7"/>
    <w:rsid w:val="2A04596B"/>
    <w:rsid w:val="2A133E00"/>
    <w:rsid w:val="2A1536D4"/>
    <w:rsid w:val="2A1A0CEB"/>
    <w:rsid w:val="2A202079"/>
    <w:rsid w:val="2A2E4796"/>
    <w:rsid w:val="2A500BB0"/>
    <w:rsid w:val="2A506E02"/>
    <w:rsid w:val="2A5C57A7"/>
    <w:rsid w:val="2A6B3832"/>
    <w:rsid w:val="2A88659C"/>
    <w:rsid w:val="2A906CB5"/>
    <w:rsid w:val="2A954815"/>
    <w:rsid w:val="2ABE1FBE"/>
    <w:rsid w:val="2AD0584D"/>
    <w:rsid w:val="2AEE4B12"/>
    <w:rsid w:val="2AFE685E"/>
    <w:rsid w:val="2B057BED"/>
    <w:rsid w:val="2B060A50"/>
    <w:rsid w:val="2B0A5203"/>
    <w:rsid w:val="2B116592"/>
    <w:rsid w:val="2B193698"/>
    <w:rsid w:val="2B1C4F36"/>
    <w:rsid w:val="2B2160A9"/>
    <w:rsid w:val="2B400C25"/>
    <w:rsid w:val="2B4714A0"/>
    <w:rsid w:val="2B471FB3"/>
    <w:rsid w:val="2B606BD1"/>
    <w:rsid w:val="2B612949"/>
    <w:rsid w:val="2B6C5576"/>
    <w:rsid w:val="2B717030"/>
    <w:rsid w:val="2B74267D"/>
    <w:rsid w:val="2B762899"/>
    <w:rsid w:val="2B7663F5"/>
    <w:rsid w:val="2B7E52A9"/>
    <w:rsid w:val="2BA50A88"/>
    <w:rsid w:val="2BAA2542"/>
    <w:rsid w:val="2BB60EE7"/>
    <w:rsid w:val="2BCA4992"/>
    <w:rsid w:val="2BE035C8"/>
    <w:rsid w:val="2BF24188"/>
    <w:rsid w:val="2BF65788"/>
    <w:rsid w:val="2BFD08C4"/>
    <w:rsid w:val="2C235EB7"/>
    <w:rsid w:val="2C2B5431"/>
    <w:rsid w:val="2C610E53"/>
    <w:rsid w:val="2C6646BB"/>
    <w:rsid w:val="2C876684"/>
    <w:rsid w:val="2C9C1E8B"/>
    <w:rsid w:val="2C9F3729"/>
    <w:rsid w:val="2CAF267A"/>
    <w:rsid w:val="2CBE197F"/>
    <w:rsid w:val="2CCB6C14"/>
    <w:rsid w:val="2CE51A84"/>
    <w:rsid w:val="2CE90E48"/>
    <w:rsid w:val="2CED0939"/>
    <w:rsid w:val="2CF27CFD"/>
    <w:rsid w:val="2CF577ED"/>
    <w:rsid w:val="2CFA3055"/>
    <w:rsid w:val="2D012636"/>
    <w:rsid w:val="2D016C6B"/>
    <w:rsid w:val="2D0D2D89"/>
    <w:rsid w:val="2D2B1461"/>
    <w:rsid w:val="2D2D1B91"/>
    <w:rsid w:val="2D5B7F98"/>
    <w:rsid w:val="2D6A6CF3"/>
    <w:rsid w:val="2D746964"/>
    <w:rsid w:val="2D8D7A26"/>
    <w:rsid w:val="2DB54D1A"/>
    <w:rsid w:val="2DB9081B"/>
    <w:rsid w:val="2DCE2518"/>
    <w:rsid w:val="2DD218DC"/>
    <w:rsid w:val="2DDB69E3"/>
    <w:rsid w:val="2DE735DA"/>
    <w:rsid w:val="2DEF7457"/>
    <w:rsid w:val="2DFD104F"/>
    <w:rsid w:val="2E093AD9"/>
    <w:rsid w:val="2E0A0E72"/>
    <w:rsid w:val="2E112405"/>
    <w:rsid w:val="2E426A62"/>
    <w:rsid w:val="2E4637EF"/>
    <w:rsid w:val="2E4E18AB"/>
    <w:rsid w:val="2E503DB4"/>
    <w:rsid w:val="2E6B420B"/>
    <w:rsid w:val="2E6C48D9"/>
    <w:rsid w:val="2E7035CF"/>
    <w:rsid w:val="2E7D3F3E"/>
    <w:rsid w:val="2E864BA1"/>
    <w:rsid w:val="2E8F4F19"/>
    <w:rsid w:val="2E9279E9"/>
    <w:rsid w:val="2EA63495"/>
    <w:rsid w:val="2EB57234"/>
    <w:rsid w:val="2EC8340B"/>
    <w:rsid w:val="2ED303B5"/>
    <w:rsid w:val="2EF017C2"/>
    <w:rsid w:val="2EF35FAE"/>
    <w:rsid w:val="2EF91817"/>
    <w:rsid w:val="2EFA6A37"/>
    <w:rsid w:val="2F167CA6"/>
    <w:rsid w:val="2F25260C"/>
    <w:rsid w:val="2F452CAE"/>
    <w:rsid w:val="2F4A3E20"/>
    <w:rsid w:val="2F5D70AC"/>
    <w:rsid w:val="2F6824F8"/>
    <w:rsid w:val="2F8A246F"/>
    <w:rsid w:val="2F8B61E7"/>
    <w:rsid w:val="2F904855"/>
    <w:rsid w:val="2F947791"/>
    <w:rsid w:val="2FA33530"/>
    <w:rsid w:val="2FA36C75"/>
    <w:rsid w:val="2FB83480"/>
    <w:rsid w:val="2FBE036A"/>
    <w:rsid w:val="2FEA6CF6"/>
    <w:rsid w:val="2FFA41B9"/>
    <w:rsid w:val="301D6DE7"/>
    <w:rsid w:val="302428C3"/>
    <w:rsid w:val="30297EDA"/>
    <w:rsid w:val="303074BA"/>
    <w:rsid w:val="304E08DD"/>
    <w:rsid w:val="30601421"/>
    <w:rsid w:val="3062519A"/>
    <w:rsid w:val="306929CC"/>
    <w:rsid w:val="30696528"/>
    <w:rsid w:val="306B405E"/>
    <w:rsid w:val="30832D34"/>
    <w:rsid w:val="308C4B30"/>
    <w:rsid w:val="309612E7"/>
    <w:rsid w:val="30C714A1"/>
    <w:rsid w:val="30D53BBD"/>
    <w:rsid w:val="30EB33E1"/>
    <w:rsid w:val="30F5600E"/>
    <w:rsid w:val="30FC114A"/>
    <w:rsid w:val="31012C04"/>
    <w:rsid w:val="310E0E7D"/>
    <w:rsid w:val="31104BF6"/>
    <w:rsid w:val="314A68DF"/>
    <w:rsid w:val="317A6D88"/>
    <w:rsid w:val="317F1D7B"/>
    <w:rsid w:val="318B0720"/>
    <w:rsid w:val="319E66A5"/>
    <w:rsid w:val="31A737AC"/>
    <w:rsid w:val="31A87524"/>
    <w:rsid w:val="31B00187"/>
    <w:rsid w:val="31D200FD"/>
    <w:rsid w:val="31DB3455"/>
    <w:rsid w:val="31DE4CF4"/>
    <w:rsid w:val="31E55E87"/>
    <w:rsid w:val="31E56082"/>
    <w:rsid w:val="31E64732"/>
    <w:rsid w:val="31F84559"/>
    <w:rsid w:val="3207249C"/>
    <w:rsid w:val="320F4D4B"/>
    <w:rsid w:val="32140715"/>
    <w:rsid w:val="3223427F"/>
    <w:rsid w:val="3236068C"/>
    <w:rsid w:val="324059AE"/>
    <w:rsid w:val="326351F9"/>
    <w:rsid w:val="32766A06"/>
    <w:rsid w:val="327D078A"/>
    <w:rsid w:val="328C4750"/>
    <w:rsid w:val="32933D30"/>
    <w:rsid w:val="32A7158A"/>
    <w:rsid w:val="32B31CDC"/>
    <w:rsid w:val="32C75788"/>
    <w:rsid w:val="32E165BD"/>
    <w:rsid w:val="32FA3DAF"/>
    <w:rsid w:val="330469DC"/>
    <w:rsid w:val="33225BA6"/>
    <w:rsid w:val="33244988"/>
    <w:rsid w:val="33274478"/>
    <w:rsid w:val="332B3F69"/>
    <w:rsid w:val="334A3443"/>
    <w:rsid w:val="334F40FB"/>
    <w:rsid w:val="3353526D"/>
    <w:rsid w:val="33641229"/>
    <w:rsid w:val="338673F1"/>
    <w:rsid w:val="339964E5"/>
    <w:rsid w:val="339D48A3"/>
    <w:rsid w:val="33AC3A1C"/>
    <w:rsid w:val="33C74846"/>
    <w:rsid w:val="33CF6FEA"/>
    <w:rsid w:val="33F64577"/>
    <w:rsid w:val="34056568"/>
    <w:rsid w:val="34296B28"/>
    <w:rsid w:val="343E7CCC"/>
    <w:rsid w:val="34525525"/>
    <w:rsid w:val="346040E6"/>
    <w:rsid w:val="34A0589E"/>
    <w:rsid w:val="34A67F96"/>
    <w:rsid w:val="34A9783B"/>
    <w:rsid w:val="34B0508B"/>
    <w:rsid w:val="34CE1050"/>
    <w:rsid w:val="34DF440A"/>
    <w:rsid w:val="350A581B"/>
    <w:rsid w:val="352E7D40"/>
    <w:rsid w:val="35426A60"/>
    <w:rsid w:val="35586B6B"/>
    <w:rsid w:val="355E7319"/>
    <w:rsid w:val="35690D78"/>
    <w:rsid w:val="358D36CE"/>
    <w:rsid w:val="3598340C"/>
    <w:rsid w:val="35A10512"/>
    <w:rsid w:val="35CE6E2D"/>
    <w:rsid w:val="35DB7EC8"/>
    <w:rsid w:val="35EE2046"/>
    <w:rsid w:val="35F41640"/>
    <w:rsid w:val="361A6E50"/>
    <w:rsid w:val="362A0508"/>
    <w:rsid w:val="363425B1"/>
    <w:rsid w:val="363967AA"/>
    <w:rsid w:val="36415851"/>
    <w:rsid w:val="36460158"/>
    <w:rsid w:val="365672CA"/>
    <w:rsid w:val="36603F29"/>
    <w:rsid w:val="36745C27"/>
    <w:rsid w:val="36851BE2"/>
    <w:rsid w:val="368A0116"/>
    <w:rsid w:val="368E4F3A"/>
    <w:rsid w:val="369116D0"/>
    <w:rsid w:val="36941E25"/>
    <w:rsid w:val="36965B9D"/>
    <w:rsid w:val="369F7E9A"/>
    <w:rsid w:val="36A4650C"/>
    <w:rsid w:val="36CC15BF"/>
    <w:rsid w:val="36EF34FF"/>
    <w:rsid w:val="370C4F32"/>
    <w:rsid w:val="370E607B"/>
    <w:rsid w:val="372907BF"/>
    <w:rsid w:val="37294C63"/>
    <w:rsid w:val="37353608"/>
    <w:rsid w:val="374D6BA3"/>
    <w:rsid w:val="37500442"/>
    <w:rsid w:val="375A6BCB"/>
    <w:rsid w:val="377A726D"/>
    <w:rsid w:val="377E4FAF"/>
    <w:rsid w:val="37971BCD"/>
    <w:rsid w:val="379E7080"/>
    <w:rsid w:val="37A75B88"/>
    <w:rsid w:val="37BA3B0D"/>
    <w:rsid w:val="37D921E5"/>
    <w:rsid w:val="37DF5322"/>
    <w:rsid w:val="37F51788"/>
    <w:rsid w:val="37F92887"/>
    <w:rsid w:val="37FC2378"/>
    <w:rsid w:val="380C2A2C"/>
    <w:rsid w:val="384B3FA8"/>
    <w:rsid w:val="3854528C"/>
    <w:rsid w:val="38547ABE"/>
    <w:rsid w:val="38565141"/>
    <w:rsid w:val="388D6641"/>
    <w:rsid w:val="38B41380"/>
    <w:rsid w:val="38B95B73"/>
    <w:rsid w:val="38C22C79"/>
    <w:rsid w:val="38C77A8E"/>
    <w:rsid w:val="38CF183A"/>
    <w:rsid w:val="38E30E42"/>
    <w:rsid w:val="38E57239"/>
    <w:rsid w:val="38EF5A38"/>
    <w:rsid w:val="38F31085"/>
    <w:rsid w:val="39036257"/>
    <w:rsid w:val="390F1199"/>
    <w:rsid w:val="39367F12"/>
    <w:rsid w:val="393D0552"/>
    <w:rsid w:val="394538AA"/>
    <w:rsid w:val="394D5E49"/>
    <w:rsid w:val="39553AED"/>
    <w:rsid w:val="398F2E12"/>
    <w:rsid w:val="399531A9"/>
    <w:rsid w:val="39993E51"/>
    <w:rsid w:val="39A10631"/>
    <w:rsid w:val="39AD02F7"/>
    <w:rsid w:val="39B5458C"/>
    <w:rsid w:val="39B60304"/>
    <w:rsid w:val="39DA2245"/>
    <w:rsid w:val="39DA3FF3"/>
    <w:rsid w:val="39DF3CFF"/>
    <w:rsid w:val="39E81075"/>
    <w:rsid w:val="39EB5714"/>
    <w:rsid w:val="39F71049"/>
    <w:rsid w:val="39F96B6F"/>
    <w:rsid w:val="39FE77BF"/>
    <w:rsid w:val="3A013C75"/>
    <w:rsid w:val="3A0472C2"/>
    <w:rsid w:val="3A073743"/>
    <w:rsid w:val="3A12378C"/>
    <w:rsid w:val="3A2B6F44"/>
    <w:rsid w:val="3A361B71"/>
    <w:rsid w:val="3A456E52"/>
    <w:rsid w:val="3A5A5133"/>
    <w:rsid w:val="3A631110"/>
    <w:rsid w:val="3A830B2E"/>
    <w:rsid w:val="3ABA2F86"/>
    <w:rsid w:val="3AC70A1B"/>
    <w:rsid w:val="3AEA64B7"/>
    <w:rsid w:val="3AF92B9E"/>
    <w:rsid w:val="3AFA0DF0"/>
    <w:rsid w:val="3B097226"/>
    <w:rsid w:val="3B111C96"/>
    <w:rsid w:val="3B194FEF"/>
    <w:rsid w:val="3B236ECD"/>
    <w:rsid w:val="3B497682"/>
    <w:rsid w:val="3B5F6EA5"/>
    <w:rsid w:val="3B6E70E8"/>
    <w:rsid w:val="3B765F9D"/>
    <w:rsid w:val="3B7F30A4"/>
    <w:rsid w:val="3B8561E0"/>
    <w:rsid w:val="3B8B1A48"/>
    <w:rsid w:val="3BB07701"/>
    <w:rsid w:val="3BB2349B"/>
    <w:rsid w:val="3BB54D17"/>
    <w:rsid w:val="3BBF7944"/>
    <w:rsid w:val="3BC61B14"/>
    <w:rsid w:val="3BC82C9D"/>
    <w:rsid w:val="3BC9431F"/>
    <w:rsid w:val="3BE92C13"/>
    <w:rsid w:val="3BF375EE"/>
    <w:rsid w:val="3C011D0B"/>
    <w:rsid w:val="3C0D4B53"/>
    <w:rsid w:val="3C0E2679"/>
    <w:rsid w:val="3C2105FF"/>
    <w:rsid w:val="3C2D2B00"/>
    <w:rsid w:val="3C327091"/>
    <w:rsid w:val="3C372D23"/>
    <w:rsid w:val="3C447E49"/>
    <w:rsid w:val="3C494757"/>
    <w:rsid w:val="3C4B11D8"/>
    <w:rsid w:val="3C4B380F"/>
    <w:rsid w:val="3C4F6F1A"/>
    <w:rsid w:val="3C5A766D"/>
    <w:rsid w:val="3C720E5A"/>
    <w:rsid w:val="3C897325"/>
    <w:rsid w:val="3C8B3CCA"/>
    <w:rsid w:val="3CA408E8"/>
    <w:rsid w:val="3CA52FDE"/>
    <w:rsid w:val="3CB94393"/>
    <w:rsid w:val="3CC14C1F"/>
    <w:rsid w:val="3CC33464"/>
    <w:rsid w:val="3CD0758C"/>
    <w:rsid w:val="3CE358B4"/>
    <w:rsid w:val="3CE55188"/>
    <w:rsid w:val="3CF56BC9"/>
    <w:rsid w:val="3D0A4BEF"/>
    <w:rsid w:val="3D0E2E48"/>
    <w:rsid w:val="3D1D0DC6"/>
    <w:rsid w:val="3D1F37E4"/>
    <w:rsid w:val="3D211F38"/>
    <w:rsid w:val="3D235CB1"/>
    <w:rsid w:val="3D346110"/>
    <w:rsid w:val="3D37175C"/>
    <w:rsid w:val="3D491BBB"/>
    <w:rsid w:val="3D4F2F4A"/>
    <w:rsid w:val="3D762284"/>
    <w:rsid w:val="3D826E7B"/>
    <w:rsid w:val="3D864BBD"/>
    <w:rsid w:val="3DDB0CD9"/>
    <w:rsid w:val="3DDD67A7"/>
    <w:rsid w:val="3DE23DBE"/>
    <w:rsid w:val="3DE90CA8"/>
    <w:rsid w:val="3E157CEF"/>
    <w:rsid w:val="3E667746"/>
    <w:rsid w:val="3E815385"/>
    <w:rsid w:val="3E885B96"/>
    <w:rsid w:val="3E952BDE"/>
    <w:rsid w:val="3EB43064"/>
    <w:rsid w:val="3EB92D70"/>
    <w:rsid w:val="3EBC22FE"/>
    <w:rsid w:val="3ECD4126"/>
    <w:rsid w:val="3EF1250A"/>
    <w:rsid w:val="3EF773F5"/>
    <w:rsid w:val="3F163D1F"/>
    <w:rsid w:val="3F406FEE"/>
    <w:rsid w:val="3F450160"/>
    <w:rsid w:val="3F473ED8"/>
    <w:rsid w:val="3F4C14EF"/>
    <w:rsid w:val="3F4D019D"/>
    <w:rsid w:val="3F5860E5"/>
    <w:rsid w:val="3F591E5E"/>
    <w:rsid w:val="3F760C61"/>
    <w:rsid w:val="3F8213B4"/>
    <w:rsid w:val="3F827606"/>
    <w:rsid w:val="3F870779"/>
    <w:rsid w:val="3F890995"/>
    <w:rsid w:val="3F8A2017"/>
    <w:rsid w:val="3F917849"/>
    <w:rsid w:val="3F9B0612"/>
    <w:rsid w:val="3F9D1D4A"/>
    <w:rsid w:val="3FA241A2"/>
    <w:rsid w:val="3FAA4467"/>
    <w:rsid w:val="3FAC01DF"/>
    <w:rsid w:val="3FD85478"/>
    <w:rsid w:val="3FE536F1"/>
    <w:rsid w:val="3FE77469"/>
    <w:rsid w:val="400761CC"/>
    <w:rsid w:val="40215D3E"/>
    <w:rsid w:val="403A57EB"/>
    <w:rsid w:val="404843AC"/>
    <w:rsid w:val="404B3E9C"/>
    <w:rsid w:val="4061546E"/>
    <w:rsid w:val="40664832"/>
    <w:rsid w:val="4079067E"/>
    <w:rsid w:val="4093139F"/>
    <w:rsid w:val="409343AF"/>
    <w:rsid w:val="409E3FCC"/>
    <w:rsid w:val="40C73F2B"/>
    <w:rsid w:val="40D75730"/>
    <w:rsid w:val="40E63BC5"/>
    <w:rsid w:val="40EB4D37"/>
    <w:rsid w:val="40EC14AB"/>
    <w:rsid w:val="40FA4F7A"/>
    <w:rsid w:val="410D2F00"/>
    <w:rsid w:val="410D73A4"/>
    <w:rsid w:val="413C37E5"/>
    <w:rsid w:val="41545805"/>
    <w:rsid w:val="415648A7"/>
    <w:rsid w:val="415A71E1"/>
    <w:rsid w:val="41630D72"/>
    <w:rsid w:val="41720259"/>
    <w:rsid w:val="418807D8"/>
    <w:rsid w:val="418F600A"/>
    <w:rsid w:val="419B675D"/>
    <w:rsid w:val="41AA69A0"/>
    <w:rsid w:val="41B15F81"/>
    <w:rsid w:val="41C31810"/>
    <w:rsid w:val="41C55588"/>
    <w:rsid w:val="41DC7318"/>
    <w:rsid w:val="41DD7C7C"/>
    <w:rsid w:val="41E225DE"/>
    <w:rsid w:val="41F8595E"/>
    <w:rsid w:val="42100EF9"/>
    <w:rsid w:val="4214206C"/>
    <w:rsid w:val="42454372"/>
    <w:rsid w:val="426179A2"/>
    <w:rsid w:val="427174BE"/>
    <w:rsid w:val="42786A9F"/>
    <w:rsid w:val="428B67D2"/>
    <w:rsid w:val="428E0070"/>
    <w:rsid w:val="4294310E"/>
    <w:rsid w:val="42943344"/>
    <w:rsid w:val="42975177"/>
    <w:rsid w:val="429A07C3"/>
    <w:rsid w:val="42C615B8"/>
    <w:rsid w:val="42D77C69"/>
    <w:rsid w:val="42DC0DDB"/>
    <w:rsid w:val="42DE0FF8"/>
    <w:rsid w:val="42E56A55"/>
    <w:rsid w:val="42FC322C"/>
    <w:rsid w:val="43193DDE"/>
    <w:rsid w:val="431C38CE"/>
    <w:rsid w:val="43372938"/>
    <w:rsid w:val="43484F88"/>
    <w:rsid w:val="434A1275"/>
    <w:rsid w:val="435C1F1C"/>
    <w:rsid w:val="437D1278"/>
    <w:rsid w:val="4387343D"/>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64BBE"/>
    <w:rsid w:val="44592422"/>
    <w:rsid w:val="44641089"/>
    <w:rsid w:val="446948F1"/>
    <w:rsid w:val="446F3961"/>
    <w:rsid w:val="44AE6D29"/>
    <w:rsid w:val="44B95F17"/>
    <w:rsid w:val="44C11AA6"/>
    <w:rsid w:val="44C75831"/>
    <w:rsid w:val="44CD7477"/>
    <w:rsid w:val="44D04970"/>
    <w:rsid w:val="44D426B2"/>
    <w:rsid w:val="44DF4BB3"/>
    <w:rsid w:val="44E346A3"/>
    <w:rsid w:val="44F3240C"/>
    <w:rsid w:val="450048CC"/>
    <w:rsid w:val="451A208F"/>
    <w:rsid w:val="452457E1"/>
    <w:rsid w:val="45350C77"/>
    <w:rsid w:val="453A628D"/>
    <w:rsid w:val="45415D40"/>
    <w:rsid w:val="45435142"/>
    <w:rsid w:val="45451DF1"/>
    <w:rsid w:val="454A4722"/>
    <w:rsid w:val="454B2248"/>
    <w:rsid w:val="45513D03"/>
    <w:rsid w:val="4554734F"/>
    <w:rsid w:val="45570447"/>
    <w:rsid w:val="45723C79"/>
    <w:rsid w:val="45967968"/>
    <w:rsid w:val="459B31D0"/>
    <w:rsid w:val="45B46417"/>
    <w:rsid w:val="45B86522"/>
    <w:rsid w:val="45DB537A"/>
    <w:rsid w:val="45DE4E6B"/>
    <w:rsid w:val="45F43872"/>
    <w:rsid w:val="46113492"/>
    <w:rsid w:val="461B3AA5"/>
    <w:rsid w:val="462C5BD6"/>
    <w:rsid w:val="462E5DF2"/>
    <w:rsid w:val="464C0026"/>
    <w:rsid w:val="46655038"/>
    <w:rsid w:val="466C06C8"/>
    <w:rsid w:val="46843C64"/>
    <w:rsid w:val="46850285"/>
    <w:rsid w:val="468B6B36"/>
    <w:rsid w:val="46955E71"/>
    <w:rsid w:val="469F45FA"/>
    <w:rsid w:val="46A240EA"/>
    <w:rsid w:val="46A460B4"/>
    <w:rsid w:val="46AF05B5"/>
    <w:rsid w:val="46C94CDE"/>
    <w:rsid w:val="46D30747"/>
    <w:rsid w:val="46E14C12"/>
    <w:rsid w:val="47017063"/>
    <w:rsid w:val="4706474A"/>
    <w:rsid w:val="470703F1"/>
    <w:rsid w:val="470D3C59"/>
    <w:rsid w:val="471B28B4"/>
    <w:rsid w:val="472E597E"/>
    <w:rsid w:val="473B0E1B"/>
    <w:rsid w:val="473F27FF"/>
    <w:rsid w:val="475E1C43"/>
    <w:rsid w:val="476017C6"/>
    <w:rsid w:val="47745A86"/>
    <w:rsid w:val="47811F51"/>
    <w:rsid w:val="47841A42"/>
    <w:rsid w:val="47863A0C"/>
    <w:rsid w:val="478E2D76"/>
    <w:rsid w:val="47916CB1"/>
    <w:rsid w:val="47A65E5C"/>
    <w:rsid w:val="47CA1B4A"/>
    <w:rsid w:val="47E67FE2"/>
    <w:rsid w:val="47F0014A"/>
    <w:rsid w:val="47F60B91"/>
    <w:rsid w:val="481903DC"/>
    <w:rsid w:val="486F26F2"/>
    <w:rsid w:val="48740AF8"/>
    <w:rsid w:val="487B247F"/>
    <w:rsid w:val="488E0DCA"/>
    <w:rsid w:val="4893008C"/>
    <w:rsid w:val="48934632"/>
    <w:rsid w:val="48B56357"/>
    <w:rsid w:val="48B955C2"/>
    <w:rsid w:val="48B9571B"/>
    <w:rsid w:val="48BA396D"/>
    <w:rsid w:val="48BB76E5"/>
    <w:rsid w:val="48C657AA"/>
    <w:rsid w:val="48F30C2D"/>
    <w:rsid w:val="490177EE"/>
    <w:rsid w:val="490D6193"/>
    <w:rsid w:val="491F7C74"/>
    <w:rsid w:val="492B090F"/>
    <w:rsid w:val="492D6240"/>
    <w:rsid w:val="49382AE4"/>
    <w:rsid w:val="49417BEA"/>
    <w:rsid w:val="494852C1"/>
    <w:rsid w:val="494E0559"/>
    <w:rsid w:val="4968786D"/>
    <w:rsid w:val="496A7A12"/>
    <w:rsid w:val="496F0BFB"/>
    <w:rsid w:val="49843F7B"/>
    <w:rsid w:val="498E0956"/>
    <w:rsid w:val="49911DC2"/>
    <w:rsid w:val="499659CF"/>
    <w:rsid w:val="499A718B"/>
    <w:rsid w:val="49B52386"/>
    <w:rsid w:val="49C202E7"/>
    <w:rsid w:val="49EC3FFA"/>
    <w:rsid w:val="49F72751"/>
    <w:rsid w:val="4A1E3C56"/>
    <w:rsid w:val="4A1E617D"/>
    <w:rsid w:val="4A2D016F"/>
    <w:rsid w:val="4A4200BE"/>
    <w:rsid w:val="4A421E6C"/>
    <w:rsid w:val="4A704B0B"/>
    <w:rsid w:val="4A730023"/>
    <w:rsid w:val="4A744C91"/>
    <w:rsid w:val="4A876DA6"/>
    <w:rsid w:val="4A8833F8"/>
    <w:rsid w:val="4A8A619F"/>
    <w:rsid w:val="4AA2290B"/>
    <w:rsid w:val="4AC05487"/>
    <w:rsid w:val="4AD46AF0"/>
    <w:rsid w:val="4ADF61DE"/>
    <w:rsid w:val="4ADF76BB"/>
    <w:rsid w:val="4B0071C8"/>
    <w:rsid w:val="4B125FF6"/>
    <w:rsid w:val="4B1B110F"/>
    <w:rsid w:val="4B3F45FD"/>
    <w:rsid w:val="4B4614E8"/>
    <w:rsid w:val="4B6C4CC7"/>
    <w:rsid w:val="4B7D0C82"/>
    <w:rsid w:val="4B8244EA"/>
    <w:rsid w:val="4B8B339F"/>
    <w:rsid w:val="4B8F7333"/>
    <w:rsid w:val="4B92472D"/>
    <w:rsid w:val="4BA17066"/>
    <w:rsid w:val="4BDA7172"/>
    <w:rsid w:val="4C0575F5"/>
    <w:rsid w:val="4C2B503E"/>
    <w:rsid w:val="4C312198"/>
    <w:rsid w:val="4C3253A4"/>
    <w:rsid w:val="4C3677AE"/>
    <w:rsid w:val="4C40062D"/>
    <w:rsid w:val="4C481290"/>
    <w:rsid w:val="4C651E42"/>
    <w:rsid w:val="4C735D9E"/>
    <w:rsid w:val="4C765DFD"/>
    <w:rsid w:val="4C787DC7"/>
    <w:rsid w:val="4C8229F4"/>
    <w:rsid w:val="4C8C3872"/>
    <w:rsid w:val="4C987D10"/>
    <w:rsid w:val="4CA94424"/>
    <w:rsid w:val="4CAA3CF8"/>
    <w:rsid w:val="4CD62D3F"/>
    <w:rsid w:val="4CE0771A"/>
    <w:rsid w:val="4D057181"/>
    <w:rsid w:val="4D331F40"/>
    <w:rsid w:val="4D3B0DF4"/>
    <w:rsid w:val="4D534390"/>
    <w:rsid w:val="4D64659D"/>
    <w:rsid w:val="4D7F6F33"/>
    <w:rsid w:val="4D9549A9"/>
    <w:rsid w:val="4D9D16E6"/>
    <w:rsid w:val="4DA76875"/>
    <w:rsid w:val="4DB017E2"/>
    <w:rsid w:val="4DB82445"/>
    <w:rsid w:val="4DB8479A"/>
    <w:rsid w:val="4DC25072"/>
    <w:rsid w:val="4DC96400"/>
    <w:rsid w:val="4DD76D6F"/>
    <w:rsid w:val="4DDC4D2C"/>
    <w:rsid w:val="4DEB281B"/>
    <w:rsid w:val="4E0D453F"/>
    <w:rsid w:val="4E10402F"/>
    <w:rsid w:val="4E121B55"/>
    <w:rsid w:val="4E1E176D"/>
    <w:rsid w:val="4E2B2C17"/>
    <w:rsid w:val="4E2D698F"/>
    <w:rsid w:val="4E505C68"/>
    <w:rsid w:val="4E573A0C"/>
    <w:rsid w:val="4E5C1022"/>
    <w:rsid w:val="4E613302"/>
    <w:rsid w:val="4E760336"/>
    <w:rsid w:val="4EAC01FC"/>
    <w:rsid w:val="4EB250E6"/>
    <w:rsid w:val="4EB33338"/>
    <w:rsid w:val="4EB946C7"/>
    <w:rsid w:val="4EBE1CDD"/>
    <w:rsid w:val="4EC05A55"/>
    <w:rsid w:val="4EC1342D"/>
    <w:rsid w:val="4ECA0682"/>
    <w:rsid w:val="4ECD0674"/>
    <w:rsid w:val="4ED60DD5"/>
    <w:rsid w:val="4EE74D90"/>
    <w:rsid w:val="4EEF633A"/>
    <w:rsid w:val="4F134939"/>
    <w:rsid w:val="4F1D6A04"/>
    <w:rsid w:val="4F2935FA"/>
    <w:rsid w:val="4F2A7373"/>
    <w:rsid w:val="4F437111"/>
    <w:rsid w:val="4F495A4B"/>
    <w:rsid w:val="4F587A3C"/>
    <w:rsid w:val="4F61204C"/>
    <w:rsid w:val="4F7A3E56"/>
    <w:rsid w:val="4F8C3B89"/>
    <w:rsid w:val="4F9547EC"/>
    <w:rsid w:val="4FCC21D8"/>
    <w:rsid w:val="4FE6773D"/>
    <w:rsid w:val="4FEB6B02"/>
    <w:rsid w:val="4FEE65F2"/>
    <w:rsid w:val="4FF27E90"/>
    <w:rsid w:val="4FF359B6"/>
    <w:rsid w:val="50106568"/>
    <w:rsid w:val="501222E0"/>
    <w:rsid w:val="501F0559"/>
    <w:rsid w:val="5023629C"/>
    <w:rsid w:val="503A5393"/>
    <w:rsid w:val="5043249A"/>
    <w:rsid w:val="504D50C7"/>
    <w:rsid w:val="505521CD"/>
    <w:rsid w:val="5060304C"/>
    <w:rsid w:val="506A211C"/>
    <w:rsid w:val="507C3BFE"/>
    <w:rsid w:val="50827466"/>
    <w:rsid w:val="50AC49D2"/>
    <w:rsid w:val="50CC248F"/>
    <w:rsid w:val="50D21A70"/>
    <w:rsid w:val="50D457E8"/>
    <w:rsid w:val="50F6750C"/>
    <w:rsid w:val="50FB4B23"/>
    <w:rsid w:val="51160A34"/>
    <w:rsid w:val="51163F32"/>
    <w:rsid w:val="51183927"/>
    <w:rsid w:val="51226553"/>
    <w:rsid w:val="51453FF0"/>
    <w:rsid w:val="516C77CE"/>
    <w:rsid w:val="5170282E"/>
    <w:rsid w:val="519A433C"/>
    <w:rsid w:val="519B0C10"/>
    <w:rsid w:val="51AE366B"/>
    <w:rsid w:val="51D71830"/>
    <w:rsid w:val="51DF0427"/>
    <w:rsid w:val="51E23F34"/>
    <w:rsid w:val="51F83758"/>
    <w:rsid w:val="520B3E30"/>
    <w:rsid w:val="520E5B76"/>
    <w:rsid w:val="5246001F"/>
    <w:rsid w:val="528C10A0"/>
    <w:rsid w:val="52972F71"/>
    <w:rsid w:val="52B0193D"/>
    <w:rsid w:val="52BC29D7"/>
    <w:rsid w:val="52C8312A"/>
    <w:rsid w:val="52DD4E28"/>
    <w:rsid w:val="52FB52AE"/>
    <w:rsid w:val="52FB705C"/>
    <w:rsid w:val="52FC4B82"/>
    <w:rsid w:val="532E2213"/>
    <w:rsid w:val="533026AA"/>
    <w:rsid w:val="533E2F7F"/>
    <w:rsid w:val="534D3630"/>
    <w:rsid w:val="535C60FE"/>
    <w:rsid w:val="53807561"/>
    <w:rsid w:val="538708F0"/>
    <w:rsid w:val="538E7D0E"/>
    <w:rsid w:val="53A56FC8"/>
    <w:rsid w:val="53B4545D"/>
    <w:rsid w:val="53B8319F"/>
    <w:rsid w:val="53C03E02"/>
    <w:rsid w:val="53C658BC"/>
    <w:rsid w:val="53DF24DA"/>
    <w:rsid w:val="53F65A75"/>
    <w:rsid w:val="53FB308C"/>
    <w:rsid w:val="5402441A"/>
    <w:rsid w:val="542F214A"/>
    <w:rsid w:val="54302D35"/>
    <w:rsid w:val="54316AAD"/>
    <w:rsid w:val="543A3BB4"/>
    <w:rsid w:val="54640C31"/>
    <w:rsid w:val="547F3CBD"/>
    <w:rsid w:val="54994D7E"/>
    <w:rsid w:val="549E786E"/>
    <w:rsid w:val="54AB6860"/>
    <w:rsid w:val="54BB2F47"/>
    <w:rsid w:val="54BE216E"/>
    <w:rsid w:val="54BF40B9"/>
    <w:rsid w:val="54D15BFA"/>
    <w:rsid w:val="550F3292"/>
    <w:rsid w:val="5512615B"/>
    <w:rsid w:val="551B6940"/>
    <w:rsid w:val="552A3C28"/>
    <w:rsid w:val="55563AD1"/>
    <w:rsid w:val="555F460E"/>
    <w:rsid w:val="556B5B8F"/>
    <w:rsid w:val="558722C8"/>
    <w:rsid w:val="558F536E"/>
    <w:rsid w:val="55950837"/>
    <w:rsid w:val="55A366CC"/>
    <w:rsid w:val="55C027DF"/>
    <w:rsid w:val="55C2628A"/>
    <w:rsid w:val="55CE2806"/>
    <w:rsid w:val="55D50038"/>
    <w:rsid w:val="55D63DB0"/>
    <w:rsid w:val="55DB3175"/>
    <w:rsid w:val="55E55DA1"/>
    <w:rsid w:val="55EE4C56"/>
    <w:rsid w:val="55F61D5C"/>
    <w:rsid w:val="56002BDB"/>
    <w:rsid w:val="560426CB"/>
    <w:rsid w:val="561C5C67"/>
    <w:rsid w:val="56222B52"/>
    <w:rsid w:val="562A1B91"/>
    <w:rsid w:val="562B5B9A"/>
    <w:rsid w:val="56331D5B"/>
    <w:rsid w:val="56356D29"/>
    <w:rsid w:val="5637484F"/>
    <w:rsid w:val="5640122A"/>
    <w:rsid w:val="56570A4D"/>
    <w:rsid w:val="5661367A"/>
    <w:rsid w:val="56902358"/>
    <w:rsid w:val="56904BDD"/>
    <w:rsid w:val="56AB6FEB"/>
    <w:rsid w:val="56AB7BA5"/>
    <w:rsid w:val="56AF3861"/>
    <w:rsid w:val="56B85264"/>
    <w:rsid w:val="56C46C9A"/>
    <w:rsid w:val="56CA56C3"/>
    <w:rsid w:val="56CF0F2B"/>
    <w:rsid w:val="56DC53F6"/>
    <w:rsid w:val="56F40992"/>
    <w:rsid w:val="5714693E"/>
    <w:rsid w:val="57462870"/>
    <w:rsid w:val="575C2093"/>
    <w:rsid w:val="57664784"/>
    <w:rsid w:val="5781726E"/>
    <w:rsid w:val="578D049F"/>
    <w:rsid w:val="57BE4AFC"/>
    <w:rsid w:val="57C06AC6"/>
    <w:rsid w:val="57CE11E3"/>
    <w:rsid w:val="57CF2865"/>
    <w:rsid w:val="57E07028"/>
    <w:rsid w:val="57EC78BB"/>
    <w:rsid w:val="57F549C2"/>
    <w:rsid w:val="58010F61"/>
    <w:rsid w:val="58033583"/>
    <w:rsid w:val="58163A93"/>
    <w:rsid w:val="581A7F84"/>
    <w:rsid w:val="58403763"/>
    <w:rsid w:val="58434227"/>
    <w:rsid w:val="584C2108"/>
    <w:rsid w:val="58550FBC"/>
    <w:rsid w:val="585D2567"/>
    <w:rsid w:val="586C6306"/>
    <w:rsid w:val="58737694"/>
    <w:rsid w:val="587F072F"/>
    <w:rsid w:val="58946569"/>
    <w:rsid w:val="58BA1767"/>
    <w:rsid w:val="58DC49CD"/>
    <w:rsid w:val="58DD31FA"/>
    <w:rsid w:val="59030A18"/>
    <w:rsid w:val="591A469F"/>
    <w:rsid w:val="59215342"/>
    <w:rsid w:val="59264A99"/>
    <w:rsid w:val="592941F7"/>
    <w:rsid w:val="592A3C50"/>
    <w:rsid w:val="593B46DD"/>
    <w:rsid w:val="594026BD"/>
    <w:rsid w:val="594159E5"/>
    <w:rsid w:val="59460076"/>
    <w:rsid w:val="595042A3"/>
    <w:rsid w:val="59515D8A"/>
    <w:rsid w:val="595C637A"/>
    <w:rsid w:val="5960477C"/>
    <w:rsid w:val="59682F71"/>
    <w:rsid w:val="596B66F6"/>
    <w:rsid w:val="596D2336"/>
    <w:rsid w:val="596F6178"/>
    <w:rsid w:val="59A5674B"/>
    <w:rsid w:val="59BD150F"/>
    <w:rsid w:val="59C53F20"/>
    <w:rsid w:val="59ED3476"/>
    <w:rsid w:val="5A151F73"/>
    <w:rsid w:val="5A492DA3"/>
    <w:rsid w:val="5A53777D"/>
    <w:rsid w:val="5A582FE6"/>
    <w:rsid w:val="5A601E9A"/>
    <w:rsid w:val="5A842D91"/>
    <w:rsid w:val="5AA77AC9"/>
    <w:rsid w:val="5AA91A93"/>
    <w:rsid w:val="5ABD109B"/>
    <w:rsid w:val="5ABE4B07"/>
    <w:rsid w:val="5AC266B1"/>
    <w:rsid w:val="5ACB37B8"/>
    <w:rsid w:val="5ACB7C5C"/>
    <w:rsid w:val="5AD77DB4"/>
    <w:rsid w:val="5AE44879"/>
    <w:rsid w:val="5AFA409D"/>
    <w:rsid w:val="5AFA5E4B"/>
    <w:rsid w:val="5B1769FD"/>
    <w:rsid w:val="5B2D6220"/>
    <w:rsid w:val="5B321A89"/>
    <w:rsid w:val="5B386973"/>
    <w:rsid w:val="5B4A6DD2"/>
    <w:rsid w:val="5B4E6197"/>
    <w:rsid w:val="5B657EA9"/>
    <w:rsid w:val="5B751975"/>
    <w:rsid w:val="5B8147BE"/>
    <w:rsid w:val="5B920779"/>
    <w:rsid w:val="5B9401EF"/>
    <w:rsid w:val="5BA555B3"/>
    <w:rsid w:val="5BA9396F"/>
    <w:rsid w:val="5BB47AC3"/>
    <w:rsid w:val="5BB74B2C"/>
    <w:rsid w:val="5BD41E6E"/>
    <w:rsid w:val="5BEA2363"/>
    <w:rsid w:val="5BEA5EBF"/>
    <w:rsid w:val="5BEF1728"/>
    <w:rsid w:val="5BF64864"/>
    <w:rsid w:val="5BFD3E45"/>
    <w:rsid w:val="5C073CD7"/>
    <w:rsid w:val="5C2869E8"/>
    <w:rsid w:val="5C2C64D8"/>
    <w:rsid w:val="5C381321"/>
    <w:rsid w:val="5C3A6E47"/>
    <w:rsid w:val="5C3B1922"/>
    <w:rsid w:val="5C5069F0"/>
    <w:rsid w:val="5C537F09"/>
    <w:rsid w:val="5C5477DD"/>
    <w:rsid w:val="5C5879DE"/>
    <w:rsid w:val="5C5E2B95"/>
    <w:rsid w:val="5C7A1E91"/>
    <w:rsid w:val="5C8C6F77"/>
    <w:rsid w:val="5CA40764"/>
    <w:rsid w:val="5CAB5170"/>
    <w:rsid w:val="5CBD5382"/>
    <w:rsid w:val="5CCA5724"/>
    <w:rsid w:val="5CE62B2B"/>
    <w:rsid w:val="5CE70651"/>
    <w:rsid w:val="5CEE5E83"/>
    <w:rsid w:val="5D290C69"/>
    <w:rsid w:val="5D292A17"/>
    <w:rsid w:val="5D6972B8"/>
    <w:rsid w:val="5D706822"/>
    <w:rsid w:val="5D7F6ADB"/>
    <w:rsid w:val="5D8B3C74"/>
    <w:rsid w:val="5DAD53F7"/>
    <w:rsid w:val="5DB42C29"/>
    <w:rsid w:val="5DB669A1"/>
    <w:rsid w:val="5DBD1FCA"/>
    <w:rsid w:val="5DC0337C"/>
    <w:rsid w:val="5DCE7350"/>
    <w:rsid w:val="5DE201AE"/>
    <w:rsid w:val="5E084D23"/>
    <w:rsid w:val="5E092890"/>
    <w:rsid w:val="5E172FC3"/>
    <w:rsid w:val="5E192A8C"/>
    <w:rsid w:val="5E1C432A"/>
    <w:rsid w:val="5E257683"/>
    <w:rsid w:val="5E282CCF"/>
    <w:rsid w:val="5E3A2E3F"/>
    <w:rsid w:val="5E510478"/>
    <w:rsid w:val="5E524438"/>
    <w:rsid w:val="5E714676"/>
    <w:rsid w:val="5E8425FB"/>
    <w:rsid w:val="5E8C6F99"/>
    <w:rsid w:val="5EAA0273"/>
    <w:rsid w:val="5ECF75EF"/>
    <w:rsid w:val="5ED54C05"/>
    <w:rsid w:val="5EF2352E"/>
    <w:rsid w:val="5EF57055"/>
    <w:rsid w:val="5EF763C6"/>
    <w:rsid w:val="5EFD0600"/>
    <w:rsid w:val="5F08322C"/>
    <w:rsid w:val="5F3F6522"/>
    <w:rsid w:val="5F4E6765"/>
    <w:rsid w:val="5F5D7160"/>
    <w:rsid w:val="5F714A4F"/>
    <w:rsid w:val="5F7408C2"/>
    <w:rsid w:val="5F887EC9"/>
    <w:rsid w:val="5F893C41"/>
    <w:rsid w:val="5F8B79B9"/>
    <w:rsid w:val="5F97010C"/>
    <w:rsid w:val="5FB23198"/>
    <w:rsid w:val="5FB46F10"/>
    <w:rsid w:val="5FB90FB7"/>
    <w:rsid w:val="5FC30058"/>
    <w:rsid w:val="5FDE21DF"/>
    <w:rsid w:val="5FEA5F2B"/>
    <w:rsid w:val="5FF27A39"/>
    <w:rsid w:val="5FFB0081"/>
    <w:rsid w:val="5FFE1F39"/>
    <w:rsid w:val="60060FEE"/>
    <w:rsid w:val="600A2554"/>
    <w:rsid w:val="60462E90"/>
    <w:rsid w:val="604F2688"/>
    <w:rsid w:val="60571E01"/>
    <w:rsid w:val="606F72DB"/>
    <w:rsid w:val="60786190"/>
    <w:rsid w:val="608368E3"/>
    <w:rsid w:val="60A07495"/>
    <w:rsid w:val="60A30D33"/>
    <w:rsid w:val="60A96349"/>
    <w:rsid w:val="60AE00AB"/>
    <w:rsid w:val="60B31391"/>
    <w:rsid w:val="60C2740B"/>
    <w:rsid w:val="60C82547"/>
    <w:rsid w:val="60D60EA4"/>
    <w:rsid w:val="60EB4BB4"/>
    <w:rsid w:val="60F34B93"/>
    <w:rsid w:val="612945BF"/>
    <w:rsid w:val="61530A39"/>
    <w:rsid w:val="6183303E"/>
    <w:rsid w:val="61923281"/>
    <w:rsid w:val="619F1863"/>
    <w:rsid w:val="61AC3CD1"/>
    <w:rsid w:val="61CB22EF"/>
    <w:rsid w:val="61D00691"/>
    <w:rsid w:val="61DF3FED"/>
    <w:rsid w:val="61F47A98"/>
    <w:rsid w:val="61FE695C"/>
    <w:rsid w:val="621912AD"/>
    <w:rsid w:val="62326812"/>
    <w:rsid w:val="62507519"/>
    <w:rsid w:val="62571DD5"/>
    <w:rsid w:val="625B7377"/>
    <w:rsid w:val="626562A0"/>
    <w:rsid w:val="6278019C"/>
    <w:rsid w:val="6283706E"/>
    <w:rsid w:val="628C1A7E"/>
    <w:rsid w:val="629B7F14"/>
    <w:rsid w:val="62A96AD4"/>
    <w:rsid w:val="62AE40EB"/>
    <w:rsid w:val="62B2525D"/>
    <w:rsid w:val="62C0797A"/>
    <w:rsid w:val="62E95123"/>
    <w:rsid w:val="62FB09B2"/>
    <w:rsid w:val="62FE04A2"/>
    <w:rsid w:val="63001694"/>
    <w:rsid w:val="63185A08"/>
    <w:rsid w:val="631D29EB"/>
    <w:rsid w:val="633C6169"/>
    <w:rsid w:val="635322D4"/>
    <w:rsid w:val="637A3FCD"/>
    <w:rsid w:val="63822EAD"/>
    <w:rsid w:val="638C7755"/>
    <w:rsid w:val="639B1A12"/>
    <w:rsid w:val="63B70D7D"/>
    <w:rsid w:val="63BC45E5"/>
    <w:rsid w:val="63D23E09"/>
    <w:rsid w:val="63F773CC"/>
    <w:rsid w:val="64055F8C"/>
    <w:rsid w:val="64300F47"/>
    <w:rsid w:val="64483336"/>
    <w:rsid w:val="644F0FB6"/>
    <w:rsid w:val="64562D15"/>
    <w:rsid w:val="646C600B"/>
    <w:rsid w:val="646F3406"/>
    <w:rsid w:val="647C2CAA"/>
    <w:rsid w:val="64942E6C"/>
    <w:rsid w:val="64AE53F9"/>
    <w:rsid w:val="64D63485"/>
    <w:rsid w:val="64E35BA2"/>
    <w:rsid w:val="64EC2CA8"/>
    <w:rsid w:val="65085608"/>
    <w:rsid w:val="65091AAC"/>
    <w:rsid w:val="650F7082"/>
    <w:rsid w:val="65110961"/>
    <w:rsid w:val="6518767F"/>
    <w:rsid w:val="65362175"/>
    <w:rsid w:val="65385EEE"/>
    <w:rsid w:val="656767D3"/>
    <w:rsid w:val="65712B94"/>
    <w:rsid w:val="657A02B4"/>
    <w:rsid w:val="65801643"/>
    <w:rsid w:val="65956E9C"/>
    <w:rsid w:val="659858FD"/>
    <w:rsid w:val="6598698C"/>
    <w:rsid w:val="65A13CC9"/>
    <w:rsid w:val="65AA25C1"/>
    <w:rsid w:val="65C0250E"/>
    <w:rsid w:val="65E120E1"/>
    <w:rsid w:val="65F91B21"/>
    <w:rsid w:val="660364FC"/>
    <w:rsid w:val="660D737A"/>
    <w:rsid w:val="661C580F"/>
    <w:rsid w:val="661E2CB4"/>
    <w:rsid w:val="661E3335"/>
    <w:rsid w:val="662621EA"/>
    <w:rsid w:val="662C6800"/>
    <w:rsid w:val="6632293D"/>
    <w:rsid w:val="664E603D"/>
    <w:rsid w:val="666F1DE3"/>
    <w:rsid w:val="667B2536"/>
    <w:rsid w:val="667D1E28"/>
    <w:rsid w:val="66A870A3"/>
    <w:rsid w:val="66AD327E"/>
    <w:rsid w:val="66AD46B9"/>
    <w:rsid w:val="66B141AA"/>
    <w:rsid w:val="66CD4D5B"/>
    <w:rsid w:val="66D32372"/>
    <w:rsid w:val="66DD6797"/>
    <w:rsid w:val="66ED4AB6"/>
    <w:rsid w:val="66F66060"/>
    <w:rsid w:val="66F67E0E"/>
    <w:rsid w:val="670818F0"/>
    <w:rsid w:val="671D183F"/>
    <w:rsid w:val="671F55B7"/>
    <w:rsid w:val="67293782"/>
    <w:rsid w:val="675114E9"/>
    <w:rsid w:val="675863D3"/>
    <w:rsid w:val="6759039D"/>
    <w:rsid w:val="679703E1"/>
    <w:rsid w:val="67984F00"/>
    <w:rsid w:val="67A965FC"/>
    <w:rsid w:val="68220B45"/>
    <w:rsid w:val="68336E40"/>
    <w:rsid w:val="683926A8"/>
    <w:rsid w:val="683C1DE5"/>
    <w:rsid w:val="68537CAF"/>
    <w:rsid w:val="685E210F"/>
    <w:rsid w:val="685F3791"/>
    <w:rsid w:val="68725BBA"/>
    <w:rsid w:val="68776D2D"/>
    <w:rsid w:val="687A4A6F"/>
    <w:rsid w:val="68B079A5"/>
    <w:rsid w:val="68BB30BE"/>
    <w:rsid w:val="68D45F2D"/>
    <w:rsid w:val="68DF62EE"/>
    <w:rsid w:val="68EA5751"/>
    <w:rsid w:val="68F570FB"/>
    <w:rsid w:val="69456E2B"/>
    <w:rsid w:val="69531548"/>
    <w:rsid w:val="696F3EA8"/>
    <w:rsid w:val="69731BEA"/>
    <w:rsid w:val="69790883"/>
    <w:rsid w:val="697A2F79"/>
    <w:rsid w:val="698B7CF9"/>
    <w:rsid w:val="698C6808"/>
    <w:rsid w:val="699266B6"/>
    <w:rsid w:val="69A47FF6"/>
    <w:rsid w:val="6A102F95"/>
    <w:rsid w:val="6A242EE4"/>
    <w:rsid w:val="6A2922A9"/>
    <w:rsid w:val="6A4415E9"/>
    <w:rsid w:val="6A5D1F52"/>
    <w:rsid w:val="6A7C062B"/>
    <w:rsid w:val="6A8D0A8A"/>
    <w:rsid w:val="6A9736B6"/>
    <w:rsid w:val="6AAB0F10"/>
    <w:rsid w:val="6AC02C0D"/>
    <w:rsid w:val="6ACC55B0"/>
    <w:rsid w:val="6ACD70D8"/>
    <w:rsid w:val="6AE12B83"/>
    <w:rsid w:val="6AEA7C8A"/>
    <w:rsid w:val="6AF12F2B"/>
    <w:rsid w:val="6B054AC4"/>
    <w:rsid w:val="6B1E7934"/>
    <w:rsid w:val="6B225676"/>
    <w:rsid w:val="6B364A70"/>
    <w:rsid w:val="6B422808"/>
    <w:rsid w:val="6B476E8A"/>
    <w:rsid w:val="6B4B5217"/>
    <w:rsid w:val="6B680BAF"/>
    <w:rsid w:val="6B6A0DCB"/>
    <w:rsid w:val="6B6F1F3D"/>
    <w:rsid w:val="6B8A1717"/>
    <w:rsid w:val="6B8C6F93"/>
    <w:rsid w:val="6B99345E"/>
    <w:rsid w:val="6BAD273F"/>
    <w:rsid w:val="6BBB1626"/>
    <w:rsid w:val="6BC56001"/>
    <w:rsid w:val="6BCA186A"/>
    <w:rsid w:val="6BCC7390"/>
    <w:rsid w:val="6BCE3108"/>
    <w:rsid w:val="6BD36970"/>
    <w:rsid w:val="6BD526E8"/>
    <w:rsid w:val="6C0B435C"/>
    <w:rsid w:val="6C17069E"/>
    <w:rsid w:val="6C2225DD"/>
    <w:rsid w:val="6C301153"/>
    <w:rsid w:val="6C5D6FB1"/>
    <w:rsid w:val="6C6B0957"/>
    <w:rsid w:val="6C832144"/>
    <w:rsid w:val="6C845EBC"/>
    <w:rsid w:val="6C8500F6"/>
    <w:rsid w:val="6C89702F"/>
    <w:rsid w:val="6C9C4FB4"/>
    <w:rsid w:val="6C9D0D2C"/>
    <w:rsid w:val="6CC265FC"/>
    <w:rsid w:val="6CD504C6"/>
    <w:rsid w:val="6CD52274"/>
    <w:rsid w:val="6CF92406"/>
    <w:rsid w:val="6CFC3CA5"/>
    <w:rsid w:val="6CFC5A53"/>
    <w:rsid w:val="6CFE5C6F"/>
    <w:rsid w:val="6D050DAB"/>
    <w:rsid w:val="6D147240"/>
    <w:rsid w:val="6D196605"/>
    <w:rsid w:val="6D21370B"/>
    <w:rsid w:val="6D3B18E0"/>
    <w:rsid w:val="6D413DAD"/>
    <w:rsid w:val="6D57537F"/>
    <w:rsid w:val="6D5B6C1D"/>
    <w:rsid w:val="6D6D4BA2"/>
    <w:rsid w:val="6D77332B"/>
    <w:rsid w:val="6D870514"/>
    <w:rsid w:val="6D8B5ABC"/>
    <w:rsid w:val="6D940381"/>
    <w:rsid w:val="6D9C3AFC"/>
    <w:rsid w:val="6D9D5276"/>
    <w:rsid w:val="6DA22A9E"/>
    <w:rsid w:val="6DAC1227"/>
    <w:rsid w:val="6DBB76BC"/>
    <w:rsid w:val="6DD15131"/>
    <w:rsid w:val="6DD469CF"/>
    <w:rsid w:val="6DF66946"/>
    <w:rsid w:val="6E14209A"/>
    <w:rsid w:val="6E22773B"/>
    <w:rsid w:val="6E443B55"/>
    <w:rsid w:val="6E4E6782"/>
    <w:rsid w:val="6E5B2C4D"/>
    <w:rsid w:val="6E6164B5"/>
    <w:rsid w:val="6E9F4B86"/>
    <w:rsid w:val="6EA168B2"/>
    <w:rsid w:val="6EB02F99"/>
    <w:rsid w:val="6EB72460"/>
    <w:rsid w:val="6EB74327"/>
    <w:rsid w:val="6EB8556A"/>
    <w:rsid w:val="6EBC36EB"/>
    <w:rsid w:val="6ED547AD"/>
    <w:rsid w:val="6EEE586F"/>
    <w:rsid w:val="6EF72976"/>
    <w:rsid w:val="6F064E06"/>
    <w:rsid w:val="6F094457"/>
    <w:rsid w:val="6F176B74"/>
    <w:rsid w:val="6F35349E"/>
    <w:rsid w:val="6F360C58"/>
    <w:rsid w:val="6F370FC4"/>
    <w:rsid w:val="6F614293"/>
    <w:rsid w:val="6F636421"/>
    <w:rsid w:val="6F6B5112"/>
    <w:rsid w:val="6F6E6EC3"/>
    <w:rsid w:val="6F7264A0"/>
    <w:rsid w:val="6F765F90"/>
    <w:rsid w:val="6F9401C4"/>
    <w:rsid w:val="6FB915A7"/>
    <w:rsid w:val="6FBA22CC"/>
    <w:rsid w:val="6FC14D32"/>
    <w:rsid w:val="6FCD1928"/>
    <w:rsid w:val="6FD902CD"/>
    <w:rsid w:val="6FDD39BA"/>
    <w:rsid w:val="6FDE58E3"/>
    <w:rsid w:val="6FE61F3E"/>
    <w:rsid w:val="70161521"/>
    <w:rsid w:val="701914D7"/>
    <w:rsid w:val="701C6FC8"/>
    <w:rsid w:val="702F613F"/>
    <w:rsid w:val="703244E4"/>
    <w:rsid w:val="703C7459"/>
    <w:rsid w:val="705636CC"/>
    <w:rsid w:val="70720586"/>
    <w:rsid w:val="70875F7B"/>
    <w:rsid w:val="70897150"/>
    <w:rsid w:val="70A64653"/>
    <w:rsid w:val="70C8281B"/>
    <w:rsid w:val="71094BE2"/>
    <w:rsid w:val="71656047"/>
    <w:rsid w:val="718F158B"/>
    <w:rsid w:val="71A242CB"/>
    <w:rsid w:val="71C8684B"/>
    <w:rsid w:val="71CF732E"/>
    <w:rsid w:val="71DC40A5"/>
    <w:rsid w:val="71DD22F7"/>
    <w:rsid w:val="71E116BB"/>
    <w:rsid w:val="71F4319C"/>
    <w:rsid w:val="71FC75D1"/>
    <w:rsid w:val="71FE04BF"/>
    <w:rsid w:val="720D49AF"/>
    <w:rsid w:val="720F7FD6"/>
    <w:rsid w:val="72121874"/>
    <w:rsid w:val="72181F15"/>
    <w:rsid w:val="721F290F"/>
    <w:rsid w:val="722021E3"/>
    <w:rsid w:val="7229553C"/>
    <w:rsid w:val="722D65E2"/>
    <w:rsid w:val="72323CC5"/>
    <w:rsid w:val="726F7FB0"/>
    <w:rsid w:val="72A46970"/>
    <w:rsid w:val="72AD3E9C"/>
    <w:rsid w:val="72B50B7E"/>
    <w:rsid w:val="72BB0EC2"/>
    <w:rsid w:val="72C62D8B"/>
    <w:rsid w:val="72EE22E1"/>
    <w:rsid w:val="72FD2525"/>
    <w:rsid w:val="732D2E0A"/>
    <w:rsid w:val="732E0930"/>
    <w:rsid w:val="73335F46"/>
    <w:rsid w:val="73373C88"/>
    <w:rsid w:val="735C7C30"/>
    <w:rsid w:val="73661E78"/>
    <w:rsid w:val="73697BBA"/>
    <w:rsid w:val="73775E2C"/>
    <w:rsid w:val="73A155A6"/>
    <w:rsid w:val="73A86934"/>
    <w:rsid w:val="73B250BD"/>
    <w:rsid w:val="73B40E35"/>
    <w:rsid w:val="73B61051"/>
    <w:rsid w:val="73B70925"/>
    <w:rsid w:val="73BB6668"/>
    <w:rsid w:val="73C365CB"/>
    <w:rsid w:val="73D414D7"/>
    <w:rsid w:val="73EA4857"/>
    <w:rsid w:val="73F6144E"/>
    <w:rsid w:val="742023C5"/>
    <w:rsid w:val="743D52CE"/>
    <w:rsid w:val="7443670B"/>
    <w:rsid w:val="74534AF2"/>
    <w:rsid w:val="745B7503"/>
    <w:rsid w:val="748D1686"/>
    <w:rsid w:val="74933140"/>
    <w:rsid w:val="74AE3AD6"/>
    <w:rsid w:val="74B80A8E"/>
    <w:rsid w:val="74DF00D5"/>
    <w:rsid w:val="751122B7"/>
    <w:rsid w:val="75157FF9"/>
    <w:rsid w:val="751759A6"/>
    <w:rsid w:val="75387844"/>
    <w:rsid w:val="75422471"/>
    <w:rsid w:val="75431C52"/>
    <w:rsid w:val="75601BF7"/>
    <w:rsid w:val="75644ADD"/>
    <w:rsid w:val="75674604"/>
    <w:rsid w:val="756920F3"/>
    <w:rsid w:val="756B5E6B"/>
    <w:rsid w:val="756C4E37"/>
    <w:rsid w:val="756D0E75"/>
    <w:rsid w:val="75755831"/>
    <w:rsid w:val="75866801"/>
    <w:rsid w:val="758807CB"/>
    <w:rsid w:val="75937E8D"/>
    <w:rsid w:val="75CB06B8"/>
    <w:rsid w:val="75D51537"/>
    <w:rsid w:val="75DF5F11"/>
    <w:rsid w:val="75E35A02"/>
    <w:rsid w:val="75E654F2"/>
    <w:rsid w:val="762027B2"/>
    <w:rsid w:val="762108D3"/>
    <w:rsid w:val="76312C11"/>
    <w:rsid w:val="763224E5"/>
    <w:rsid w:val="76361FD5"/>
    <w:rsid w:val="764364A0"/>
    <w:rsid w:val="76461C54"/>
    <w:rsid w:val="76505878"/>
    <w:rsid w:val="765406AD"/>
    <w:rsid w:val="766B0856"/>
    <w:rsid w:val="76790114"/>
    <w:rsid w:val="76794AF8"/>
    <w:rsid w:val="76850C08"/>
    <w:rsid w:val="76AE4262"/>
    <w:rsid w:val="76BB24DB"/>
    <w:rsid w:val="76C84BF7"/>
    <w:rsid w:val="76D67314"/>
    <w:rsid w:val="76DF266D"/>
    <w:rsid w:val="770B3462"/>
    <w:rsid w:val="7711659E"/>
    <w:rsid w:val="771B11CB"/>
    <w:rsid w:val="7722255A"/>
    <w:rsid w:val="77274014"/>
    <w:rsid w:val="772E2227"/>
    <w:rsid w:val="77302EC9"/>
    <w:rsid w:val="7731279D"/>
    <w:rsid w:val="77533CC6"/>
    <w:rsid w:val="775748F9"/>
    <w:rsid w:val="775D4510"/>
    <w:rsid w:val="7760252B"/>
    <w:rsid w:val="776058DA"/>
    <w:rsid w:val="77626DFA"/>
    <w:rsid w:val="777032C5"/>
    <w:rsid w:val="777803CC"/>
    <w:rsid w:val="777D1E86"/>
    <w:rsid w:val="77905715"/>
    <w:rsid w:val="779276DF"/>
    <w:rsid w:val="77F40160"/>
    <w:rsid w:val="781D568D"/>
    <w:rsid w:val="78342545"/>
    <w:rsid w:val="78362F6D"/>
    <w:rsid w:val="78412EB3"/>
    <w:rsid w:val="78627545"/>
    <w:rsid w:val="78632E2A"/>
    <w:rsid w:val="78654665"/>
    <w:rsid w:val="78654DF4"/>
    <w:rsid w:val="787B0173"/>
    <w:rsid w:val="787C0B87"/>
    <w:rsid w:val="789C661D"/>
    <w:rsid w:val="78BB0EB8"/>
    <w:rsid w:val="78E0447A"/>
    <w:rsid w:val="78EF46BD"/>
    <w:rsid w:val="78F63C9E"/>
    <w:rsid w:val="790740FD"/>
    <w:rsid w:val="791660EE"/>
    <w:rsid w:val="791D122B"/>
    <w:rsid w:val="791F31F5"/>
    <w:rsid w:val="793F5645"/>
    <w:rsid w:val="794E7636"/>
    <w:rsid w:val="797F1EE5"/>
    <w:rsid w:val="79892D64"/>
    <w:rsid w:val="798B2638"/>
    <w:rsid w:val="798E037A"/>
    <w:rsid w:val="79960FDD"/>
    <w:rsid w:val="79997202"/>
    <w:rsid w:val="799E680F"/>
    <w:rsid w:val="79B0209F"/>
    <w:rsid w:val="79C45B4A"/>
    <w:rsid w:val="79E7658E"/>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B007056"/>
    <w:rsid w:val="7B02692A"/>
    <w:rsid w:val="7B0F72C3"/>
    <w:rsid w:val="7B114DBF"/>
    <w:rsid w:val="7B2368A0"/>
    <w:rsid w:val="7B274CA7"/>
    <w:rsid w:val="7B4E7DC1"/>
    <w:rsid w:val="7B5B428C"/>
    <w:rsid w:val="7B887EC5"/>
    <w:rsid w:val="7B914152"/>
    <w:rsid w:val="7B930C24"/>
    <w:rsid w:val="7BB17EFC"/>
    <w:rsid w:val="7BB5399C"/>
    <w:rsid w:val="7BC60184"/>
    <w:rsid w:val="7BD5403F"/>
    <w:rsid w:val="7BDD2EF3"/>
    <w:rsid w:val="7BE73A8B"/>
    <w:rsid w:val="7BF471EA"/>
    <w:rsid w:val="7C011556"/>
    <w:rsid w:val="7C18217D"/>
    <w:rsid w:val="7C346F6A"/>
    <w:rsid w:val="7C3C40BE"/>
    <w:rsid w:val="7C4C3220"/>
    <w:rsid w:val="7C4F37CE"/>
    <w:rsid w:val="7C507B69"/>
    <w:rsid w:val="7C596A1E"/>
    <w:rsid w:val="7C5E2286"/>
    <w:rsid w:val="7C701FB9"/>
    <w:rsid w:val="7C817D22"/>
    <w:rsid w:val="7C857813"/>
    <w:rsid w:val="7C964B73"/>
    <w:rsid w:val="7C99506C"/>
    <w:rsid w:val="7CD24A22"/>
    <w:rsid w:val="7CEA1D6C"/>
    <w:rsid w:val="7CF61768"/>
    <w:rsid w:val="7CF84488"/>
    <w:rsid w:val="7D0C7F34"/>
    <w:rsid w:val="7D0E5A5A"/>
    <w:rsid w:val="7D264462"/>
    <w:rsid w:val="7D2C5EE0"/>
    <w:rsid w:val="7D360B0D"/>
    <w:rsid w:val="7D3A5278"/>
    <w:rsid w:val="7D406A1E"/>
    <w:rsid w:val="7D5A0C9F"/>
    <w:rsid w:val="7D637428"/>
    <w:rsid w:val="7D6F2271"/>
    <w:rsid w:val="7D741635"/>
    <w:rsid w:val="7D823D52"/>
    <w:rsid w:val="7D851A94"/>
    <w:rsid w:val="7D965A4F"/>
    <w:rsid w:val="7DA95783"/>
    <w:rsid w:val="7DB3326F"/>
    <w:rsid w:val="7DCB56F9"/>
    <w:rsid w:val="7DD06D9B"/>
    <w:rsid w:val="7DF34C50"/>
    <w:rsid w:val="7E0D00F2"/>
    <w:rsid w:val="7E1846B6"/>
    <w:rsid w:val="7E1A21DD"/>
    <w:rsid w:val="7E3037AE"/>
    <w:rsid w:val="7E3A287F"/>
    <w:rsid w:val="7E486D4A"/>
    <w:rsid w:val="7E5F22E5"/>
    <w:rsid w:val="7E6B4A0B"/>
    <w:rsid w:val="7E714CEC"/>
    <w:rsid w:val="7E786F03"/>
    <w:rsid w:val="7E7C7B82"/>
    <w:rsid w:val="7E8B4E88"/>
    <w:rsid w:val="7E8D29AE"/>
    <w:rsid w:val="7E960CC1"/>
    <w:rsid w:val="7EA36676"/>
    <w:rsid w:val="7EB702F4"/>
    <w:rsid w:val="7ECD724F"/>
    <w:rsid w:val="7ED405DD"/>
    <w:rsid w:val="7ED625A7"/>
    <w:rsid w:val="7EED715E"/>
    <w:rsid w:val="7EFD7F37"/>
    <w:rsid w:val="7F0A2251"/>
    <w:rsid w:val="7F0D3AEF"/>
    <w:rsid w:val="7F17671C"/>
    <w:rsid w:val="7F2271E4"/>
    <w:rsid w:val="7F2D7CEE"/>
    <w:rsid w:val="7F313C82"/>
    <w:rsid w:val="7F4A61E1"/>
    <w:rsid w:val="7F544D8E"/>
    <w:rsid w:val="7F596D35"/>
    <w:rsid w:val="7F5C68C8"/>
    <w:rsid w:val="7F645E05"/>
    <w:rsid w:val="7F743B6E"/>
    <w:rsid w:val="7F7F4CBF"/>
    <w:rsid w:val="7F8C710A"/>
    <w:rsid w:val="7F962F62"/>
    <w:rsid w:val="7F967F89"/>
    <w:rsid w:val="7F9935D5"/>
    <w:rsid w:val="7FA51F7A"/>
    <w:rsid w:val="7FB328E9"/>
    <w:rsid w:val="7FC468A4"/>
    <w:rsid w:val="7FD30895"/>
    <w:rsid w:val="7FDD1714"/>
    <w:rsid w:val="7FDD5BB8"/>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3">
    <w:name w:val="heading 1"/>
    <w:basedOn w:val="1"/>
    <w:next w:val="1"/>
    <w:link w:val="40"/>
    <w:autoRedefine/>
    <w:qFormat/>
    <w:uiPriority w:val="9"/>
    <w:pPr>
      <w:keepNext/>
      <w:keepLines/>
      <w:spacing w:before="340" w:after="330" w:line="578" w:lineRule="auto"/>
      <w:jc w:val="center"/>
      <w:outlineLvl w:val="0"/>
    </w:pPr>
    <w:rPr>
      <w:rFonts w:eastAsia="黑体"/>
      <w:b/>
      <w:bCs/>
      <w:kern w:val="44"/>
      <w:sz w:val="44"/>
      <w:szCs w:val="44"/>
    </w:rPr>
  </w:style>
  <w:style w:type="paragraph" w:styleId="4">
    <w:name w:val="heading 2"/>
    <w:basedOn w:val="1"/>
    <w:next w:val="1"/>
    <w:link w:val="44"/>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5">
    <w:name w:val="heading 3"/>
    <w:basedOn w:val="1"/>
    <w:next w:val="1"/>
    <w:link w:val="47"/>
    <w:autoRedefine/>
    <w:unhideWhenUsed/>
    <w:qFormat/>
    <w:uiPriority w:val="9"/>
    <w:pPr>
      <w:keepNext/>
      <w:keepLines/>
      <w:spacing w:before="260" w:after="260" w:line="416" w:lineRule="auto"/>
      <w:outlineLvl w:val="2"/>
    </w:pPr>
    <w:rPr>
      <w:b/>
      <w:bCs/>
      <w:sz w:val="30"/>
      <w:szCs w:val="32"/>
    </w:rPr>
  </w:style>
  <w:style w:type="paragraph" w:styleId="6">
    <w:name w:val="heading 4"/>
    <w:basedOn w:val="1"/>
    <w:next w:val="1"/>
    <w:link w:val="48"/>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7">
    <w:name w:val="heading 5"/>
    <w:basedOn w:val="8"/>
    <w:next w:val="9"/>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index 6"/>
    <w:next w:val="1"/>
    <w:qFormat/>
    <w:uiPriority w:val="0"/>
    <w:pPr>
      <w:widowControl w:val="0"/>
      <w:ind w:left="2100"/>
      <w:jc w:val="both"/>
    </w:pPr>
    <w:rPr>
      <w:rFonts w:ascii="Calibri" w:hAnsi="Calibri" w:eastAsia="宋体" w:cs="Times New Roman"/>
      <w:kern w:val="2"/>
      <w:sz w:val="21"/>
      <w:lang w:val="en-US" w:eastAsia="zh-CN" w:bidi="ar-SA"/>
    </w:rPr>
  </w:style>
  <w:style w:type="paragraph" w:styleId="8">
    <w:name w:val="List Number 2"/>
    <w:basedOn w:val="1"/>
    <w:autoRedefine/>
    <w:semiHidden/>
    <w:unhideWhenUsed/>
    <w:qFormat/>
    <w:uiPriority w:val="99"/>
    <w:pPr>
      <w:numPr>
        <w:ilvl w:val="0"/>
        <w:numId w:val="1"/>
      </w:numPr>
    </w:pPr>
  </w:style>
  <w:style w:type="paragraph" w:styleId="9">
    <w:name w:val="Normal (Web)"/>
    <w:basedOn w:val="1"/>
    <w:autoRedefine/>
    <w:qFormat/>
    <w:uiPriority w:val="99"/>
    <w:pPr>
      <w:widowControl/>
      <w:spacing w:before="100" w:beforeAutospacing="1" w:after="100" w:afterAutospacing="1"/>
    </w:pPr>
    <w:rPr>
      <w:rFonts w:cs="宋体"/>
      <w:color w:val="000000"/>
      <w:kern w:val="0"/>
      <w:szCs w:val="24"/>
    </w:rPr>
  </w:style>
  <w:style w:type="paragraph" w:styleId="10">
    <w:name w:val="toc 7"/>
    <w:basedOn w:val="1"/>
    <w:next w:val="1"/>
    <w:autoRedefine/>
    <w:unhideWhenUsed/>
    <w:qFormat/>
    <w:uiPriority w:val="39"/>
    <w:pPr>
      <w:ind w:left="1440"/>
    </w:pPr>
    <w:rPr>
      <w:rFonts w:asciiTheme="minorHAnsi" w:eastAsiaTheme="minorHAnsi"/>
      <w:sz w:val="18"/>
      <w:szCs w:val="18"/>
    </w:rPr>
  </w:style>
  <w:style w:type="paragraph" w:styleId="11">
    <w:name w:val="Normal Indent"/>
    <w:basedOn w:val="1"/>
    <w:next w:val="1"/>
    <w:autoRedefine/>
    <w:unhideWhenUsed/>
    <w:qFormat/>
    <w:uiPriority w:val="0"/>
    <w:pPr>
      <w:ind w:firstLine="420" w:firstLineChars="200"/>
    </w:pPr>
    <w:rPr>
      <w:rFonts w:ascii="Calibri" w:hAnsi="Calibri"/>
    </w:rPr>
  </w:style>
  <w:style w:type="paragraph" w:styleId="12">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3">
    <w:name w:val="annotation text"/>
    <w:basedOn w:val="1"/>
    <w:link w:val="45"/>
    <w:autoRedefine/>
    <w:qFormat/>
    <w:uiPriority w:val="0"/>
    <w:pPr>
      <w:spacing w:line="240" w:lineRule="auto"/>
    </w:pPr>
    <w:rPr>
      <w:rFonts w:eastAsiaTheme="minorEastAsia"/>
      <w:sz w:val="21"/>
      <w:szCs w:val="24"/>
    </w:rPr>
  </w:style>
  <w:style w:type="paragraph" w:styleId="14">
    <w:name w:val="Body Text"/>
    <w:basedOn w:val="1"/>
    <w:link w:val="49"/>
    <w:autoRedefine/>
    <w:qFormat/>
    <w:uiPriority w:val="99"/>
    <w:pPr>
      <w:spacing w:after="120" w:line="240" w:lineRule="auto"/>
      <w:jc w:val="both"/>
    </w:pPr>
    <w:rPr>
      <w:rFonts w:eastAsiaTheme="minorEastAsia"/>
      <w:sz w:val="21"/>
      <w:szCs w:val="24"/>
    </w:rPr>
  </w:style>
  <w:style w:type="paragraph" w:styleId="15">
    <w:name w:val="Body Text Indent"/>
    <w:basedOn w:val="1"/>
    <w:autoRedefine/>
    <w:unhideWhenUsed/>
    <w:qFormat/>
    <w:uiPriority w:val="0"/>
    <w:pPr>
      <w:ind w:firstLine="630"/>
    </w:pPr>
    <w:rPr>
      <w:rFonts w:eastAsia="仿宋_GB2312"/>
      <w:kern w:val="0"/>
      <w:sz w:val="32"/>
      <w:szCs w:val="20"/>
    </w:rPr>
  </w:style>
  <w:style w:type="paragraph" w:styleId="16">
    <w:name w:val="toc 5"/>
    <w:basedOn w:val="1"/>
    <w:next w:val="1"/>
    <w:autoRedefine/>
    <w:unhideWhenUsed/>
    <w:qFormat/>
    <w:uiPriority w:val="39"/>
    <w:pPr>
      <w:ind w:left="960"/>
    </w:pPr>
    <w:rPr>
      <w:rFonts w:asciiTheme="minorHAnsi" w:eastAsiaTheme="minorHAnsi"/>
      <w:sz w:val="18"/>
      <w:szCs w:val="18"/>
    </w:rPr>
  </w:style>
  <w:style w:type="paragraph" w:styleId="17">
    <w:name w:val="toc 3"/>
    <w:basedOn w:val="1"/>
    <w:next w:val="1"/>
    <w:autoRedefine/>
    <w:unhideWhenUsed/>
    <w:qFormat/>
    <w:uiPriority w:val="39"/>
    <w:pPr>
      <w:ind w:left="480"/>
    </w:pPr>
    <w:rPr>
      <w:rFonts w:asciiTheme="minorHAnsi" w:eastAsiaTheme="minorHAnsi"/>
      <w:i/>
      <w:iCs/>
      <w:sz w:val="20"/>
      <w:szCs w:val="20"/>
    </w:rPr>
  </w:style>
  <w:style w:type="paragraph" w:styleId="18">
    <w:name w:val="Plain Text"/>
    <w:basedOn w:val="1"/>
    <w:autoRedefine/>
    <w:unhideWhenUsed/>
    <w:qFormat/>
    <w:uiPriority w:val="0"/>
    <w:rPr>
      <w:rFonts w:hAnsi="Courier New"/>
      <w:kern w:val="0"/>
      <w:sz w:val="20"/>
      <w:szCs w:val="20"/>
    </w:rPr>
  </w:style>
  <w:style w:type="paragraph" w:styleId="19">
    <w:name w:val="toc 8"/>
    <w:basedOn w:val="1"/>
    <w:next w:val="1"/>
    <w:autoRedefine/>
    <w:unhideWhenUsed/>
    <w:qFormat/>
    <w:uiPriority w:val="39"/>
    <w:pPr>
      <w:ind w:left="1680"/>
    </w:pPr>
    <w:rPr>
      <w:rFonts w:asciiTheme="minorHAnsi" w:eastAsiaTheme="minorHAnsi"/>
      <w:sz w:val="18"/>
      <w:szCs w:val="18"/>
    </w:rPr>
  </w:style>
  <w:style w:type="paragraph" w:styleId="20">
    <w:name w:val="footer"/>
    <w:basedOn w:val="1"/>
    <w:link w:val="43"/>
    <w:autoRedefine/>
    <w:unhideWhenUsed/>
    <w:qFormat/>
    <w:uiPriority w:val="99"/>
    <w:pPr>
      <w:tabs>
        <w:tab w:val="center" w:pos="4153"/>
        <w:tab w:val="right" w:pos="8306"/>
      </w:tabs>
      <w:snapToGrid w:val="0"/>
      <w:spacing w:line="240" w:lineRule="auto"/>
    </w:pPr>
    <w:rPr>
      <w:sz w:val="18"/>
      <w:szCs w:val="18"/>
    </w:rPr>
  </w:style>
  <w:style w:type="paragraph" w:styleId="21">
    <w:name w:val="header"/>
    <w:basedOn w:val="1"/>
    <w:link w:val="42"/>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2">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3">
    <w:name w:val="toc 4"/>
    <w:basedOn w:val="1"/>
    <w:next w:val="1"/>
    <w:autoRedefine/>
    <w:unhideWhenUsed/>
    <w:qFormat/>
    <w:uiPriority w:val="39"/>
    <w:pPr>
      <w:ind w:left="720"/>
    </w:pPr>
    <w:rPr>
      <w:rFonts w:asciiTheme="minorHAnsi" w:eastAsiaTheme="minorHAnsi"/>
      <w:sz w:val="18"/>
      <w:szCs w:val="18"/>
    </w:rPr>
  </w:style>
  <w:style w:type="paragraph" w:styleId="24">
    <w:name w:val="footnote text"/>
    <w:basedOn w:val="1"/>
    <w:qFormat/>
    <w:uiPriority w:val="0"/>
    <w:pPr>
      <w:widowControl/>
    </w:pPr>
    <w:rPr>
      <w:kern w:val="0"/>
      <w:sz w:val="20"/>
      <w:szCs w:val="20"/>
      <w:lang w:val="de-DE"/>
    </w:rPr>
  </w:style>
  <w:style w:type="paragraph" w:styleId="25">
    <w:name w:val="toc 6"/>
    <w:basedOn w:val="1"/>
    <w:next w:val="1"/>
    <w:autoRedefine/>
    <w:unhideWhenUsed/>
    <w:qFormat/>
    <w:uiPriority w:val="39"/>
    <w:pPr>
      <w:ind w:left="1200"/>
    </w:pPr>
    <w:rPr>
      <w:rFonts w:asciiTheme="minorHAnsi" w:eastAsiaTheme="minorHAnsi"/>
      <w:sz w:val="18"/>
      <w:szCs w:val="18"/>
    </w:rPr>
  </w:style>
  <w:style w:type="paragraph" w:styleId="26">
    <w:name w:val="toc 2"/>
    <w:basedOn w:val="1"/>
    <w:next w:val="1"/>
    <w:autoRedefine/>
    <w:unhideWhenUsed/>
    <w:qFormat/>
    <w:uiPriority w:val="39"/>
    <w:pPr>
      <w:ind w:left="240"/>
    </w:pPr>
    <w:rPr>
      <w:rFonts w:asciiTheme="minorHAnsi" w:eastAsiaTheme="minorHAnsi"/>
      <w:smallCaps/>
      <w:sz w:val="20"/>
      <w:szCs w:val="20"/>
    </w:rPr>
  </w:style>
  <w:style w:type="paragraph" w:styleId="27">
    <w:name w:val="toc 9"/>
    <w:basedOn w:val="1"/>
    <w:next w:val="1"/>
    <w:autoRedefine/>
    <w:unhideWhenUsed/>
    <w:qFormat/>
    <w:uiPriority w:val="39"/>
    <w:pPr>
      <w:ind w:left="1920"/>
    </w:pPr>
    <w:rPr>
      <w:rFonts w:asciiTheme="minorHAnsi" w:eastAsiaTheme="minorHAnsi"/>
      <w:sz w:val="18"/>
      <w:szCs w:val="18"/>
    </w:rPr>
  </w:style>
  <w:style w:type="paragraph" w:styleId="28">
    <w:name w:val="annotation subject"/>
    <w:basedOn w:val="13"/>
    <w:next w:val="13"/>
    <w:link w:val="53"/>
    <w:autoRedefine/>
    <w:semiHidden/>
    <w:unhideWhenUsed/>
    <w:qFormat/>
    <w:uiPriority w:val="99"/>
    <w:pPr>
      <w:spacing w:line="360" w:lineRule="auto"/>
    </w:pPr>
    <w:rPr>
      <w:rFonts w:eastAsia="宋体"/>
      <w:b/>
      <w:bCs/>
      <w:sz w:val="24"/>
      <w:szCs w:val="22"/>
    </w:rPr>
  </w:style>
  <w:style w:type="paragraph" w:styleId="29">
    <w:name w:val="Body Text First Indent 2"/>
    <w:basedOn w:val="15"/>
    <w:next w:val="1"/>
    <w:autoRedefine/>
    <w:qFormat/>
    <w:uiPriority w:val="0"/>
    <w:pPr>
      <w:spacing w:after="120" w:line="240" w:lineRule="auto"/>
      <w:ind w:left="420" w:leftChars="200" w:firstLine="420" w:firstLineChars="200"/>
    </w:pPr>
    <w:rPr>
      <w:rFonts w:ascii="Times New Roman" w:eastAsia="宋体"/>
      <w:sz w:val="21"/>
      <w:szCs w:val="24"/>
    </w:r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autoRedefine/>
    <w:qFormat/>
    <w:uiPriority w:val="0"/>
    <w:rPr>
      <w:b/>
      <w:bCs/>
    </w:rPr>
  </w:style>
  <w:style w:type="character" w:styleId="34">
    <w:name w:val="FollowedHyperlink"/>
    <w:basedOn w:val="32"/>
    <w:semiHidden/>
    <w:unhideWhenUsed/>
    <w:qFormat/>
    <w:uiPriority w:val="99"/>
    <w:rPr>
      <w:color w:val="7E1FAD"/>
      <w:u w:val="single"/>
    </w:rPr>
  </w:style>
  <w:style w:type="character" w:styleId="35">
    <w:name w:val="Emphasis"/>
    <w:basedOn w:val="32"/>
    <w:qFormat/>
    <w:uiPriority w:val="20"/>
    <w:rPr>
      <w:i/>
    </w:rPr>
  </w:style>
  <w:style w:type="character" w:styleId="36">
    <w:name w:val="Hyperlink"/>
    <w:basedOn w:val="32"/>
    <w:autoRedefine/>
    <w:unhideWhenUsed/>
    <w:qFormat/>
    <w:uiPriority w:val="99"/>
    <w:rPr>
      <w:color w:val="0563C1" w:themeColor="hyperlink"/>
      <w:u w:val="single"/>
      <w14:textFill>
        <w14:solidFill>
          <w14:schemeClr w14:val="hlink"/>
        </w14:solidFill>
      </w14:textFill>
    </w:rPr>
  </w:style>
  <w:style w:type="character" w:styleId="37">
    <w:name w:val="annotation reference"/>
    <w:basedOn w:val="32"/>
    <w:autoRedefine/>
    <w:qFormat/>
    <w:uiPriority w:val="0"/>
    <w:rPr>
      <w:sz w:val="21"/>
      <w:szCs w:val="21"/>
    </w:rPr>
  </w:style>
  <w:style w:type="paragraph" w:customStyle="1" w:styleId="38">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9">
    <w:name w:val="正文缩进2"/>
    <w:basedOn w:val="1"/>
    <w:autoRedefine/>
    <w:qFormat/>
    <w:uiPriority w:val="0"/>
    <w:pPr>
      <w:wordWrap w:val="0"/>
      <w:ind w:firstLine="480"/>
    </w:pPr>
    <w:rPr>
      <w:iCs/>
      <w:shd w:val="clear" w:color="auto" w:fill="FFFFFF" w:themeFill="background1"/>
      <w:lang w:val="zh-CN"/>
    </w:rPr>
  </w:style>
  <w:style w:type="character" w:customStyle="1" w:styleId="40">
    <w:name w:val="标题 1 字符"/>
    <w:basedOn w:val="32"/>
    <w:link w:val="3"/>
    <w:autoRedefine/>
    <w:qFormat/>
    <w:uiPriority w:val="9"/>
    <w:rPr>
      <w:rFonts w:eastAsia="黑体"/>
      <w:b/>
      <w:bCs/>
      <w:kern w:val="44"/>
      <w:sz w:val="44"/>
      <w:szCs w:val="44"/>
    </w:rPr>
  </w:style>
  <w:style w:type="paragraph" w:styleId="41">
    <w:name w:val="List Paragraph"/>
    <w:basedOn w:val="1"/>
    <w:autoRedefine/>
    <w:qFormat/>
    <w:uiPriority w:val="34"/>
    <w:pPr>
      <w:numPr>
        <w:ilvl w:val="0"/>
        <w:numId w:val="2"/>
      </w:numPr>
    </w:pPr>
  </w:style>
  <w:style w:type="character" w:customStyle="1" w:styleId="42">
    <w:name w:val="页眉 字符"/>
    <w:basedOn w:val="32"/>
    <w:link w:val="21"/>
    <w:autoRedefine/>
    <w:qFormat/>
    <w:uiPriority w:val="99"/>
    <w:rPr>
      <w:rFonts w:eastAsia="宋体"/>
      <w:sz w:val="18"/>
      <w:szCs w:val="18"/>
    </w:rPr>
  </w:style>
  <w:style w:type="character" w:customStyle="1" w:styleId="43">
    <w:name w:val="页脚 字符"/>
    <w:basedOn w:val="32"/>
    <w:link w:val="20"/>
    <w:autoRedefine/>
    <w:qFormat/>
    <w:uiPriority w:val="99"/>
    <w:rPr>
      <w:rFonts w:eastAsia="宋体"/>
      <w:sz w:val="18"/>
      <w:szCs w:val="18"/>
    </w:rPr>
  </w:style>
  <w:style w:type="character" w:customStyle="1" w:styleId="44">
    <w:name w:val="标题 2 字符"/>
    <w:basedOn w:val="32"/>
    <w:link w:val="4"/>
    <w:autoRedefine/>
    <w:qFormat/>
    <w:uiPriority w:val="0"/>
    <w:rPr>
      <w:rFonts w:eastAsia="宋体" w:asciiTheme="majorHAnsi" w:hAnsiTheme="majorHAnsi" w:cstheme="majorBidi"/>
      <w:b/>
      <w:bCs/>
      <w:sz w:val="32"/>
      <w:szCs w:val="32"/>
    </w:rPr>
  </w:style>
  <w:style w:type="character" w:customStyle="1" w:styleId="45">
    <w:name w:val="批注文字 字符"/>
    <w:basedOn w:val="32"/>
    <w:link w:val="13"/>
    <w:autoRedefine/>
    <w:qFormat/>
    <w:uiPriority w:val="0"/>
    <w:rPr>
      <w:szCs w:val="24"/>
    </w:rPr>
  </w:style>
  <w:style w:type="paragraph" w:customStyle="1" w:styleId="46">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7">
    <w:name w:val="标题 3 字符"/>
    <w:basedOn w:val="32"/>
    <w:link w:val="5"/>
    <w:autoRedefine/>
    <w:qFormat/>
    <w:uiPriority w:val="9"/>
    <w:rPr>
      <w:rFonts w:eastAsia="宋体"/>
      <w:b/>
      <w:bCs/>
      <w:sz w:val="30"/>
      <w:szCs w:val="32"/>
    </w:rPr>
  </w:style>
  <w:style w:type="character" w:customStyle="1" w:styleId="48">
    <w:name w:val="标题 4 字符"/>
    <w:basedOn w:val="32"/>
    <w:link w:val="6"/>
    <w:autoRedefine/>
    <w:qFormat/>
    <w:uiPriority w:val="9"/>
    <w:rPr>
      <w:rFonts w:eastAsia="宋体" w:asciiTheme="majorHAnsi" w:hAnsiTheme="majorHAnsi" w:cstheme="majorBidi"/>
      <w:b/>
      <w:bCs/>
      <w:sz w:val="28"/>
      <w:szCs w:val="28"/>
    </w:rPr>
  </w:style>
  <w:style w:type="character" w:customStyle="1" w:styleId="49">
    <w:name w:val="正文文本 字符"/>
    <w:basedOn w:val="32"/>
    <w:link w:val="14"/>
    <w:autoRedefine/>
    <w:qFormat/>
    <w:uiPriority w:val="99"/>
    <w:rPr>
      <w:szCs w:val="24"/>
    </w:rPr>
  </w:style>
  <w:style w:type="paragraph" w:customStyle="1" w:styleId="50">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1">
    <w:name w:val="No Spacing"/>
    <w:autoRedefine/>
    <w:qFormat/>
    <w:uiPriority w:val="1"/>
    <w:pPr>
      <w:widowControl w:val="0"/>
    </w:pPr>
    <w:rPr>
      <w:rFonts w:ascii="宋体" w:hAnsi="宋体" w:eastAsia="宋体" w:cstheme="minorBidi"/>
      <w:kern w:val="2"/>
      <w:sz w:val="24"/>
      <w:szCs w:val="22"/>
      <w:lang w:val="en-US" w:eastAsia="zh-CN" w:bidi="ar-SA"/>
    </w:rPr>
  </w:style>
  <w:style w:type="character" w:customStyle="1" w:styleId="52">
    <w:name w:val="未处理的提及1"/>
    <w:basedOn w:val="32"/>
    <w:autoRedefine/>
    <w:semiHidden/>
    <w:unhideWhenUsed/>
    <w:qFormat/>
    <w:uiPriority w:val="99"/>
    <w:rPr>
      <w:color w:val="605E5C"/>
      <w:shd w:val="clear" w:color="auto" w:fill="E1DFDD"/>
    </w:rPr>
  </w:style>
  <w:style w:type="character" w:customStyle="1" w:styleId="53">
    <w:name w:val="批注主题 字符"/>
    <w:basedOn w:val="45"/>
    <w:link w:val="28"/>
    <w:autoRedefine/>
    <w:semiHidden/>
    <w:qFormat/>
    <w:uiPriority w:val="99"/>
    <w:rPr>
      <w:rFonts w:ascii="宋体" w:hAnsi="宋体" w:cstheme="minorBidi"/>
      <w:b/>
      <w:bCs/>
      <w:kern w:val="2"/>
      <w:sz w:val="24"/>
      <w:szCs w:val="22"/>
    </w:rPr>
  </w:style>
  <w:style w:type="character" w:customStyle="1" w:styleId="54">
    <w:name w:val="未处理的提及2"/>
    <w:basedOn w:val="32"/>
    <w:autoRedefine/>
    <w:semiHidden/>
    <w:unhideWhenUsed/>
    <w:qFormat/>
    <w:uiPriority w:val="99"/>
    <w:rPr>
      <w:color w:val="605E5C"/>
      <w:shd w:val="clear" w:color="auto" w:fill="E1DFDD"/>
    </w:rPr>
  </w:style>
  <w:style w:type="paragraph" w:customStyle="1" w:styleId="55">
    <w:name w:val="正文_2"/>
    <w:autoRedefine/>
    <w:qFormat/>
    <w:uiPriority w:val="0"/>
    <w:pPr>
      <w:widowControl w:val="0"/>
      <w:jc w:val="both"/>
    </w:pPr>
    <w:rPr>
      <w:rFonts w:ascii="Calibri" w:hAnsi="Calibri" w:eastAsia="宋体" w:cs="Times New Roman"/>
      <w:lang w:val="en-US" w:eastAsia="zh-CN" w:bidi="ar-SA"/>
    </w:rPr>
  </w:style>
  <w:style w:type="paragraph" w:customStyle="1" w:styleId="56">
    <w:name w:val="正文1"/>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7">
    <w:name w:val="正文_1"/>
    <w:next w:val="58"/>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
    <w:name w:val="正"/>
    <w:basedOn w:val="57"/>
    <w:qFormat/>
    <w:uiPriority w:val="0"/>
    <w:pPr>
      <w:tabs>
        <w:tab w:val="left" w:pos="-120"/>
      </w:tabs>
      <w:spacing w:line="560" w:lineRule="exact"/>
      <w:ind w:firstLine="600"/>
      <w:textAlignment w:val="baseline"/>
    </w:pPr>
    <w:rPr>
      <w:rFonts w:ascii="仿宋_GB2312" w:hAnsi="仿宋_GB2312" w:eastAsia="仿宋_GB2312" w:cs="仿宋_GB2312"/>
      <w:color w:val="000000"/>
      <w:spacing w:val="20"/>
      <w:kern w:val="0"/>
    </w:rPr>
  </w:style>
  <w:style w:type="paragraph" w:customStyle="1" w:styleId="59">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60">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1">
    <w:name w:val="Normal Indent1"/>
    <w:basedOn w:val="1"/>
    <w:autoRedefine/>
    <w:qFormat/>
    <w:uiPriority w:val="0"/>
    <w:pPr>
      <w:ind w:firstLine="420" w:firstLineChars="200"/>
    </w:pPr>
  </w:style>
  <w:style w:type="paragraph" w:customStyle="1" w:styleId="62">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3">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64">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5">
    <w:name w:val="正文_0_0_0 Char"/>
    <w:link w:val="66"/>
    <w:autoRedefine/>
    <w:qFormat/>
    <w:locked/>
    <w:uiPriority w:val="0"/>
    <w:rPr>
      <w:rFonts w:ascii="Calibri" w:hAnsi="Calibri" w:cs="Calibri"/>
      <w:kern w:val="2"/>
      <w:sz w:val="28"/>
      <w:szCs w:val="22"/>
      <w:lang w:val="en-US" w:eastAsia="zh-CN" w:bidi="ar-SA"/>
    </w:rPr>
  </w:style>
  <w:style w:type="paragraph" w:customStyle="1" w:styleId="66">
    <w:name w:val="正文_0_0_0_0_0"/>
    <w:link w:val="65"/>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7">
    <w:name w:val="正文文本_0_1"/>
    <w:basedOn w:val="68"/>
    <w:autoRedefine/>
    <w:qFormat/>
    <w:uiPriority w:val="99"/>
    <w:pPr>
      <w:spacing w:after="120"/>
    </w:pPr>
    <w:rPr>
      <w:kern w:val="0"/>
      <w:sz w:val="24"/>
      <w:szCs w:val="20"/>
    </w:rPr>
  </w:style>
  <w:style w:type="paragraph" w:customStyle="1" w:styleId="68">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Table Paragraph_1"/>
    <w:basedOn w:val="68"/>
    <w:autoRedefine/>
    <w:qFormat/>
    <w:uiPriority w:val="0"/>
    <w:pPr>
      <w:jc w:val="left"/>
    </w:pPr>
    <w:rPr>
      <w:kern w:val="0"/>
      <w:sz w:val="22"/>
      <w:lang w:eastAsia="en-US"/>
    </w:rPr>
  </w:style>
  <w:style w:type="paragraph" w:customStyle="1" w:styleId="70">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1">
    <w:name w:val="正文11"/>
    <w:autoRedefine/>
    <w:qFormat/>
    <w:uiPriority w:val="0"/>
    <w:pPr>
      <w:widowControl w:val="0"/>
      <w:jc w:val="both"/>
    </w:pPr>
    <w:rPr>
      <w:rFonts w:ascii="Calibri" w:hAnsi="Calibri" w:eastAsia="宋体" w:cs="Times New Roman"/>
      <w:lang w:val="en-US" w:eastAsia="zh-CN" w:bidi="ar-SA"/>
    </w:rPr>
  </w:style>
  <w:style w:type="paragraph" w:customStyle="1" w:styleId="72">
    <w:name w:val="列出段落1"/>
    <w:basedOn w:val="1"/>
    <w:autoRedefine/>
    <w:qFormat/>
    <w:uiPriority w:val="0"/>
    <w:pPr>
      <w:ind w:firstLine="420" w:firstLineChars="200"/>
    </w:pPr>
    <w:rPr>
      <w:szCs w:val="21"/>
    </w:rPr>
  </w:style>
  <w:style w:type="paragraph" w:customStyle="1" w:styleId="73">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74">
    <w:name w:val="正文2"/>
    <w:basedOn w:val="1"/>
    <w:qFormat/>
    <w:uiPriority w:val="0"/>
    <w:pPr>
      <w:spacing w:before="156"/>
      <w:ind w:firstLine="510" w:firstLineChars="200"/>
    </w:pPr>
    <w:rPr>
      <w:szCs w:val="20"/>
    </w:rPr>
  </w:style>
  <w:style w:type="paragraph" w:customStyle="1" w:styleId="75">
    <w:name w:val="Char Char Char Char Char Char Char1 Char"/>
    <w:basedOn w:val="1"/>
    <w:autoRedefine/>
    <w:qFormat/>
    <w:uiPriority w:val="0"/>
    <w:rPr>
      <w:rFonts w:ascii="Arial" w:hAnsi="Arial" w:cs="Arial"/>
    </w:rPr>
  </w:style>
  <w:style w:type="paragraph" w:customStyle="1" w:styleId="76">
    <w:name w:val="正文缩进2格"/>
    <w:basedOn w:val="1"/>
    <w:qFormat/>
    <w:uiPriority w:val="0"/>
    <w:pPr>
      <w:spacing w:line="600" w:lineRule="exact"/>
      <w:ind w:firstLine="639" w:firstLineChars="206"/>
    </w:pPr>
    <w:rPr>
      <w:rFonts w:ascii="仿宋_GB2312" w:eastAsia="仿宋_GB2312"/>
      <w:kern w:val="0"/>
      <w:sz w:val="31"/>
      <w:szCs w:val="20"/>
    </w:rPr>
  </w:style>
  <w:style w:type="table" w:customStyle="1" w:styleId="77">
    <w:name w:val="Table Normal"/>
    <w:semiHidden/>
    <w:unhideWhenUsed/>
    <w:qFormat/>
    <w:uiPriority w:val="0"/>
    <w:tblPr>
      <w:tblCellMar>
        <w:top w:w="0" w:type="dxa"/>
        <w:left w:w="0" w:type="dxa"/>
        <w:bottom w:w="0" w:type="dxa"/>
        <w:right w:w="0" w:type="dxa"/>
      </w:tblCellMar>
    </w:tblPr>
  </w:style>
  <w:style w:type="paragraph" w:customStyle="1" w:styleId="78">
    <w:name w:val="Table Text"/>
    <w:basedOn w:val="1"/>
    <w:semiHidden/>
    <w:qFormat/>
    <w:uiPriority w:val="0"/>
    <w:rPr>
      <w:rFonts w:ascii="黑体" w:hAnsi="黑体" w:eastAsia="黑体"/>
      <w:sz w:val="18"/>
      <w:szCs w:val="18"/>
      <w:lang w:eastAsia="en-US"/>
    </w:rPr>
  </w:style>
  <w:style w:type="character" w:customStyle="1" w:styleId="79">
    <w:name w:val="font111"/>
    <w:basedOn w:val="32"/>
    <w:qFormat/>
    <w:uiPriority w:val="0"/>
    <w:rPr>
      <w:rFonts w:ascii="Wingdings 2" w:hAnsi="Wingdings 2" w:eastAsia="Wingdings 2" w:cs="Wingdings 2"/>
      <w:color w:val="000000"/>
      <w:sz w:val="18"/>
      <w:szCs w:val="18"/>
      <w:u w:val="none"/>
    </w:rPr>
  </w:style>
  <w:style w:type="character" w:customStyle="1" w:styleId="80">
    <w:name w:val="font71"/>
    <w:basedOn w:val="32"/>
    <w:qFormat/>
    <w:uiPriority w:val="0"/>
    <w:rPr>
      <w:rFonts w:ascii="Calibri" w:hAnsi="Calibri" w:cs="Calibri"/>
      <w:color w:val="000000"/>
      <w:sz w:val="18"/>
      <w:szCs w:val="18"/>
      <w:u w:val="none"/>
    </w:rPr>
  </w:style>
  <w:style w:type="character" w:customStyle="1" w:styleId="81">
    <w:name w:val="font11"/>
    <w:basedOn w:val="32"/>
    <w:qFormat/>
    <w:uiPriority w:val="0"/>
    <w:rPr>
      <w:rFonts w:hint="eastAsia" w:ascii="宋体" w:hAnsi="宋体" w:eastAsia="宋体" w:cs="宋体"/>
      <w:color w:val="000000"/>
      <w:sz w:val="20"/>
      <w:szCs w:val="20"/>
      <w:u w:val="none"/>
    </w:rPr>
  </w:style>
  <w:style w:type="character" w:customStyle="1" w:styleId="82">
    <w:name w:val="font51"/>
    <w:basedOn w:val="32"/>
    <w:qFormat/>
    <w:uiPriority w:val="0"/>
    <w:rPr>
      <w:rFonts w:hint="eastAsia" w:ascii="宋体" w:hAnsi="宋体" w:eastAsia="宋体" w:cs="宋体"/>
      <w:color w:val="000000"/>
      <w:sz w:val="18"/>
      <w:szCs w:val="18"/>
      <w:u w:val="none"/>
    </w:rPr>
  </w:style>
  <w:style w:type="character" w:customStyle="1" w:styleId="83">
    <w:name w:val="font101"/>
    <w:basedOn w:val="32"/>
    <w:qFormat/>
    <w:uiPriority w:val="0"/>
    <w:rPr>
      <w:rFonts w:ascii="MS Gothic" w:hAnsi="MS Gothic" w:eastAsia="MS Gothic" w:cs="MS Gothic"/>
      <w:color w:val="000000"/>
      <w:sz w:val="18"/>
      <w:szCs w:val="18"/>
      <w:u w:val="none"/>
    </w:rPr>
  </w:style>
  <w:style w:type="character" w:customStyle="1" w:styleId="84">
    <w:name w:val="font31"/>
    <w:basedOn w:val="32"/>
    <w:qFormat/>
    <w:uiPriority w:val="0"/>
    <w:rPr>
      <w:rFonts w:hint="eastAsia" w:ascii="宋体" w:hAnsi="宋体" w:eastAsia="宋体" w:cs="宋体"/>
      <w:b/>
      <w:bCs/>
      <w:color w:val="000000"/>
      <w:sz w:val="18"/>
      <w:szCs w:val="18"/>
      <w:u w:val="none"/>
    </w:rPr>
  </w:style>
  <w:style w:type="character" w:customStyle="1" w:styleId="85">
    <w:name w:val="font121"/>
    <w:basedOn w:val="32"/>
    <w:qFormat/>
    <w:uiPriority w:val="0"/>
    <w:rPr>
      <w:rFonts w:hint="eastAsia" w:ascii="宋体" w:hAnsi="宋体" w:eastAsia="宋体" w:cs="宋体"/>
      <w:color w:val="000000"/>
      <w:sz w:val="18"/>
      <w:szCs w:val="18"/>
      <w:u w:val="single"/>
    </w:rPr>
  </w:style>
  <w:style w:type="character" w:customStyle="1" w:styleId="86">
    <w:name w:val="font61"/>
    <w:basedOn w:val="32"/>
    <w:qFormat/>
    <w:uiPriority w:val="0"/>
    <w:rPr>
      <w:rFonts w:hint="default" w:ascii="Times New Roman" w:hAnsi="Times New Roman" w:cs="Times New Roman"/>
      <w:color w:val="000000"/>
      <w:sz w:val="18"/>
      <w:szCs w:val="18"/>
      <w:u w:val="none"/>
    </w:rPr>
  </w:style>
  <w:style w:type="character" w:customStyle="1" w:styleId="87">
    <w:name w:val="font41"/>
    <w:basedOn w:val="32"/>
    <w:qFormat/>
    <w:uiPriority w:val="0"/>
    <w:rPr>
      <w:rFonts w:hint="eastAsia" w:ascii="宋体" w:hAnsi="宋体" w:eastAsia="宋体" w:cs="宋体"/>
      <w:color w:val="000000"/>
      <w:sz w:val="18"/>
      <w:szCs w:val="18"/>
      <w:u w:val="none"/>
    </w:rPr>
  </w:style>
  <w:style w:type="paragraph" w:customStyle="1" w:styleId="88">
    <w:name w:val="msonormal"/>
    <w:basedOn w:val="1"/>
    <w:qFormat/>
    <w:uiPriority w:val="0"/>
    <w:pPr>
      <w:widowControl/>
      <w:spacing w:before="100" w:beforeAutospacing="1" w:after="100" w:afterAutospacing="1" w:line="240" w:lineRule="auto"/>
    </w:pPr>
    <w:rPr>
      <w:rFonts w:cs="宋体"/>
      <w:kern w:val="0"/>
      <w:szCs w:val="24"/>
    </w:rPr>
  </w:style>
  <w:style w:type="paragraph" w:customStyle="1" w:styleId="89">
    <w:name w:val="font5"/>
    <w:basedOn w:val="1"/>
    <w:qFormat/>
    <w:uiPriority w:val="0"/>
    <w:pPr>
      <w:widowControl/>
      <w:spacing w:before="100" w:beforeAutospacing="1" w:after="100" w:afterAutospacing="1" w:line="240" w:lineRule="auto"/>
    </w:pPr>
    <w:rPr>
      <w:rFonts w:cs="宋体"/>
      <w:kern w:val="0"/>
      <w:sz w:val="18"/>
      <w:szCs w:val="18"/>
    </w:rPr>
  </w:style>
  <w:style w:type="paragraph" w:customStyle="1" w:styleId="90">
    <w:name w:val="font6"/>
    <w:basedOn w:val="1"/>
    <w:qFormat/>
    <w:uiPriority w:val="0"/>
    <w:pPr>
      <w:widowControl/>
      <w:spacing w:before="100" w:beforeAutospacing="1" w:after="100" w:afterAutospacing="1" w:line="240" w:lineRule="auto"/>
    </w:pPr>
    <w:rPr>
      <w:rFonts w:cs="宋体"/>
      <w:color w:val="000000"/>
      <w:kern w:val="0"/>
      <w:sz w:val="20"/>
      <w:szCs w:val="20"/>
    </w:rPr>
  </w:style>
  <w:style w:type="paragraph" w:customStyle="1" w:styleId="91">
    <w:name w:val="font7"/>
    <w:basedOn w:val="1"/>
    <w:qFormat/>
    <w:uiPriority w:val="0"/>
    <w:pPr>
      <w:widowControl/>
      <w:spacing w:before="100" w:beforeAutospacing="1" w:after="100" w:afterAutospacing="1" w:line="240" w:lineRule="auto"/>
    </w:pPr>
    <w:rPr>
      <w:rFonts w:cs="宋体"/>
      <w:color w:val="000000"/>
      <w:kern w:val="0"/>
      <w:sz w:val="20"/>
      <w:szCs w:val="20"/>
    </w:rPr>
  </w:style>
  <w:style w:type="paragraph" w:customStyle="1" w:styleId="92">
    <w:name w:val="font8"/>
    <w:basedOn w:val="1"/>
    <w:qFormat/>
    <w:uiPriority w:val="0"/>
    <w:pPr>
      <w:widowControl/>
      <w:spacing w:before="100" w:beforeAutospacing="1" w:after="100" w:afterAutospacing="1" w:line="240" w:lineRule="auto"/>
    </w:pPr>
    <w:rPr>
      <w:rFonts w:ascii="Times New Roman" w:hAnsi="Times New Roman" w:cs="Times New Roman"/>
      <w:color w:val="000000"/>
      <w:kern w:val="0"/>
      <w:sz w:val="20"/>
      <w:szCs w:val="20"/>
    </w:rPr>
  </w:style>
  <w:style w:type="paragraph" w:customStyle="1" w:styleId="93">
    <w:name w:val="font9"/>
    <w:basedOn w:val="1"/>
    <w:qFormat/>
    <w:uiPriority w:val="0"/>
    <w:pPr>
      <w:widowControl/>
      <w:spacing w:before="100" w:beforeAutospacing="1" w:after="100" w:afterAutospacing="1" w:line="240" w:lineRule="auto"/>
    </w:pPr>
    <w:rPr>
      <w:rFonts w:ascii="Calibri" w:hAnsi="Calibri" w:cs="Calibri"/>
      <w:color w:val="000000"/>
      <w:kern w:val="0"/>
      <w:sz w:val="20"/>
      <w:szCs w:val="20"/>
    </w:rPr>
  </w:style>
  <w:style w:type="paragraph" w:customStyle="1" w:styleId="94">
    <w:name w:val="xl63"/>
    <w:basedOn w:val="1"/>
    <w:qFormat/>
    <w:uiPriority w:val="0"/>
    <w:pPr>
      <w:widowControl/>
      <w:spacing w:before="100" w:beforeAutospacing="1" w:after="100" w:afterAutospacing="1" w:line="240" w:lineRule="auto"/>
      <w:jc w:val="center"/>
    </w:pPr>
    <w:rPr>
      <w:rFonts w:cs="宋体"/>
      <w:b/>
      <w:bCs/>
      <w:kern w:val="0"/>
      <w:szCs w:val="24"/>
    </w:rPr>
  </w:style>
  <w:style w:type="paragraph" w:customStyle="1" w:styleId="95">
    <w:name w:val="xl64"/>
    <w:basedOn w:val="1"/>
    <w:qFormat/>
    <w:uiPriority w:val="0"/>
    <w:pPr>
      <w:widowControl/>
      <w:shd w:val="clear" w:color="000000" w:fill="FFFF00"/>
      <w:spacing w:before="100" w:beforeAutospacing="1" w:after="100" w:afterAutospacing="1" w:line="240" w:lineRule="auto"/>
      <w:jc w:val="center"/>
    </w:pPr>
    <w:rPr>
      <w:rFonts w:cs="宋体"/>
      <w:kern w:val="0"/>
      <w:szCs w:val="24"/>
    </w:rPr>
  </w:style>
  <w:style w:type="paragraph" w:customStyle="1" w:styleId="96">
    <w:name w:val="xl65"/>
    <w:basedOn w:val="1"/>
    <w:qFormat/>
    <w:uiPriority w:val="0"/>
    <w:pPr>
      <w:widowControl/>
      <w:spacing w:before="100" w:beforeAutospacing="1" w:after="100" w:afterAutospacing="1" w:line="240" w:lineRule="auto"/>
      <w:jc w:val="center"/>
    </w:pPr>
    <w:rPr>
      <w:rFonts w:cs="宋体"/>
      <w:kern w:val="0"/>
      <w:szCs w:val="24"/>
    </w:rPr>
  </w:style>
  <w:style w:type="paragraph" w:customStyle="1" w:styleId="97">
    <w:name w:val="xl66"/>
    <w:basedOn w:val="1"/>
    <w:qFormat/>
    <w:uiPriority w:val="0"/>
    <w:pPr>
      <w:widowControl/>
      <w:spacing w:before="100" w:beforeAutospacing="1" w:after="100" w:afterAutospacing="1" w:line="240" w:lineRule="auto"/>
    </w:pPr>
    <w:rPr>
      <w:rFonts w:cs="宋体"/>
      <w:kern w:val="0"/>
      <w:szCs w:val="24"/>
    </w:rPr>
  </w:style>
  <w:style w:type="paragraph" w:customStyle="1" w:styleId="98">
    <w:name w:val="xl67"/>
    <w:basedOn w:val="1"/>
    <w:qFormat/>
    <w:uiPriority w:val="0"/>
    <w:pPr>
      <w:widowControl/>
      <w:spacing w:before="100" w:beforeAutospacing="1" w:after="100" w:afterAutospacing="1" w:line="240" w:lineRule="auto"/>
    </w:pPr>
    <w:rPr>
      <w:rFonts w:cs="宋体"/>
      <w:kern w:val="0"/>
      <w:szCs w:val="24"/>
    </w:rPr>
  </w:style>
  <w:style w:type="paragraph" w:customStyle="1" w:styleId="9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cs="宋体"/>
      <w:kern w:val="0"/>
      <w:sz w:val="20"/>
      <w:szCs w:val="20"/>
    </w:rPr>
  </w:style>
  <w:style w:type="paragraph" w:customStyle="1" w:styleId="100">
    <w:name w:val="xl6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cs="宋体"/>
      <w:kern w:val="0"/>
      <w:sz w:val="20"/>
      <w:szCs w:val="20"/>
    </w:rPr>
  </w:style>
  <w:style w:type="paragraph" w:customStyle="1" w:styleId="10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cs="宋体"/>
      <w:kern w:val="0"/>
      <w:sz w:val="20"/>
      <w:szCs w:val="20"/>
    </w:rPr>
  </w:style>
  <w:style w:type="paragraph" w:customStyle="1" w:styleId="10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cs="宋体"/>
      <w:kern w:val="0"/>
      <w:sz w:val="20"/>
      <w:szCs w:val="20"/>
    </w:rPr>
  </w:style>
  <w:style w:type="paragraph" w:customStyle="1" w:styleId="10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cs="宋体"/>
      <w:kern w:val="0"/>
      <w:sz w:val="20"/>
      <w:szCs w:val="20"/>
    </w:rPr>
  </w:style>
  <w:style w:type="paragraph" w:customStyle="1" w:styleId="104">
    <w:name w:val="xl73"/>
    <w:basedOn w:val="1"/>
    <w:qFormat/>
    <w:uiPriority w:val="0"/>
    <w:pPr>
      <w:widowControl/>
      <w:pBdr>
        <w:left w:val="single" w:color="auto" w:sz="4" w:space="0"/>
        <w:right w:val="single" w:color="auto" w:sz="4" w:space="0"/>
      </w:pBdr>
      <w:spacing w:before="100" w:beforeAutospacing="1" w:after="100" w:afterAutospacing="1" w:line="240" w:lineRule="auto"/>
      <w:jc w:val="center"/>
    </w:pPr>
    <w:rPr>
      <w:rFonts w:cs="宋体"/>
      <w:kern w:val="0"/>
      <w:sz w:val="20"/>
      <w:szCs w:val="20"/>
    </w:rPr>
  </w:style>
  <w:style w:type="paragraph" w:customStyle="1" w:styleId="105">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cs="宋体"/>
      <w:color w:val="000000"/>
      <w:kern w:val="0"/>
      <w:sz w:val="20"/>
      <w:szCs w:val="20"/>
    </w:rPr>
  </w:style>
  <w:style w:type="paragraph" w:customStyle="1" w:styleId="106">
    <w:name w:val="xl7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cs="宋体"/>
      <w:kern w:val="0"/>
      <w:sz w:val="20"/>
      <w:szCs w:val="20"/>
    </w:rPr>
  </w:style>
  <w:style w:type="paragraph" w:customStyle="1" w:styleId="10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cs="宋体"/>
      <w:kern w:val="0"/>
      <w:sz w:val="20"/>
      <w:szCs w:val="20"/>
    </w:rPr>
  </w:style>
  <w:style w:type="paragraph" w:customStyle="1" w:styleId="108">
    <w:name w:val="xl77"/>
    <w:basedOn w:val="1"/>
    <w:qFormat/>
    <w:uiPriority w:val="0"/>
    <w:pPr>
      <w:widowControl/>
      <w:spacing w:before="100" w:beforeAutospacing="1" w:after="100" w:afterAutospacing="1" w:line="240" w:lineRule="auto"/>
    </w:pPr>
    <w:rPr>
      <w:rFonts w:cs="宋体"/>
      <w:kern w:val="0"/>
      <w:sz w:val="20"/>
      <w:szCs w:val="20"/>
    </w:rPr>
  </w:style>
  <w:style w:type="paragraph" w:customStyle="1" w:styleId="109">
    <w:name w:val="xl7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cs="宋体"/>
      <w:kern w:val="0"/>
      <w:sz w:val="20"/>
      <w:szCs w:val="20"/>
    </w:rPr>
  </w:style>
  <w:style w:type="paragraph" w:customStyle="1" w:styleId="110">
    <w:name w:val="xl79"/>
    <w:basedOn w:val="1"/>
    <w:qFormat/>
    <w:uiPriority w:val="0"/>
    <w:pPr>
      <w:widowControl/>
      <w:pBdr>
        <w:left w:val="single" w:color="auto" w:sz="4" w:space="0"/>
        <w:right w:val="single" w:color="auto" w:sz="4" w:space="0"/>
      </w:pBdr>
      <w:spacing w:before="100" w:beforeAutospacing="1" w:after="100" w:afterAutospacing="1" w:line="240" w:lineRule="auto"/>
      <w:jc w:val="center"/>
    </w:pPr>
    <w:rPr>
      <w:rFonts w:cs="宋体"/>
      <w:kern w:val="0"/>
      <w:sz w:val="20"/>
      <w:szCs w:val="20"/>
    </w:rPr>
  </w:style>
  <w:style w:type="paragraph" w:customStyle="1" w:styleId="111">
    <w:name w:val="xl8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cs="宋体"/>
      <w:kern w:val="0"/>
      <w:sz w:val="20"/>
      <w:szCs w:val="20"/>
    </w:rPr>
  </w:style>
  <w:style w:type="paragraph" w:customStyle="1" w:styleId="11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cs="宋体"/>
      <w:kern w:val="0"/>
      <w:sz w:val="20"/>
      <w:szCs w:val="20"/>
    </w:rPr>
  </w:style>
  <w:style w:type="paragraph" w:customStyle="1" w:styleId="113">
    <w:name w:val="xl82"/>
    <w:basedOn w:val="1"/>
    <w:qFormat/>
    <w:uiPriority w:val="0"/>
    <w:pPr>
      <w:widowControl/>
      <w:spacing w:before="100" w:beforeAutospacing="1" w:after="100" w:afterAutospacing="1" w:line="240" w:lineRule="auto"/>
    </w:pPr>
    <w:rPr>
      <w:rFonts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b8903bc5-cf57-44f2-9e06-aef795a067cb</errorID>
      <errorWord>“/</errorWord>
      <group>L1_Punc</group>
      <groupName>标点问题</groupName>
      <ability>L2_Punc</ability>
      <abilityName>标点符号检查</abilityName>
      <candidateList>
        <item>“</item>
      </candidateList>
      <explain/>
      <paraID>7FBD95E1</paraID>
      <start>119</start>
      <end>121</end>
      <status>ignored</status>
      <modifiedWord/>
      <trackRevisions>false</trackRevisions>
    </reviewItem>
    <reviewItem>
      <errorID>0bb1d292-88bb-4c86-a587-191fdffe6483</errorID>
      <errorWord>(</errorWord>
      <group>L1_Format</group>
      <groupName>格式问题</groupName>
      <ability>L2_HalfPunc</ability>
      <abilityName>全半角检查</abilityName>
      <candidateList>
        <item>（</item>
      </candidateList>
      <explain>文本全半角错误。</explain>
      <paraID>2852FE91</paraID>
      <start>1</start>
      <end>2</end>
      <status>ignored</status>
      <modifiedWord/>
      <trackRevisions>false</trackRevisions>
    </reviewItem>
    <reviewItem>
      <errorID>470ae112-20e7-441a-aa3f-7a572c30eabf</errorID>
      <errorWord>)</errorWord>
      <group>L1_Format</group>
      <groupName>格式问题</groupName>
      <ability>L2_HalfPunc</ability>
      <abilityName>全半角检查</abilityName>
      <candidateList>
        <item>）</item>
      </candidateList>
      <explain>文本全半角错误。</explain>
      <paraID>2852FE91</paraID>
      <start>6</start>
      <end>7</end>
      <status>ignored</status>
      <modifiedWord/>
      <trackRevisions>false</trackRevisions>
    </reviewItem>
    <reviewItem>
      <errorID>86bb1e2c-353a-4d6f-a7b5-baa72b2d2084</errorID>
      <errorWord>,</errorWord>
      <group>L1_Format</group>
      <groupName>格式问题</groupName>
      <ability>L2_HalfPunc</ability>
      <abilityName>全半角检查</abilityName>
      <candidateList>
        <item>，</item>
      </candidateList>
      <explain>文本全半角错误。</explain>
      <paraID>1C35AF5F</paraID>
      <start>36</start>
      <end>37</end>
      <status>modified</status>
      <modifiedWord>，</modifiedWord>
      <trackRevisions>false</trackRevisions>
    </reviewItem>
    <reviewItem>
      <errorID>c4084648-8799-4f0e-bfa2-4a5e0192bfbb</errorID>
      <errorWord>,</errorWord>
      <group>L1_Format</group>
      <groupName>格式问题</groupName>
      <ability>L2_HalfPunc</ability>
      <abilityName>全半角检查</abilityName>
      <candidateList>
        <item>，</item>
      </candidateList>
      <explain>文本全半角错误。</explain>
      <paraID>55BA9FF5</paraID>
      <start>48</start>
      <end>49</end>
      <status>modified</status>
      <modifiedWord>，</modifiedWord>
      <trackRevisions>false</trackRevisions>
    </reviewItem>
    <reviewItem>
      <errorID>d685372b-7c99-467d-ae93-1e9655045d11</errorID>
      <errorWord>-</errorWord>
      <group>L1_Format</group>
      <groupName>格式问题</groupName>
      <ability>L2_HalfPunc</ability>
      <abilityName>全半角检查</abilityName>
      <candidateList>
        <item>－</item>
      </candidateList>
      <explain>文本全半角错误。</explain>
      <paraID>276D3E17</paraID>
      <start>46</start>
      <end>47</end>
      <status>modified</status>
      <modifiedWord>－</modifiedWord>
      <trackRevisions>false</trackRevisions>
    </reviewItem>
    <reviewItem>
      <errorID>f22107fd-471f-4172-80b2-b3ec701f0fd6</errorID>
      <errorWord>-</errorWord>
      <group>L1_Format</group>
      <groupName>格式问题</groupName>
      <ability>L2_HalfPunc</ability>
      <abilityName>全半角检查</abilityName>
      <candidateList>
        <item>－</item>
      </candidateList>
      <explain>文本全半角错误。</explain>
      <paraID>276D3E17</paraID>
      <start>51</start>
      <end>52</end>
      <status>modified</status>
      <modifiedWord>－</modifiedWord>
      <trackRevisions>false</trackRevisions>
    </reviewItem>
    <reviewItem>
      <errorID>8869cb43-26a1-433c-937a-de7e95326a6c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30FA302A</paraID>
      <start>0</start>
      <end>2</end>
      <status>modified</status>
      <modifiedWord>1.</modifiedWord>
      <trackRevisions>false</trackRevisions>
    </reviewItem>
    <reviewItem>
      <errorID>caa2d25d-f424-4873-93fe-0b848eefa9a7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40387C18</paraID>
      <start>0</start>
      <end>2</end>
      <status>modified</status>
      <modifiedWord>2.</modifiedWord>
      <trackRevisions>false</trackRevisions>
    </reviewItem>
    <reviewItem>
      <errorID>b5700499-367d-498d-87b5-63478aad2314</errorID>
      <errorWord>-</errorWord>
      <group>L1_Format</group>
      <groupName>格式问题</groupName>
      <ability>L2_HalfPunc</ability>
      <abilityName>全半角检查</abilityName>
      <candidateList>
        <item>－</item>
      </candidateList>
      <explain>文本全半角错误。</explain>
      <paraID>40387C18</paraID>
      <start>121</start>
      <end>122</end>
      <status>modified</status>
      <modifiedWord>－</modifiedWord>
      <trackRevisions>false</trackRevisions>
    </reviewItem>
    <reviewItem>
      <errorID>14acfcc6-e294-486a-8c44-77b8d8a835c6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34AAF104</paraID>
      <start>0</start>
      <end>2</end>
      <status>modified</status>
      <modifiedWord>3.</modifiedWord>
      <trackRevisions>false</trackRevisions>
    </reviewItem>
    <reviewItem>
      <errorID>e3fdd21d-16f0-402c-b69a-bac4ea9ffe53</errorID>
      <errorWord>、…</errorWord>
      <group>L1_Punc</group>
      <groupName>标点问题</groupName>
      <ability>L2_Punc</ability>
      <abilityName>标点符号检查</abilityName>
      <candidateList>
        <item>、</item>
      </candidateList>
      <explain/>
      <paraID>2658125B</paraID>
      <start>1</start>
      <end>2</end>
      <status>modified</status>
      <modifiedWord>、</modifiedWord>
      <trackRevisions>false</trackRevisions>
    </reviewItem>
    <reviewItem>
      <errorID>ebc9f4c6-13cc-4d07-904a-f046c073e203</errorID>
      <errorWord>:</errorWord>
      <group>L1_Format</group>
      <groupName>格式问题</groupName>
      <ability>L2_HalfPunc</ability>
      <abilityName>全半角检查</abilityName>
      <candidateList>
        <item>：</item>
      </candidateList>
      <explain>文本全半角错误。</explain>
      <paraID>16CF3F9F</paraID>
      <start>2</start>
      <end>3</end>
      <status>modified</status>
      <modifiedWord>：</modifiedWord>
      <trackRevisions>false</trackRevisions>
    </reviewItem>
    <reviewItem>
      <errorID>a5c57f97-0947-458b-8307-3daabbc01fc8</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111A1565</paraID>
      <start>118</start>
      <end>120</end>
      <status>modified</status>
      <modifiedWord>账号</modifiedWord>
      <trackRevisions>false</trackRevisions>
    </reviewItem>
    <reviewItem>
      <errorID>86ea014d-28eb-49a1-8a10-1abe245e6397</errorID>
      <errorWord>将</errorWord>
      <group>L1_Word</group>
      <groupName>字词问题</groupName>
      <ability>L2_Typo</ability>
      <abilityName>字词错误</abilityName>
      <candidateList>
        <item>将在</item>
      </candidateList>
      <explain/>
      <paraID>18ECC266</paraID>
      <start>8</start>
      <end>9</end>
      <status>ignored</status>
      <modifiedWord/>
      <trackRevisions>false</trackRevisions>
    </reviewItem>
    <reviewItem>
      <errorID>5309f2f2-175f-4bb2-84aa-6669cc6e0ddb</errorID>
      <errorWord>,</errorWord>
      <group>L1_Format</group>
      <groupName>格式问题</groupName>
      <ability>L2_HalfPunc</ability>
      <abilityName>全半角检查</abilityName>
      <candidateList>
        <item>，</item>
      </candidateList>
      <explain>文本全半角错误。</explain>
      <paraID>78B9FFCD</paraID>
      <start>91</start>
      <end>92</end>
      <status>modified</status>
      <modifiedWord>，</modifiedWord>
      <trackRevisions>false</trackRevisions>
    </reviewItem>
    <reviewItem>
      <errorID>9ce4bfbc-0112-40dc-9a87-50a803d2ed4c</errorID>
      <errorWord>做</errorWord>
      <group>L1_Word</group>
      <groupName>字词问题</groupName>
      <ability>L2_Typo</ability>
      <abilityName>字词错误</abilityName>
      <candidateList>
        <item>作</item>
      </candidateList>
      <explain>存在发音相同字词的误用。</explain>
      <paraID>1182B9BB</paraID>
      <start>65</start>
      <end>66</end>
      <status>modified</status>
      <modifiedWord>作</modifiedWord>
      <trackRevisions>false</trackRevisions>
    </reviewItem>
    <reviewItem>
      <errorID>4f272d0b-22b2-4ede-8216-1dba4b77b49a</errorID>
      <errorWord>,</errorWord>
      <group>L1_Format</group>
      <groupName>格式问题</groupName>
      <ability>L2_HalfPunc</ability>
      <abilityName>全半角检查</abilityName>
      <candidateList>
        <item>，</item>
      </candidateList>
      <explain>文本全半角错误。</explain>
      <paraID> B6A028F</paraID>
      <start>35</start>
      <end>36</end>
      <status>modified</status>
      <modifiedWord>，</modifiedWord>
      <trackRevisions>false</trackRevisions>
    </reviewItem>
    <reviewItem>
      <errorID>78d46f5d-7f39-4f38-86b2-d61a85682369</errorID>
      <errorWord>”</errorWord>
      <group>L1_Punc</group>
      <groupName>标点问题</groupName>
      <ability>L2_Punc</ability>
      <abilityName>标点符号检查</abilityName>
      <candidateList>
        <item>“</item>
      </candidateList>
      <explain>注意检查双引号的方向是否正确。</explain>
      <paraID>4D80B003</paraID>
      <start>59</start>
      <end>60</end>
      <status>modified</status>
      <modifiedWord>“</modifiedWord>
      <trackRevisions>false</trackRevisions>
    </reviewItem>
    <reviewItem>
      <errorID>6112a56b-2188-42fe-b1ec-ec2ea41c0f61</errorID>
      <errorWord>.</errorWord>
      <group>L1_Format</group>
      <groupName>格式问题</groupName>
      <ability>L2_HalfPunc</ability>
      <abilityName>全半角检查</abilityName>
      <candidateList>
        <item>。</item>
      </candidateList>
      <explain>文本全半角错误。</explain>
      <paraID>4D80B003</paraID>
      <start>83</start>
      <end>84</end>
      <status>ignored</status>
      <modifiedWord/>
      <trackRevisions>false</trackRevisions>
    </reviewItem>
    <reviewItem>
      <errorID>67680d6f-2be4-47fd-b581-d8be155eaf30</errorID>
      <errorWord>,</errorWord>
      <group>L1_Format</group>
      <groupName>格式问题</groupName>
      <ability>L2_HalfPunc</ability>
      <abilityName>全半角检查</abilityName>
      <candidateList>
        <item>，</item>
      </candidateList>
      <explain>文本全半角错误。</explain>
      <paraID>348027D2</paraID>
      <start>10</start>
      <end>11</end>
      <status>modified</status>
      <modifiedWord>，</modifiedWord>
      <trackRevisions>false</trackRevisions>
    </reviewItem>
    <reviewItem>
      <errorID>9a232160-b801-4263-9900-132d24dca638</errorID>
      <errorWord>(</errorWord>
      <group>L1_Format</group>
      <groupName>格式问题</groupName>
      <ability>L2_HalfPunc</ability>
      <abilityName>全半角检查</abilityName>
      <candidateList>
        <item>（</item>
      </candidateList>
      <explain>文本全半角错误。</explain>
      <paraID>53C4680A</paraID>
      <start>40</start>
      <end>41</end>
      <status>modified</status>
      <modifiedWord>（</modifiedWord>
      <trackRevisions>false</trackRevisions>
    </reviewItem>
    <reviewItem>
      <errorID>963d6136-6549-4f12-b5bd-6d42daf20dd3</errorID>
      <errorWord>&lt;</errorWord>
      <group>L1_Format</group>
      <groupName>格式问题</groupName>
      <ability>L2_HalfPunc</ability>
      <abilityName>全半角检查</abilityName>
      <candidateList>
        <item>〈</item>
      </candidateList>
      <explain>文本全半角错误。</explain>
      <paraID>13C08773</paraID>
      <start>162</start>
      <end>163</end>
      <status>ignored</status>
      <modifiedWord/>
      <trackRevisions>false</trackRevisions>
    </reviewItem>
    <reviewItem>
      <errorID>29b874a3-26eb-46aa-b204-51179818988c</errorID>
      <errorWord>&gt;</errorWord>
      <group>L1_Format</group>
      <groupName>格式问题</groupName>
      <ability>L2_HalfPunc</ability>
      <abilityName>全半角检查</abilityName>
      <candidateList>
        <item>〉</item>
      </candidateList>
      <explain>文本全半角错误。</explain>
      <paraID>13C08773</paraID>
      <start>180</start>
      <end>181</end>
      <status>ignored</status>
      <modifiedWord/>
      <trackRevisions>false</trackRevisions>
    </reviewItem>
    <reviewItem>
      <errorID>5457b18b-1da2-4124-b2dd-50e165d8281c</errorID>
      <errorWord>(</errorWord>
      <group>L1_Format</group>
      <groupName>格式问题</groupName>
      <ability>L2_HalfPunc</ability>
      <abilityName>全半角检查</abilityName>
      <candidateList>
        <item>（</item>
      </candidateList>
      <explain>文本全半角错误。</explain>
      <paraID>13C08773</paraID>
      <start>282</start>
      <end>283</end>
      <status>ignored</status>
      <modifiedWord/>
      <trackRevisions>false</trackRevisions>
    </reviewItem>
    <reviewItem>
      <errorID>793b832d-a9f5-4cbf-9718-d165b1ebe0af</errorID>
      <errorWord>)</errorWord>
      <group>L1_Format</group>
      <groupName>格式问题</groupName>
      <ability>L2_HalfPunc</ability>
      <abilityName>全半角检查</abilityName>
      <candidateList>
        <item>）</item>
      </candidateList>
      <explain>文本全半角错误。</explain>
      <paraID>13C08773</paraID>
      <start>285</start>
      <end>286</end>
      <status>modified</status>
      <modifiedWord>）</modifiedWord>
      <trackRevisions>false</trackRevisions>
    </reviewItem>
    <reviewItem>
      <errorID>dc9603b6-fbd7-4509-9394-a526cea4292a</errorID>
      <errorWord>(</errorWord>
      <group>L1_Format</group>
      <groupName>格式问题</groupName>
      <ability>L2_HalfPunc</ability>
      <abilityName>全半角检查</abilityName>
      <candidateList>
        <item>（</item>
      </candidateList>
      <explain>文本全半角错误。</explain>
      <paraID>575DAF11</paraID>
      <start>86</start>
      <end>87</end>
      <status>modified</status>
      <modifiedWord>（</modifiedWord>
      <trackRevisions>false</trackRevisions>
    </reviewItem>
    <reviewItem>
      <errorID>73c7827c-a796-4786-88ee-8c62a7dfa4e4</errorID>
      <errorWord>)</errorWord>
      <group>L1_Format</group>
      <groupName>格式问题</groupName>
      <ability>L2_HalfPunc</ability>
      <abilityName>全半角检查</abilityName>
      <candidateList>
        <item>）</item>
      </candidateList>
      <explain>文本全半角错误。</explain>
      <paraID>575DAF11</paraID>
      <start>89</start>
      <end>90</end>
      <status>modified</status>
      <modifiedWord>）</modifiedWord>
      <trackRevisions>false</trackRevisions>
    </reviewItem>
    <reviewItem>
      <errorID>5a290310-ffbd-4321-97a7-f908311aeb65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3DA94789</paraID>
      <start>48</start>
      <end>50</end>
      <status>modified</status>
      <modifiedWord>》《</modifiedWord>
      <trackRevisions>false</trackRevisions>
    </reviewItem>
    <reviewItem>
      <errorID>b8f9b3af-5a05-45cc-ac77-5a3bde9417f0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41</start>
      <end>43</end>
      <status>modified</status>
      <modifiedWord>》《</modifiedWord>
      <trackRevisions>false</trackRevisions>
    </reviewItem>
    <reviewItem>
      <errorID>bc822e6a-a057-466e-b93a-de9609727345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59</start>
      <end>61</end>
      <status>modified</status>
      <modifiedWord>》《</modifiedWord>
      <trackRevisions>false</trackRevisions>
    </reviewItem>
    <reviewItem>
      <errorID>b69ed2d7-f04a-4413-bba3-babd596d80cf</errorID>
      <errorWord>（</errorWord>
      <group>L1_Punc</group>
      <groupName>标点问题</groupName>
      <ability>L2_Punc</ability>
      <abilityName>标点符号检查</abilityName>
      <candidateList/>
      <explain>同一形式括号套用。</explain>
      <paraID>4CD07220</paraID>
      <start>34</start>
      <end>35</end>
      <status>ignored</status>
      <modifiedWord/>
      <trackRevisions>false</trackRevisions>
    </reviewItem>
    <reviewItem>
      <errorID>2ee9cac1-86ee-4378-b59f-735935c3bcb1</errorID>
      <errorWord>）</errorWord>
      <group>L1_Punc</group>
      <groupName>标点问题</groupName>
      <ability>L2_Punc</ability>
      <abilityName>标点符号检查</abilityName>
      <candidateList/>
      <explain>同一形式括号套用。</explain>
      <paraID>4CD07220</paraID>
      <start>37</start>
      <end>38</end>
      <status>ignored</status>
      <modifiedWord/>
      <trackRevisions>false</trackRevisions>
    </reviewItem>
    <reviewItem>
      <errorID>0950dd76-cf2b-43dd-9726-b27c5909cebb</errorID>
      <errorWord>（</errorWord>
      <group>L1_Punc</group>
      <groupName>标点问题</groupName>
      <ability>L2_Punc</ability>
      <abilityName>标点符号检查</abilityName>
      <candidateList/>
      <explain>同一形式括号套用。</explain>
      <paraID>4CD07220</paraID>
      <start>53</start>
      <end>54</end>
      <status>ignored</status>
      <modifiedWord/>
      <trackRevisions>false</trackRevisions>
    </reviewItem>
    <reviewItem>
      <errorID>ed1d05fe-6376-4587-8544-66665876c60b</errorID>
      <errorWord>）</errorWord>
      <group>L1_Punc</group>
      <groupName>标点问题</groupName>
      <ability>L2_Punc</ability>
      <abilityName>标点符号检查</abilityName>
      <candidateList/>
      <explain>同一形式括号套用。</explain>
      <paraID>4CD07220</paraID>
      <start>56</start>
      <end>57</end>
      <status>ignored</status>
      <modifiedWord/>
      <trackRevisions>false</trackRevisions>
    </reviewItem>
    <reviewItem>
      <errorID>ffd10972-f00e-4e11-a65c-befb0a6fa5d9</errorID>
      <errorWord>（</errorWord>
      <group>L1_Punc</group>
      <groupName>标点问题</groupName>
      <ability>L2_Punc</ability>
      <abilityName>标点符号检查</abilityName>
      <candidateList/>
      <explain>同一形式括号套用。</explain>
      <paraID>4CD07220</paraID>
      <start>62</start>
      <end>63</end>
      <status>ignored</status>
      <modifiedWord/>
      <trackRevisions>false</trackRevisions>
    </reviewItem>
    <reviewItem>
      <errorID>3379b1d8-b7ee-4ac9-ab64-4c2b6a70edff</errorID>
      <errorWord>）</errorWord>
      <group>L1_Punc</group>
      <groupName>标点问题</groupName>
      <ability>L2_Punc</ability>
      <abilityName>标点符号检查</abilityName>
      <candidateList/>
      <explain>同一形式括号套用。</explain>
      <paraID>4CD07220</paraID>
      <start>77</start>
      <end>78</end>
      <status>ignored</status>
      <modifiedWord/>
      <trackRevisions>false</trackRevisions>
    </reviewItem>
    <reviewItem>
      <errorID>91f88d66-fdd6-443a-99cd-f910a203113a</errorID>
      <errorWord>）；</errorWord>
      <group>L1_Format</group>
      <groupName>格式问题</groupName>
      <ability>L2_HalfPunc</ability>
      <abilityName>全半角检查</abilityName>
      <candidateList>
        <item>);</item>
      </candidateList>
      <explain>文本全半角错误。</explain>
      <paraID>4D80C076</paraID>
      <start>39</start>
      <end>41</end>
      <status>modified</status>
      <modifiedWord>);</modifiedWord>
      <trackRevisions>false</trackRevisions>
    </reviewItem>
    <reviewItem>
      <errorID>6885661f-0646-4659-9ea4-2fe9785321ad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363BBCEC</paraID>
      <start>0</start>
      <end>2</end>
      <status>modified</status>
      <modifiedWord>1.</modifiedWord>
      <trackRevisions>false</trackRevisions>
    </reviewItem>
    <reviewItem>
      <errorID>5b24d709-62f1-4a19-a019-8c9e24234910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48EEE38E</paraID>
      <start>0</start>
      <end>2</end>
      <status>modified</status>
      <modifiedWord>2.</modifiedWord>
      <trackRevisions>false</trackRevisions>
    </reviewItem>
    <reviewItem>
      <errorID>eb7c0d4b-3b8a-4dd9-8354-1c4454daa895</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542AC51F</paraID>
      <start>31</start>
      <end>32</end>
      <status>modified</status>
      <modifiedWord>且</modifiedWord>
      <trackRevisions>false</trackRevisions>
    </reviewItem>
    <reviewItem>
      <errorID>13e9b9b9-259c-4f0a-b974-f42f7ce7c9ea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32C90847</paraID>
      <start>0</start>
      <end>2</end>
      <status>modified</status>
      <modifiedWord>1.</modifiedWord>
      <trackRevisions>false</trackRevisions>
    </reviewItem>
    <reviewItem>
      <errorID>f3030b80-c0a5-4502-a71f-c82648577b98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7297771</paraID>
      <start>0</start>
      <end>2</end>
      <status>modified</status>
      <modifiedWord>2.</modifiedWord>
      <trackRevisions>false</trackRevisions>
    </reviewItem>
    <reviewItem>
      <errorID>8e78bf74-a134-4d64-be0a-e8fd3abccc78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3D553F99</paraID>
      <start>0</start>
      <end>2</end>
      <status>modified</status>
      <modifiedWord>3.</modifiedWord>
      <trackRevisions>false</trackRevisions>
    </reviewItem>
    <reviewItem>
      <errorID>7048b893-b102-4579-a614-37811206ea94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30B35282</paraID>
      <start>0</start>
      <end>2</end>
      <status>modified</status>
      <modifiedWord>4.</modifiedWord>
      <trackRevisions>false</trackRevisions>
    </reviewItem>
    <reviewItem>
      <errorID>688da216-2e4f-4e38-a643-7eaad821ae5f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672B5E7E</paraID>
      <start>0</start>
      <end>2</end>
      <status>modified</status>
      <modifiedWord>5.</modifiedWord>
      <trackRevisions>false</trackRevisions>
    </reviewItem>
    <reviewItem>
      <errorID>acd6dea0-53d5-4f48-b299-cbd5227d569f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5E18183F</paraID>
      <start>0</start>
      <end>2</end>
      <status>modified</status>
      <modifiedWord>6.</modifiedWord>
      <trackRevisions>false</trackRevisions>
    </reviewItem>
    <reviewItem>
      <errorID>44cbb66d-c9a8-43a2-9c9f-5dc75f400479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61148C33</paraID>
      <start>0</start>
      <end>2</end>
      <status>modified</status>
      <modifiedWord>7.</modifiedWord>
      <trackRevisions>false</trackRevisions>
    </reviewItem>
    <reviewItem>
      <errorID>b4560977-a15f-41dc-b72b-d58f078684c7</errorID>
      <errorWord>(</errorWord>
      <group>L1_Format</group>
      <groupName>格式问题</groupName>
      <ability>L2_HalfPunc</ability>
      <abilityName>全半角检查</abilityName>
      <candidateList>
        <item>（</item>
      </candidateList>
      <explain>文本全半角错误。</explain>
      <paraID>21B53EAD</paraID>
      <start>11</start>
      <end>12</end>
      <status>ignored</status>
      <modifiedWord/>
      <trackRevisions>false</trackRevisions>
    </reviewItem>
    <reviewItem>
      <errorID>62817bb8-1705-48ec-8e8e-59d23c3aeb20</errorID>
      <errorWord>)</errorWord>
      <group>L1_Format</group>
      <groupName>格式问题</groupName>
      <ability>L2_HalfPunc</ability>
      <abilityName>全半角检查</abilityName>
      <candidateList>
        <item>）</item>
      </candidateList>
      <explain>文本全半角错误。</explain>
      <paraID>21B53EAD</paraID>
      <start>17</start>
      <end>18</end>
      <status>ignored</status>
      <modifiedWord/>
      <trackRevisions>false</trackRevisions>
    </reviewItem>
    <reviewItem>
      <errorID>bcdb442a-cc60-4a8e-9e53-4987481dbae2</errorID>
      <errorWord>详</errorWord>
      <group>L1_Word</group>
      <groupName>字词问题</groupName>
      <ability>L2_Typo</ability>
      <abilityName>字词错误</abilityName>
      <candidateList>
        <item>详见</item>
      </candidateList>
      <explain/>
      <paraID> D55CFD2</paraID>
      <start>97</start>
      <end>99</end>
      <status>modified</status>
      <modifiedWord>详见</modifiedWord>
      <trackRevisions>false</trackRevisions>
    </reviewItem>
    <reviewItem>
      <errorID>f9ac1d19-0631-4364-b6a1-ddc3bf9cc663</errorID>
      <errorWord>(</errorWord>
      <group>L1_Format</group>
      <groupName>格式问题</groupName>
      <ability>L2_HalfPunc</ability>
      <abilityName>全半角检查</abilityName>
      <candidateList>
        <item>（</item>
      </candidateList>
      <explain>文本全半角错误。</explain>
      <paraID>2D86B7AD</paraID>
      <start>7</start>
      <end>8</end>
      <status>modified</status>
      <modifiedWord>（</modifiedWord>
      <trackRevisions>false</trackRevisions>
    </reviewItem>
    <reviewItem>
      <errorID>d84935f2-e371-4fb5-8ad2-562e55c1c6dc</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64</start>
      <end>71</end>
      <status>ignored</status>
      <modifiedWord/>
      <trackRevisions>false</trackRevisions>
    </reviewItem>
    <reviewItem>
      <errorID>a4593dd9-1810-49d1-b3ae-b3d403787b51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192</start>
      <end>197</end>
      <status>ignored</status>
      <modifiedWord/>
      <trackRevisions>false</trackRevisions>
    </reviewItem>
    <reviewItem>
      <errorID>a2dd3bc6-9218-480d-838f-c648dc505be1</errorID>
      <errorWord>,</errorWord>
      <group>L1_Format</group>
      <groupName>格式问题</groupName>
      <ability>L2_HalfPunc</ability>
      <abilityName>全半角检查</abilityName>
      <candidateList>
        <item>，</item>
      </candidateList>
      <explain>文本全半角错误。</explain>
      <paraID>149A35CB</paraID>
      <start>8</start>
      <end>9</end>
      <status>modified</status>
      <modifiedWord>，</modifiedWord>
      <trackRevisions>false</trackRevisions>
    </reviewItem>
    <reviewItem>
      <errorID>cb97673a-cac2-4654-941a-884f21247290</errorID>
      <errorWord>,</errorWord>
      <group>L1_Format</group>
      <groupName>格式问题</groupName>
      <ability>L2_HalfPunc</ability>
      <abilityName>全半角检查</abilityName>
      <candidateList>
        <item>，</item>
      </candidateList>
      <explain>文本全半角错误。</explain>
      <paraID>19EFB935</paraID>
      <start>35</start>
      <end>36</end>
      <status>modified</status>
      <modifiedWord>，</modifiedWord>
      <trackRevisions>false</trackRevisions>
    </reviewItem>
    <reviewItem>
      <errorID>624ed4c7-2b8f-41e3-9848-07334e23e4d1</errorID>
      <errorWord>,</errorWord>
      <group>L1_Format</group>
      <groupName>格式问题</groupName>
      <ability>L2_HalfPunc</ability>
      <abilityName>全半角检查</abilityName>
      <candidateList>
        <item>，</item>
      </candidateList>
      <explain>文本全半角错误。</explain>
      <paraID>69951688</paraID>
      <start>4</start>
      <end>5</end>
      <status>modified</status>
      <modifiedWord>，</modifiedWord>
      <trackRevisions>false</trackRevisions>
    </reviewItem>
    <reviewItem>
      <errorID>bcab7383-d462-49ca-b7e3-a8a5f4ca1c2e</errorID>
      <errorWord>,</errorWord>
      <group>L1_Format</group>
      <groupName>格式问题</groupName>
      <ability>L2_HalfPunc</ability>
      <abilityName>全半角检查</abilityName>
      <candidateList>
        <item>，</item>
      </candidateList>
      <explain>文本全半角错误。</explain>
      <paraID>1AFF6E69</paraID>
      <start>31</start>
      <end>32</end>
      <status>modified</status>
      <modifiedWord>，</modifiedWord>
      <trackRevisions>false</trackRevisions>
    </reviewItem>
    <reviewItem>
      <errorID>6675ace8-8f1d-4bfa-a6b2-0c163f6cfd48</errorID>
      <errorWord>-</errorWord>
      <group>L1_Format</group>
      <groupName>格式问题</groupName>
      <ability>L2_HalfPunc</ability>
      <abilityName>全半角检查</abilityName>
      <candidateList>
        <item>－</item>
      </candidateList>
      <explain>文本全半角错误。</explain>
      <paraID>3DB6FBF5</paraID>
      <start>6</start>
      <end>7</end>
      <status>modified</status>
      <modifiedWord>－</modifiedWord>
      <trackRevisions>false</trackRevisions>
    </reviewItem>
    <reviewItem>
      <errorID>d88188a7-868d-46ce-9e75-d17532b80b54</errorID>
      <errorWord>)</errorWord>
      <group>L1_Format</group>
      <groupName>格式问题</groupName>
      <ability>L2_HalfPunc</ability>
      <abilityName>全半角检查</abilityName>
      <candidateList>
        <item>）</item>
      </candidateList>
      <explain>文本全半角错误。</explain>
      <paraID>62C0AA09</paraID>
      <start>18</start>
      <end>19</end>
      <status>modified</status>
      <modifiedWord>）</modifiedWord>
      <trackRevisions>false</trackRevisions>
    </reviewItem>
    <reviewItem>
      <errorID>2a3d8962-7c9c-47ca-a9d3-2f31ed175f35</errorID>
      <errorWord>(</errorWord>
      <group>L1_Format</group>
      <groupName>格式问题</groupName>
      <ability>L2_HalfPunc</ability>
      <abilityName>全半角检查</abilityName>
      <candidateList>
        <item>（</item>
      </candidateList>
      <explain>文本全半角错误。</explain>
      <paraID>7469BF24</paraID>
      <start>11</start>
      <end>12</end>
      <status>modified</status>
      <modifiedWord>（</modifiedWord>
      <trackRevisions>false</trackRevisions>
    </reviewItem>
    <reviewItem>
      <errorID>7e637174-db63-43db-aa2f-74fbe9898c7c</errorID>
      <errorWord>)</errorWord>
      <group>L1_Format</group>
      <groupName>格式问题</groupName>
      <ability>L2_HalfPunc</ability>
      <abilityName>全半角检查</abilityName>
      <candidateList>
        <item>）</item>
      </candidateList>
      <explain>文本全半角错误。</explain>
      <paraID>7469BF24</paraID>
      <start>18</start>
      <end>19</end>
      <status>modified</status>
      <modifiedWord>）</modifiedWord>
      <trackRevisions>false</trackRevisions>
    </reviewItem>
    <reviewItem>
      <errorID>ec081857-59a6-434d-9b43-b7d083d6e174</errorID>
      <errorWord>详</errorWord>
      <group>L1_Word</group>
      <groupName>字词问题</groupName>
      <ability>L2_Typo</ability>
      <abilityName>字词错误</abilityName>
      <candidateList>
        <item>详见</item>
      </candidateList>
      <explain/>
      <paraID> 3A2BC3F</paraID>
      <start>96</start>
      <end>98</end>
      <status>modified</status>
      <modifiedWord>详见</modifiedWord>
      <trackRevisions>false</trackRevisions>
    </reviewItem>
    <reviewItem>
      <errorID>c9913725-ac00-414c-8e08-8e643397d018</errorID>
      <errorWord>&lt;</errorWord>
      <group>L1_Format</group>
      <groupName>格式问题</groupName>
      <ability>L2_HalfPunc</ability>
      <abilityName>全半角检查</abilityName>
      <candidateList>
        <item>〈</item>
      </candidateList>
      <explain>文本全半角错误。</explain>
      <paraID>750C8712</paraID>
      <start>50</start>
      <end>51</end>
      <status>ignored</status>
      <modifiedWord/>
      <trackRevisions>false</trackRevisions>
    </reviewItem>
    <reviewItem>
      <errorID>d9941773-02e9-45ac-8953-be543da9072a</errorID>
      <errorWord>&lt;</errorWord>
      <group>L1_Format</group>
      <groupName>格式问题</groupName>
      <ability>L2_HalfPunc</ability>
      <abilityName>全半角检查</abilityName>
      <candidateList>
        <item>〈</item>
      </candidateList>
      <explain>文本全半角错误。</explain>
      <paraID> 69BC087</paraID>
      <start>50</start>
      <end>51</end>
      <status>ignored</status>
      <modifiedWord/>
      <trackRevisions>false</trackRevisions>
    </reviewItem>
    <reviewItem>
      <errorID>e6d3a693-3c7c-4dd8-aa5c-8c548833e6bf</errorID>
      <errorWord>&lt;</errorWord>
      <group>L1_Format</group>
      <groupName>格式问题</groupName>
      <ability>L2_HalfPunc</ability>
      <abilityName>全半角检查</abilityName>
      <candidateList>
        <item>〈</item>
      </candidateList>
      <explain>文本全半角错误。</explain>
      <paraID>3D6AE374</paraID>
      <start>35</start>
      <end>36</end>
      <status>ignored</status>
      <modifiedWord/>
      <trackRevisions>false</trackRevisions>
    </reviewItem>
    <reviewItem>
      <errorID>74b46237-a1e4-488c-9d84-db235bda8182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64</start>
      <end>71</end>
      <status>ignored</status>
      <modifiedWord/>
      <trackRevisions>false</trackRevisions>
    </reviewItem>
    <reviewItem>
      <errorID>4ac1cca0-85b5-414c-bf51-6538264fc64a</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192</start>
      <end>197</end>
      <status>ignored</status>
      <modifiedWord/>
      <trackRevisions>false</trackRevisions>
    </reviewItem>
    <reviewItem>
      <errorID>466a2d3a-32d6-4a18-adf3-90bbb5dd8930</errorID>
      <errorWord>,</errorWord>
      <group>L1_Format</group>
      <groupName>格式问题</groupName>
      <ability>L2_HalfPunc</ability>
      <abilityName>全半角检查</abilityName>
      <candidateList>
        <item>，</item>
      </candidateList>
      <explain>文本全半角错误。</explain>
      <paraID>1CD1EF40</paraID>
      <start>8</start>
      <end>9</end>
      <status>modified</status>
      <modifiedWord>，</modifiedWord>
      <trackRevisions>false</trackRevisions>
    </reviewItem>
    <reviewItem>
      <errorID>854e8478-5ea1-42a9-a148-46cacdcfa1cb</errorID>
      <errorWord>,</errorWord>
      <group>L1_Format</group>
      <groupName>格式问题</groupName>
      <ability>L2_HalfPunc</ability>
      <abilityName>全半角检查</abilityName>
      <candidateList>
        <item>，</item>
      </candidateList>
      <explain>文本全半角错误。</explain>
      <paraID>54485614</paraID>
      <start>35</start>
      <end>36</end>
      <status>modified</status>
      <modifiedWord>，</modifiedWord>
      <trackRevisions>false</trackRevisions>
    </reviewItem>
    <reviewItem>
      <errorID>5ace6cb6-78ad-4a5e-ac6f-ed44d9a645f8</errorID>
      <errorWord>,</errorWord>
      <group>L1_Format</group>
      <groupName>格式问题</groupName>
      <ability>L2_HalfPunc</ability>
      <abilityName>全半角检查</abilityName>
      <candidateList>
        <item>，</item>
      </candidateList>
      <explain>文本全半角错误。</explain>
      <paraID>10BF99A8</paraID>
      <start>4</start>
      <end>5</end>
      <status>modified</status>
      <modifiedWord>，</modifiedWord>
      <trackRevisions>false</trackRevisions>
    </reviewItem>
    <reviewItem>
      <errorID>1943db7a-56af-4398-8a50-9fb90b73fe46</errorID>
      <errorWord>,</errorWord>
      <group>L1_Format</group>
      <groupName>格式问题</groupName>
      <ability>L2_HalfPunc</ability>
      <abilityName>全半角检查</abilityName>
      <candidateList>
        <item>，</item>
      </candidateList>
      <explain>文本全半角错误。</explain>
      <paraID>3C76FE40</paraID>
      <start>31</start>
      <end>32</end>
      <status>modified</status>
      <modifiedWord>，</modifiedWord>
      <trackRevisions>false</trackRevisions>
    </reviewItem>
    <reviewItem>
      <errorID>fa28aaed-47e9-408b-822a-f2d4023123f0</errorID>
      <errorWord>-</errorWord>
      <group>L1_Format</group>
      <groupName>格式问题</groupName>
      <ability>L2_HalfPunc</ability>
      <abilityName>全半角检查</abilityName>
      <candidateList>
        <item>－</item>
      </candidateList>
      <explain>文本全半角错误。</explain>
      <paraID>24596567</paraID>
      <start>6</start>
      <end>7</end>
      <status>ignored</status>
      <modifiedWord/>
      <trackRevisions>false</trackRevisions>
    </reviewItem>
    <reviewItem>
      <errorID>977931b8-c0be-470c-8dd6-50f3cb1ed1ba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73AFFB38</paraID>
      <start>13</start>
      <end>16</end>
      <status>ignored</status>
      <modifiedWord/>
      <trackRevisions>false</trackRevisions>
    </reviewItem>
    <reviewItem>
      <errorID>dcb27c19-792b-4d8b-93eb-b0b3d70c9aa4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469A8CCD</paraID>
      <start>42</start>
      <end>45</end>
      <status>ignored</status>
      <modifiedWord/>
      <trackRevisions>false</trackRevisions>
    </reviewItem>
    <reviewItem>
      <errorID>f19e5fe3-20a6-4411-8adc-d947c8fe8da1</errorID>
      <errorWord>下</errorWord>
      <group>L1_Word</group>
      <groupName>字词问题</groupName>
      <ability>L2_Typo</ability>
      <abilityName>字词错误</abilityName>
      <candidateList>
        <item>下简</item>
      </candidateList>
      <explain/>
      <paraID>1B278EF8</paraID>
      <start>8</start>
      <end>9</end>
      <status>ignored</status>
      <modifiedWord/>
      <trackRevisions>false</trackRevisions>
    </reviewItem>
    <reviewItem>
      <errorID>2b0a0c39-ad51-4f7e-bfab-9833f44bea30</errorID>
      <errorWord>下</errorWord>
      <group>L1_Word</group>
      <groupName>字词问题</groupName>
      <ability>L2_Typo</ability>
      <abilityName>字词错误</abilityName>
      <candidateList>
        <item>下简</item>
      </candidateList>
      <explain/>
      <paraID>4A104EEB</paraID>
      <start>8</start>
      <end>9</end>
      <status>ignored</status>
      <modifiedWord/>
      <trackRevisions>false</trackRevisions>
    </reviewItem>
    <reviewItem>
      <errorID>cf35d790-74ea-48d1-b906-1d5769aa89f7</errorID>
      <errorWord>涉及到</errorWord>
      <group>L1_Grammar</group>
      <groupName>语法问题</groupName>
      <ability>L2_Grammar</ability>
      <abilityName>语法错误</abilityName>
      <candidateList>
        <item>涉及</item>
      </candidateList>
      <explain>〈动〉牵涉到；关联到：案子～好几个人｜这个问题～面很广。</explain>
      <paraID>648BE1CE</paraID>
      <start>40</start>
      <end>43</end>
      <status>ignored</status>
      <modifiedWord/>
      <trackRevisions>false</trackRevisions>
    </reviewItem>
    <reviewItem>
      <errorID>c1d2d08c-3b5a-4036-8100-c41a6ba02ac1</errorID>
      <errorWord>应</errorWord>
      <group>L1_Word</group>
      <groupName>字词问题</groupName>
      <ability>L2_Typo</ability>
      <abilityName>字词错误</abilityName>
      <candidateList>
        <item>应当</item>
      </candidateList>
      <explain/>
      <paraID> 781C6DB</paraID>
      <start>34</start>
      <end>35</end>
      <status>ignored</status>
      <modifiedWord/>
      <trackRevisions>false</trackRevisions>
    </reviewItem>
    <reviewItem>
      <errorID>a6c3b4e6-3ede-4b72-9532-760c4f0f8a60</errorID>
      <errorWord>作</errorWord>
      <group>L1_Word</group>
      <groupName>字词问题</groupName>
      <ability>L2_Typo</ability>
      <abilityName>字词错误</abilityName>
      <candidateList>
        <item>做</item>
      </candidateList>
      <explain>存在发音相同字词的误用。</explain>
      <paraID>1C5461E0</paraID>
      <start>4</start>
      <end>5</end>
      <status>modified</status>
      <modifiedWord>做</modifiedWord>
      <trackRevisions>false</trackRevisions>
    </reviewItem>
    <reviewItem>
      <errorID>1ad78d2e-96c0-4f80-a2e8-a1e8b1d28622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6E9D2077</paraID>
      <start>0</start>
      <end>2</end>
      <status>modified</status>
      <modifiedWord>1.</modifiedWord>
      <trackRevisions>false</trackRevisions>
    </reviewItem>
    <reviewItem>
      <errorID>edf2e574-3699-4fdd-bca1-058c4114d44e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420A9C0D</paraID>
      <start>0</start>
      <end>2</end>
      <status>modified</status>
      <modifiedWord>2.</modifiedWord>
      <trackRevisions>false</trackRevisions>
    </reviewItem>
    <reviewItem>
      <errorID>70b1a7b1-7ef1-4bc0-bf78-457a5b76cea6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30B26513</paraID>
      <start>0</start>
      <end>2</end>
      <status>modified</status>
      <modifiedWord>3.</modifiedWord>
      <trackRevisions>false</trackRevisions>
    </reviewItem>
    <reviewItem>
      <errorID>5c58b641-5979-4ea2-8ed1-6861e351707a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4FDE6433</paraID>
      <start>0</start>
      <end>2</end>
      <status>modified</status>
      <modifiedWord>4.</modifiedWord>
      <trackRevisions>false</trackRevisions>
    </reviewItem>
    <reviewItem>
      <errorID>97b7c3ee-9a27-49bc-a118-718436ec45c7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1DE16BBB</paraID>
      <start>0</start>
      <end>2</end>
      <status>modified</status>
      <modifiedWord>5.</modifiedWord>
      <trackRevisions>false</trackRevisions>
    </reviewItem>
    <reviewItem>
      <errorID>220e5363-6295-419c-91ef-bac3d54af6c0</errorID>
      <errorWord>;</errorWord>
      <group>L1_Format</group>
      <groupName>格式问题</groupName>
      <ability>L2_HalfPunc</ability>
      <abilityName>全半角检查</abilityName>
      <candidateList>
        <item>；</item>
      </candidateList>
      <explain>文本全半角错误。</explain>
      <paraID>3218A359</paraID>
      <start>16</start>
      <end>17</end>
      <status>modified</status>
      <modifiedWord>；</modifiedWord>
      <trackRevisions>false</trackRevisions>
    </reviewItem>
    <reviewItem>
      <errorID>3c271b29-ccf4-46a6-a914-a2cac1a3b3d4</errorID>
      <errorWord>;</errorWord>
      <group>L1_Format</group>
      <groupName>格式问题</groupName>
      <ability>L2_HalfPunc</ability>
      <abilityName>全半角检查</abilityName>
      <candidateList>
        <item>；</item>
      </candidateList>
      <explain>文本全半角错误。</explain>
      <paraID> 36C60EA</paraID>
      <start>22</start>
      <end>23</end>
      <status>modified</status>
      <modifiedWord>；</modifiedWord>
      <trackRevisions>false</trackRevisions>
    </reviewItem>
    <reviewItem>
      <errorID>7c1f6886-23f9-4d45-b77e-16115386f082</errorID>
      <errorWord>;</errorWord>
      <group>L1_Format</group>
      <groupName>格式问题</groupName>
      <ability>L2_HalfPunc</ability>
      <abilityName>全半角检查</abilityName>
      <candidateList>
        <item>；</item>
      </candidateList>
      <explain>文本全半角错误。</explain>
      <paraID>32BE9145</paraID>
      <start>22</start>
      <end>23</end>
      <status>modified</status>
      <modifiedWord>；</modifiedWord>
      <trackRevisions>false</trackRevisions>
    </reviewItem>
    <reviewItem>
      <errorID>95b34d1b-fc74-44c0-a5ef-56d06966f18f</errorID>
      <errorWord>;</errorWord>
      <group>L1_Format</group>
      <groupName>格式问题</groupName>
      <ability>L2_HalfPunc</ability>
      <abilityName>全半角检查</abilityName>
      <candidateList>
        <item>；</item>
      </candidateList>
      <explain>文本全半角错误。</explain>
      <paraID>5C988BD2</paraID>
      <start>22</start>
      <end>23</end>
      <status>modified</status>
      <modifiedWord>；</modifiedWord>
      <trackRevisions>false</trackRevisions>
    </reviewItem>
    <reviewItem>
      <errorID>91e54cb3-c3d3-42a3-ae79-96ddc6cfd7cb</errorID>
      <errorWord>;</errorWord>
      <group>L1_Format</group>
      <groupName>格式问题</groupName>
      <ability>L2_HalfPunc</ability>
      <abilityName>全半角检查</abilityName>
      <candidateList>
        <item>；</item>
      </candidateList>
      <explain>文本全半角错误。</explain>
      <paraID>64311F89</paraID>
      <start>30</start>
      <end>31</end>
      <status>modified</status>
      <modifiedWord>；</modifiedWord>
      <trackRevisions>false</trackRevisions>
    </reviewItem>
    <reviewItem>
      <errorID>6137a769-15b1-4922-9d7a-fb76d88c699b</errorID>
      <errorWord>七</errorWord>
      <group>L1_Word</group>
      <groupName>字词问题</groupName>
      <ability>L2_Typo</ability>
      <abilityName>字词错误</abilityName>
      <candidateList>
        <item>七条</item>
      </candidateList>
      <explain/>
      <paraID>32445A77</paraID>
      <start>107</start>
      <end>109</end>
      <status>modified</status>
      <modifiedWord>七条</modifiedWord>
      <trackRevisions>false</trackRevisions>
    </reviewItem>
    <reviewItem>
      <errorID>e6f12b38-d331-40a3-b179-a4f2eade2b1f</errorID>
      <errorWord>相应</errorWord>
      <group>L1_Word</group>
      <groupName>字词问题</groupName>
      <ability>L2_Typo</ability>
      <abilityName>字词错误</abilityName>
      <candidateList>
        <item>响应</item>
      </candidateList>
      <explain>存在发音相同字词的误用。</explain>
      <paraID>2FA3C75E</paraID>
      <start>69</start>
      <end>71</end>
      <status>ignored</status>
      <modifiedWord/>
      <trackRevisions>false</trackRevisions>
    </reviewItem>
    <reviewItem>
      <errorID>c3965f0f-8891-42ad-9b95-c2db2e87aab8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40493970</paraID>
      <start>0</start>
      <end>2</end>
      <status>modified</status>
      <modifiedWord>1.</modifiedWord>
      <trackRevisions>false</trackRevisions>
    </reviewItem>
    <reviewItem>
      <errorID>596186e9-69cd-423d-8f19-cec9140bd289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1C0B640E</paraID>
      <start>0</start>
      <end>2</end>
      <status>modified</status>
      <modifiedWord>2.</modifiedWord>
      <trackRevisions>false</trackRevisions>
    </reviewItem>
    <reviewItem>
      <errorID>0554c132-0cb5-4499-ae3c-77e937f36444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518CE91A</paraID>
      <start>0</start>
      <end>2</end>
      <status>modified</status>
      <modifiedWord>1.</modifiedWord>
      <trackRevisions>false</trackRevisions>
    </reviewItem>
    <reviewItem>
      <errorID>7bf2c4d3-3c28-4f51-9f7a-521bb8e6b05b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23C062C0</paraID>
      <start>0</start>
      <end>2</end>
      <status>modified</status>
      <modifiedWord>2.</modifiedWord>
      <trackRevisions>false</trackRevisions>
    </reviewItem>
    <reviewItem>
      <errorID>dcd30439-2476-444f-aa2f-cd24188b2f00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DAC4003</paraID>
      <start>0</start>
      <end>2</end>
      <status>modified</status>
      <modifiedWord>3.</modifiedWord>
      <trackRevisions>false</trackRevisions>
    </reviewItem>
    <reviewItem>
      <errorID>0332c655-270b-4920-8b1b-60476ae756f7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5B293209</paraID>
      <start>0</start>
      <end>2</end>
      <status>modified</status>
      <modifiedWord>4.</modifiedWord>
      <trackRevisions>false</trackRevisions>
    </reviewItem>
    <reviewItem>
      <errorID>2ba255a0-6420-41ae-add1-42f75198dd67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43009373</paraID>
      <start>0</start>
      <end>2</end>
      <status>modified</status>
      <modifiedWord>5.</modifiedWord>
      <trackRevisions>false</trackRevisions>
    </reviewItem>
    <reviewItem>
      <errorID>9062f588-3df5-4e09-b4e9-555f1718648b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580F475F</paraID>
      <start>0</start>
      <end>2</end>
      <status>modified</status>
      <modifiedWord>6.</modifiedWord>
      <trackRevisions>false</trackRevisions>
    </reviewItem>
    <reviewItem>
      <errorID>4b084b09-7eb1-41cd-8190-8d9f16e9cbca</errorID>
      <errorWord>)</errorWord>
      <group>L1_Format</group>
      <groupName>格式问题</groupName>
      <ability>L2_HalfPunc</ability>
      <abilityName>全半角检查</abilityName>
      <candidateList>
        <item>）</item>
      </candidateList>
      <explain>文本全半角错误。</explain>
      <paraID>6A1B5B57</paraID>
      <start>11</start>
      <end>12</end>
      <status>modified</status>
      <modifiedWord>）</modifiedWord>
      <trackRevisions>false</trackRevisions>
    </reviewItem>
    <reviewItem>
      <errorID>090f9464-ffb5-465c-875a-4aa196e88d9b</errorID>
      <errorWord>)</errorWord>
      <group>L1_Format</group>
      <groupName>格式问题</groupName>
      <ability>L2_HalfPunc</ability>
      <abilityName>全半角检查</abilityName>
      <candidateList>
        <item>）</item>
      </candidateList>
      <explain>文本全半角错误。</explain>
      <paraID>21DBA726</paraID>
      <start>11</start>
      <end>12</end>
      <status>modified</status>
      <modifiedWord>）</modifiedWord>
      <trackRevisions>false</trackRevisions>
    </reviewItem>
    <reviewItem>
      <errorID>96d11f10-8fd0-4413-a0a7-ac69ce9cf441</errorID>
      <errorWord>。】</errorWord>
      <group>L1_Punc</group>
      <groupName>标点问题</groupName>
      <ability>L2_Punc</ability>
      <abilityName>标点符号检查</abilityName>
      <candidateList>
        <item>】</item>
      </candidateList>
      <explain/>
      <paraID>4E9F0BF4</paraID>
      <start>59</start>
      <end>61</end>
      <status>ignored</status>
      <modifiedWord/>
      <trackRevisions>false</trackRevisions>
    </reviewItem>
    <reviewItem>
      <errorID>4524dec7-79f0-45fa-967a-911815575c16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188898B5</paraID>
      <start>0</start>
      <end>2</end>
      <status>modified</status>
      <modifiedWord>1.</modifiedWord>
      <trackRevisions>false</trackRevisions>
    </reviewItem>
    <reviewItem>
      <errorID>3d4b2a1a-3c94-4c4a-bf8b-d89ce6463992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145FF207</paraID>
      <start>0</start>
      <end>2</end>
      <status>modified</status>
      <modifiedWord>2.</modifiedWord>
      <trackRevisions>false</trackRevisions>
    </reviewItem>
    <reviewItem>
      <errorID>38035cc4-d925-4ade-8589-da943697aa94</errorID>
      <errorWord>)</errorWord>
      <group>L1_Format</group>
      <groupName>格式问题</groupName>
      <ability>L2_HalfPunc</ability>
      <abilityName>全半角检查</abilityName>
      <candidateList>
        <item>）</item>
      </candidateList>
      <explain>文本全半角错误。</explain>
      <paraID>2A9066DF</paraID>
      <start>50</start>
      <end>51</end>
      <status>modified</status>
      <modifiedWord>）</modifiedWord>
      <trackRevisions>false</trackRevisions>
    </reviewItem>
    <reviewItem>
      <errorID>00029a6b-b289-497b-8b49-3071d1964854</errorID>
      <errorWord>)</errorWord>
      <group>L1_Format</group>
      <groupName>格式问题</groupName>
      <ability>L2_HalfPunc</ability>
      <abilityName>全半角检查</abilityName>
      <candidateList>
        <item>）</item>
      </candidateList>
      <explain>文本全半角错误。</explain>
      <paraID>665C464B</paraID>
      <start>10</start>
      <end>11</end>
      <status>modified</status>
      <modifiedWord>）</modifiedWord>
      <trackRevisions>false</trackRevisions>
    </reviewItem>
    <reviewItem>
      <errorID>4c3dc1f4-3ac2-4b89-b434-4f248038ca46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47803A74</paraID>
      <start>0</start>
      <end>2</end>
      <status>modified</status>
      <modifiedWord>1.</modifiedWord>
      <trackRevisions>false</trackRevisions>
    </reviewItem>
    <reviewItem>
      <errorID>c5eb39f4-1d79-4797-af70-f60b3d08b297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690A0756</paraID>
      <start>0</start>
      <end>2</end>
      <status>modified</status>
      <modifiedWord>2.</modifiedWord>
      <trackRevisions>false</trackRevisions>
    </reviewItem>
    <reviewItem>
      <errorID>be9a973e-2895-41d0-94c0-5fbf61cee455</errorID>
      <errorWord>)</errorWord>
      <group>L1_Format</group>
      <groupName>格式问题</groupName>
      <ability>L2_HalfPunc</ability>
      <abilityName>全半角检查</abilityName>
      <candidateList>
        <item>）</item>
      </candidateList>
      <explain>文本全半角错误。</explain>
      <paraID>402F965E</paraID>
      <start>8</start>
      <end>9</end>
      <status>ignored</status>
      <modifiedWord/>
      <trackRevisions>false</trackRevisions>
    </reviewItem>
    <reviewItem>
      <errorID>a09aaf24-8636-44db-8784-af85c94ce5c4</errorID>
      <errorWord>)</errorWord>
      <group>L1_Format</group>
      <groupName>格式问题</groupName>
      <ability>L2_HalfPunc</ability>
      <abilityName>全半角检查</abilityName>
      <candidateList>
        <item>）</item>
      </candidateList>
      <explain>文本全半角错误。</explain>
      <paraID>165AEE2D</paraID>
      <start>8</start>
      <end>9</end>
      <status>modified</status>
      <modifiedWord>）</modifiedWord>
      <trackRevisions>false</trackRevisions>
    </reviewItem>
    <reviewItem>
      <errorID>8c4f6e47-fb5b-49e5-b560-808763ac0b90</errorID>
      <errorWord>于</errorWord>
      <group>L1_Word</group>
      <groupName>字词问题</groupName>
      <ability>L2_Typo</ability>
      <abilityName>字词错误</abilityName>
      <candidateList>
        <item>于以</item>
      </candidateList>
      <explain/>
      <paraID>3C11145C</paraID>
      <start>27</start>
      <end>28</end>
      <status>ignored</status>
      <modifiedWord/>
      <trackRevisions>false</trackRevisions>
    </reviewItem>
    <reviewItem>
      <errorID>bcb9b5ee-4b71-47f1-8803-264ddd9ab671</errorID>
      <errorWord>于</errorWord>
      <group>L1_Word</group>
      <groupName>字词问题</groupName>
      <ability>L2_Typo</ability>
      <abilityName>字词错误</abilityName>
      <candidateList>
        <item>于以</item>
      </candidateList>
      <explain/>
      <paraID> 2B61C13</paraID>
      <start>29</start>
      <end>30</end>
      <status>ignored</status>
      <modifiedWord/>
      <trackRevisions>false</trackRevisions>
    </reviewItem>
    <reviewItem>
      <errorID>22114f1f-702a-4385-91d6-2d1a3e18b0b7</errorID>
      <errorWord>二○一一</errorWord>
      <group>L1_Knowledge</group>
      <groupName>知识性问题</groupName>
      <ability>L2_Knowledge</ability>
      <abilityName>其他知识</abilityName>
      <candidateList>
        <item>二〇一一</item>
      </candidateList>
      <explain/>
      <paraID>6F52758A</paraID>
      <start>0</start>
      <end>4</end>
      <status>ignored</status>
      <modifiedWord/>
      <trackRevisions>false</trackRevisions>
    </reviewItem>
    <reviewItem>
      <errorID>57255012-a62a-4b4d-8372-84d9ccab1fe1</errorID>
      <errorWord>(</errorWord>
      <group>L1_Format</group>
      <groupName>格式问题</groupName>
      <ability>L2_HalfPunc</ability>
      <abilityName>全半角检查</abilityName>
      <candidateList>
        <item>（</item>
      </candidateList>
      <explain>文本全半角错误。</explain>
      <paraID>7440C465</paraID>
      <start>46</start>
      <end>47</end>
      <status>ignored</status>
      <modifiedWord/>
      <trackRevisions>false</trackRevisions>
    </reviewItem>
    <reviewItem>
      <errorID>6a234afd-d941-4a1a-a7e4-ff4f9f6b49cf</errorID>
      <errorWord>)</errorWord>
      <group>L1_Format</group>
      <groupName>格式问题</groupName>
      <ability>L2_HalfPunc</ability>
      <abilityName>全半角检查</abilityName>
      <candidateList>
        <item>）</item>
      </candidateList>
      <explain>文本全半角错误。</explain>
      <paraID>7440C465</paraID>
      <start>58</start>
      <end>59</end>
      <status>ignored</status>
      <modifiedWord/>
      <trackRevisions>false</trackRevisions>
    </reviewItem>
    <reviewItem>
      <errorID>f9061280-65c5-4572-aabc-dbf7f1f9a2c0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6EBA1AEF</paraID>
      <start>23</start>
      <end>26</end>
      <status>ignored</status>
      <modifiedWord/>
      <trackRevisions>false</trackRevisions>
    </reviewItem>
    <reviewItem>
      <errorID>370262a9-7b0b-4509-843c-44a6e9b83330</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 E162F05</paraID>
      <start>10</start>
      <end>22</end>
      <status>ignored</status>
      <modifiedWord/>
      <trackRevisions>false</trackRevisions>
    </reviewItem>
    <reviewItem>
      <errorID>d6d7548c-88ac-41db-87f2-119faa2af235</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13427FED</paraID>
      <start>11</start>
      <end>22</end>
      <status>ignored</status>
      <modifiedWord/>
      <trackRevisions>false</trackRevisions>
    </reviewItem>
    <reviewItem>
      <errorID>907d668c-36e2-42fd-b084-75047410d9dd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35BCA7B1</paraID>
      <start>19</start>
      <end>22</end>
      <status>ignored</status>
      <modifiedWord/>
      <trackRevisions>false</trackRevisions>
    </reviewItem>
    <reviewItem>
      <errorID>ed696247-2fa0-47bd-81b8-eacd261313e4</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E5BB8B0</paraID>
      <start>0</start>
      <end>3</end>
      <status>modified</status>
      <modifiedWord>（八）</modifiedWord>
      <trackRevisions>false</trackRevisions>
    </reviewItem>
    <reviewItem>
      <errorID>98c10fd3-9a9e-4048-9940-76e5352f3b6d</errorID>
      <errorWord>:</errorWord>
      <group>L1_Format</group>
      <groupName>格式问题</groupName>
      <ability>L2_HalfPunc</ability>
      <abilityName>全半角检查</abilityName>
      <candidateList>
        <item>：</item>
      </candidateList>
      <explain>文本全半角错误。</explain>
      <paraID>13D9865C</paraID>
      <start>1</start>
      <end>2</end>
      <status>modified</status>
      <modifiedWord>：</modifiedWord>
      <trackRevisions>false</trackRevisions>
    </reviewItem>
    <reviewItem>
      <errorID>513573b1-efec-46b8-bcbf-1d012e749d89</errorID>
      <errorWord>)</errorWord>
      <group>L1_Format</group>
      <groupName>格式问题</groupName>
      <ability>L2_HalfPunc</ability>
      <abilityName>全半角检查</abilityName>
      <candidateList>
        <item>）</item>
      </candidateList>
      <explain>文本全半角错误。</explain>
      <paraID> 841D36F</paraID>
      <start>8</start>
      <end>9</end>
      <status>modified</status>
      <modifiedWord>）</modifiedWord>
      <trackRevisions>false</trackRevisions>
    </reviewItem>
    <reviewItem>
      <errorID>55c13334-9067-4f80-8b8f-32694759205a</errorID>
      <errorWord>(</errorWord>
      <group>L1_Format</group>
      <groupName>格式问题</groupName>
      <ability>L2_HalfPunc</ability>
      <abilityName>全半角检查</abilityName>
      <candidateList>
        <item>（</item>
      </candidateList>
      <explain>文本全半角错误。</explain>
      <paraID>20204BC0</paraID>
      <start>11</start>
      <end>12</end>
      <status>modified</status>
      <modifiedWord>（</modifiedWord>
      <trackRevisions>false</trackRevisions>
    </reviewItem>
    <reviewItem>
      <errorID>57803216-7d6e-435c-a80a-2d3a366bad23</errorID>
      <errorWord>)</errorWord>
      <group>L1_Format</group>
      <groupName>格式问题</groupName>
      <ability>L2_HalfPunc</ability>
      <abilityName>全半角检查</abilityName>
      <candidateList>
        <item>）</item>
      </candidateList>
      <explain>文本全半角错误。</explain>
      <paraID>20204BC0</paraID>
      <start>14</start>
      <end>15</end>
      <status>modified</status>
      <modifiedWord>）</modifiedWord>
      <trackRevisions>false</trackRevisions>
    </reviewItem>
    <reviewItem>
      <errorID>479e1397-f617-467a-9e80-24627e794a58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2288B711</paraID>
      <start>6</start>
      <end>8</end>
      <status>ignored</status>
      <modifiedWord/>
      <trackRevisions>false</trackRevisions>
    </reviewItem>
    <reviewItem>
      <errorID>afb20a9b-7482-470f-9786-8458f162d5a4</errorID>
      <errorWord>)</errorWord>
      <group>L1_Format</group>
      <groupName>格式问题</groupName>
      <ability>L2_HalfPunc</ability>
      <abilityName>全半角检查</abilityName>
      <candidateList>
        <item>）</item>
      </candidateList>
      <explain>文本全半角错误。</explain>
      <paraID>71983F83</paraID>
      <start>8</start>
      <end>9</end>
      <status>ignored</status>
      <modifiedWord/>
      <trackRevisions>false</trackRevisions>
    </reviewItem>
    <reviewItem>
      <errorID>82b6fd48-32cd-4eef-9021-cf0c2122658d</errorID>
      <errorWord>,</errorWord>
      <group>L1_Format</group>
      <groupName>格式问题</groupName>
      <ability>L2_HalfPunc</ability>
      <abilityName>全半角检查</abilityName>
      <candidateList>
        <item>，</item>
      </candidateList>
      <explain>文本全半角错误。</explain>
      <paraID>1ACC5C30</paraID>
      <start>13</start>
      <end>14</end>
      <status>ignored</status>
      <modifiedWord/>
      <trackRevisions>false</trackRevisions>
    </reviewItem>
    <reviewItem>
      <errorID>10f3deeb-97a2-4b39-9308-01d820e6702e</errorID>
      <errorWord>,</errorWord>
      <group>L1_Format</group>
      <groupName>格式问题</groupName>
      <ability>L2_HalfPunc</ability>
      <abilityName>全半角检查</abilityName>
      <candidateList>
        <item>，</item>
      </candidateList>
      <explain>文本全半角错误。</explain>
      <paraID>1ACC5C30</paraID>
      <start>28</start>
      <end>29</end>
      <status>ignored</status>
      <modifiedWord/>
      <trackRevisions>false</trackRevisions>
    </reviewItem>
    <reviewItem>
      <errorID>eb79e43a-b139-4bbe-8288-bf9f6c919130</errorID>
      <errorWord>,</errorWord>
      <group>L1_Format</group>
      <groupName>格式问题</groupName>
      <ability>L2_HalfPunc</ability>
      <abilityName>全半角检查</abilityName>
      <candidateList>
        <item>，</item>
      </candidateList>
      <explain>文本全半角错误。</explain>
      <paraID>26BB11E4</paraID>
      <start>31</start>
      <end>32</end>
      <status>ignored</status>
      <modifiedWord/>
      <trackRevisions>false</trackRevisions>
    </reviewItem>
    <reviewItem>
      <errorID>6534cb69-7d82-46bc-a34e-fe5241ece562</errorID>
      <errorWord>,</errorWord>
      <group>L1_Format</group>
      <groupName>格式问题</groupName>
      <ability>L2_HalfPunc</ability>
      <abilityName>全半角检查</abilityName>
      <candidateList>
        <item>，</item>
      </candidateList>
      <explain>文本全半角错误。</explain>
      <paraID>10BBFC53</paraID>
      <start>22</start>
      <end>23</end>
      <status>ignored</status>
      <modifiedWord/>
      <trackRevisions>false</trackRevisions>
    </reviewItem>
    <reviewItem>
      <errorID>643cfe4b-a490-48c2-9c3a-26401c232cdc</errorID>
      <errorWord>,</errorWord>
      <group>L1_Format</group>
      <groupName>格式问题</groupName>
      <ability>L2_HalfPunc</ability>
      <abilityName>全半角检查</abilityName>
      <candidateList>
        <item>，</item>
      </candidateList>
      <explain>文本全半角错误。</explain>
      <paraID>1A7E3475</paraID>
      <start>55</start>
      <end>56</end>
      <status>ignored</status>
      <modifiedWord/>
      <trackRevisions>false</trackRevisions>
    </reviewItem>
    <reviewItem>
      <errorID>35ade3ee-b265-406d-b160-f7ab14146634</errorID>
      <errorWord>，</errorWord>
      <group>L1_Word</group>
      <groupName>字词问题</groupName>
      <ability>L2_Typo</ability>
      <abilityName>字词错误</abilityName>
      <candidateList>
        <item>，并</item>
      </candidateList>
      <explain/>
      <paraID>1A7E3475</paraID>
      <start>75</start>
      <end>76</end>
      <status>ignored</status>
      <modifiedWord/>
      <trackRevisions>false</trackRevisions>
    </reviewItem>
    <reviewItem>
      <errorID>f7a5aff1-a85c-4d92-840b-6a519935fa62</errorID>
      <errorWord>)</errorWord>
      <group>L1_Format</group>
      <groupName>格式问题</groupName>
      <ability>L2_HalfPunc</ability>
      <abilityName>全半角检查</abilityName>
      <candidateList>
        <item>）</item>
      </candidateList>
      <explain>文本全半角错误。</explain>
      <paraID>19648C53</paraID>
      <start>8</start>
      <end>9</end>
      <status>ignored</status>
      <modifiedWord/>
      <trackRevisions>false</trackRevisions>
    </reviewItem>
    <reviewItem>
      <errorID>f8cc4f86-6311-4324-9506-6f44fa5f3124</errorID>
      <errorWord>)</errorWord>
      <group>L1_Format</group>
      <groupName>格式问题</groupName>
      <ability>L2_HalfPunc</ability>
      <abilityName>全半角检查</abilityName>
      <candidateList>
        <item>）</item>
      </candidateList>
      <explain>文本全半角错误。</explain>
      <paraID> 270EFB4</paraID>
      <start>8</start>
      <end>9</end>
      <status>ignored</status>
      <modifiedWord/>
      <trackRevisions>false</trackRevisions>
    </reviewItem>
    <reviewItem>
      <errorID>41b7cbd6-0429-4efd-9a25-2659d22af1dd</errorID>
      <errorWord>)</errorWord>
      <group>L1_Format</group>
      <groupName>格式问题</groupName>
      <ability>L2_HalfPunc</ability>
      <abilityName>全半角检查</abilityName>
      <candidateList>
        <item>）</item>
      </candidateList>
      <explain>文本全半角错误。</explain>
      <paraID>51101AF7</paraID>
      <start>8</start>
      <end>9</end>
      <status>ignored</status>
      <modifiedWord/>
      <trackRevisions>false</trackRevisions>
    </reviewItem>
    <reviewItem>
      <errorID>af59e1bd-c815-48ff-92ba-304cd6069be5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6D411982</paraID>
      <start>0</start>
      <end>2</end>
      <status>ignored</status>
      <modifiedWord/>
      <trackRevisions>false</trackRevisions>
    </reviewItem>
    <reviewItem>
      <errorID>6951c1e5-7b9b-4075-90d6-e815b0dddee9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67B455A8</paraID>
      <start>0</start>
      <end>2</end>
      <status>ignored</status>
      <modifiedWord/>
      <trackRevisions>false</trackRevisions>
    </reviewItem>
    <reviewItem>
      <errorID>a2477850-58df-4d04-8573-ab9d5b9cf6ce</errorID>
      <errorWord>:</errorWord>
      <group>L1_Format</group>
      <groupName>格式问题</groupName>
      <ability>L2_HalfPunc</ability>
      <abilityName>全半角检查</abilityName>
      <candidateList>
        <item>：</item>
      </candidateList>
      <explain>文本全半角错误。</explain>
      <paraID>5B790DF6</paraID>
      <start>1</start>
      <end>2</end>
      <status>modified</status>
      <modifiedWord>：</modifiedWord>
      <trackRevisions>false</trackRevisions>
    </reviewItem>
    <reviewItem>
      <errorID>6f5b06ac-505e-4d5f-be87-12308cab1922</errorID>
      <errorWord>:</errorWord>
      <group>L1_Format</group>
      <groupName>格式问题</groupName>
      <ability>L2_HalfPunc</ability>
      <abilityName>全半角检查</abilityName>
      <candidateList>
        <item>：</item>
      </candidateList>
      <explain>文本全半角错误。</explain>
      <paraID> B9CD47C</paraID>
      <start>40</start>
      <end>41</end>
      <status>modified</status>
      <modifiedWord>：</modifiedWord>
      <trackRevisions>false</trackRevisions>
    </reviewItem>
    <reviewItem>
      <errorID>5e683b86-94ab-4110-b998-b445d98f3d3f</errorID>
      <errorWord>(</errorWord>
      <group>L1_Format</group>
      <groupName>格式问题</groupName>
      <ability>L2_HalfPunc</ability>
      <abilityName>全半角检查</abilityName>
      <candidateList>
        <item>（</item>
      </candidateList>
      <explain>文本全半角错误。</explain>
      <paraID>6A8946E7</paraID>
      <start>7</start>
      <end>8</end>
      <status>modified</status>
      <modifiedWord>（</modifiedWord>
      <trackRevisions>false</trackRevisions>
    </reviewItem>
    <reviewItem>
      <errorID>dcf47206-003a-4b6f-9e4d-f92bffcff185</errorID>
      <errorWord>)</errorWord>
      <group>L1_Format</group>
      <groupName>格式问题</groupName>
      <ability>L2_HalfPunc</ability>
      <abilityName>全半角检查</abilityName>
      <candidateList>
        <item>）</item>
      </candidateList>
      <explain>文本全半角错误。</explain>
      <paraID>6A8946E7</paraID>
      <start>12</start>
      <end>13</end>
      <status>modified</status>
      <modifiedWord>）</modifiedWord>
      <trackRevisions>false</trackRevisions>
    </reviewItem>
    <reviewItem>
      <errorID>4e1bea6b-5839-4d2d-b5bc-2ef1a60a621e</errorID>
      <errorWord>(</errorWord>
      <group>L1_Format</group>
      <groupName>格式问题</groupName>
      <ability>L2_HalfPunc</ability>
      <abilityName>全半角检查</abilityName>
      <candidateList>
        <item>（</item>
      </candidateList>
      <explain>文本全半角错误。</explain>
      <paraID>6A8946E7</paraID>
      <start>88</start>
      <end>89</end>
      <status>modified</status>
      <modifiedWord>（</modifiedWord>
      <trackRevisions>false</trackRevisions>
    </reviewItem>
    <reviewItem>
      <errorID>85e1d5ce-2cc8-4d3f-b866-3cab83cd5eec</errorID>
      <errorWord>)</errorWord>
      <group>L1_Format</group>
      <groupName>格式问题</groupName>
      <ability>L2_HalfPunc</ability>
      <abilityName>全半角检查</abilityName>
      <candidateList>
        <item>）</item>
      </candidateList>
      <explain>文本全半角错误。</explain>
      <paraID>6A8946E7</paraID>
      <start>91</start>
      <end>92</end>
      <status>modified</status>
      <modifiedWord>）</modifiedWord>
      <trackRevisions>false</trackRevisions>
    </reviewItem>
    <reviewItem>
      <errorID>2a10a855-a2ee-4147-b4f4-75f503d3aa20</errorID>
      <errorWord>(</errorWord>
      <group>L1_Format</group>
      <groupName>格式问题</groupName>
      <ability>L2_HalfPunc</ability>
      <abilityName>全半角检查</abilityName>
      <candidateList>
        <item>（</item>
      </candidateList>
      <explain>文本全半角错误。</explain>
      <paraID>1869886E</paraID>
      <start>3</start>
      <end>4</end>
      <status>modified</status>
      <modifiedWord>（</modifiedWord>
      <trackRevisions>false</trackRevisions>
    </reviewItem>
    <reviewItem>
      <errorID>e2242033-efee-4f53-b5cc-6d90974c0970</errorID>
      <errorWord>)</errorWord>
      <group>L1_Format</group>
      <groupName>格式问题</groupName>
      <ability>L2_HalfPunc</ability>
      <abilityName>全半角检查</abilityName>
      <candidateList>
        <item>）</item>
      </candidateList>
      <explain>文本全半角错误。</explain>
      <paraID>1869886E</paraID>
      <start>9</start>
      <end>10</end>
      <status>modified</status>
      <modifiedWord>）</modifiedWord>
      <trackRevisions>false</trackRevisions>
    </reviewItem>
    <reviewItem>
      <errorID>dfac419b-1dd8-4381-8290-3f141c1d9b93</errorID>
      <errorWord>:</errorWord>
      <group>L1_Format</group>
      <groupName>格式问题</groupName>
      <ability>L2_HalfPunc</ability>
      <abilityName>全半角检查</abilityName>
      <candidateList>
        <item>：</item>
      </candidateList>
      <explain>文本全半角错误。</explain>
      <paraID>1ED4E4FA</paraID>
      <start>12</start>
      <end>13</end>
      <status>modified</status>
      <modifiedWord>：</modifiedWord>
      <trackRevisions>false</trackRevisions>
    </reviewItem>
    <reviewItem>
      <errorID>ee2eadaa-3892-4ceb-bc3e-f510ed423442</errorID>
      <errorWord>:</errorWord>
      <group>L1_Format</group>
      <groupName>格式问题</groupName>
      <ability>L2_HalfPunc</ability>
      <abilityName>全半角检查</abilityName>
      <candidateList>
        <item>：</item>
      </candidateList>
      <explain>文本全半角错误。</explain>
      <paraID>37A54BFE</paraID>
      <start>2</start>
      <end>3</end>
      <status>modified</status>
      <modifiedWord>：</modifiedWord>
      <trackRevisions>false</trackRevisions>
    </reviewItem>
    <reviewItem>
      <errorID>1575ce97-9868-4c56-bdb5-274a1b1c8432</errorID>
      <errorWord>)</errorWord>
      <group>L1_Format</group>
      <groupName>格式问题</groupName>
      <ability>L2_HalfPunc</ability>
      <abilityName>全半角检查</abilityName>
      <candidateList>
        <item>）</item>
      </candidateList>
      <explain>文本全半角错误。</explain>
      <paraID>448666AB</paraID>
      <start>8</start>
      <end>9</end>
      <status>modified</status>
      <modifiedWord>）</modifiedWord>
      <trackRevisions>false</trackRevisions>
    </reviewItem>
    <reviewItem>
      <errorID>b87275d8-5fb9-47f9-90fb-28b21c925d6c</errorID>
      <errorWord>)</errorWord>
      <group>L1_Format</group>
      <groupName>格式问题</groupName>
      <ability>L2_HalfPunc</ability>
      <abilityName>全半角检查</abilityName>
      <candidateList>
        <item>）</item>
      </candidateList>
      <explain>文本全半角错误。</explain>
      <paraID>4AD74708</paraID>
      <start>8</start>
      <end>9</end>
      <status>modified</status>
      <modifiedWord>）</modifiedWord>
      <trackRevisions>false</trackRevisions>
    </reviewItem>
    <reviewItem>
      <errorID>97a6115e-0081-4e87-befa-71d74b0f6a45</errorID>
      <errorWord>)</errorWord>
      <group>L1_Format</group>
      <groupName>格式问题</groupName>
      <ability>L2_HalfPunc</ability>
      <abilityName>全半角检查</abilityName>
      <candidateList>
        <item>）</item>
      </candidateList>
      <explain>文本全半角错误。</explain>
      <paraID>27333291</paraID>
      <start>8</start>
      <end>9</end>
      <status>modified</status>
      <modifiedWord>）</modifiedWord>
      <trackRevisions>false</trackRevisions>
    </reviewItem>
    <reviewItem>
      <errorID>087a4a04-9069-4570-8e3a-877797cbb242</errorID>
      <errorWord>)</errorWord>
      <group>L1_Format</group>
      <groupName>格式问题</groupName>
      <ability>L2_HalfPunc</ability>
      <abilityName>全半角检查</abilityName>
      <candidateList>
        <item>）</item>
      </candidateList>
      <explain>文本全半角错误。</explain>
      <paraID>4CD5B2EF</paraID>
      <start>18</start>
      <end>19</end>
      <status>modified</status>
      <modifiedWord>）</modifiedWord>
      <trackRevisions>false</trackRevisions>
    </reviewItem>
    <reviewItem>
      <errorID>818ed0b1-bbf3-477b-b84b-c7b836e63478</errorID>
      <errorWord>)</errorWord>
      <group>L1_Format</group>
      <groupName>格式问题</groupName>
      <ability>L2_HalfPunc</ability>
      <abilityName>全半角检查</abilityName>
      <candidateList>
        <item>）</item>
      </candidateList>
      <explain>文本全半角错误。</explain>
      <paraID>77AA3C36</paraID>
      <start>11</start>
      <end>12</end>
      <status>modified</status>
      <modifiedWord>）</modifiedWord>
      <trackRevisions>false</trackRevisions>
    </reviewItem>
    <reviewItem>
      <errorID>f480a2c9-7e4f-45ff-b64d-98399e19ff68</errorID>
      <errorWord>)</errorWord>
      <group>L1_Format</group>
      <groupName>格式问题</groupName>
      <ability>L2_HalfPunc</ability>
      <abilityName>全半角检查</abilityName>
      <candidateList>
        <item>）</item>
      </candidateList>
      <explain>文本全半角错误。</explain>
      <paraID>3EA46769</paraID>
      <start>8</start>
      <end>9</end>
      <status>modified</status>
      <modifiedWord>）</modifiedWord>
      <trackRevisions>false</trackRevisions>
    </reviewItem>
    <reviewItem>
      <errorID>69292fc4-b574-48ce-9a48-e5a668ae2edb</errorID>
      <errorWord>…………</errorWord>
      <group>L1_Punc</group>
      <groupName>标点问题</groupName>
      <ability>L2_Punc</ability>
      <abilityName>标点符号检查</abilityName>
      <candidateList>
        <item>…</item>
      </candidateList>
      <explain/>
      <paraID>6324A49D</paraID>
      <start>0</start>
      <end>4</end>
      <status>ignored</status>
      <modifiedWord/>
      <trackRevisions>false</trackRevisions>
    </reviewItem>
    <reviewItem>
      <errorID>dc09ebfb-5867-4a99-9291-ed3300896b4a</errorID>
      <errorWord>…………</errorWord>
      <group>L1_Punc</group>
      <groupName>标点问题</groupName>
      <ability>L2_Punc</ability>
      <abilityName>标点符号检查</abilityName>
      <candidateList>
        <item>…</item>
      </candidateList>
      <explain/>
      <paraID> EE83785</paraID>
      <start>0</start>
      <end>4</end>
      <status>ignored</status>
      <modifiedWord/>
      <trackRevisions>false</trackRevisions>
    </reviewItem>
    <reviewItem>
      <errorID>c29bae92-84ba-41a3-89f9-694afff2ecb4</errorID>
      <errorWord>)</errorWord>
      <group>L1_Format</group>
      <groupName>格式问题</groupName>
      <ability>L2_HalfPunc</ability>
      <abilityName>全半角检查</abilityName>
      <candidateList>
        <item>）</item>
      </candidateList>
      <explain>文本全半角错误。</explain>
      <paraID>2E8083B6</paraID>
      <start>8</start>
      <end>9</end>
      <status>modified</status>
      <modifiedWord>）</modifiedWord>
      <trackRevisions>false</trackRevisions>
    </reviewItem>
    <reviewItem>
      <errorID>1d727a6a-b0f9-4d89-91cc-3f5b215c4a9c</errorID>
      <errorWord>)</errorWord>
      <group>L1_Format</group>
      <groupName>格式问题</groupName>
      <ability>L2_HalfPunc</ability>
      <abilityName>全半角检查</abilityName>
      <candidateList>
        <item>）</item>
      </candidateList>
      <explain>文本全半角错误。</explain>
      <paraID>68FCBA1E</paraID>
      <start>8</start>
      <end>9</end>
      <status>modified</status>
      <modifiedWord>）</modifiedWord>
      <trackRevisions>false</trackRevisions>
    </reviewItem>
    <reviewItem>
      <errorID>24f64e82-a0d6-490d-b24d-69c107c2bcf1</errorID>
      <errorWord>…………</errorWord>
      <group>L1_Punc</group>
      <groupName>标点问题</groupName>
      <ability>L2_Punc</ability>
      <abilityName>标点符号检查</abilityName>
      <candidateList>
        <item>…</item>
      </candidateList>
      <explain/>
      <paraID>7D0AF02A</paraID>
      <start>0</start>
      <end>4</end>
      <status>ignored</status>
      <modifiedWord/>
      <trackRevisions>false</trackRevisions>
    </reviewItem>
    <reviewItem>
      <errorID>f8c55251-acf4-4205-9d4e-1d697f0de10c</errorID>
      <errorWord>…………</errorWord>
      <group>L1_Punc</group>
      <groupName>标点问题</groupName>
      <ability>L2_Punc</ability>
      <abilityName>标点符号检查</abilityName>
      <candidateList>
        <item>…</item>
      </candidateList>
      <explain/>
      <paraID>59EB3DF9</paraID>
      <start>0</start>
      <end>4</end>
      <status>ignored</status>
      <modifiedWord/>
      <trackRevisions>false</trackRevisions>
    </reviewItem>
    <reviewItem>
      <errorID>75cfc420-b301-458b-b418-114ccb45dd6e</errorID>
      <errorWord>)</errorWord>
      <group>L1_Format</group>
      <groupName>格式问题</groupName>
      <ability>L2_HalfPunc</ability>
      <abilityName>全半角检查</abilityName>
      <candidateList>
        <item>）</item>
      </candidateList>
      <explain>文本全半角错误。</explain>
      <paraID>53059121</paraID>
      <start>8</start>
      <end>9</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E9464-EF58-442D-B535-F25A6DBA3763}">
  <ds:schemaRefs/>
</ds:datastoreItem>
</file>

<file path=docProps/app.xml><?xml version="1.0" encoding="utf-8"?>
<Properties xmlns="http://schemas.openxmlformats.org/officeDocument/2006/extended-properties" xmlns:vt="http://schemas.openxmlformats.org/officeDocument/2006/docPropsVTypes">
  <Template>Normal.dotm</Template>
  <Pages>155</Pages>
  <Words>26194</Words>
  <Characters>28266</Characters>
  <Lines>802</Lines>
  <Paragraphs>225</Paragraphs>
  <TotalTime>0</TotalTime>
  <ScaleCrop>false</ScaleCrop>
  <LinksUpToDate>false</LinksUpToDate>
  <CharactersWithSpaces>29089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NTKO</cp:lastModifiedBy>
  <cp:lastPrinted>2024-12-28T09:33:00Z</cp:lastPrinted>
  <dcterms:modified xsi:type="dcterms:W3CDTF">2026-05-22T03:37:48Z</dcterms:modified>
  <cp:revision>447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75CA34AE3FCD4B3F8A1DDF65A46E31F3_13</vt:lpwstr>
  </property>
  <property fmtid="{D5CDD505-2E9C-101B-9397-08002B2CF9AE}" pid="4" name="KSOTemplateDocerSaveRecord">
    <vt:lpwstr>eyJoZGlkIjoiZTNiMmJjMGUyMDNhMGI0MjllZTc4OTE3ODRjOTBjMWQiLCJ1c2VySWQiOiIyNTU1NjE4OTkifQ==</vt:lpwstr>
  </property>
</Properties>
</file>